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18,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9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001-37798</w:t>
            </w:r>
          </w:p>
        </w:tc>
        <w:tc>
          <w:tcPr>
            <w:tcW w:w="1940" w:type="dxa"/>
            <w:vAlign w:val="bottom"/>
          </w:tcPr>
          <w:p>
            <w:pPr>
              <w:jc w:val="center"/>
              <w:ind w:left="510"/>
              <w:spacing w:after="0"/>
              <w:rPr>
                <w:sz w:val="20"/>
                <w:szCs w:val="20"/>
                <w:color w:val="auto"/>
              </w:rPr>
            </w:pPr>
            <w:r>
              <w:rPr>
                <w:rFonts w:ascii="Arial" w:cs="Arial" w:eastAsia="Arial" w:hAnsi="Arial"/>
                <w:sz w:val="18"/>
                <w:szCs w:val="18"/>
                <w:b w:val="1"/>
                <w:bCs w:val="1"/>
                <w:color w:val="auto"/>
                <w:w w:val="89"/>
              </w:rPr>
              <w:t>26-1622110</w:t>
            </w:r>
          </w:p>
        </w:tc>
      </w:tr>
      <w:tr>
        <w:trPr>
          <w:trHeight w:val="176"/>
        </w:trPr>
        <w:tc>
          <w:tcPr>
            <w:tcW w:w="2460" w:type="dxa"/>
            <w:vAlign w:val="bottom"/>
          </w:tcPr>
          <w:p>
            <w:pPr>
              <w:jc w:val="center"/>
              <w:ind w:right="490"/>
              <w:spacing w:after="0" w:line="176" w:lineRule="exact"/>
              <w:rPr>
                <w:sz w:val="20"/>
                <w:szCs w:val="20"/>
                <w:color w:val="auto"/>
              </w:rPr>
            </w:pPr>
            <w:r>
              <w:rPr>
                <w:rFonts w:ascii="Arial" w:cs="Arial" w:eastAsia="Arial" w:hAnsi="Arial"/>
                <w:sz w:val="18"/>
                <w:szCs w:val="18"/>
                <w:color w:val="auto"/>
                <w:w w:val="91"/>
              </w:rPr>
              <w:t>(State or other jurisdiction</w:t>
            </w:r>
          </w:p>
        </w:tc>
        <w:tc>
          <w:tcPr>
            <w:tcW w:w="498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3"/>
              </w:rPr>
              <w:t>(Commission</w:t>
            </w:r>
          </w:p>
        </w:tc>
        <w:tc>
          <w:tcPr>
            <w:tcW w:w="1940" w:type="dxa"/>
            <w:vAlign w:val="bottom"/>
          </w:tcPr>
          <w:p>
            <w:pPr>
              <w:jc w:val="center"/>
              <w:ind w:left="51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30"/>
              <w:spacing w:after="0"/>
              <w:rPr>
                <w:sz w:val="20"/>
                <w:szCs w:val="20"/>
                <w:color w:val="auto"/>
              </w:rPr>
            </w:pPr>
            <w:r>
              <w:rPr>
                <w:rFonts w:ascii="Arial" w:cs="Arial" w:eastAsia="Arial" w:hAnsi="Arial"/>
                <w:sz w:val="18"/>
                <w:szCs w:val="18"/>
                <w:color w:val="auto"/>
                <w:w w:val="93"/>
              </w:rPr>
              <w:t>of incorporation)</w:t>
            </w:r>
          </w:p>
        </w:tc>
        <w:tc>
          <w:tcPr>
            <w:tcW w:w="4980" w:type="dxa"/>
            <w:vAlign w:val="bottom"/>
          </w:tcPr>
          <w:p>
            <w:pPr>
              <w:jc w:val="center"/>
              <w:ind w:right="150"/>
              <w:spacing w:after="0"/>
              <w:rPr>
                <w:sz w:val="20"/>
                <w:szCs w:val="20"/>
                <w:color w:val="auto"/>
              </w:rPr>
            </w:pPr>
            <w:r>
              <w:rPr>
                <w:rFonts w:ascii="Arial" w:cs="Arial" w:eastAsia="Arial" w:hAnsi="Arial"/>
                <w:sz w:val="18"/>
                <w:szCs w:val="18"/>
                <w:color w:val="auto"/>
                <w:w w:val="94"/>
              </w:rPr>
              <w:t>File Number)</w:t>
            </w:r>
          </w:p>
        </w:tc>
        <w:tc>
          <w:tcPr>
            <w:tcW w:w="1940" w:type="dxa"/>
            <w:vAlign w:val="bottom"/>
          </w:tcPr>
          <w:p>
            <w:pPr>
              <w:jc w:val="center"/>
              <w:ind w:left="510"/>
              <w:spacing w:after="0"/>
              <w:rPr>
                <w:sz w:val="20"/>
                <w:szCs w:val="20"/>
                <w:color w:val="auto"/>
              </w:rPr>
            </w:pPr>
            <w:r>
              <w:rPr>
                <w:rFonts w:ascii="Arial" w:cs="Arial" w:eastAsia="Arial" w:hAnsi="Arial"/>
                <w:sz w:val="18"/>
                <w:szCs w:val="18"/>
                <w:color w:val="auto"/>
                <w:w w:val="95"/>
              </w:rPr>
              <w:t>Identification No.)</w:t>
            </w:r>
          </w:p>
        </w:tc>
      </w:tr>
      <w:tr>
        <w:trPr>
          <w:trHeight w:val="646"/>
        </w:trPr>
        <w:tc>
          <w:tcPr>
            <w:tcW w:w="2460" w:type="dxa"/>
            <w:vAlign w:val="bottom"/>
          </w:tcPr>
          <w:p>
            <w:pPr>
              <w:spacing w:after="0"/>
              <w:rPr>
                <w:sz w:val="24"/>
                <w:szCs w:val="24"/>
                <w:color w:val="auto"/>
              </w:rPr>
            </w:pPr>
          </w:p>
        </w:tc>
        <w:tc>
          <w:tcPr>
            <w:tcW w:w="498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94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80" w:type="dxa"/>
            <w:vAlign w:val="bottom"/>
          </w:tcPr>
          <w:p>
            <w:pPr>
              <w:ind w:left="680"/>
              <w:spacing w:after="0"/>
              <w:rPr>
                <w:sz w:val="20"/>
                <w:szCs w:val="20"/>
                <w:color w:val="auto"/>
              </w:rPr>
            </w:pPr>
            <w:r>
              <w:rPr>
                <w:rFonts w:ascii="Arial" w:cs="Arial" w:eastAsia="Arial" w:hAnsi="Arial"/>
                <w:sz w:val="18"/>
                <w:szCs w:val="18"/>
                <w:color w:val="auto"/>
              </w:rPr>
              <w:t>(Address of principal executive offices) (Zip Code)</w:t>
            </w:r>
          </w:p>
        </w:tc>
        <w:tc>
          <w:tcPr>
            <w:tcW w:w="194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(617) 923-1400</w:t>
            </w:r>
          </w:p>
        </w:tc>
        <w:tc>
          <w:tcPr>
            <w:tcW w:w="194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80" w:type="dxa"/>
            <w:vAlign w:val="bottom"/>
          </w:tcPr>
          <w:p>
            <w:pPr>
              <w:ind w:left="560"/>
              <w:spacing w:after="0"/>
              <w:rPr>
                <w:sz w:val="20"/>
                <w:szCs w:val="20"/>
                <w:color w:val="auto"/>
              </w:rPr>
            </w:pPr>
            <w:r>
              <w:rPr>
                <w:rFonts w:ascii="Arial" w:cs="Arial" w:eastAsia="Arial" w:hAnsi="Arial"/>
                <w:sz w:val="18"/>
                <w:szCs w:val="18"/>
                <w:color w:val="auto"/>
              </w:rPr>
              <w:t>Registrant’s telephone number, including area code</w:t>
            </w:r>
          </w:p>
        </w:tc>
        <w:tc>
          <w:tcPr>
            <w:tcW w:w="19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59"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0"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9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50" w:type="dxa"/>
        <w:tblCellMar>
          <w:top w:w="0" w:type="dxa"/>
          <w:left w:w="0" w:type="dxa"/>
          <w:bottom w:w="0" w:type="dxa"/>
          <w:right w:w="0" w:type="dxa"/>
        </w:tblCellMar>
      </w:tblPr>
      <w:tr>
        <w:trPr>
          <w:trHeight w:val="22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On June 18, 2021, Selecta Biosciences, Inc. (the “Company”) held its Annual Meeting of Stockholders. A total of 76,356,811 shares of the Company’s common stock were present electronically or represented by proxy at the meeting, representing approximately 67.46% of the Company’s outstanding common stock as of the April 21, 2021 record date. The following are the voting results for the proposals considered and voted upon at the meeting, all of which were described in the Company’s Definitive Proxy Statement filed with the Securities and Exchange Commission on April 29, 2021.</w:t>
      </w:r>
    </w:p>
    <w:p>
      <w:pPr>
        <w:spacing w:after="0" w:line="18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Item 1 - Election of three Class II Directors to serve until the 2024 Annual Meeting of Stockholders, and until their respective successors have been duly elected and qualified.</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580" w:type="dxa"/>
            <w:vAlign w:val="bottom"/>
          </w:tcPr>
          <w:p>
            <w:pPr>
              <w:spacing w:after="0"/>
              <w:rPr>
                <w:sz w:val="20"/>
                <w:szCs w:val="20"/>
                <w:color w:val="auto"/>
              </w:rPr>
            </w:pPr>
            <w:r>
              <w:rPr>
                <w:rFonts w:ascii="Arial" w:cs="Arial" w:eastAsia="Arial" w:hAnsi="Arial"/>
                <w:sz w:val="18"/>
                <w:szCs w:val="18"/>
                <w:color w:val="auto"/>
              </w:rPr>
              <w:t>NOMINEE</w:t>
            </w:r>
          </w:p>
        </w:tc>
        <w:tc>
          <w:tcPr>
            <w:tcW w:w="2880" w:type="dxa"/>
            <w:vAlign w:val="bottom"/>
          </w:tcPr>
          <w:p>
            <w:pPr>
              <w:ind w:left="1220"/>
              <w:spacing w:after="0"/>
              <w:rPr>
                <w:sz w:val="20"/>
                <w:szCs w:val="20"/>
                <w:color w:val="auto"/>
              </w:rPr>
            </w:pPr>
            <w:r>
              <w:rPr>
                <w:rFonts w:ascii="Arial" w:cs="Arial" w:eastAsia="Arial" w:hAnsi="Arial"/>
                <w:sz w:val="18"/>
                <w:szCs w:val="18"/>
                <w:color w:val="auto"/>
              </w:rPr>
              <w:t>Votes FOR</w:t>
            </w:r>
          </w:p>
        </w:tc>
        <w:tc>
          <w:tcPr>
            <w:tcW w:w="2980" w:type="dxa"/>
            <w:vAlign w:val="bottom"/>
          </w:tcPr>
          <w:p>
            <w:pPr>
              <w:ind w:left="860"/>
              <w:spacing w:after="0"/>
              <w:rPr>
                <w:sz w:val="20"/>
                <w:szCs w:val="20"/>
                <w:color w:val="auto"/>
              </w:rPr>
            </w:pPr>
            <w:r>
              <w:rPr>
                <w:rFonts w:ascii="Arial" w:cs="Arial" w:eastAsia="Arial" w:hAnsi="Arial"/>
                <w:sz w:val="18"/>
                <w:szCs w:val="18"/>
                <w:color w:val="auto"/>
              </w:rPr>
              <w:t>Votes WITHHELD</w:t>
            </w:r>
          </w:p>
        </w:tc>
        <w:tc>
          <w:tcPr>
            <w:tcW w:w="2040" w:type="dxa"/>
            <w:vAlign w:val="bottom"/>
          </w:tcPr>
          <w:p>
            <w:pPr>
              <w:jc w:val="center"/>
              <w:ind w:left="630"/>
              <w:spacing w:after="0"/>
              <w:rPr>
                <w:sz w:val="20"/>
                <w:szCs w:val="20"/>
                <w:color w:val="auto"/>
              </w:rPr>
            </w:pPr>
            <w:r>
              <w:rPr>
                <w:rFonts w:ascii="Arial" w:cs="Arial" w:eastAsia="Arial" w:hAnsi="Arial"/>
                <w:sz w:val="18"/>
                <w:szCs w:val="18"/>
                <w:color w:val="auto"/>
                <w:w w:val="92"/>
              </w:rPr>
              <w:t>Broker Non-Votes</w:t>
            </w: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Göran Ando, M.D.</w:t>
            </w:r>
          </w:p>
        </w:tc>
        <w:tc>
          <w:tcPr>
            <w:tcW w:w="2880" w:type="dxa"/>
            <w:vAlign w:val="bottom"/>
          </w:tcPr>
          <w:p>
            <w:pPr>
              <w:ind w:left="1220"/>
              <w:spacing w:after="0"/>
              <w:rPr>
                <w:sz w:val="20"/>
                <w:szCs w:val="20"/>
                <w:color w:val="auto"/>
              </w:rPr>
            </w:pPr>
            <w:r>
              <w:rPr>
                <w:rFonts w:ascii="Arial" w:cs="Arial" w:eastAsia="Arial" w:hAnsi="Arial"/>
                <w:sz w:val="18"/>
                <w:szCs w:val="18"/>
                <w:color w:val="auto"/>
              </w:rPr>
              <w:t>53,398,234</w:t>
            </w:r>
          </w:p>
        </w:tc>
        <w:tc>
          <w:tcPr>
            <w:tcW w:w="2980" w:type="dxa"/>
            <w:vAlign w:val="bottom"/>
          </w:tcPr>
          <w:p>
            <w:pPr>
              <w:jc w:val="center"/>
              <w:ind w:left="10"/>
              <w:spacing w:after="0"/>
              <w:rPr>
                <w:sz w:val="20"/>
                <w:szCs w:val="20"/>
                <w:color w:val="auto"/>
              </w:rPr>
            </w:pPr>
            <w:r>
              <w:rPr>
                <w:rFonts w:ascii="Arial" w:cs="Arial" w:eastAsia="Arial" w:hAnsi="Arial"/>
                <w:sz w:val="18"/>
                <w:szCs w:val="18"/>
                <w:color w:val="auto"/>
                <w:w w:val="89"/>
              </w:rPr>
              <w:t>8,034,027</w:t>
            </w:r>
          </w:p>
        </w:tc>
        <w:tc>
          <w:tcPr>
            <w:tcW w:w="2040" w:type="dxa"/>
            <w:vAlign w:val="bottom"/>
          </w:tcPr>
          <w:p>
            <w:pPr>
              <w:jc w:val="center"/>
              <w:ind w:left="630"/>
              <w:spacing w:after="0"/>
              <w:rPr>
                <w:sz w:val="20"/>
                <w:szCs w:val="20"/>
                <w:color w:val="auto"/>
              </w:rPr>
            </w:pPr>
            <w:r>
              <w:rPr>
                <w:rFonts w:ascii="Arial" w:cs="Arial" w:eastAsia="Arial" w:hAnsi="Arial"/>
                <w:sz w:val="18"/>
                <w:szCs w:val="18"/>
                <w:color w:val="auto"/>
                <w:w w:val="88"/>
              </w:rPr>
              <w:t>14,924,550</w:t>
            </w:r>
          </w:p>
        </w:tc>
      </w:tr>
      <w:tr>
        <w:trPr>
          <w:trHeight w:val="229"/>
        </w:trPr>
        <w:tc>
          <w:tcPr>
            <w:tcW w:w="2580" w:type="dxa"/>
            <w:vAlign w:val="bottom"/>
          </w:tcPr>
          <w:p>
            <w:pPr>
              <w:spacing w:after="0"/>
              <w:rPr>
                <w:sz w:val="20"/>
                <w:szCs w:val="20"/>
                <w:color w:val="auto"/>
              </w:rPr>
            </w:pPr>
            <w:r>
              <w:rPr>
                <w:rFonts w:ascii="Arial" w:cs="Arial" w:eastAsia="Arial" w:hAnsi="Arial"/>
                <w:sz w:val="18"/>
                <w:szCs w:val="18"/>
                <w:color w:val="auto"/>
              </w:rPr>
              <w:t>Carrie S. Cox</w:t>
            </w:r>
          </w:p>
        </w:tc>
        <w:tc>
          <w:tcPr>
            <w:tcW w:w="2880" w:type="dxa"/>
            <w:vAlign w:val="bottom"/>
          </w:tcPr>
          <w:p>
            <w:pPr>
              <w:ind w:left="1220"/>
              <w:spacing w:after="0"/>
              <w:rPr>
                <w:sz w:val="20"/>
                <w:szCs w:val="20"/>
                <w:color w:val="auto"/>
              </w:rPr>
            </w:pPr>
            <w:r>
              <w:rPr>
                <w:rFonts w:ascii="Arial" w:cs="Arial" w:eastAsia="Arial" w:hAnsi="Arial"/>
                <w:sz w:val="18"/>
                <w:szCs w:val="18"/>
                <w:color w:val="auto"/>
              </w:rPr>
              <w:t>53,388,481</w:t>
            </w:r>
          </w:p>
        </w:tc>
        <w:tc>
          <w:tcPr>
            <w:tcW w:w="2980" w:type="dxa"/>
            <w:vAlign w:val="bottom"/>
          </w:tcPr>
          <w:p>
            <w:pPr>
              <w:jc w:val="center"/>
              <w:ind w:left="10"/>
              <w:spacing w:after="0"/>
              <w:rPr>
                <w:sz w:val="20"/>
                <w:szCs w:val="20"/>
                <w:color w:val="auto"/>
              </w:rPr>
            </w:pPr>
            <w:r>
              <w:rPr>
                <w:rFonts w:ascii="Arial" w:cs="Arial" w:eastAsia="Arial" w:hAnsi="Arial"/>
                <w:sz w:val="18"/>
                <w:szCs w:val="18"/>
                <w:color w:val="auto"/>
                <w:w w:val="89"/>
              </w:rPr>
              <w:t>8,043,780</w:t>
            </w:r>
          </w:p>
        </w:tc>
        <w:tc>
          <w:tcPr>
            <w:tcW w:w="2040" w:type="dxa"/>
            <w:vAlign w:val="bottom"/>
          </w:tcPr>
          <w:p>
            <w:pPr>
              <w:jc w:val="center"/>
              <w:ind w:left="630"/>
              <w:spacing w:after="0"/>
              <w:rPr>
                <w:sz w:val="20"/>
                <w:szCs w:val="20"/>
                <w:color w:val="auto"/>
              </w:rPr>
            </w:pPr>
            <w:r>
              <w:rPr>
                <w:rFonts w:ascii="Arial" w:cs="Arial" w:eastAsia="Arial" w:hAnsi="Arial"/>
                <w:sz w:val="18"/>
                <w:szCs w:val="18"/>
                <w:color w:val="auto"/>
                <w:w w:val="88"/>
              </w:rPr>
              <w:t>14,924,550</w:t>
            </w: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Aymeric Sallin</w:t>
            </w:r>
          </w:p>
        </w:tc>
        <w:tc>
          <w:tcPr>
            <w:tcW w:w="2880" w:type="dxa"/>
            <w:vAlign w:val="bottom"/>
          </w:tcPr>
          <w:p>
            <w:pPr>
              <w:ind w:left="1220"/>
              <w:spacing w:after="0"/>
              <w:rPr>
                <w:sz w:val="20"/>
                <w:szCs w:val="20"/>
                <w:color w:val="auto"/>
              </w:rPr>
            </w:pPr>
            <w:r>
              <w:rPr>
                <w:rFonts w:ascii="Arial" w:cs="Arial" w:eastAsia="Arial" w:hAnsi="Arial"/>
                <w:sz w:val="18"/>
                <w:szCs w:val="18"/>
                <w:color w:val="auto"/>
              </w:rPr>
              <w:t>45,267,262</w:t>
            </w:r>
          </w:p>
        </w:tc>
        <w:tc>
          <w:tcPr>
            <w:tcW w:w="2980" w:type="dxa"/>
            <w:vAlign w:val="bottom"/>
          </w:tcPr>
          <w:p>
            <w:pPr>
              <w:jc w:val="center"/>
              <w:ind w:left="30"/>
              <w:spacing w:after="0"/>
              <w:rPr>
                <w:sz w:val="20"/>
                <w:szCs w:val="20"/>
                <w:color w:val="auto"/>
              </w:rPr>
            </w:pPr>
            <w:r>
              <w:rPr>
                <w:rFonts w:ascii="Arial" w:cs="Arial" w:eastAsia="Arial" w:hAnsi="Arial"/>
                <w:sz w:val="18"/>
                <w:szCs w:val="18"/>
                <w:color w:val="auto"/>
                <w:w w:val="90"/>
              </w:rPr>
              <w:t>16,164,999</w:t>
            </w:r>
          </w:p>
        </w:tc>
        <w:tc>
          <w:tcPr>
            <w:tcW w:w="2040" w:type="dxa"/>
            <w:vAlign w:val="bottom"/>
          </w:tcPr>
          <w:p>
            <w:pPr>
              <w:jc w:val="center"/>
              <w:ind w:left="630"/>
              <w:spacing w:after="0"/>
              <w:rPr>
                <w:sz w:val="20"/>
                <w:szCs w:val="20"/>
                <w:color w:val="auto"/>
              </w:rPr>
            </w:pPr>
            <w:r>
              <w:rPr>
                <w:rFonts w:ascii="Arial" w:cs="Arial" w:eastAsia="Arial" w:hAnsi="Arial"/>
                <w:sz w:val="18"/>
                <w:szCs w:val="18"/>
                <w:color w:val="auto"/>
                <w:w w:val="88"/>
              </w:rPr>
              <w:t>14,924,550</w:t>
            </w:r>
          </w:p>
        </w:tc>
      </w:tr>
    </w:tbl>
    <w:p>
      <w:pPr>
        <w:spacing w:after="0" w:line="200" w:lineRule="exact"/>
        <w:rPr>
          <w:sz w:val="20"/>
          <w:szCs w:val="20"/>
          <w:color w:val="auto"/>
        </w:rPr>
      </w:pPr>
    </w:p>
    <w:p>
      <w:pPr>
        <w:spacing w:after="0" w:line="35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Item 2 - Ratification of the appointment of Ernst &amp; Young LLP as the Company’s independent registered public accounting firm for the year ending December 31, 2021.</w:t>
      </w:r>
    </w:p>
    <w:p>
      <w:pPr>
        <w:sectPr>
          <w:pgSz w:w="11900" w:h="16838" w:orient="portrait"/>
          <w:cols w:equalWidth="0" w:num="1">
            <w:col w:w="11180"/>
          </w:cols>
          <w:pgMar w:left="320" w:top="1107" w:right="399" w:bottom="1440" w:gutter="0" w:footer="0" w:header="0"/>
        </w:sectPr>
      </w:pPr>
    </w:p>
    <w:p>
      <w:pPr>
        <w:spacing w:after="0" w:line="8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Votes FOR</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76,269,773</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center"/>
        <w:ind w:right="740"/>
        <w:spacing w:after="0"/>
        <w:rPr>
          <w:sz w:val="20"/>
          <w:szCs w:val="20"/>
          <w:color w:val="auto"/>
        </w:rPr>
      </w:pPr>
      <w:r>
        <w:rPr>
          <w:rFonts w:ascii="Arial" w:cs="Arial" w:eastAsia="Arial" w:hAnsi="Arial"/>
          <w:sz w:val="17"/>
          <w:szCs w:val="17"/>
          <w:color w:val="auto"/>
        </w:rPr>
        <w:t>Votes AGAINST</w:t>
      </w:r>
    </w:p>
    <w:p>
      <w:pPr>
        <w:spacing w:after="0" w:line="35"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50,628</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center"/>
        <w:ind w:right="700"/>
        <w:spacing w:after="0"/>
        <w:rPr>
          <w:sz w:val="20"/>
          <w:szCs w:val="20"/>
          <w:color w:val="auto"/>
        </w:rPr>
      </w:pPr>
      <w:r>
        <w:rPr>
          <w:rFonts w:ascii="Arial" w:cs="Arial" w:eastAsia="Arial" w:hAnsi="Arial"/>
          <w:sz w:val="17"/>
          <w:szCs w:val="17"/>
          <w:color w:val="auto"/>
        </w:rPr>
        <w:t>Votes ABSTAINED</w:t>
      </w:r>
    </w:p>
    <w:p>
      <w:pPr>
        <w:spacing w:after="0" w:line="35"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36,410</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Broker Non-Votes</w:t>
      </w:r>
    </w:p>
    <w:p>
      <w:pPr>
        <w:spacing w:after="0" w:line="46"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4">
            <w:col w:w="2880" w:space="720"/>
            <w:col w:w="1980" w:space="720"/>
            <w:col w:w="2160" w:space="720"/>
            <w:col w:w="2000"/>
          </w:cols>
          <w:pgMar w:left="320" w:top="1107" w:right="399" w:bottom="1440" w:gutter="0" w:footer="0" w:header="0"/>
          <w:type w:val="continuous"/>
        </w:sect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Based on the foregoing votes, Göran Ando, M.D., Carrie S. Cox, and Aymeric Sallin were elected as Class II Directors and Item 2 was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574040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7" w:right="39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720" w:type="dxa"/>
            <w:vAlign w:val="bottom"/>
            <w:gridSpan w:val="2"/>
          </w:tcPr>
          <w:p>
            <w:pPr>
              <w:ind w:left="2000"/>
              <w:spacing w:after="0"/>
              <w:rPr>
                <w:sz w:val="20"/>
                <w:szCs w:val="20"/>
                <w:color w:val="auto"/>
              </w:rPr>
            </w:pPr>
            <w:r>
              <w:rPr>
                <w:rFonts w:ascii="Arial" w:cs="Arial" w:eastAsia="Arial" w:hAnsi="Arial"/>
                <w:sz w:val="18"/>
                <w:szCs w:val="18"/>
                <w:color w:val="auto"/>
              </w:rPr>
              <w:t>SELECTA BIOSCIENCES, INC.</w:t>
            </w:r>
          </w:p>
        </w:tc>
      </w:tr>
      <w:tr>
        <w:trPr>
          <w:trHeight w:val="688"/>
        </w:trPr>
        <w:tc>
          <w:tcPr>
            <w:tcW w:w="3460" w:type="dxa"/>
            <w:vAlign w:val="bottom"/>
          </w:tcPr>
          <w:p>
            <w:pPr>
              <w:spacing w:after="0"/>
              <w:rPr>
                <w:sz w:val="20"/>
                <w:szCs w:val="20"/>
                <w:color w:val="auto"/>
              </w:rPr>
            </w:pPr>
            <w:r>
              <w:rPr>
                <w:rFonts w:ascii="Arial" w:cs="Arial" w:eastAsia="Arial" w:hAnsi="Arial"/>
                <w:sz w:val="18"/>
                <w:szCs w:val="18"/>
                <w:color w:val="auto"/>
              </w:rPr>
              <w:t>Date: June 21, 2021</w:t>
            </w:r>
          </w:p>
        </w:tc>
        <w:tc>
          <w:tcPr>
            <w:tcW w:w="2580" w:type="dxa"/>
            <w:vAlign w:val="bottom"/>
          </w:tcPr>
          <w:p>
            <w:pPr>
              <w:ind w:left="20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Carsten Brunn, Ph.D.</w:t>
            </w:r>
          </w:p>
        </w:tc>
      </w:tr>
      <w:tr>
        <w:trPr>
          <w:trHeight w:val="222"/>
        </w:trPr>
        <w:tc>
          <w:tcPr>
            <w:tcW w:w="34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Carsten Brunn, Ph.D.</w:t>
            </w:r>
          </w:p>
        </w:tc>
      </w:tr>
      <w:tr>
        <w:trPr>
          <w:trHeight w:val="230"/>
        </w:trPr>
        <w:tc>
          <w:tcPr>
            <w:tcW w:w="3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00"/>
      </w:cols>
      <w:pgMar w:left="320" w:top="8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2021-06-21T15:38:31Z</dcterms:created>
  <dcterms:modified xsi:type="dcterms:W3CDTF">2021-06-21T15:38:31Z</dcterms:modified>
</cp:coreProperties>
</file>