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24130</wp:posOffset>
            </wp:positionH>
            <wp:positionV relativeFrom="paragraph">
              <wp:posOffset>-10795</wp:posOffset>
            </wp:positionV>
            <wp:extent cx="142240" cy="1924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9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60" w:hanging="256"/>
        <w:spacing w:after="0" w:line="183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5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5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5459730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17780</wp:posOffset>
            </wp:positionV>
            <wp:extent cx="7275830" cy="936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82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VTB Capital I2BF Netherlands, B.V.</w:t>
        </w:r>
      </w:hyperlink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PRESNENSKAYA EMB., BLOCK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45"/>
        <w:spacing w:after="0"/>
        <w:tabs>
          <w:tab w:leader="none" w:pos="1804" w:val="left"/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5"/>
        <w:spacing w:after="0"/>
        <w:tabs>
          <w:tab w:leader="none" w:pos="214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60" w:space="535"/>
            <w:col w:w="3465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MOSCOW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123317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hanging="3985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40" w:space="720"/>
            <w:col w:w="3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VTB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06/27/2016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178,890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178,890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I2BF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B.V.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06/27/2016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178,890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178,890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Selecta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RKFN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SRN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VTB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178,890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178,890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I2BF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8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Netherlands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B.V.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SRN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178,890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178,890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Selecta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Preferred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8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RKFN 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VTB Capital I2BF Netherlands, B.V.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 PRESNENSKAYA EMB., BLOCK C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MOSCOW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1Z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123317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21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Selecta RKFN, Ltd.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-4713605</wp:posOffset>
            </wp:positionV>
            <wp:extent cx="24130" cy="2456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5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VTB CAPITAL INVESTMENT MANAGEMENT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PRESNENSKAYA EMB., BLOCK C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6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MOSCOW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1Z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123317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2923540" cy="17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firstLine="5"/>
        <w:spacing w:after="0" w:line="257" w:lineRule="auto"/>
        <w:tabs>
          <w:tab w:leader="none" w:pos="13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preferred stock is convertible at any time, at the holder's election and has no expiration date. The preferred stock automatically converted into common stock on a 1-for-1 basis upon the closing of the Issuer's initial public offering.</w:t>
      </w:r>
    </w:p>
    <w:p>
      <w:pPr>
        <w:sectPr>
          <w:pgSz w:w="11900" w:h="16838" w:orient="portrait"/>
          <w:cols w:equalWidth="0" w:num="1">
            <w:col w:w="11240"/>
          </w:cols>
          <w:pgMar w:left="280" w:top="140" w:right="379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VTB Capital I2BF Netherlands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4445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B.V. By: /s/ David Siewers,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-13335</wp:posOffset>
            </wp:positionV>
            <wp:extent cx="1195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-13335</wp:posOffset>
            </wp:positionV>
            <wp:extent cx="6750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Selecta RKFN Ltd.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-9525</wp:posOffset>
            </wp:positionV>
            <wp:extent cx="11493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David Siewers,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4329430</wp:posOffset>
            </wp:positionH>
            <wp:positionV relativeFrom="paragraph">
              <wp:posOffset>635</wp:posOffset>
            </wp:positionV>
            <wp:extent cx="13658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49466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06/29/2016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49466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40"/>
            <w:col w:w="2140"/>
          </w:cols>
          <w:pgMar w:left="280" w:top="140" w:right="37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640" w:firstLine="5"/>
        <w:spacing w:after="0" w:line="315" w:lineRule="auto"/>
        <w:tabs>
          <w:tab w:leader="none" w:pos="13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40"/>
      </w:cols>
      <w:pgMar w:left="280" w:top="140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12" Type="http://schemas.openxmlformats.org/officeDocument/2006/relationships/hyperlink" Target="http://www.sec.gov/cgi-bin/browse-edgar?action=getcompany&amp;CIK=0001677574" TargetMode="External"/><Relationship Id="rId13" Type="http://schemas.openxmlformats.org/officeDocument/2006/relationships/hyperlink" Target="http://www.sec.gov/cgi-bin/browse-edgar?action=getcompany&amp;CIK=0001453687" TargetMode="External"/><Relationship Id="rId14" Type="http://schemas.openxmlformats.org/officeDocument/2006/relationships/hyperlink" Target="http://www.sec.gov/cgi-bin/browse-edgar?action=getcompany&amp;CIK=00016775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2019-12-08T18:38:56Z</dcterms:created>
  <dcterms:modified xsi:type="dcterms:W3CDTF">2019-12-08T18:38:56Z</dcterms:modified>
</cp:coreProperties>
</file>