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10-K/A</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ind w:left="380" w:hanging="334"/>
        <w:spacing w:after="0" w:line="181" w:lineRule="auto"/>
        <w:tabs>
          <w:tab w:leader="none" w:pos="380" w:val="left"/>
        </w:tabs>
        <w:numPr>
          <w:ilvl w:val="0"/>
          <w:numId w:val="1"/>
        </w:numPr>
        <w:rPr>
          <w:rFonts w:ascii="MS PGothic" w:cs="MS PGothic" w:eastAsia="MS PGothic" w:hAnsi="MS PGothic"/>
          <w:sz w:val="35"/>
          <w:szCs w:val="35"/>
          <w:color w:val="auto"/>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380" w:hanging="334"/>
        <w:spacing w:after="0"/>
        <w:tabs>
          <w:tab w:leader="none" w:pos="380" w:val="left"/>
        </w:tabs>
        <w:numPr>
          <w:ilvl w:val="0"/>
          <w:numId w:val="2"/>
        </w:numPr>
        <w:rPr>
          <w:rFonts w:ascii="MS PGothic" w:cs="MS PGothic" w:eastAsia="MS PGothic" w:hAnsi="MS PGothic"/>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4"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For the transition period from ____ to 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001-37798</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Selecta Biosciences,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84" w:lineRule="exact"/>
        <w:rPr>
          <w:sz w:val="24"/>
          <w:szCs w:val="24"/>
          <w:color w:val="auto"/>
        </w:rPr>
      </w:pPr>
    </w:p>
    <w:tbl>
      <w:tblPr>
        <w:tblLayout w:type="fixed"/>
        <w:tblInd w:w="2000" w:type="dxa"/>
        <w:tblCellMar>
          <w:top w:w="0" w:type="dxa"/>
          <w:left w:w="0" w:type="dxa"/>
          <w:bottom w:w="0" w:type="dxa"/>
          <w:right w:w="0" w:type="dxa"/>
        </w:tblCellMar>
      </w:tblPr>
      <w:tr>
        <w:trPr>
          <w:trHeight w:val="234"/>
        </w:trPr>
        <w:tc>
          <w:tcPr>
            <w:tcW w:w="3680" w:type="dxa"/>
            <w:vAlign w:val="bottom"/>
          </w:tcPr>
          <w:p>
            <w:pPr>
              <w:jc w:val="center"/>
              <w:ind w:right="710"/>
              <w:spacing w:after="0"/>
              <w:rPr>
                <w:sz w:val="20"/>
                <w:szCs w:val="20"/>
                <w:color w:val="auto"/>
              </w:rPr>
            </w:pPr>
            <w:r>
              <w:rPr>
                <w:rFonts w:ascii="Arial" w:cs="Arial" w:eastAsia="Arial" w:hAnsi="Arial"/>
                <w:sz w:val="18"/>
                <w:szCs w:val="18"/>
                <w:b w:val="1"/>
                <w:bCs w:val="1"/>
                <w:color w:val="auto"/>
                <w:w w:val="91"/>
              </w:rPr>
              <w:t>Delaware</w:t>
            </w:r>
          </w:p>
        </w:tc>
        <w:tc>
          <w:tcPr>
            <w:tcW w:w="3420" w:type="dxa"/>
            <w:vAlign w:val="bottom"/>
          </w:tcPr>
          <w:p>
            <w:pPr>
              <w:jc w:val="right"/>
              <w:ind w:right="790"/>
              <w:spacing w:after="0"/>
              <w:rPr>
                <w:sz w:val="20"/>
                <w:szCs w:val="20"/>
                <w:color w:val="auto"/>
              </w:rPr>
            </w:pPr>
            <w:r>
              <w:rPr>
                <w:rFonts w:ascii="Arial" w:cs="Arial" w:eastAsia="Arial" w:hAnsi="Arial"/>
                <w:sz w:val="18"/>
                <w:szCs w:val="18"/>
                <w:b w:val="1"/>
                <w:bCs w:val="1"/>
                <w:color w:val="auto"/>
              </w:rPr>
              <w:t>26-1622110</w:t>
            </w:r>
          </w:p>
        </w:tc>
      </w:tr>
      <w:tr>
        <w:trPr>
          <w:trHeight w:val="202"/>
        </w:trPr>
        <w:tc>
          <w:tcPr>
            <w:tcW w:w="3680" w:type="dxa"/>
            <w:vAlign w:val="bottom"/>
          </w:tcPr>
          <w:p>
            <w:pPr>
              <w:jc w:val="center"/>
              <w:ind w:right="710"/>
              <w:spacing w:after="0" w:line="201" w:lineRule="exact"/>
              <w:rPr>
                <w:sz w:val="20"/>
                <w:szCs w:val="20"/>
                <w:color w:val="auto"/>
              </w:rPr>
            </w:pPr>
            <w:r>
              <w:rPr>
                <w:rFonts w:ascii="Arial" w:cs="Arial" w:eastAsia="Arial" w:hAnsi="Arial"/>
                <w:sz w:val="18"/>
                <w:szCs w:val="18"/>
                <w:color w:val="auto"/>
                <w:w w:val="91"/>
              </w:rPr>
              <w:t>(State or other jurisdiction</w:t>
            </w:r>
          </w:p>
        </w:tc>
        <w:tc>
          <w:tcPr>
            <w:tcW w:w="3420" w:type="dxa"/>
            <w:vAlign w:val="bottom"/>
          </w:tcPr>
          <w:p>
            <w:pPr>
              <w:jc w:val="center"/>
              <w:ind w:left="71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680" w:type="dxa"/>
            <w:vAlign w:val="bottom"/>
          </w:tcPr>
          <w:p>
            <w:pPr>
              <w:jc w:val="center"/>
              <w:ind w:right="710"/>
              <w:spacing w:after="0"/>
              <w:rPr>
                <w:sz w:val="20"/>
                <w:szCs w:val="20"/>
                <w:color w:val="auto"/>
              </w:rPr>
            </w:pPr>
            <w:r>
              <w:rPr>
                <w:rFonts w:ascii="Arial" w:cs="Arial" w:eastAsia="Arial" w:hAnsi="Arial"/>
                <w:sz w:val="18"/>
                <w:szCs w:val="18"/>
                <w:color w:val="auto"/>
                <w:w w:val="92"/>
              </w:rPr>
              <w:t>of incorporation or organization)</w:t>
            </w:r>
          </w:p>
        </w:tc>
        <w:tc>
          <w:tcPr>
            <w:tcW w:w="3420" w:type="dxa"/>
            <w:vAlign w:val="bottom"/>
          </w:tcPr>
          <w:p>
            <w:pPr>
              <w:spacing w:after="0"/>
              <w:rPr>
                <w:sz w:val="20"/>
                <w:szCs w:val="20"/>
                <w:color w:val="auto"/>
              </w:rPr>
            </w:pPr>
          </w:p>
        </w:tc>
      </w:tr>
      <w:tr>
        <w:trPr>
          <w:trHeight w:val="257"/>
        </w:trPr>
        <w:tc>
          <w:tcPr>
            <w:tcW w:w="3680" w:type="dxa"/>
            <w:vAlign w:val="bottom"/>
          </w:tcPr>
          <w:p>
            <w:pPr>
              <w:jc w:val="center"/>
              <w:ind w:right="730"/>
              <w:spacing w:after="0"/>
              <w:rPr>
                <w:sz w:val="20"/>
                <w:szCs w:val="20"/>
                <w:color w:val="auto"/>
              </w:rPr>
            </w:pPr>
            <w:r>
              <w:rPr>
                <w:rFonts w:ascii="Arial" w:cs="Arial" w:eastAsia="Arial" w:hAnsi="Arial"/>
                <w:sz w:val="18"/>
                <w:szCs w:val="18"/>
                <w:b w:val="1"/>
                <w:bCs w:val="1"/>
                <w:color w:val="auto"/>
                <w:w w:val="93"/>
              </w:rPr>
              <w:t>65 Grove Street, Watertown, MA</w:t>
            </w:r>
          </w:p>
        </w:tc>
        <w:tc>
          <w:tcPr>
            <w:tcW w:w="3420" w:type="dxa"/>
            <w:vAlign w:val="bottom"/>
          </w:tcPr>
          <w:p>
            <w:pPr>
              <w:jc w:val="right"/>
              <w:ind w:right="990"/>
              <w:spacing w:after="0"/>
              <w:rPr>
                <w:sz w:val="20"/>
                <w:szCs w:val="20"/>
                <w:color w:val="auto"/>
              </w:rPr>
            </w:pPr>
            <w:r>
              <w:rPr>
                <w:rFonts w:ascii="Arial" w:cs="Arial" w:eastAsia="Arial" w:hAnsi="Arial"/>
                <w:sz w:val="18"/>
                <w:szCs w:val="18"/>
                <w:b w:val="1"/>
                <w:bCs w:val="1"/>
                <w:color w:val="auto"/>
              </w:rPr>
              <w:t>02472</w:t>
            </w:r>
          </w:p>
        </w:tc>
      </w:tr>
      <w:tr>
        <w:trPr>
          <w:trHeight w:val="243"/>
        </w:trPr>
        <w:tc>
          <w:tcPr>
            <w:tcW w:w="3680" w:type="dxa"/>
            <w:vAlign w:val="bottom"/>
          </w:tcPr>
          <w:p>
            <w:pPr>
              <w:jc w:val="center"/>
              <w:ind w:right="730"/>
              <w:spacing w:after="0"/>
              <w:rPr>
                <w:sz w:val="20"/>
                <w:szCs w:val="20"/>
                <w:color w:val="auto"/>
              </w:rPr>
            </w:pPr>
            <w:r>
              <w:rPr>
                <w:rFonts w:ascii="Arial" w:cs="Arial" w:eastAsia="Arial" w:hAnsi="Arial"/>
                <w:sz w:val="18"/>
                <w:szCs w:val="18"/>
                <w:color w:val="auto"/>
                <w:w w:val="92"/>
              </w:rPr>
              <w:t>(Address of principal executive offices)</w:t>
            </w:r>
          </w:p>
        </w:tc>
        <w:tc>
          <w:tcPr>
            <w:tcW w:w="3420" w:type="dxa"/>
            <w:vAlign w:val="bottom"/>
          </w:tcPr>
          <w:p>
            <w:pPr>
              <w:jc w:val="center"/>
              <w:ind w:left="710"/>
              <w:spacing w:after="0"/>
              <w:rPr>
                <w:sz w:val="20"/>
                <w:szCs w:val="20"/>
                <w:color w:val="auto"/>
              </w:rPr>
            </w:pPr>
            <w:r>
              <w:rPr>
                <w:rFonts w:ascii="Arial" w:cs="Arial" w:eastAsia="Arial" w:hAnsi="Arial"/>
                <w:sz w:val="18"/>
                <w:szCs w:val="18"/>
                <w:color w:val="auto"/>
                <w:w w:val="91"/>
              </w:rPr>
              <w:t>(Zip Code)</w:t>
            </w:r>
          </w:p>
        </w:tc>
      </w:tr>
    </w:tbl>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 w:lineRule="exact"/>
        <w:rPr>
          <w:sz w:val="24"/>
          <w:szCs w:val="24"/>
          <w:color w:val="auto"/>
        </w:rPr>
      </w:pPr>
    </w:p>
    <w:p>
      <w:pPr>
        <w:ind w:left="340" w:right="1360"/>
        <w:spacing w:after="0" w:line="22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ind w:right="40" w:firstLine="324"/>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o</w:t>
      </w:r>
    </w:p>
    <w:p>
      <w:pPr>
        <w:ind w:right="20" w:firstLine="324"/>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o</w:t>
      </w:r>
    </w:p>
    <w:p>
      <w:pPr>
        <w:ind w:right="180" w:firstLine="324"/>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80" w:type="dxa"/>
        <w:tblCellMar>
          <w:top w:w="0" w:type="dxa"/>
          <w:left w:w="0" w:type="dxa"/>
          <w:bottom w:w="0" w:type="dxa"/>
          <w:right w:w="0" w:type="dxa"/>
        </w:tblCellMar>
      </w:tblPr>
      <w:tr>
        <w:trPr>
          <w:trHeight w:val="202"/>
        </w:trPr>
        <w:tc>
          <w:tcPr>
            <w:tcW w:w="1480" w:type="dxa"/>
            <w:vAlign w:val="bottom"/>
          </w:tcPr>
          <w:p>
            <w:pPr>
              <w:jc w:val="right"/>
              <w:spacing w:after="0"/>
              <w:rPr>
                <w:sz w:val="20"/>
                <w:szCs w:val="20"/>
                <w:color w:val="auto"/>
              </w:rPr>
            </w:pPr>
            <w:r>
              <w:rPr>
                <w:rFonts w:ascii="Arial" w:cs="Arial" w:eastAsia="Arial" w:hAnsi="Arial"/>
                <w:sz w:val="16"/>
                <w:szCs w:val="16"/>
                <w:color w:val="auto"/>
                <w:w w:val="89"/>
              </w:rPr>
              <w:t>Large accelerated filer</w:t>
            </w:r>
          </w:p>
        </w:tc>
        <w:tc>
          <w:tcPr>
            <w:tcW w:w="1460" w:type="dxa"/>
            <w:vAlign w:val="bottom"/>
          </w:tcPr>
          <w:p>
            <w:pPr>
              <w:jc w:val="center"/>
              <w:ind w:right="1110"/>
              <w:spacing w:after="0" w:line="161" w:lineRule="exact"/>
              <w:rPr>
                <w:sz w:val="20"/>
                <w:szCs w:val="20"/>
                <w:color w:val="auto"/>
              </w:rPr>
            </w:pPr>
            <w:r>
              <w:rPr>
                <w:rFonts w:ascii="MS PGothic" w:cs="MS PGothic" w:eastAsia="MS PGothic" w:hAnsi="MS PGothic"/>
                <w:sz w:val="16"/>
                <w:szCs w:val="16"/>
                <w:color w:val="auto"/>
                <w:w w:val="87"/>
              </w:rPr>
              <w:t>☐</w:t>
            </w:r>
          </w:p>
        </w:tc>
        <w:tc>
          <w:tcPr>
            <w:tcW w:w="3080" w:type="dxa"/>
            <w:vAlign w:val="bottom"/>
          </w:tcPr>
          <w:p>
            <w:pPr>
              <w:jc w:val="right"/>
              <w:spacing w:after="0"/>
              <w:rPr>
                <w:sz w:val="20"/>
                <w:szCs w:val="20"/>
                <w:color w:val="auto"/>
              </w:rPr>
            </w:pPr>
            <w:r>
              <w:rPr>
                <w:rFonts w:ascii="Arial" w:cs="Arial" w:eastAsia="Arial" w:hAnsi="Arial"/>
                <w:sz w:val="16"/>
                <w:szCs w:val="16"/>
                <w:color w:val="auto"/>
              </w:rPr>
              <w:t>Accelerated filer</w:t>
            </w:r>
          </w:p>
        </w:tc>
        <w:tc>
          <w:tcPr>
            <w:tcW w:w="2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1480" w:type="dxa"/>
            <w:vAlign w:val="bottom"/>
          </w:tcPr>
          <w:p>
            <w:pPr>
              <w:jc w:val="right"/>
              <w:spacing w:after="0"/>
              <w:rPr>
                <w:sz w:val="20"/>
                <w:szCs w:val="20"/>
                <w:color w:val="auto"/>
              </w:rPr>
            </w:pPr>
            <w:r>
              <w:rPr>
                <w:rFonts w:ascii="Arial" w:cs="Arial" w:eastAsia="Arial" w:hAnsi="Arial"/>
                <w:sz w:val="16"/>
                <w:szCs w:val="16"/>
                <w:color w:val="auto"/>
                <w:w w:val="96"/>
              </w:rPr>
              <w:t>Non-accelerated filer</w:t>
            </w:r>
          </w:p>
        </w:tc>
        <w:tc>
          <w:tcPr>
            <w:tcW w:w="1460" w:type="dxa"/>
            <w:vAlign w:val="bottom"/>
          </w:tcPr>
          <w:p>
            <w:pPr>
              <w:jc w:val="center"/>
              <w:ind w:right="1110"/>
              <w:spacing w:after="0" w:line="201" w:lineRule="exact"/>
              <w:rPr>
                <w:sz w:val="20"/>
                <w:szCs w:val="20"/>
                <w:color w:val="auto"/>
              </w:rPr>
            </w:pPr>
            <w:r>
              <w:rPr>
                <w:rFonts w:ascii="MS PGothic" w:cs="MS PGothic" w:eastAsia="MS PGothic" w:hAnsi="MS PGothic"/>
                <w:sz w:val="20"/>
                <w:szCs w:val="20"/>
                <w:color w:val="auto"/>
                <w:w w:val="89"/>
              </w:rPr>
              <w:t>☒</w:t>
            </w:r>
          </w:p>
        </w:tc>
        <w:tc>
          <w:tcPr>
            <w:tcW w:w="3080" w:type="dxa"/>
            <w:vAlign w:val="bottom"/>
          </w:tcPr>
          <w:p>
            <w:pPr>
              <w:jc w:val="right"/>
              <w:spacing w:after="0"/>
              <w:rPr>
                <w:sz w:val="20"/>
                <w:szCs w:val="20"/>
                <w:color w:val="auto"/>
              </w:rPr>
            </w:pPr>
            <w:r>
              <w:rPr>
                <w:rFonts w:ascii="Arial" w:cs="Arial" w:eastAsia="Arial" w:hAnsi="Arial"/>
                <w:sz w:val="16"/>
                <w:szCs w:val="16"/>
                <w:color w:val="auto"/>
              </w:rPr>
              <w:t>Smaller reporting company</w:t>
            </w:r>
          </w:p>
        </w:tc>
        <w:tc>
          <w:tcPr>
            <w:tcW w:w="22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r>
      <w:tr>
        <w:trPr>
          <w:trHeight w:val="254"/>
        </w:trPr>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080" w:type="dxa"/>
            <w:vAlign w:val="bottom"/>
          </w:tcPr>
          <w:p>
            <w:pPr>
              <w:jc w:val="right"/>
              <w:spacing w:after="0"/>
              <w:rPr>
                <w:sz w:val="20"/>
                <w:szCs w:val="20"/>
                <w:color w:val="auto"/>
              </w:rPr>
            </w:pPr>
            <w:r>
              <w:rPr>
                <w:rFonts w:ascii="Arial" w:cs="Arial" w:eastAsia="Arial" w:hAnsi="Arial"/>
                <w:sz w:val="16"/>
                <w:szCs w:val="16"/>
                <w:color w:val="auto"/>
              </w:rPr>
              <w:t>Emerging growth company</w:t>
            </w:r>
          </w:p>
        </w:tc>
        <w:tc>
          <w:tcPr>
            <w:tcW w:w="2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8" w:lineRule="exact"/>
        <w:rPr>
          <w:sz w:val="24"/>
          <w:szCs w:val="24"/>
          <w:color w:val="auto"/>
        </w:rPr>
      </w:pPr>
    </w:p>
    <w:p>
      <w:pPr>
        <w:ind w:right="160" w:firstLine="324"/>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0" w:firstLine="324"/>
        <w:spacing w:after="0" w:line="246" w:lineRule="auto"/>
        <w:rPr>
          <w:sz w:val="20"/>
          <w:szCs w:val="20"/>
          <w:color w:val="auto"/>
        </w:rPr>
      </w:pPr>
      <w:r>
        <w:rPr>
          <w:rFonts w:ascii="Arial" w:cs="Arial" w:eastAsia="Arial" w:hAnsi="Arial"/>
          <w:sz w:val="18"/>
          <w:szCs w:val="18"/>
          <w:color w:val="auto"/>
        </w:rPr>
        <w:t>Indicate by check mark whether the registrant has filed a report on and attested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2" w:lineRule="exact"/>
        <w:rPr>
          <w:sz w:val="24"/>
          <w:szCs w:val="24"/>
          <w:color w:val="auto"/>
        </w:rPr>
      </w:pPr>
    </w:p>
    <w:p>
      <w:pPr>
        <w:ind w:left="340"/>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21" w:lineRule="exact"/>
        <w:rPr>
          <w:sz w:val="24"/>
          <w:szCs w:val="24"/>
          <w:color w:val="auto"/>
        </w:rPr>
      </w:pPr>
    </w:p>
    <w:p>
      <w:pPr>
        <w:jc w:val="center"/>
        <w:ind w:right="20"/>
        <w:spacing w:after="0" w:line="280" w:lineRule="auto"/>
        <w:rPr>
          <w:sz w:val="20"/>
          <w:szCs w:val="20"/>
          <w:color w:val="auto"/>
        </w:rPr>
      </w:pPr>
      <w:r>
        <w:rPr>
          <w:rFonts w:ascii="Arial" w:cs="Arial" w:eastAsia="Arial" w:hAnsi="Arial"/>
          <w:sz w:val="16"/>
          <w:szCs w:val="16"/>
          <w:color w:val="auto"/>
        </w:rPr>
        <w:t>The aggregate market value of common stock held by non-affiliates of the registrant based on the closing price of the registrant’s common stock as reported on the Nasdaq Stock Market on June 30, 2021, the last business day of the registrant’s most recently completed second quarter, was $366,839,496.</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22, 2022 the registrant had 151,809,416 shares of common stock, par value $0.0001 per share, outstanding.</w:t>
      </w:r>
    </w:p>
    <w:p>
      <w:pPr>
        <w:spacing w:after="0" w:line="305" w:lineRule="exact"/>
        <w:rPr>
          <w:sz w:val="24"/>
          <w:szCs w:val="24"/>
          <w:color w:val="auto"/>
        </w:rPr>
      </w:pPr>
    </w:p>
    <w:p>
      <w:pPr>
        <w:ind w:left="580"/>
        <w:spacing w:after="0"/>
        <w:tabs>
          <w:tab w:leader="none" w:pos="4100" w:val="left"/>
          <w:tab w:leader="none" w:pos="8460" w:val="left"/>
        </w:tabs>
        <w:rPr>
          <w:sz w:val="20"/>
          <w:szCs w:val="20"/>
          <w:color w:val="auto"/>
        </w:rPr>
      </w:pPr>
      <w:r>
        <w:rPr>
          <w:rFonts w:ascii="Arial" w:cs="Arial" w:eastAsia="Arial" w:hAnsi="Arial"/>
          <w:sz w:val="18"/>
          <w:szCs w:val="18"/>
          <w:color w:val="auto"/>
        </w:rPr>
        <w:t>Auditor Name: Ernst &amp; Young, LLP</w:t>
      </w:r>
      <w:r>
        <w:rPr>
          <w:sz w:val="20"/>
          <w:szCs w:val="20"/>
          <w:color w:val="auto"/>
        </w:rPr>
        <w:tab/>
      </w:r>
      <w:r>
        <w:rPr>
          <w:rFonts w:ascii="Arial" w:cs="Arial" w:eastAsia="Arial" w:hAnsi="Arial"/>
          <w:sz w:val="18"/>
          <w:szCs w:val="18"/>
          <w:color w:val="auto"/>
        </w:rPr>
        <w:t>Auditor Location: Boston, Massachusetts</w:t>
      </w:r>
      <w:r>
        <w:rPr>
          <w:sz w:val="20"/>
          <w:szCs w:val="20"/>
          <w:color w:val="auto"/>
        </w:rPr>
        <w:tab/>
      </w:r>
      <w:r>
        <w:rPr>
          <w:rFonts w:ascii="Arial" w:cs="Arial" w:eastAsia="Arial" w:hAnsi="Arial"/>
          <w:sz w:val="16"/>
          <w:szCs w:val="16"/>
          <w:color w:val="auto"/>
        </w:rPr>
        <w:t>PCAOB ID Number: 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23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This Amendment No. 1 on Form 10-K/A, or the Form 10-K/A, is being filed by Selecta Biosciences, Inc., or Selecta, in order to disclose information required by Items 10, 11, 12, 13 and 14 of Part III of Form 10-K, which information was omitted from Selecta’s Form 10-K for the fiscal year ended December 31, 2021, or the Original Form 10-K, in reliance on Instruction G to Form 10-K. The Original Form 10-K was filed with the Securities and Exchange Commission, or SEC, on March 10, 2022.</w:t>
      </w:r>
    </w:p>
    <w:p>
      <w:pPr>
        <w:spacing w:after="0" w:line="7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Selecta does not expect to file its definitive proxy statement for the 2022 annual stockholders’ meeting within 120 days of the end of its most recent fiscal year (as required under Instruction G to Form 10-K). Therefore, Selecta is filing this Form 10-K/A in order to include information that would have been contained in the definitive proxy statement into the Original Form 10-K. Selecta is also filing as exhibits to this Form 10-K/A new certifications with respect to this filing by its principal executive officer and principal financial officer pursuant to Section 302 of the Sarbanes-Oxley Act of 2002; accordingly, Item 15 of Part IV has also been amended to reflect the filing of these new exhibits. Because no financial statements are being filed in this Form 10-K/A, and this Form 10-K/A does not contain or amend any disclosure with respect to Items 307 and 308 of Regulation S-K, paragraphs 3, 4 and 5 of the certifications have been omitted. Selecta is also not filing new certifications required under Section 906 of the Sarbanes-Oxley Act of 2002, since no financial statements are being filed with this Form 10-K/A. Finally, Selecta is filing this Form 10-K/A to delete the reference on the cover of the Original Form 10-K to the incorporation by reference of portions of its definitive proxy statement into Part III of the Original Form 10-K.</w:t>
      </w:r>
    </w:p>
    <w:p>
      <w:pPr>
        <w:spacing w:after="0" w:line="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This Form 10-K/A is limited in scope to the items identified above and should be read in conjunction with the Original Form 10-K and Selecta’s other filings with the SEC. This Form 10-K/A does not reflect events occurring after the filing of the Original Form 10-K or modify or update those disclosures affected by subsequent events. Consequently, all other information is unchanged and reflects the disclosures made at the time of the filing of the Original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80" w:type="dxa"/>
            <w:vAlign w:val="bottom"/>
            <w:gridSpan w:val="10"/>
          </w:tcPr>
          <w:p>
            <w:pPr>
              <w:jc w:val="center"/>
              <w:ind w:right="1600"/>
              <w:spacing w:after="0"/>
              <w:rPr>
                <w:sz w:val="20"/>
                <w:szCs w:val="20"/>
                <w:color w:val="auto"/>
              </w:rPr>
            </w:pPr>
            <w:r>
              <w:rPr>
                <w:rFonts w:ascii="Arial" w:cs="Arial" w:eastAsia="Arial" w:hAnsi="Arial"/>
                <w:sz w:val="18"/>
                <w:szCs w:val="18"/>
                <w:b w:val="1"/>
                <w:bCs w:val="1"/>
                <w:color w:val="auto"/>
                <w:w w:val="99"/>
              </w:rPr>
              <w:t>FORM 10-K/A TABLE OF CONTENTS</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40" w:type="dxa"/>
            <w:vAlign w:val="bottom"/>
            <w:gridSpan w:val="7"/>
          </w:tcPr>
          <w:p>
            <w:pPr>
              <w:jc w:val="center"/>
              <w:ind w:right="3740"/>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III</w:t>
              </w:r>
            </w:hyperlink>
          </w:p>
        </w:tc>
        <w:tc>
          <w:tcPr>
            <w:tcW w:w="1580" w:type="dxa"/>
            <w:vAlign w:val="bottom"/>
            <w:gridSpan w:val="4"/>
            <w:vMerge w:val="restart"/>
          </w:tcPr>
          <w:p>
            <w:pPr>
              <w:ind w:left="9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49"/>
        </w:trPr>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9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600" w:type="dxa"/>
            <w:vAlign w:val="bottom"/>
            <w:tcBorders>
              <w:bottom w:val="single" w:sz="8" w:color="0000FF"/>
            </w:tcBorders>
          </w:tcPr>
          <w:p>
            <w:pPr>
              <w:spacing w:after="0" w:line="190"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Item 10.</w:t>
              </w:r>
            </w:hyperlink>
          </w:p>
        </w:tc>
        <w:tc>
          <w:tcPr>
            <w:tcW w:w="540" w:type="dxa"/>
            <w:vAlign w:val="bottom"/>
          </w:tcPr>
          <w:p>
            <w:pPr>
              <w:spacing w:after="0"/>
              <w:rPr>
                <w:sz w:val="16"/>
                <w:szCs w:val="16"/>
                <w:color w:val="auto"/>
              </w:rPr>
            </w:pPr>
          </w:p>
        </w:tc>
        <w:tc>
          <w:tcPr>
            <w:tcW w:w="4100" w:type="dxa"/>
            <w:vAlign w:val="bottom"/>
            <w:tcBorders>
              <w:bottom w:val="single" w:sz="8" w:color="0000FF"/>
            </w:tcBorders>
            <w:gridSpan w:val="7"/>
          </w:tcPr>
          <w:p>
            <w:pPr>
              <w:spacing w:after="0" w:line="190"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Directors, Executive Officers and Corporate Governance</w:t>
              </w:r>
            </w:hyperlink>
          </w:p>
        </w:tc>
        <w:tc>
          <w:tcPr>
            <w:tcW w:w="4180" w:type="dxa"/>
            <w:vAlign w:val="bottom"/>
            <w:gridSpan w:val="5"/>
          </w:tcPr>
          <w:p>
            <w:pPr>
              <w:spacing w:after="0"/>
              <w:rPr>
                <w:sz w:val="16"/>
                <w:szCs w:val="16"/>
                <w:color w:val="auto"/>
              </w:rPr>
            </w:pPr>
          </w:p>
        </w:tc>
        <w:tc>
          <w:tcPr>
            <w:tcW w:w="124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line="190"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tcPr>
          <w:p>
            <w:pPr>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Item 11.</w:t>
              </w:r>
            </w:hyperlink>
          </w:p>
        </w:tc>
        <w:tc>
          <w:tcPr>
            <w:tcW w:w="540" w:type="dxa"/>
            <w:vAlign w:val="bottom"/>
          </w:tcPr>
          <w:p>
            <w:pPr>
              <w:spacing w:after="0"/>
              <w:rPr>
                <w:sz w:val="18"/>
                <w:szCs w:val="18"/>
                <w:color w:val="auto"/>
              </w:rPr>
            </w:pPr>
          </w:p>
        </w:tc>
        <w:tc>
          <w:tcPr>
            <w:tcW w:w="8280" w:type="dxa"/>
            <w:vAlign w:val="bottom"/>
            <w:gridSpan w:val="12"/>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Executive Compensation</w:t>
              </w:r>
            </w:hyperlink>
          </w:p>
        </w:tc>
        <w:tc>
          <w:tcPr>
            <w:tcW w:w="1580" w:type="dxa"/>
            <w:vAlign w:val="bottom"/>
            <w:gridSpan w:val="4"/>
          </w:tcPr>
          <w:p>
            <w:pPr>
              <w:jc w:val="right"/>
              <w:ind w:right="240"/>
              <w:spacing w:after="0"/>
              <w:rPr>
                <w:rFonts w:ascii="Arial" w:cs="Arial" w:eastAsia="Arial" w:hAnsi="Arial"/>
                <w:sz w:val="18"/>
                <w:szCs w:val="18"/>
                <w:color w:val="0000FF"/>
              </w:rPr>
            </w:pPr>
            <w:hyperlink w:anchor="page14">
              <w:r>
                <w:rPr>
                  <w:rFonts w:ascii="Arial" w:cs="Arial" w:eastAsia="Arial" w:hAnsi="Arial"/>
                  <w:sz w:val="18"/>
                  <w:szCs w:val="18"/>
                  <w:color w:val="0000FF"/>
                </w:rPr>
                <w:t>15</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Item 12.</w:t>
              </w:r>
            </w:hyperlink>
          </w:p>
        </w:tc>
        <w:tc>
          <w:tcPr>
            <w:tcW w:w="540" w:type="dxa"/>
            <w:vAlign w:val="bottom"/>
          </w:tcPr>
          <w:p>
            <w:pPr>
              <w:spacing w:after="0"/>
              <w:rPr>
                <w:sz w:val="18"/>
                <w:szCs w:val="18"/>
                <w:color w:val="auto"/>
              </w:rPr>
            </w:pPr>
          </w:p>
        </w:tc>
        <w:tc>
          <w:tcPr>
            <w:tcW w:w="7300" w:type="dxa"/>
            <w:vAlign w:val="bottom"/>
            <w:gridSpan w:val="11"/>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Security Ownership of Certain Beneficial Owners and Management and Related Stockholder Matters</w:t>
              </w:r>
            </w:hyperlink>
          </w:p>
        </w:tc>
        <w:tc>
          <w:tcPr>
            <w:tcW w:w="980" w:type="dxa"/>
            <w:vAlign w:val="bottom"/>
          </w:tcPr>
          <w:p>
            <w:pPr>
              <w:spacing w:after="0"/>
              <w:rPr>
                <w:sz w:val="18"/>
                <w:szCs w:val="18"/>
                <w:color w:val="auto"/>
              </w:rPr>
            </w:pPr>
          </w:p>
        </w:tc>
        <w:tc>
          <w:tcPr>
            <w:tcW w:w="1580" w:type="dxa"/>
            <w:vAlign w:val="bottom"/>
            <w:gridSpan w:val="4"/>
          </w:tcPr>
          <w:p>
            <w:pPr>
              <w:jc w:val="right"/>
              <w:ind w:right="240"/>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Item 13.</w:t>
              </w:r>
            </w:hyperlink>
          </w:p>
        </w:tc>
        <w:tc>
          <w:tcPr>
            <w:tcW w:w="540" w:type="dxa"/>
            <w:vAlign w:val="bottom"/>
          </w:tcPr>
          <w:p>
            <w:pPr>
              <w:spacing w:after="0"/>
              <w:rPr>
                <w:sz w:val="18"/>
                <w:szCs w:val="18"/>
                <w:color w:val="auto"/>
              </w:rPr>
            </w:pPr>
          </w:p>
        </w:tc>
        <w:tc>
          <w:tcPr>
            <w:tcW w:w="5460" w:type="dxa"/>
            <w:vAlign w:val="bottom"/>
            <w:gridSpan w:val="10"/>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Certain Relationships and Related Transactions, and Director Independence</w:t>
              </w:r>
            </w:hyperlink>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gridSpan w:val="4"/>
          </w:tcPr>
          <w:p>
            <w:pPr>
              <w:jc w:val="right"/>
              <w:ind w:right="240"/>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Item 14.</w:t>
              </w:r>
            </w:hyperlink>
          </w:p>
        </w:tc>
        <w:tc>
          <w:tcPr>
            <w:tcW w:w="540" w:type="dxa"/>
            <w:vAlign w:val="bottom"/>
          </w:tcPr>
          <w:p>
            <w:pPr>
              <w:spacing w:after="0"/>
              <w:rPr>
                <w:sz w:val="18"/>
                <w:szCs w:val="18"/>
                <w:color w:val="auto"/>
              </w:rPr>
            </w:pPr>
          </w:p>
        </w:tc>
        <w:tc>
          <w:tcPr>
            <w:tcW w:w="5460" w:type="dxa"/>
            <w:vAlign w:val="bottom"/>
            <w:gridSpan w:val="1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Principal Accountant Fees and Services</w:t>
              </w:r>
            </w:hyperlink>
          </w:p>
        </w:tc>
        <w:tc>
          <w:tcPr>
            <w:tcW w:w="2820" w:type="dxa"/>
            <w:vAlign w:val="bottom"/>
            <w:gridSpan w:val="2"/>
          </w:tcPr>
          <w:p>
            <w:pPr>
              <w:spacing w:after="0"/>
              <w:rPr>
                <w:sz w:val="18"/>
                <w:szCs w:val="18"/>
                <w:color w:val="auto"/>
              </w:rPr>
            </w:pPr>
          </w:p>
        </w:tc>
        <w:tc>
          <w:tcPr>
            <w:tcW w:w="1580" w:type="dxa"/>
            <w:vAlign w:val="bottom"/>
            <w:gridSpan w:val="4"/>
          </w:tcPr>
          <w:p>
            <w:pPr>
              <w:jc w:val="right"/>
              <w:ind w:right="240"/>
              <w:spacing w:after="0"/>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40" w:type="dxa"/>
            <w:vAlign w:val="bottom"/>
            <w:gridSpan w:val="7"/>
          </w:tcPr>
          <w:p>
            <w:pPr>
              <w:jc w:val="center"/>
              <w:ind w:right="3720"/>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Part IV</w:t>
              </w:r>
            </w:hyperlink>
          </w:p>
        </w:tc>
        <w:tc>
          <w:tcPr>
            <w:tcW w:w="1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600" w:type="dxa"/>
            <w:vAlign w:val="bottom"/>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Item 15.</w:t>
              </w:r>
            </w:hyperlink>
          </w:p>
        </w:tc>
        <w:tc>
          <w:tcPr>
            <w:tcW w:w="540" w:type="dxa"/>
            <w:vAlign w:val="bottom"/>
          </w:tcPr>
          <w:p>
            <w:pPr>
              <w:spacing w:after="0"/>
              <w:rPr>
                <w:sz w:val="24"/>
                <w:szCs w:val="24"/>
                <w:color w:val="auto"/>
              </w:rPr>
            </w:pPr>
          </w:p>
        </w:tc>
        <w:tc>
          <w:tcPr>
            <w:tcW w:w="3960" w:type="dxa"/>
            <w:vAlign w:val="bottom"/>
            <w:gridSpan w:val="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Exhibits and Financial Statement Schedules</w:t>
              </w:r>
            </w:hyperlink>
          </w:p>
        </w:tc>
        <w:tc>
          <w:tcPr>
            <w:tcW w:w="580" w:type="dxa"/>
            <w:vAlign w:val="bottom"/>
            <w:tcBorders>
              <w:top w:val="single" w:sz="8" w:color="0000FF"/>
            </w:tcBorders>
            <w:gridSpan w:val="2"/>
          </w:tcPr>
          <w:p>
            <w:pPr>
              <w:spacing w:after="0"/>
              <w:rPr>
                <w:sz w:val="24"/>
                <w:szCs w:val="24"/>
                <w:color w:val="auto"/>
              </w:rPr>
            </w:pPr>
          </w:p>
        </w:tc>
        <w:tc>
          <w:tcPr>
            <w:tcW w:w="3740" w:type="dxa"/>
            <w:vAlign w:val="bottom"/>
            <w:gridSpan w:val="4"/>
          </w:tcPr>
          <w:p>
            <w:pPr>
              <w:spacing w:after="0"/>
              <w:rPr>
                <w:sz w:val="24"/>
                <w:szCs w:val="24"/>
                <w:color w:val="auto"/>
              </w:rPr>
            </w:pPr>
          </w:p>
        </w:tc>
        <w:tc>
          <w:tcPr>
            <w:tcW w:w="1580" w:type="dxa"/>
            <w:vAlign w:val="bottom"/>
            <w:gridSpan w:val="4"/>
          </w:tcPr>
          <w:p>
            <w:pPr>
              <w:jc w:val="right"/>
              <w:ind w:right="240"/>
              <w:spacing w:after="0"/>
              <w:rPr>
                <w:rFonts w:ascii="Arial" w:cs="Arial" w:eastAsia="Arial" w:hAnsi="Arial"/>
                <w:sz w:val="18"/>
                <w:szCs w:val="18"/>
                <w:color w:val="0000FF"/>
              </w:rPr>
            </w:pPr>
            <w:hyperlink w:anchor="page42">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60" w:type="dxa"/>
            <w:vAlign w:val="bottom"/>
            <w:gridSpan w:val="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Signatures</w:t>
              </w:r>
            </w:hyperlink>
          </w:p>
        </w:tc>
        <w:tc>
          <w:tcPr>
            <w:tcW w:w="5120" w:type="dxa"/>
            <w:vAlign w:val="bottom"/>
            <w:gridSpan w:val="8"/>
          </w:tcPr>
          <w:p>
            <w:pPr>
              <w:spacing w:after="0"/>
              <w:rPr>
                <w:sz w:val="18"/>
                <w:szCs w:val="18"/>
                <w:color w:val="auto"/>
              </w:rPr>
            </w:pPr>
          </w:p>
        </w:tc>
        <w:tc>
          <w:tcPr>
            <w:tcW w:w="1580" w:type="dxa"/>
            <w:vAlign w:val="bottom"/>
            <w:gridSpan w:val="4"/>
          </w:tcPr>
          <w:p>
            <w:pPr>
              <w:jc w:val="right"/>
              <w:ind w:right="240"/>
              <w:spacing w:after="0"/>
              <w:rPr>
                <w:rFonts w:ascii="Arial" w:cs="Arial" w:eastAsia="Arial" w:hAnsi="Arial"/>
                <w:sz w:val="18"/>
                <w:szCs w:val="18"/>
                <w:color w:val="0000FF"/>
              </w:rPr>
            </w:pPr>
            <w:hyperlink w:anchor="page43">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892"/>
        </w:trPr>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members of the Board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2400" w:type="dxa"/>
            <w:vAlign w:val="bottom"/>
            <w:vMerge w:val="restart"/>
            <w:shd w:val="clear" w:color="auto" w:fill="CCEEFF"/>
          </w:tcPr>
          <w:p>
            <w:pPr>
              <w:jc w:val="center"/>
              <w:ind w:left="1328"/>
              <w:spacing w:after="0"/>
              <w:rPr>
                <w:sz w:val="20"/>
                <w:szCs w:val="20"/>
                <w:color w:val="auto"/>
              </w:rPr>
            </w:pPr>
            <w:r>
              <w:rPr>
                <w:rFonts w:ascii="Arial" w:cs="Arial" w:eastAsia="Arial" w:hAnsi="Arial"/>
                <w:sz w:val="14"/>
                <w:szCs w:val="14"/>
                <w:b w:val="1"/>
                <w:bCs w:val="1"/>
                <w:color w:val="auto"/>
                <w:w w:val="90"/>
              </w:rPr>
              <w:t>Age</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7"/>
              </w:rPr>
              <w:t>Served as</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Position(s)</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Classification</w:t>
            </w:r>
          </w:p>
        </w:tc>
        <w:tc>
          <w:tcPr>
            <w:tcW w:w="0" w:type="dxa"/>
            <w:vAlign w:val="bottom"/>
          </w:tcPr>
          <w:p>
            <w:pPr>
              <w:spacing w:after="0"/>
              <w:rPr>
                <w:sz w:val="1"/>
                <w:szCs w:val="1"/>
                <w:color w:val="auto"/>
              </w:rPr>
            </w:pPr>
          </w:p>
        </w:tc>
      </w:tr>
      <w:tr>
        <w:trPr>
          <w:trHeight w:val="189"/>
        </w:trPr>
        <w:tc>
          <w:tcPr>
            <w:tcW w:w="3620" w:type="dxa"/>
            <w:vAlign w:val="bottom"/>
            <w:vMerge w:val="continue"/>
            <w:shd w:val="clear" w:color="auto" w:fill="CCEEFF"/>
          </w:tcPr>
          <w:p>
            <w:pPr>
              <w:spacing w:after="0"/>
              <w:rPr>
                <w:sz w:val="16"/>
                <w:szCs w:val="16"/>
                <w:color w:val="auto"/>
              </w:rPr>
            </w:pPr>
          </w:p>
        </w:tc>
        <w:tc>
          <w:tcPr>
            <w:tcW w:w="2400" w:type="dxa"/>
            <w:vAlign w:val="bottom"/>
            <w:vMerge w:val="continue"/>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a Director Since</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with Selecta</w:t>
            </w:r>
          </w:p>
        </w:tc>
        <w:tc>
          <w:tcPr>
            <w:tcW w:w="1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20" w:type="dxa"/>
            <w:vAlign w:val="bottom"/>
          </w:tcPr>
          <w:p>
            <w:pPr>
              <w:ind w:left="20"/>
              <w:spacing w:after="0" w:line="135" w:lineRule="exact"/>
              <w:rPr>
                <w:sz w:val="20"/>
                <w:szCs w:val="20"/>
                <w:color w:val="auto"/>
              </w:rPr>
            </w:pPr>
            <w:r>
              <w:rPr>
                <w:rFonts w:ascii="Arial" w:cs="Arial" w:eastAsia="Arial" w:hAnsi="Arial"/>
                <w:sz w:val="14"/>
                <w:szCs w:val="14"/>
                <w:color w:val="auto"/>
              </w:rPr>
              <w:t>Carsten Brunn, Ph.D.</w:t>
            </w:r>
          </w:p>
        </w:tc>
        <w:tc>
          <w:tcPr>
            <w:tcW w:w="2400" w:type="dxa"/>
            <w:vAlign w:val="bottom"/>
          </w:tcPr>
          <w:p>
            <w:pPr>
              <w:jc w:val="center"/>
              <w:ind w:left="1348"/>
              <w:spacing w:after="0" w:line="135" w:lineRule="exact"/>
              <w:rPr>
                <w:sz w:val="20"/>
                <w:szCs w:val="20"/>
                <w:color w:val="auto"/>
              </w:rPr>
            </w:pPr>
            <w:r>
              <w:rPr>
                <w:rFonts w:ascii="Arial" w:cs="Arial" w:eastAsia="Arial" w:hAnsi="Arial"/>
                <w:sz w:val="14"/>
                <w:szCs w:val="14"/>
                <w:color w:val="auto"/>
                <w:w w:val="89"/>
              </w:rPr>
              <w:t>51</w:t>
            </w:r>
          </w:p>
        </w:tc>
        <w:tc>
          <w:tcPr>
            <w:tcW w:w="1720" w:type="dxa"/>
            <w:vAlign w:val="bottom"/>
          </w:tcPr>
          <w:p>
            <w:pPr>
              <w:jc w:val="center"/>
              <w:spacing w:after="0" w:line="135" w:lineRule="exact"/>
              <w:rPr>
                <w:sz w:val="20"/>
                <w:szCs w:val="20"/>
                <w:color w:val="auto"/>
              </w:rPr>
            </w:pPr>
            <w:r>
              <w:rPr>
                <w:rFonts w:ascii="Arial" w:cs="Arial" w:eastAsia="Arial" w:hAnsi="Arial"/>
                <w:sz w:val="14"/>
                <w:szCs w:val="14"/>
                <w:color w:val="auto"/>
                <w:w w:val="96"/>
              </w:rPr>
              <w:t>2018</w:t>
            </w:r>
          </w:p>
        </w:tc>
        <w:tc>
          <w:tcPr>
            <w:tcW w:w="1880" w:type="dxa"/>
            <w:vAlign w:val="bottom"/>
          </w:tcPr>
          <w:p>
            <w:pPr>
              <w:jc w:val="center"/>
              <w:spacing w:after="0" w:line="135" w:lineRule="exact"/>
              <w:rPr>
                <w:sz w:val="20"/>
                <w:szCs w:val="20"/>
                <w:color w:val="auto"/>
              </w:rPr>
            </w:pPr>
            <w:r>
              <w:rPr>
                <w:rFonts w:ascii="Arial" w:cs="Arial" w:eastAsia="Arial" w:hAnsi="Arial"/>
                <w:sz w:val="14"/>
                <w:szCs w:val="14"/>
                <w:color w:val="auto"/>
                <w:w w:val="91"/>
              </w:rPr>
              <w:t>President and Chief</w:t>
            </w:r>
          </w:p>
        </w:tc>
        <w:tc>
          <w:tcPr>
            <w:tcW w:w="1620" w:type="dxa"/>
            <w:vAlign w:val="bottom"/>
          </w:tcPr>
          <w:p>
            <w:pPr>
              <w:jc w:val="center"/>
              <w:spacing w:after="0" w:line="135" w:lineRule="exact"/>
              <w:rPr>
                <w:sz w:val="20"/>
                <w:szCs w:val="20"/>
                <w:color w:val="auto"/>
              </w:rPr>
            </w:pPr>
            <w:r>
              <w:rPr>
                <w:rFonts w:ascii="Arial" w:cs="Arial" w:eastAsia="Arial" w:hAnsi="Arial"/>
                <w:sz w:val="14"/>
                <w:szCs w:val="14"/>
                <w:color w:val="auto"/>
                <w:w w:val="98"/>
              </w:rPr>
              <w:t>Class III</w:t>
            </w:r>
          </w:p>
        </w:tc>
        <w:tc>
          <w:tcPr>
            <w:tcW w:w="0" w:type="dxa"/>
            <w:vAlign w:val="bottom"/>
          </w:tcPr>
          <w:p>
            <w:pPr>
              <w:spacing w:after="0"/>
              <w:rPr>
                <w:sz w:val="1"/>
                <w:szCs w:val="1"/>
                <w:color w:val="auto"/>
              </w:rPr>
            </w:pPr>
          </w:p>
        </w:tc>
      </w:tr>
      <w:tr>
        <w:trPr>
          <w:trHeight w:val="186"/>
        </w:trPr>
        <w:tc>
          <w:tcPr>
            <w:tcW w:w="3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8"/>
              </w:rPr>
              <w:t>Executive Officer</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Carrie S. Cox</w:t>
            </w:r>
          </w:p>
        </w:tc>
        <w:tc>
          <w:tcPr>
            <w:tcW w:w="2400" w:type="dxa"/>
            <w:vAlign w:val="bottom"/>
            <w:shd w:val="clear" w:color="auto" w:fill="CCEEFF"/>
          </w:tcPr>
          <w:p>
            <w:pPr>
              <w:jc w:val="center"/>
              <w:ind w:left="1348"/>
              <w:spacing w:after="0" w:line="139" w:lineRule="exact"/>
              <w:rPr>
                <w:sz w:val="20"/>
                <w:szCs w:val="20"/>
                <w:color w:val="auto"/>
              </w:rPr>
            </w:pPr>
            <w:r>
              <w:rPr>
                <w:rFonts w:ascii="Arial" w:cs="Arial" w:eastAsia="Arial" w:hAnsi="Arial"/>
                <w:sz w:val="14"/>
                <w:szCs w:val="14"/>
                <w:color w:val="auto"/>
                <w:w w:val="89"/>
              </w:rPr>
              <w:t>64</w:t>
            </w:r>
          </w:p>
        </w:tc>
        <w:tc>
          <w:tcPr>
            <w:tcW w:w="17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2019</w:t>
            </w:r>
          </w:p>
        </w:tc>
        <w:tc>
          <w:tcPr>
            <w:tcW w:w="18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Chairman</w:t>
            </w:r>
          </w:p>
        </w:tc>
        <w:tc>
          <w:tcPr>
            <w:tcW w:w="16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8"/>
              </w:rPr>
              <w:t>Class II</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of the Board</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Göran Ando, M.D.</w:t>
            </w:r>
          </w:p>
        </w:tc>
        <w:tc>
          <w:tcPr>
            <w:tcW w:w="2400" w:type="dxa"/>
            <w:vAlign w:val="bottom"/>
          </w:tcPr>
          <w:p>
            <w:pPr>
              <w:jc w:val="center"/>
              <w:ind w:left="1348"/>
              <w:spacing w:after="0"/>
              <w:rPr>
                <w:sz w:val="20"/>
                <w:szCs w:val="20"/>
                <w:color w:val="auto"/>
              </w:rPr>
            </w:pPr>
            <w:r>
              <w:rPr>
                <w:rFonts w:ascii="Arial" w:cs="Arial" w:eastAsia="Arial" w:hAnsi="Arial"/>
                <w:sz w:val="14"/>
                <w:szCs w:val="14"/>
                <w:color w:val="auto"/>
                <w:w w:val="89"/>
              </w:rPr>
              <w:t>73</w:t>
            </w: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188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620" w:type="dxa"/>
            <w:vAlign w:val="bottom"/>
          </w:tcPr>
          <w:p>
            <w:pPr>
              <w:jc w:val="center"/>
              <w:spacing w:after="0"/>
              <w:rPr>
                <w:sz w:val="20"/>
                <w:szCs w:val="20"/>
                <w:color w:val="auto"/>
              </w:rPr>
            </w:pPr>
            <w:r>
              <w:rPr>
                <w:rFonts w:ascii="Arial" w:cs="Arial" w:eastAsia="Arial" w:hAnsi="Arial"/>
                <w:sz w:val="14"/>
                <w:szCs w:val="14"/>
                <w:color w:val="auto"/>
                <w:w w:val="98"/>
              </w:rPr>
              <w:t>Class II</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Timothy C. Barabe</w:t>
            </w:r>
          </w:p>
        </w:tc>
        <w:tc>
          <w:tcPr>
            <w:tcW w:w="2400" w:type="dxa"/>
            <w:vAlign w:val="bottom"/>
            <w:shd w:val="clear" w:color="auto" w:fill="CCEEFF"/>
          </w:tcPr>
          <w:p>
            <w:pPr>
              <w:jc w:val="center"/>
              <w:ind w:left="1348"/>
              <w:spacing w:after="0"/>
              <w:rPr>
                <w:sz w:val="20"/>
                <w:szCs w:val="20"/>
                <w:color w:val="auto"/>
              </w:rPr>
            </w:pPr>
            <w:r>
              <w:rPr>
                <w:rFonts w:ascii="Arial" w:cs="Arial" w:eastAsia="Arial" w:hAnsi="Arial"/>
                <w:sz w:val="14"/>
                <w:szCs w:val="14"/>
                <w:color w:val="auto"/>
                <w:w w:val="89"/>
              </w:rPr>
              <w:t>69</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Director</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Class III</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Scott D. Myers</w:t>
            </w:r>
          </w:p>
        </w:tc>
        <w:tc>
          <w:tcPr>
            <w:tcW w:w="2400" w:type="dxa"/>
            <w:vAlign w:val="bottom"/>
          </w:tcPr>
          <w:p>
            <w:pPr>
              <w:jc w:val="center"/>
              <w:ind w:left="1348"/>
              <w:spacing w:after="0"/>
              <w:rPr>
                <w:sz w:val="20"/>
                <w:szCs w:val="20"/>
                <w:color w:val="auto"/>
              </w:rPr>
            </w:pPr>
            <w:r>
              <w:rPr>
                <w:rFonts w:ascii="Arial" w:cs="Arial" w:eastAsia="Arial" w:hAnsi="Arial"/>
                <w:sz w:val="14"/>
                <w:szCs w:val="14"/>
                <w:color w:val="auto"/>
                <w:w w:val="89"/>
              </w:rPr>
              <w:t>56</w:t>
            </w: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188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620" w:type="dxa"/>
            <w:vAlign w:val="bottom"/>
          </w:tcPr>
          <w:p>
            <w:pPr>
              <w:jc w:val="center"/>
              <w:spacing w:after="0"/>
              <w:rPr>
                <w:sz w:val="20"/>
                <w:szCs w:val="20"/>
                <w:color w:val="auto"/>
              </w:rPr>
            </w:pPr>
            <w:r>
              <w:rPr>
                <w:rFonts w:ascii="Arial" w:cs="Arial" w:eastAsia="Arial" w:hAnsi="Arial"/>
                <w:sz w:val="14"/>
                <w:szCs w:val="14"/>
                <w:color w:val="auto"/>
                <w:w w:val="88"/>
              </w:rPr>
              <w:t>Class I</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Aymeric Sallin</w:t>
            </w:r>
          </w:p>
        </w:tc>
        <w:tc>
          <w:tcPr>
            <w:tcW w:w="2400" w:type="dxa"/>
            <w:vAlign w:val="bottom"/>
            <w:shd w:val="clear" w:color="auto" w:fill="CCEEFF"/>
          </w:tcPr>
          <w:p>
            <w:pPr>
              <w:jc w:val="center"/>
              <w:ind w:left="1348"/>
              <w:spacing w:after="0"/>
              <w:rPr>
                <w:sz w:val="20"/>
                <w:szCs w:val="20"/>
                <w:color w:val="auto"/>
              </w:rPr>
            </w:pPr>
            <w:r>
              <w:rPr>
                <w:rFonts w:ascii="Arial" w:cs="Arial" w:eastAsia="Arial" w:hAnsi="Arial"/>
                <w:sz w:val="14"/>
                <w:szCs w:val="14"/>
                <w:color w:val="auto"/>
                <w:w w:val="89"/>
              </w:rPr>
              <w:t>48</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2008</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Director</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Class II</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Nishan de Silva, M.D., M.B.A.</w:t>
            </w:r>
          </w:p>
        </w:tc>
        <w:tc>
          <w:tcPr>
            <w:tcW w:w="2400" w:type="dxa"/>
            <w:vAlign w:val="bottom"/>
          </w:tcPr>
          <w:p>
            <w:pPr>
              <w:jc w:val="center"/>
              <w:ind w:left="1348"/>
              <w:spacing w:after="0"/>
              <w:rPr>
                <w:sz w:val="20"/>
                <w:szCs w:val="20"/>
                <w:color w:val="auto"/>
              </w:rPr>
            </w:pPr>
            <w:r>
              <w:rPr>
                <w:rFonts w:ascii="Arial" w:cs="Arial" w:eastAsia="Arial" w:hAnsi="Arial"/>
                <w:sz w:val="14"/>
                <w:szCs w:val="14"/>
                <w:color w:val="auto"/>
                <w:w w:val="89"/>
              </w:rPr>
              <w:t>49</w:t>
            </w: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2021</w:t>
            </w:r>
          </w:p>
        </w:tc>
        <w:tc>
          <w:tcPr>
            <w:tcW w:w="188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620" w:type="dxa"/>
            <w:vAlign w:val="bottom"/>
          </w:tcPr>
          <w:p>
            <w:pPr>
              <w:jc w:val="center"/>
              <w:spacing w:after="0"/>
              <w:rPr>
                <w:sz w:val="20"/>
                <w:szCs w:val="20"/>
                <w:color w:val="auto"/>
              </w:rPr>
            </w:pPr>
            <w:r>
              <w:rPr>
                <w:rFonts w:ascii="Arial" w:cs="Arial" w:eastAsia="Arial" w:hAnsi="Arial"/>
                <w:sz w:val="14"/>
                <w:szCs w:val="14"/>
                <w:color w:val="auto"/>
                <w:w w:val="98"/>
              </w:rPr>
              <w:t>Class III</w:t>
            </w: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Timothy A. Springer, Ph.D.</w:t>
            </w:r>
          </w:p>
        </w:tc>
        <w:tc>
          <w:tcPr>
            <w:tcW w:w="2400" w:type="dxa"/>
            <w:vAlign w:val="bottom"/>
            <w:shd w:val="clear" w:color="auto" w:fill="CCEEFF"/>
          </w:tcPr>
          <w:p>
            <w:pPr>
              <w:jc w:val="center"/>
              <w:ind w:left="1348"/>
              <w:spacing w:after="0"/>
              <w:rPr>
                <w:sz w:val="20"/>
                <w:szCs w:val="20"/>
                <w:color w:val="auto"/>
              </w:rPr>
            </w:pPr>
            <w:r>
              <w:rPr>
                <w:rFonts w:ascii="Arial" w:cs="Arial" w:eastAsia="Arial" w:hAnsi="Arial"/>
                <w:sz w:val="14"/>
                <w:szCs w:val="14"/>
                <w:color w:val="auto"/>
                <w:w w:val="89"/>
              </w:rPr>
              <w:t>74</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Director</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Class I</w:t>
            </w: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Patrick Zenner</w:t>
            </w:r>
          </w:p>
        </w:tc>
        <w:tc>
          <w:tcPr>
            <w:tcW w:w="2400" w:type="dxa"/>
            <w:vAlign w:val="bottom"/>
          </w:tcPr>
          <w:p>
            <w:pPr>
              <w:jc w:val="center"/>
              <w:ind w:left="1348"/>
              <w:spacing w:after="0"/>
              <w:rPr>
                <w:sz w:val="20"/>
                <w:szCs w:val="20"/>
                <w:color w:val="auto"/>
              </w:rPr>
            </w:pPr>
            <w:r>
              <w:rPr>
                <w:rFonts w:ascii="Arial" w:cs="Arial" w:eastAsia="Arial" w:hAnsi="Arial"/>
                <w:sz w:val="14"/>
                <w:szCs w:val="14"/>
                <w:color w:val="auto"/>
                <w:w w:val="89"/>
              </w:rPr>
              <w:t>75</w:t>
            </w: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188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620" w:type="dxa"/>
            <w:vAlign w:val="bottom"/>
          </w:tcPr>
          <w:p>
            <w:pPr>
              <w:jc w:val="center"/>
              <w:spacing w:after="0"/>
              <w:rPr>
                <w:sz w:val="20"/>
                <w:szCs w:val="20"/>
                <w:color w:val="auto"/>
              </w:rPr>
            </w:pPr>
            <w:r>
              <w:rPr>
                <w:rFonts w:ascii="Arial" w:cs="Arial" w:eastAsia="Arial" w:hAnsi="Arial"/>
                <w:sz w:val="14"/>
                <w:szCs w:val="14"/>
                <w:color w:val="auto"/>
                <w:w w:val="88"/>
              </w:rPr>
              <w:t>Class I</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b w:val="1"/>
          <w:bCs w:val="1"/>
          <w:color w:val="auto"/>
        </w:rPr>
        <w:t xml:space="preserve">Carsten Brunn, Ph.D. </w:t>
      </w:r>
      <w:r>
        <w:rPr>
          <w:rFonts w:ascii="Arial" w:cs="Arial" w:eastAsia="Arial" w:hAnsi="Arial"/>
          <w:sz w:val="16"/>
          <w:szCs w:val="16"/>
          <w:color w:val="auto"/>
        </w:rPr>
        <w:t>has served as our President, Chief Executive Officer and member of our Board since December 2018. Prior to joining Selecta</w:t>
      </w:r>
      <w:r>
        <w:rPr>
          <w:rFonts w:ascii="Arial" w:cs="Arial" w:eastAsia="Arial" w:hAnsi="Arial"/>
          <w:sz w:val="16"/>
          <w:szCs w:val="16"/>
          <w:b w:val="1"/>
          <w:bCs w:val="1"/>
          <w:color w:val="auto"/>
        </w:rPr>
        <w:t xml:space="preserve"> </w:t>
      </w:r>
      <w:r>
        <w:rPr>
          <w:rFonts w:ascii="Arial" w:cs="Arial" w:eastAsia="Arial" w:hAnsi="Arial"/>
          <w:sz w:val="16"/>
          <w:szCs w:val="16"/>
          <w:color w:val="auto"/>
        </w:rPr>
        <w:t>Biosciences,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 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currently serves on the board of directors of the Biotechnology Innovation Organization (BIO).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Board’s conclusion that he should serve as a director of our Company.</w:t>
      </w:r>
    </w:p>
    <w:p>
      <w:pPr>
        <w:spacing w:after="0" w:line="53"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b w:val="1"/>
          <w:bCs w:val="1"/>
          <w:color w:val="auto"/>
        </w:rPr>
        <w:t xml:space="preserve">Carrie S. Cox </w:t>
      </w:r>
      <w:r>
        <w:rPr>
          <w:rFonts w:ascii="Arial" w:cs="Arial" w:eastAsia="Arial" w:hAnsi="Arial"/>
          <w:sz w:val="16"/>
          <w:szCs w:val="16"/>
          <w:color w:val="auto"/>
        </w:rPr>
        <w:t>has served as a member of our Board and as chairman of the Board since November 2019. Ms. Cox has also served 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Organon &amp; Co. since June 2021. Ms. Cox most recently served as the Chief Executive Officer of Humacyte, Inc., a regenerative medicine company based in Durham, North Carolina, from 2010 to June 2018, and served as a member of its board of directors from 2010 to August 2021, serving as chairman from 2011 to June 2019. Ms. Cox has served on the boards of directors of Texas Instruments Incorporated since 2004 and Cardinal Health, Inc. since 2009. Ms. Cox previously served as the chairman of the board of directors of electroCore, Inc. from July 2018 to March 2020 and Array BioPharma, Inc. from August 2018 to July 2019, and served on the board of directors of Celgene Corporation from December 2009 to November 2019. Ms. Cox received a B.S. from the Massachusetts College of Pharmacy and was a registered pharmacist. The Company believes Ms. Cox’s vast experience as a pharmaceutical executive and member of multiple boards of directors in the biotechnology industry as well as her knowledge of corporate strategy contributed to our Board’s conclusion that she should serve as a director of our Company.</w:t>
      </w:r>
    </w:p>
    <w:p>
      <w:pPr>
        <w:spacing w:after="0" w:line="5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b w:val="1"/>
          <w:bCs w:val="1"/>
          <w:color w:val="auto"/>
        </w:rPr>
        <w:t xml:space="preserve">Göran Ando, M.D. </w:t>
      </w:r>
      <w:r>
        <w:rPr>
          <w:rFonts w:ascii="Arial" w:cs="Arial" w:eastAsia="Arial" w:hAnsi="Arial"/>
          <w:sz w:val="17"/>
          <w:szCs w:val="17"/>
          <w:color w:val="auto"/>
        </w:rPr>
        <w:t>has served as a member of our Board since April 2020. Dr. Ando has also served as Chairman of the board of directors of</w:t>
      </w:r>
      <w:r>
        <w:rPr>
          <w:rFonts w:ascii="Arial" w:cs="Arial" w:eastAsia="Arial" w:hAnsi="Arial"/>
          <w:sz w:val="17"/>
          <w:szCs w:val="17"/>
          <w:b w:val="1"/>
          <w:bCs w:val="1"/>
          <w:color w:val="auto"/>
        </w:rPr>
        <w:t xml:space="preserve"> </w:t>
      </w:r>
      <w:r>
        <w:rPr>
          <w:rFonts w:ascii="Arial" w:cs="Arial" w:eastAsia="Arial" w:hAnsi="Arial"/>
          <w:sz w:val="17"/>
          <w:szCs w:val="17"/>
          <w:color w:val="auto"/>
        </w:rPr>
        <w:t>EyePoint Pharmaceuticals, Inc., a public pharmaceutical company, since September 2018, and served as Vice-Chairman of the board of directors of Molecular Partners AG, a clinical-stage biopharmaceutical company, from April 2011 to May 2020. In March 2018, he retired as Chairman of Novo Nordisk A/S, a multinational pharmaceutical company, a position he had held since 2013, after serving as Vice Chair of the board of directors since 2006, and serving on the board of directors since 2005. Dr. Ando previously served as the Chief Executive Officer of Celltech Group plc. from 2003 to 2005. Before that, he served as Executive Vice President and Deputy Chief Executive Officer of Pharmacia AB until its acquisition by Pfizer, Inc. in 2003. Prior to Pharmacia, he held various senior appointments at Glaxo, now GlaxoSmithKline plc, including Research and Development Director for Glaxo Group Research. He has also been a Senior Advisor at EW Healthcare Partners since 2007. Dr. Ando received his Bachelor of Arts degree from Uppsala University in Sweden and Doctor of Medicine degree from Linköping University in Sweden. Dr. Ando’s extensive experience as an executive officer and director in the life sciences industry and knowledge of manufacturing, information technology, business development and commercialization contributed to our Board’s conclusion that he should serve as a director of our Company.</w:t>
      </w:r>
    </w:p>
    <w:p>
      <w:pPr>
        <w:spacing w:after="0" w:line="74"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color w:val="auto"/>
        </w:rPr>
        <w:t xml:space="preserve">Timothy C. Barabe </w:t>
      </w:r>
      <w:r>
        <w:rPr>
          <w:rFonts w:ascii="Arial" w:cs="Arial" w:eastAsia="Arial" w:hAnsi="Arial"/>
          <w:sz w:val="18"/>
          <w:szCs w:val="18"/>
          <w:color w:val="auto"/>
        </w:rPr>
        <w:t>has served as a member of our Board since July 2016. Mr. Barabe also served on the boards of Veeva Systems Inc. from</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2015 to June 2021 and serves on the board of directors of Vigilant Biosciences, Inc., a private company, as well as Heartflow, Inc., also a private company. From 2001 to January 2020, Mr. Barabe served on the board of directors of ArQule, Inc., and from 2014 to 2017, Mr. Barabe served on the board of directors of Opexa Therapeutics, Inc. Mr.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Board’s conclusion that he should serve as a director of our Company.</w:t>
      </w:r>
    </w:p>
    <w:p>
      <w:pPr>
        <w:spacing w:after="0" w:line="5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color w:val="auto"/>
        </w:rPr>
        <w:t xml:space="preserve">Scott D. Myers </w:t>
      </w:r>
      <w:r>
        <w:rPr>
          <w:rFonts w:ascii="Arial" w:cs="Arial" w:eastAsia="Arial" w:hAnsi="Arial"/>
          <w:sz w:val="17"/>
          <w:szCs w:val="17"/>
          <w:color w:val="auto"/>
        </w:rPr>
        <w:t>has served as a member of our Board since June 2019. Mr. Myers most recently served as president and chief executive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AMAG Pharmaceuticals, Inc., from April 2020 through its acquisition by Covis Group in October 2020. Previously, Mr. Myers served as chief executive officer and chairman of the board of Rainier Therapeutics, formerly known as BioClin Therapeutics, an oncology biotechnology company focused on late-stage bladder cancer from June 2018 until January 2020, as chief executive officer and member of the board of directors of Cascadian Therapeutics, Inc., an oncology company, from April 2016 through its acquisition by Seattle Genetics in March 2018. Prior to Cascadian, Mr. Myers served as chief executive officer of Aerocrine AB, a medical device company, from 2011 through its acquisition by Circassia Pharmaceuticals plc in 2015. He is currently a member of the board of directors and remuneration committee of Sensorion SA, which he joined in December 2021, the board of directors of Dynavax Technologies Corporation, which he joined in October 2021, and of the board of directors, audit committee and nomination and governance committee of Harpoon Therapeutics since August 2018. Mr. Myers previously served on the board of directors of Cascadian Therapeutics from 2016 through 2018 and on the board of directors of Trillium Therapeutics Inc. from April 2021 until its acquisition by Pfizer Inc. in November 2021. Mr. Myers’ experience as a senior executive of life sciences companies and knowledge of the pharmaceutical and biotechnology industries contributed to our Board’s conclusion that he should serve as a director of our Company.</w:t>
      </w:r>
    </w:p>
    <w:p>
      <w:pPr>
        <w:spacing w:after="0" w:line="71" w:lineRule="exact"/>
        <w:rPr>
          <w:sz w:val="20"/>
          <w:szCs w:val="20"/>
          <w:color w:val="auto"/>
        </w:rPr>
      </w:pPr>
    </w:p>
    <w:p>
      <w:pPr>
        <w:ind w:right="20" w:firstLine="324"/>
        <w:spacing w:after="0" w:line="292" w:lineRule="auto"/>
        <w:rPr>
          <w:sz w:val="20"/>
          <w:szCs w:val="20"/>
          <w:color w:val="auto"/>
        </w:rPr>
      </w:pPr>
      <w:r>
        <w:rPr>
          <w:rFonts w:ascii="Arial" w:cs="Arial" w:eastAsia="Arial" w:hAnsi="Arial"/>
          <w:sz w:val="16"/>
          <w:szCs w:val="16"/>
          <w:b w:val="1"/>
          <w:bCs w:val="1"/>
          <w:color w:val="auto"/>
        </w:rPr>
        <w:t xml:space="preserve">Aymeric Sallin, M.S. </w:t>
      </w:r>
      <w:r>
        <w:rPr>
          <w:rFonts w:ascii="Arial" w:cs="Arial" w:eastAsia="Arial" w:hAnsi="Arial"/>
          <w:sz w:val="16"/>
          <w:szCs w:val="16"/>
          <w:color w:val="auto"/>
        </w:rPr>
        <w:t>has served as a member of our Board since 2008. Mr. Sallin has served as the Chief Executive Officer of NanoDimension, a</w:t>
      </w:r>
      <w:r>
        <w:rPr>
          <w:rFonts w:ascii="Arial" w:cs="Arial" w:eastAsia="Arial" w:hAnsi="Arial"/>
          <w:sz w:val="16"/>
          <w:szCs w:val="16"/>
          <w:b w:val="1"/>
          <w:bCs w:val="1"/>
          <w:color w:val="auto"/>
        </w:rPr>
        <w:t xml:space="preserve"> </w:t>
      </w:r>
      <w:r>
        <w:rPr>
          <w:rFonts w:ascii="Arial" w:cs="Arial" w:eastAsia="Arial" w:hAnsi="Arial"/>
          <w:sz w:val="16"/>
          <w:szCs w:val="16"/>
          <w:color w:val="auto"/>
        </w:rPr>
        <w:t>venture capital firm, since 2002 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He currently serves as a board member of numerous private companies, including H55, Inc., View, Inc., CROCUS Technology and Tarveda Therapeutics. Mr. Sallin is also a member of the Swiss Academy of Engineering Science. Mr. Sallin received his Master’s in Physical Engineering from EPFL in Lausanne, Switzerland. Mr. Sallin’s extensive knowledge of our business and the nanomedicine field contributed to our Board’s conclusion that he should serve as a director of our Company.</w:t>
      </w:r>
    </w:p>
    <w:p>
      <w:pPr>
        <w:spacing w:after="0" w:line="5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color w:val="auto"/>
        </w:rPr>
        <w:t xml:space="preserve">Nishan de Silva, M.D., M.B.A. </w:t>
      </w:r>
      <w:r>
        <w:rPr>
          <w:rFonts w:ascii="Arial" w:cs="Arial" w:eastAsia="Arial" w:hAnsi="Arial"/>
          <w:sz w:val="16"/>
          <w:szCs w:val="16"/>
          <w:color w:val="auto"/>
        </w:rPr>
        <w:t>has served as a member of our Board since June 2021. Dr. de Silva currently serves 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Radionetics Oncology, a private company, where he joined in March 2022. Prior to joining Radionetics Oncology, Dr. de Silva had served as Chief Executive Officer of AFYX Therapeutics, a private biotechnology company from April 2018 to February 2022, and served as a director at AFYX Therapeutics since May 2020 to February 2022. Previously, Dr. de Silva served as President, Chief Operating Officer, and director of Poseida Therapeutics, a cell- and gene therapy-focused biopharmaceutical company, from June 2015 to March 2018. Dr. de Silva also previously served as Vice President Finance and Strategy, and Chief Financial Officer at Ligand Pharmaceuticals from February 2012 to May 2015. Dr. de Silva graduated Summa Cum Laude with a Bachelor of Arts degree in Biology from Harvard University, and received his M.D. degree from the University of Pennsylvania School of Medicine, as well as an M.B.A. degree from The Wharton School of the University of Pennsylvania. Dr. de Silva’s experience in the biotechnology industry, and his knowledge of gene therapies and clinical development contributed to our Board’s conclusion that he should serve as a director of our Company.</w:t>
      </w:r>
    </w:p>
    <w:p>
      <w:pPr>
        <w:spacing w:after="0" w:line="5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b w:val="1"/>
          <w:bCs w:val="1"/>
          <w:color w:val="auto"/>
        </w:rPr>
        <w:t xml:space="preserve">Timothy A. Springer, Ph.D. </w:t>
      </w:r>
      <w:r>
        <w:rPr>
          <w:rFonts w:ascii="Arial" w:cs="Arial" w:eastAsia="Arial" w:hAnsi="Arial"/>
          <w:sz w:val="17"/>
          <w:szCs w:val="17"/>
          <w:color w:val="auto"/>
        </w:rPr>
        <w:t>has served as a member of our Board since June 2016 and as a scientific advisor to us since December 2008. Since 1989,</w:t>
      </w:r>
      <w:r>
        <w:rPr>
          <w:rFonts w:ascii="Arial" w:cs="Arial" w:eastAsia="Arial" w:hAnsi="Arial"/>
          <w:sz w:val="17"/>
          <w:szCs w:val="17"/>
          <w:b w:val="1"/>
          <w:bCs w:val="1"/>
          <w:color w:val="auto"/>
        </w:rPr>
        <w:t xml:space="preserve"> </w:t>
      </w:r>
      <w:r>
        <w:rPr>
          <w:rFonts w:ascii="Arial" w:cs="Arial" w:eastAsia="Arial" w:hAnsi="Arial"/>
          <w:sz w:val="17"/>
          <w:szCs w:val="17"/>
          <w:color w:val="auto"/>
        </w:rPr>
        <w:t>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Scholar Rock and has served on the board of directors of Morphic Holding Inc. since July 2016.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Dr. Springer received a B.A. from the University of California, Berkeley, and a Ph.D. from Harvard University. Dr. Springer’s extensive knowledge of our business and the nanomedicine field contributed to our Board’s conclusion that he should serve as a director of our company.</w:t>
      </w:r>
    </w:p>
    <w:p>
      <w:pPr>
        <w:spacing w:after="0" w:line="69" w:lineRule="exact"/>
        <w:rPr>
          <w:sz w:val="20"/>
          <w:szCs w:val="20"/>
          <w:color w:val="auto"/>
        </w:rPr>
      </w:pPr>
    </w:p>
    <w:p>
      <w:pPr>
        <w:ind w:right="420" w:firstLine="324"/>
        <w:spacing w:after="0" w:line="282" w:lineRule="auto"/>
        <w:rPr>
          <w:sz w:val="20"/>
          <w:szCs w:val="20"/>
          <w:color w:val="auto"/>
        </w:rPr>
      </w:pPr>
      <w:r>
        <w:rPr>
          <w:rFonts w:ascii="Arial" w:cs="Arial" w:eastAsia="Arial" w:hAnsi="Arial"/>
          <w:sz w:val="18"/>
          <w:szCs w:val="18"/>
          <w:b w:val="1"/>
          <w:bCs w:val="1"/>
          <w:color w:val="auto"/>
        </w:rPr>
        <w:t xml:space="preserve">Patrick Zenner </w:t>
      </w:r>
      <w:r>
        <w:rPr>
          <w:rFonts w:ascii="Arial" w:cs="Arial" w:eastAsia="Arial" w:hAnsi="Arial"/>
          <w:sz w:val="18"/>
          <w:szCs w:val="18"/>
          <w:color w:val="auto"/>
        </w:rPr>
        <w:t>has served as a member of our Board since June 2017, also serving as our Lead Director from June 2018 to November 2019. Mr.</w:t>
      </w:r>
      <w:r>
        <w:rPr>
          <w:rFonts w:ascii="Arial" w:cs="Arial" w:eastAsia="Arial" w:hAnsi="Arial"/>
          <w:sz w:val="18"/>
          <w:szCs w:val="18"/>
          <w:b w:val="1"/>
          <w:bCs w:val="1"/>
          <w:color w:val="auto"/>
        </w:rPr>
        <w:t xml:space="preserve"> </w:t>
      </w:r>
      <w:r>
        <w:rPr>
          <w:rFonts w:ascii="Arial" w:cs="Arial" w:eastAsia="Arial" w:hAnsi="Arial"/>
          <w:sz w:val="18"/>
          <w:szCs w:val="18"/>
          <w:color w:val="auto"/>
        </w:rPr>
        <w:t>Zenner retired in 2001 from the position of President and Chief Executive Officer of Hoffmann-La</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Roche Inc., North America, based in Nutley, N.J. Mr. Zenner held various executive positions during his 32-year career with the company. Mr. Zenner is currently a member of the board of trustees of Creighton University and is Chairman of the board of trustees of Fairleigh Dickinson University. In addition, Mr. Zenner is Chairman of the board and a director of West Pharmaceutical Services, Inc.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Board’s conclusion that he should serve as a director of our company.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Position(s)</w:t>
            </w:r>
          </w:p>
        </w:tc>
      </w:tr>
      <w:tr>
        <w:trPr>
          <w:trHeight w:val="188"/>
        </w:trPr>
        <w:tc>
          <w:tcPr>
            <w:tcW w:w="3960" w:type="dxa"/>
            <w:vAlign w:val="bottom"/>
            <w:tcBorders>
              <w:top w:val="single" w:sz="8" w:color="auto"/>
            </w:tcBorders>
            <w:shd w:val="clear" w:color="auto" w:fill="CFF0FC"/>
          </w:tcPr>
          <w:p>
            <w:pPr>
              <w:ind w:left="20"/>
              <w:spacing w:after="0" w:line="189" w:lineRule="exact"/>
              <w:rPr>
                <w:sz w:val="20"/>
                <w:szCs w:val="20"/>
                <w:color w:val="auto"/>
              </w:rPr>
            </w:pPr>
            <w:r>
              <w:rPr>
                <w:rFonts w:ascii="Arial" w:cs="Arial" w:eastAsia="Arial" w:hAnsi="Arial"/>
                <w:sz w:val="14"/>
                <w:szCs w:val="14"/>
                <w:color w:val="auto"/>
              </w:rPr>
              <w:t xml:space="preserve">Carsten Brunn, Ph.D. </w:t>
            </w:r>
            <w:r>
              <w:rPr>
                <w:rFonts w:ascii="Arial" w:cs="Arial" w:eastAsia="Arial" w:hAnsi="Arial"/>
                <w:sz w:val="18"/>
                <w:szCs w:val="18"/>
                <w:color w:val="auto"/>
                <w:vertAlign w:val="superscript"/>
              </w:rPr>
              <w:t>1</w:t>
            </w:r>
          </w:p>
        </w:tc>
        <w:tc>
          <w:tcPr>
            <w:tcW w:w="120" w:type="dxa"/>
            <w:vAlign w:val="bottom"/>
            <w:tcBorders>
              <w:top w:val="single" w:sz="8" w:color="CFF0FC"/>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51</w:t>
            </w:r>
          </w:p>
        </w:tc>
        <w:tc>
          <w:tcPr>
            <w:tcW w:w="100" w:type="dxa"/>
            <w:vAlign w:val="bottom"/>
            <w:tcBorders>
              <w:top w:val="single" w:sz="8" w:color="CFF0FC"/>
            </w:tcBorders>
            <w:shd w:val="clear" w:color="auto" w:fill="CFF0FC"/>
          </w:tcPr>
          <w:p>
            <w:pPr>
              <w:spacing w:after="0"/>
              <w:rPr>
                <w:sz w:val="16"/>
                <w:szCs w:val="16"/>
                <w:color w:val="auto"/>
              </w:rPr>
            </w:pPr>
          </w:p>
        </w:tc>
        <w:tc>
          <w:tcPr>
            <w:tcW w:w="6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President and Chief Executive Officer</w:t>
            </w:r>
          </w:p>
        </w:tc>
      </w:tr>
      <w:tr>
        <w:trPr>
          <w:trHeight w:val="189"/>
        </w:trPr>
        <w:tc>
          <w:tcPr>
            <w:tcW w:w="40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Kevin Tan </w:t>
            </w:r>
            <w:r>
              <w:rPr>
                <w:rFonts w:ascii="Arial" w:cs="Arial" w:eastAsia="Arial" w:hAnsi="Arial"/>
                <w:sz w:val="18"/>
                <w:szCs w:val="18"/>
                <w:color w:val="auto"/>
                <w:vertAlign w:val="superscript"/>
              </w:rPr>
              <w:t>2</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45</w:t>
            </w:r>
          </w:p>
        </w:tc>
        <w:tc>
          <w:tcPr>
            <w:tcW w:w="100" w:type="dxa"/>
            <w:vAlign w:val="bottom"/>
          </w:tcPr>
          <w:p>
            <w:pPr>
              <w:spacing w:after="0"/>
              <w:rPr>
                <w:sz w:val="16"/>
                <w:szCs w:val="16"/>
                <w:color w:val="auto"/>
              </w:rPr>
            </w:pPr>
          </w:p>
        </w:tc>
        <w:tc>
          <w:tcPr>
            <w:tcW w:w="616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189"/>
        </w:trPr>
        <w:tc>
          <w:tcPr>
            <w:tcW w:w="4080" w:type="dxa"/>
            <w:vAlign w:val="bottom"/>
            <w:gridSpan w:val="2"/>
            <w:shd w:val="clear" w:color="auto" w:fill="CFF0FC"/>
          </w:tcPr>
          <w:p>
            <w:pPr>
              <w:ind w:left="20"/>
              <w:spacing w:after="0" w:line="189" w:lineRule="exact"/>
              <w:rPr>
                <w:sz w:val="20"/>
                <w:szCs w:val="20"/>
                <w:color w:val="auto"/>
              </w:rPr>
            </w:pPr>
            <w:r>
              <w:rPr>
                <w:rFonts w:ascii="Arial" w:cs="Arial" w:eastAsia="Arial" w:hAnsi="Arial"/>
                <w:sz w:val="14"/>
                <w:szCs w:val="14"/>
                <w:color w:val="auto"/>
              </w:rPr>
              <w:t xml:space="preserve">Lloyd Johnston, Ph.D. </w:t>
            </w:r>
            <w:r>
              <w:rPr>
                <w:rFonts w:ascii="Arial" w:cs="Arial" w:eastAsia="Arial" w:hAnsi="Arial"/>
                <w:sz w:val="18"/>
                <w:szCs w:val="18"/>
                <w:color w:val="auto"/>
                <w:vertAlign w:val="superscript"/>
              </w:rPr>
              <w:t>3</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54</w:t>
            </w:r>
          </w:p>
        </w:tc>
        <w:tc>
          <w:tcPr>
            <w:tcW w:w="100" w:type="dxa"/>
            <w:vAlign w:val="bottom"/>
            <w:shd w:val="clear" w:color="auto" w:fill="CFF0FC"/>
          </w:tcPr>
          <w:p>
            <w:pPr>
              <w:spacing w:after="0"/>
              <w:rPr>
                <w:sz w:val="16"/>
                <w:szCs w:val="16"/>
                <w:color w:val="auto"/>
              </w:rPr>
            </w:pPr>
          </w:p>
        </w:tc>
        <w:tc>
          <w:tcPr>
            <w:tcW w:w="6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Chief Operations Officer and Senior Vice President, Research and Development</w:t>
            </w:r>
          </w:p>
        </w:tc>
      </w:tr>
      <w:tr>
        <w:trPr>
          <w:trHeight w:val="189"/>
        </w:trPr>
        <w:tc>
          <w:tcPr>
            <w:tcW w:w="40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Takashi Kei Kishimoto, Ph.D. </w:t>
            </w:r>
            <w:r>
              <w:rPr>
                <w:rFonts w:ascii="Arial" w:cs="Arial" w:eastAsia="Arial" w:hAnsi="Arial"/>
                <w:sz w:val="18"/>
                <w:szCs w:val="18"/>
                <w:color w:val="auto"/>
                <w:vertAlign w:val="superscript"/>
              </w:rPr>
              <w:t>4</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00" w:type="dxa"/>
            <w:vAlign w:val="bottom"/>
          </w:tcPr>
          <w:p>
            <w:pPr>
              <w:spacing w:after="0"/>
              <w:rPr>
                <w:sz w:val="16"/>
                <w:szCs w:val="16"/>
                <w:color w:val="auto"/>
              </w:rPr>
            </w:pPr>
          </w:p>
        </w:tc>
        <w:tc>
          <w:tcPr>
            <w:tcW w:w="6160" w:type="dxa"/>
            <w:vAlign w:val="bottom"/>
          </w:tcPr>
          <w:p>
            <w:pPr>
              <w:ind w:left="20"/>
              <w:spacing w:after="0"/>
              <w:rPr>
                <w:sz w:val="20"/>
                <w:szCs w:val="20"/>
                <w:color w:val="auto"/>
              </w:rPr>
            </w:pPr>
            <w:r>
              <w:rPr>
                <w:rFonts w:ascii="Arial" w:cs="Arial" w:eastAsia="Arial" w:hAnsi="Arial"/>
                <w:sz w:val="14"/>
                <w:szCs w:val="14"/>
                <w:color w:val="auto"/>
              </w:rPr>
              <w:t>Chief Scientific Officer</w:t>
            </w:r>
          </w:p>
        </w:tc>
      </w:tr>
      <w:tr>
        <w:trPr>
          <w:trHeight w:val="189"/>
        </w:trPr>
        <w:tc>
          <w:tcPr>
            <w:tcW w:w="4080" w:type="dxa"/>
            <w:vAlign w:val="bottom"/>
            <w:gridSpan w:val="2"/>
            <w:shd w:val="clear" w:color="auto" w:fill="CFF0FC"/>
          </w:tcPr>
          <w:p>
            <w:pPr>
              <w:ind w:left="20"/>
              <w:spacing w:after="0" w:line="189" w:lineRule="exact"/>
              <w:rPr>
                <w:sz w:val="20"/>
                <w:szCs w:val="20"/>
                <w:color w:val="auto"/>
              </w:rPr>
            </w:pPr>
            <w:r>
              <w:rPr>
                <w:rFonts w:ascii="Arial" w:cs="Arial" w:eastAsia="Arial" w:hAnsi="Arial"/>
                <w:sz w:val="14"/>
                <w:szCs w:val="14"/>
                <w:color w:val="auto"/>
              </w:rPr>
              <w:t xml:space="preserve">Peter G. Traber, M.D. </w:t>
            </w:r>
            <w:r>
              <w:rPr>
                <w:rFonts w:ascii="Arial" w:cs="Arial" w:eastAsia="Arial" w:hAnsi="Arial"/>
                <w:sz w:val="18"/>
                <w:szCs w:val="18"/>
                <w:color w:val="auto"/>
                <w:vertAlign w:val="superscript"/>
              </w:rPr>
              <w:t>5</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67</w:t>
            </w:r>
          </w:p>
        </w:tc>
        <w:tc>
          <w:tcPr>
            <w:tcW w:w="100" w:type="dxa"/>
            <w:vAlign w:val="bottom"/>
            <w:shd w:val="clear" w:color="auto" w:fill="CFF0FC"/>
          </w:tcPr>
          <w:p>
            <w:pPr>
              <w:spacing w:after="0"/>
              <w:rPr>
                <w:sz w:val="16"/>
                <w:szCs w:val="16"/>
                <w:color w:val="auto"/>
              </w:rPr>
            </w:pPr>
          </w:p>
        </w:tc>
        <w:tc>
          <w:tcPr>
            <w:tcW w:w="6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Chief Medical Officer</w:t>
            </w:r>
          </w:p>
        </w:tc>
      </w:tr>
    </w:tbl>
    <w:p>
      <w:pPr>
        <w:spacing w:after="0" w:line="200" w:lineRule="exact"/>
        <w:rPr>
          <w:sz w:val="20"/>
          <w:szCs w:val="20"/>
          <w:color w:val="auto"/>
        </w:rPr>
      </w:pPr>
    </w:p>
    <w:p>
      <w:pPr>
        <w:spacing w:after="0" w:line="335" w:lineRule="exact"/>
        <w:rPr>
          <w:sz w:val="20"/>
          <w:szCs w:val="20"/>
          <w:color w:val="auto"/>
        </w:rPr>
      </w:pPr>
    </w:p>
    <w:p>
      <w:pPr>
        <w:ind w:right="60" w:firstLine="332"/>
        <w:spacing w:after="0" w:line="279" w:lineRule="auto"/>
        <w:tabs>
          <w:tab w:leader="none" w:pos="42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b w:val="1"/>
          <w:bCs w:val="1"/>
          <w:color w:val="auto"/>
        </w:rPr>
        <w:t xml:space="preserve">Carsten Brunn, Ph.D. </w:t>
      </w:r>
      <w:r>
        <w:rPr>
          <w:rFonts w:ascii="Arial" w:cs="Arial" w:eastAsia="Arial" w:hAnsi="Arial"/>
          <w:sz w:val="16"/>
          <w:szCs w:val="16"/>
          <w:color w:val="auto"/>
        </w:rPr>
        <w:t>has served as our President, Chief Executive Officer and member of our Board since December 2018. Prior to joining Selecta</w:t>
      </w:r>
      <w:r>
        <w:rPr>
          <w:rFonts w:ascii="Arial" w:cs="Arial" w:eastAsia="Arial" w:hAnsi="Arial"/>
          <w:sz w:val="16"/>
          <w:szCs w:val="16"/>
          <w:b w:val="1"/>
          <w:bCs w:val="1"/>
          <w:color w:val="auto"/>
        </w:rPr>
        <w:t xml:space="preserve"> </w:t>
      </w:r>
      <w:r>
        <w:rPr>
          <w:rFonts w:ascii="Arial" w:cs="Arial" w:eastAsia="Arial" w:hAnsi="Arial"/>
          <w:sz w:val="16"/>
          <w:szCs w:val="16"/>
          <w:color w:val="auto"/>
        </w:rPr>
        <w:t>Biosciences,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 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currently serves on the board of directors of the Biotechnology Innovation Organization (BIO).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Board’s conclusion that he should serve as a director of our Company.</w:t>
      </w:r>
    </w:p>
    <w:p>
      <w:pPr>
        <w:spacing w:after="0" w:line="62" w:lineRule="exact"/>
        <w:rPr>
          <w:sz w:val="20"/>
          <w:szCs w:val="20"/>
          <w:color w:val="auto"/>
        </w:rPr>
      </w:pPr>
    </w:p>
    <w:p>
      <w:pPr>
        <w:ind w:right="80" w:firstLine="332"/>
        <w:spacing w:after="0" w:line="278" w:lineRule="auto"/>
        <w:tabs>
          <w:tab w:leader="none" w:pos="427"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b w:val="1"/>
          <w:bCs w:val="1"/>
          <w:color w:val="auto"/>
        </w:rPr>
        <w:t xml:space="preserve">Kevin Tan </w:t>
      </w:r>
      <w:r>
        <w:rPr>
          <w:rFonts w:ascii="Arial" w:cs="Arial" w:eastAsia="Arial" w:hAnsi="Arial"/>
          <w:sz w:val="16"/>
          <w:szCs w:val="16"/>
          <w:color w:val="auto"/>
        </w:rPr>
        <w:t>has served as our Chief Financial Officer since September 2021. Prior to joining our Company, Mr. Tan served as Treasurer at Sarepta</w:t>
      </w:r>
      <w:r>
        <w:rPr>
          <w:rFonts w:ascii="Arial" w:cs="Arial" w:eastAsia="Arial" w:hAnsi="Arial"/>
          <w:sz w:val="16"/>
          <w:szCs w:val="16"/>
          <w:b w:val="1"/>
          <w:bCs w:val="1"/>
          <w:color w:val="auto"/>
        </w:rPr>
        <w:t xml:space="preserve"> </w:t>
      </w:r>
      <w:r>
        <w:rPr>
          <w:rFonts w:ascii="Arial" w:cs="Arial" w:eastAsia="Arial" w:hAnsi="Arial"/>
          <w:sz w:val="16"/>
          <w:szCs w:val="16"/>
          <w:color w:val="auto"/>
        </w:rPr>
        <w:t>Therapeutics, Inc., a publicly-traded biotechnology company, from July 2020 to September 2021. Prior to becoming Treasurer, he served as Assistant Treasurer from May 2018 to June 2020. Before joining Sarepta, Mr. Tan worked as a freelance consultant from February 2017 to April 2018, providing independent financial advice and advisory services to individuals and private companies. From June 2012 to November 2016, Mr. Tan served as Senior Portfolio Manager – Public Market Investments at CPP Investments (FKA the Canada Pension Plan Investment Board). He has also served in various positions at Macquarie Capital (USA) Inc., Arrowhawk Capital Partners LLC, and Lehman Brothers Inc. (subsequently acquired by Barclays Capital Inc.). Mr. Tan holds a Bachelor of Commerce degree from Queen’s University at Kingston, as well as a Master of Engineering degree from The Graduate School at Princeton University, and a Master of Business Administration degree from the University of Chicago Booth School of Business.</w:t>
      </w:r>
    </w:p>
    <w:p>
      <w:pPr>
        <w:spacing w:after="0" w:line="57" w:lineRule="exact"/>
        <w:rPr>
          <w:sz w:val="20"/>
          <w:szCs w:val="20"/>
          <w:color w:val="auto"/>
        </w:rPr>
      </w:pPr>
    </w:p>
    <w:p>
      <w:pPr>
        <w:ind w:left="440" w:hanging="108"/>
        <w:spacing w:after="0"/>
        <w:tabs>
          <w:tab w:leader="none" w:pos="44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b w:val="1"/>
          <w:bCs w:val="1"/>
          <w:color w:val="auto"/>
        </w:rPr>
        <w:t xml:space="preserve">Lloyd Johnston, Ph.D. </w:t>
      </w:r>
      <w:r>
        <w:rPr>
          <w:rFonts w:ascii="Arial" w:cs="Arial" w:eastAsia="Arial" w:hAnsi="Arial"/>
          <w:sz w:val="16"/>
          <w:szCs w:val="16"/>
          <w:color w:val="auto"/>
        </w:rPr>
        <w:t>has served as our Chief Operations Officer and Senior Vice President, Research and Development since January 2014.</w:t>
      </w:r>
    </w:p>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Dr. Johnston served as Selecta’s Senior Vice 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67" w:lineRule="exact"/>
        <w:rPr>
          <w:sz w:val="20"/>
          <w:szCs w:val="20"/>
          <w:color w:val="auto"/>
        </w:rPr>
      </w:pPr>
    </w:p>
    <w:p>
      <w:pPr>
        <w:ind w:right="40" w:firstLine="332"/>
        <w:spacing w:after="0" w:line="278" w:lineRule="auto"/>
        <w:tabs>
          <w:tab w:leader="none" w:pos="412"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b w:val="1"/>
          <w:bCs w:val="1"/>
          <w:color w:val="auto"/>
        </w:rPr>
        <w:t xml:space="preserve">Takashi Kei Kishimoto, Ph.D. </w:t>
      </w:r>
      <w:r>
        <w:rPr>
          <w:rFonts w:ascii="Arial" w:cs="Arial" w:eastAsia="Arial" w:hAnsi="Arial"/>
          <w:sz w:val="16"/>
          <w:szCs w:val="16"/>
          <w:color w:val="auto"/>
        </w:rPr>
        <w:t>has served as our Chief Scientific Officer since June 2011. Prior to joining Selecta, Dr. Kishimoto was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of 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before his time at Millennium Pharmaceuticals, he was the Associate Director of Research at Boehringer Ingelheim Pharmaceuticals. Dr. Kishimoto has published over 60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51" w:lineRule="exact"/>
        <w:rPr>
          <w:sz w:val="20"/>
          <w:szCs w:val="20"/>
          <w:color w:val="auto"/>
        </w:rPr>
      </w:pPr>
    </w:p>
    <w:p>
      <w:pPr>
        <w:ind w:right="220" w:firstLine="332"/>
        <w:spacing w:after="0" w:line="216" w:lineRule="auto"/>
        <w:tabs>
          <w:tab w:leader="none" w:pos="427"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b w:val="1"/>
          <w:bCs w:val="1"/>
          <w:color w:val="auto"/>
        </w:rPr>
        <w:t xml:space="preserve">Peter G. Traber, M.D. </w:t>
      </w:r>
      <w:r>
        <w:rPr>
          <w:rFonts w:ascii="Arial" w:cs="Arial" w:eastAsia="Arial" w:hAnsi="Arial"/>
          <w:sz w:val="18"/>
          <w:szCs w:val="18"/>
          <w:color w:val="auto"/>
        </w:rPr>
        <w:t>has served as our Chief Medical Officer since August 2020. Dr. Traber also serves as a member of the board of directors of</w:t>
      </w:r>
      <w:r>
        <w:rPr>
          <w:rFonts w:ascii="Arial" w:cs="Arial" w:eastAsia="Arial" w:hAnsi="Arial"/>
          <w:sz w:val="18"/>
          <w:szCs w:val="18"/>
          <w:b w:val="1"/>
          <w:bCs w:val="1"/>
          <w:color w:val="auto"/>
        </w:rPr>
        <w:t xml:space="preserve"> </w:t>
      </w:r>
      <w:r>
        <w:rPr>
          <w:rFonts w:ascii="Arial" w:cs="Arial" w:eastAsia="Arial" w:hAnsi="Arial"/>
          <w:sz w:val="18"/>
          <w:szCs w:val="18"/>
          <w:color w:val="auto"/>
        </w:rPr>
        <w:t>Caladrius Biosciences since January 2015. Prior to joining Selecta Biosciences in 2020, from July 2018 to July 2020 Dr. Traber served as a Partner at Alacrita Consulting, providing drug development consulting services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served as the interim Chief Medical Officer (CMO) for Morphic Therapeutic supporting integrin inhibitor drug development. From March 2011 until June 2018, he served as President and Chief Executive Officer of Galectin Therapeutics and from 2010 to March 2011 served as Chief Medical Officer at Galectin Therapeutics, developing drugs for fibrotic liver disease and cancer. Previously, he served as CMO and SVP of Clinical Development and Medical Affairs at GSK, CEO of Baylor College of Medicine, and Chair of Medicine and CEO of the University of Pennsylvania Health System. He received his MD from Wayne State School of Medicine, a BS in Chemical Engineering from the University of Michigan, and a certificate in Medical Leadership from Wharton Business School. He is currently an Adjunct Professor of Medicine at the University of Pennsylvania.</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 of our executive officers are related to any other executive officer or to any of our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Board has adopted Corporate Governance Guidelines, a Code of Business Conduct and Ethics and charters for the Nominating and Corporate Governance Committee of our Board (the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&amp; Media” page of our website located at www.selectabio.com, or by writing to our Secretary at our offices at 65 Grove Street, Watertown, Massachusetts 02472.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Board currently consists of nine members: Göran Ando, M.D., Timothy C. Barabe, Carsten Brunn, Ph.D., Carrie S. Cox, Nishan de Silva, M.D., M.B.A., Scott D. Myers, Aymeric Sallin, Timothy Springer, Ph.D. and Patrick Zenner. As set forth in our Restated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All of our directors and Class III director nominees, other than Carsten Brunn, Ph.D.,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including that Dr. Springer is affiliated with one of our significant stockholders. Dr. Brunn is not independent because he is the President and Chief Executive Officer of Selecta. There are no family relationships among any of our directors or executive officers.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Candidates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70"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 company;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All of our Class III director nominees were recommended by the Nominating and Corporate Governance Committee.</w:t>
      </w:r>
    </w:p>
    <w:p>
      <w:pPr>
        <w:spacing w:after="0" w:line="6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Selecta Biosciences, Inc., 65 Grove Street, Watertown, Massachusetts 02472.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from Stockholders</w:t>
      </w:r>
    </w:p>
    <w:p>
      <w:pPr>
        <w:spacing w:after="0" w:line="12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Board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Secretary, Selecta Biosciences, Inc., 65 Grove Street, Watertown, Massachusetts 02472.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Amended and Restated Bylaws and Corporate Governance Guidelines provide our Board with flexibility to combine or separate the positions of Chairman of the Board and Chief Executive Officer in accordance with its determination that utilizing one or the other structure would be in the best interests of the Company. Currently, the role of Chairman of the Board is separate from the role of Chief Executive Officer, with Carrie S. Cox serving as Chairman of the Board and Dr. Brunn serving as Chief Executive Officer. The Board evaluates whether the positions of Chairman of the Board and Chief Executive Officer should be combined or separated on an ongoing basis based on factors such as the experience of the applicable individuals and the current business environment of the Company. After considering these factors, the Board determined that continuing to separate the positions of Chairman and Chief Executive Officer was appropriate for the Company at this time.</w:t>
      </w:r>
    </w:p>
    <w:p>
      <w:pPr>
        <w:spacing w:after="0" w:line="6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If, in the future, the Chairman of the Board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is comprised of individuals with extensive experience in the biotechnology and pharmaceutical industries and, with the exception of Dr. Brunn, is comprised of directors who meet the independence standards of Nasdaq. For these reasons and because of the strong leadership of Dr. Brunn as President and Chief Executive Officer and Ms. Cox as Chairman of the Board, our Board has concluded that our current leadership structure is appropriate at this time. However, our Board will continue to periodically review our leadership structure and may make such changes in the future as it deems appropriate.</w:t>
      </w:r>
    </w:p>
    <w:p>
      <w:pPr>
        <w:spacing w:after="0" w:line="73"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 Our Board does not have a standing risk management committee, but rather</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administers this oversight function directly through the Board as a whole, as well as through various standing committees of the Board that address risks inherent in their respective areas of oversight. In particular, our Board is responsible for monitoring and assessing strategic risk exposure, including business continuity risks, such as risks relating to the COVID-19 pandemic,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affects the Board’s leadership structure.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12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Corporate Governance Guidelines require the Nominating and Corporate Governance Committee to periodically oversee an assessment of the Board and its committees.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our website, www.selectabio.com. In addition, we intend to post on our website all disclosures that are required by law or the rules of Nasdaq concerning any amendments to, or waivers from, any provision of the code.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Commitment</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Board diversity and inclusion is critical to the success of Selecta. Our Board is committed to ensuring its membership has sufficient diversity of expertise, experience, background and perspective to support the long-term success of the Company. As presently constituted, the Board represents a deliberate mix of members who have a deep understanding of our business as well as members who have different skill sets and points of view on substantive matters pertaining to the Company’s business. Our nomination process and our Board’s approach to assessment and evaluation of our nominees support our commitment to diversity and inclusion.</w:t>
      </w:r>
    </w:p>
    <w:p>
      <w:pPr>
        <w:spacing w:after="0" w:line="80"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The Board continually assesses the size and the mix of experiences and backgrounds of its members, including gender, ethnic, and racial composition. Selecta evaluates the effectiveness of this policy through annual self-evaluations completed by the Board and each of its committees.</w:t>
      </w:r>
    </w:p>
    <w:p>
      <w:pPr>
        <w:spacing w:after="0" w:line="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Board firmly believes that it plays a key role in the oversight of Selecta’s culture and in holding management accountable for the creation and stewardship of that culture. One of the ways the Board accomplishes this is by setting qualitative annual objectives for Dr. Brunn. Historically, Dr. Brunn’s annual objectives have included recruiting and retaining a high caliber and diverse executive team; establishing and fostering a strong, purpose-driven corporate culture to drive employee engagement; strengthening governance and ensuring transparent and timely communication with the Board, and acting as a role model and conducting business with high integrity. These objectives are meant, in part, to drive and maintain a positive corporate culture to attract, engage, and retain key talent for the Company. Additionally, the Board believes an engaged and empowered workforce contributes significantly to the creation of stockholder value.</w:t>
      </w:r>
    </w:p>
    <w:p>
      <w:pPr>
        <w:spacing w:after="0" w:line="87" w:lineRule="exact"/>
        <w:rPr>
          <w:sz w:val="20"/>
          <w:szCs w:val="20"/>
          <w:color w:val="auto"/>
        </w:rPr>
      </w:pPr>
    </w:p>
    <w:p>
      <w:pPr>
        <w:jc w:val="both"/>
        <w:ind w:right="600" w:firstLine="324"/>
        <w:spacing w:after="0" w:line="286" w:lineRule="auto"/>
        <w:rPr>
          <w:sz w:val="20"/>
          <w:szCs w:val="20"/>
          <w:color w:val="auto"/>
        </w:rPr>
      </w:pPr>
      <w:r>
        <w:rPr>
          <w:rFonts w:ascii="Arial" w:cs="Arial" w:eastAsia="Arial" w:hAnsi="Arial"/>
          <w:sz w:val="17"/>
          <w:szCs w:val="17"/>
          <w:color w:val="auto"/>
        </w:rPr>
        <w:t>In evaluating the suitability of individual candidates for internal positions and to serve on our Board, Selecta is proud to consider many factors, including diversity of expertise and experience in substantive matters pertaining to our company’s business, as well as diversity of background and perspective, including, but not limited to, with respect to age, gender, race, orientation, religion, and relevant experience.</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Matrix</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board diversity matrix presents information as of April 18, 2022 regarding the diversity characteristics of our Board in accordance with Nasdaq listing standard 5606, as self-reported by our directors.</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4640" w:type="dxa"/>
            <w:vAlign w:val="bottom"/>
            <w:tcBorders>
              <w:top w:val="single" w:sz="8" w:color="auto"/>
              <w:left w:val="single" w:sz="8" w:color="auto"/>
              <w:right w:val="single" w:sz="8" w:color="auto"/>
            </w:tcBorders>
          </w:tcPr>
          <w:p>
            <w:pPr>
              <w:spacing w:after="0"/>
              <w:rPr>
                <w:sz w:val="14"/>
                <w:szCs w:val="14"/>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Female</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Male</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Non-Binary</w:t>
            </w: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Did Not</w:t>
            </w:r>
          </w:p>
        </w:tc>
      </w:tr>
      <w:tr>
        <w:trPr>
          <w:trHeight w:val="192"/>
        </w:trPr>
        <w:tc>
          <w:tcPr>
            <w:tcW w:w="4640" w:type="dxa"/>
            <w:vAlign w:val="bottom"/>
            <w:tcBorders>
              <w:left w:val="single" w:sz="8" w:color="auto"/>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Disclose Gender</w:t>
            </w:r>
          </w:p>
        </w:tc>
      </w:tr>
      <w:tr>
        <w:trPr>
          <w:trHeight w:val="196"/>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Directors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52"/>
        </w:trPr>
        <w:tc>
          <w:tcPr>
            <w:tcW w:w="4640" w:type="dxa"/>
            <w:vAlign w:val="bottom"/>
            <w:tcBorders>
              <w:left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Number of Directors</w:t>
            </w:r>
          </w:p>
        </w:tc>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r>
      <w:tr>
        <w:trPr>
          <w:trHeight w:val="192"/>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Who Identify in Any of the Categories Below</w:t>
            </w:r>
          </w:p>
        </w:tc>
        <w:tc>
          <w:tcPr>
            <w:tcW w:w="16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780" w:type="dxa"/>
            <w:vAlign w:val="bottom"/>
            <w:tcBorders>
              <w:bottom w:val="single" w:sz="8" w:color="auto"/>
              <w:right w:val="single" w:sz="8" w:color="auto"/>
            </w:tcBorders>
          </w:tcPr>
          <w:p>
            <w:pPr>
              <w:spacing w:after="0"/>
              <w:rPr>
                <w:sz w:val="16"/>
                <w:szCs w:val="16"/>
                <w:color w:val="auto"/>
              </w:rPr>
            </w:pPr>
          </w:p>
        </w:tc>
      </w:tr>
      <w:tr>
        <w:trPr>
          <w:trHeight w:val="196"/>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African American or Black</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96"/>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Alaskan Native or Native American</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96"/>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Asian</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96"/>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Hispanic or Latinx</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96"/>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Native Hawaiian or Pacific Islander</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96"/>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White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96"/>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Two or More Races or Ethnicities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96"/>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LGBTQ+</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96"/>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Did Not Disclose Demographic Background</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2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Board has adopted an Insider Trading Compliance Policy, which applies to all of our directors, officers and employees. The Insider Trading Compliance Policy prohibits our directors, officers and employees and any entities they control from engaging in all hedging or monetization transactions, such as zero-cost collars and forward sale contracts.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By Members Of The Board At Meetings</w:t>
      </w:r>
    </w:p>
    <w:p>
      <w:pPr>
        <w:spacing w:after="0" w:line="121" w:lineRule="exact"/>
        <w:rPr>
          <w:sz w:val="20"/>
          <w:szCs w:val="20"/>
          <w:color w:val="auto"/>
        </w:rPr>
      </w:pPr>
    </w:p>
    <w:p>
      <w:pPr>
        <w:jc w:val="both"/>
        <w:ind w:right="260" w:firstLine="324"/>
        <w:spacing w:after="0" w:line="311" w:lineRule="auto"/>
        <w:rPr>
          <w:sz w:val="20"/>
          <w:szCs w:val="20"/>
          <w:color w:val="auto"/>
        </w:rPr>
      </w:pPr>
      <w:r>
        <w:rPr>
          <w:rFonts w:ascii="Arial" w:cs="Arial" w:eastAsia="Arial" w:hAnsi="Arial"/>
          <w:sz w:val="16"/>
          <w:szCs w:val="16"/>
          <w:color w:val="auto"/>
        </w:rPr>
        <w:t>There were twelve meetings of the Board during the fiscal year ended December 31, 2021. Our independent directors also held regularly scheduled executive sessions. During the fiscal year ended December 31, 2021, each director attended at least 75% of the aggregate of (i) all meetings of the Board and (ii) all meetings of the committees on which the director served during the period in which he or she served as a director.</w:t>
      </w:r>
    </w:p>
    <w:p>
      <w:pPr>
        <w:spacing w:after="0" w:line="4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Under our Corporate Governance Guidelines, which are available on the “Corporate Governance” section of the “Investors &amp; Media” page of our website at www.selectabio.com,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then-incumbent eight directors attended the 2021 Annual Meeting of Stockholders.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Board has established four standing committees--Audit, Compensation, Nominating and Corporate Governance, and Research and Development-- each of which operates under a written charter that has been approved by our Board.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members of each of the Board committees and committee Chairs are set forth in the following chart.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Nominating and</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Research and</w:t>
            </w:r>
          </w:p>
        </w:tc>
        <w:tc>
          <w:tcPr>
            <w:tcW w:w="0" w:type="dxa"/>
            <w:vAlign w:val="bottom"/>
          </w:tcPr>
          <w:p>
            <w:pPr>
              <w:spacing w:after="0"/>
              <w:rPr>
                <w:sz w:val="1"/>
                <w:szCs w:val="1"/>
                <w:color w:val="auto"/>
              </w:rPr>
            </w:pPr>
          </w:p>
        </w:tc>
      </w:tr>
      <w:tr>
        <w:trPr>
          <w:trHeight w:val="135"/>
        </w:trPr>
        <w:tc>
          <w:tcPr>
            <w:tcW w:w="5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Audit</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14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Corporate</w:t>
            </w: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40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Governance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0" w:type="dxa"/>
            <w:vAlign w:val="bottom"/>
          </w:tcPr>
          <w:p>
            <w:pPr>
              <w:spacing w:after="0"/>
              <w:rPr>
                <w:sz w:val="1"/>
                <w:szCs w:val="1"/>
                <w:color w:val="auto"/>
              </w:rPr>
            </w:pPr>
          </w:p>
        </w:tc>
      </w:tr>
      <w:tr>
        <w:trPr>
          <w:trHeight w:val="184"/>
        </w:trPr>
        <w:tc>
          <w:tcPr>
            <w:tcW w:w="5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Göran Ando, M.D.</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Chair</w:t>
            </w:r>
          </w:p>
        </w:tc>
        <w:tc>
          <w:tcPr>
            <w:tcW w:w="0" w:type="dxa"/>
            <w:vAlign w:val="bottom"/>
          </w:tcPr>
          <w:p>
            <w:pPr>
              <w:spacing w:after="0"/>
              <w:rPr>
                <w:sz w:val="1"/>
                <w:szCs w:val="1"/>
                <w:color w:val="auto"/>
              </w:rPr>
            </w:pPr>
          </w:p>
        </w:tc>
      </w:tr>
      <w:tr>
        <w:trPr>
          <w:trHeight w:val="186"/>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Timothy C. Barabe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Chair</w:t>
            </w:r>
          </w:p>
        </w:tc>
        <w:tc>
          <w:tcPr>
            <w:tcW w:w="13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92"/>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Carrie S. Cox</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86"/>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Nishan de Silva, M.D., M.B.A.</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2"/>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Scott D. Myers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Chair</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86"/>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Aymeric Sallin</w:t>
            </w:r>
          </w:p>
        </w:tc>
        <w:tc>
          <w:tcPr>
            <w:tcW w:w="134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92"/>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Timothy A. Springer, Ph.D.</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Patrick Zenner</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Chair</w:t>
            </w:r>
          </w:p>
        </w:tc>
        <w:tc>
          <w:tcPr>
            <w:tcW w:w="140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Audit Committee’s responsibilities include:</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117"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117"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w:t>
      </w:r>
    </w:p>
    <w:p>
      <w:pPr>
        <w:spacing w:after="0" w:line="11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Audit Committee charter is available on the “Corporate Governance” section of the “Investors &amp; Media” page of our website at www.selectabio.com. The members of the Audit Committee are Timothy C. Barabe, Carrie S. Cox and Patrick Zenner. Mr. Barabe serves as the Chairperson of the committee. Our Board has affirmatively determined that each of Mr. Barabe, Ms. Cox and Mr. Zenner is independent for purposes of serving on an audit committee under Rule 10A-3 promulgated under the Securities Exchange Act of 1934, as amended (the “Exchange Act”) and the Nasdaq rules. The members of our Audit Committee meet the requirements for financial literacy under the applicable rules of Nasdaq. Our Board has determined that each of Mr. Barabe and Mr. Zenner qualifies as an “audit committee financial expert” as defined by Item 407(d)(5)(ii) of Regulation S-K.</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2021, the Audit Committee met six times.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CEO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with respect to, the compensation of our CEO and other executive officers;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administering our cash and equity incentive plans;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director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if required by SEC rules.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Compensation Committee has the authority to retain or obtain the advice of compensation consultants, legal counsel and other advisors to assist it in carrying out its responsibilities.</w:t>
      </w:r>
    </w:p>
    <w:p>
      <w:pPr>
        <w:spacing w:after="0" w:line="6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Compensation Committee may delegate its authority under its charter to one or more subcommittees as it deems appropriate from time to time as further described in its charter, which is available on the “Corporate Governance” section of the “Investors &amp; Media” page of our website at www.selectabio.com. The Compensation Committee may also delegate to an officer the authority to grant equity awards to certain employees, as further described in its charter and subject to the terms of our equity plans.</w:t>
      </w: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2021, the Compensation Committee engaged Radford Survey and Consulting, an Aon Hewitt company and compensation consulting firm (“Radford”), to assess and make recommendations with respect to the amount and types of compensation to provide our executives and directors. Radford reported directly to the Compensation Committee; however, our Chief Executive Officer consulted with Radford with respect to its assessments of the compensation of executive officers other than the Chief Executive Officer. The Compensation Committee reviewed compensation assessments provided by Radford comparing our compensation to that of a group of peer companies within our industry and met with Radford to discuss compensation of our executive officers and our Board, including the Chief Executive Officer, and to receive input and advice. The Compensation Committee has considered the adviser independence factors required under SEC rules as they relate to Radford and does not believe Radford’s work in 2021 raised a conflict of interest.</w:t>
      </w:r>
    </w:p>
    <w:p>
      <w:pPr>
        <w:spacing w:after="0" w:line="5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2022, the Compensation Committee engaged Compensia, Inc. (“Compensia”) to assess and make recommendations with respect to the amount and types of compensation to provide our executives and directors, and Radford was relieved of these duties.</w:t>
      </w:r>
    </w:p>
    <w:p>
      <w:pPr>
        <w:spacing w:after="0" w:line="6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Compensation Committee uses competitive compensation data from an annual total compensation study of peer companies performed by Radford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69" w:lineRule="exact"/>
        <w:rPr>
          <w:sz w:val="20"/>
          <w:szCs w:val="20"/>
          <w:color w:val="auto"/>
        </w:rPr>
      </w:pPr>
    </w:p>
    <w:p>
      <w:pPr>
        <w:jc w:val="both"/>
        <w:ind w:right="260" w:firstLine="324"/>
        <w:spacing w:after="0" w:line="220" w:lineRule="exact"/>
        <w:rPr>
          <w:sz w:val="20"/>
          <w:szCs w:val="20"/>
          <w:color w:val="auto"/>
        </w:rPr>
      </w:pPr>
      <w:r>
        <w:rPr>
          <w:rFonts w:ascii="Arial" w:cs="Arial" w:eastAsia="Arial" w:hAnsi="Arial"/>
          <w:sz w:val="18"/>
          <w:szCs w:val="18"/>
          <w:color w:val="auto"/>
        </w:rPr>
        <w:t>The members of the Compensation Committee are Scott D. Myers, Göran Ando, M.D., Carrie S. Cox and Aymeric Sallin. Scott D. Myers serves as Chairperson of the committee. Our Board has determined that each of Mr. Myers, Dr. Ando, Ms. Cox and Mr. Sallin is independent under the applicable SEC and Nasdaq rules, including the heightened standard for independence specific to members of a compensation committee, and is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as defined in Rule 16b</w:t>
      </w:r>
      <w:r>
        <w:rPr>
          <w:rFonts w:ascii="MS PGothic" w:cs="MS PGothic" w:eastAsia="MS PGothic" w:hAnsi="MS PGothic"/>
          <w:sz w:val="18"/>
          <w:szCs w:val="18"/>
          <w:color w:val="auto"/>
        </w:rPr>
        <w:t>‑</w:t>
      </w:r>
      <w:r>
        <w:rPr>
          <w:rFonts w:ascii="Arial" w:cs="Arial" w:eastAsia="Arial" w:hAnsi="Arial"/>
          <w:sz w:val="18"/>
          <w:szCs w:val="18"/>
          <w:color w:val="auto"/>
        </w:rPr>
        <w:t>3 promulgated under the Exchange Act.</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2021, the Compensation Committee met seven times.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recommending to our Board the persons to be nominated for election as directors and to each board committee;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management succession planning;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recommending to our Board corporate governance principles;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a periodic assessment of our Board.</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Nominating and Corporate Governance Committee charter is available on the “Corporate Governance” section of the “Investors &amp; Media” page of our website at www.selectabio.com. The members of the Nominating and Corporate Governance Committee are Patrick Zenner, Scott D. Myers and Timothy A. Springer, Ph.D. Mr. Zenner serves as the Chairperson of the committee. Our Board has determined that Mr. Myers, Dr. Springer and Mr. Zenner are independent under the applicable Nasdaq rules.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2021, the Nominating and Corporate Governance Committee met five times.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Committee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Research and Development Committee of the Board (the “Research and Development Committee”)’s responsibilities include:</w:t>
      </w:r>
    </w:p>
    <w:p>
      <w:pPr>
        <w:spacing w:after="0" w:line="117" w:lineRule="exact"/>
        <w:rPr>
          <w:sz w:val="20"/>
          <w:szCs w:val="20"/>
          <w:color w:val="auto"/>
        </w:rPr>
      </w:pPr>
    </w:p>
    <w:p>
      <w:pPr>
        <w:ind w:left="660" w:right="2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Company’s research and development strategy as well as the Company’s long-term strategic goals and objectives, and monitoring the Company’s progress in achieving such goals and objectives;</w:t>
      </w:r>
    </w:p>
    <w:p>
      <w:pPr>
        <w:spacing w:after="0" w:line="6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advising the Board on scientific, technological, and research and development matters, and on strategic issues associated with the Company’s product pipeline and technology;</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the effectiveness and competitiveness of the Company’s position and strategies in relation to emerging scientific and technology trends and activities relevant to the success of the Company’s product pipeline and technology;</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quality, direction, and competitiveness of the Company’s research and development programs, and product pipeline;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organization, resources and capabilities of the Company’s research, analytical, CMC, and clinical departments;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strategies and approaches to acquiring, in licensing, out licensing, and maintaining innovation and technology positions;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advising the Board on the scientific, medical, and technical aspects of significant acquisitions, in licenses, out licenses, and other strategic business development transactions;</w:t>
      </w:r>
    </w:p>
    <w:p>
      <w:pPr>
        <w:spacing w:after="0" w:line="62" w:lineRule="exact"/>
        <w:rPr>
          <w:rFonts w:ascii="Arial" w:cs="Arial" w:eastAsia="Arial" w:hAnsi="Arial"/>
          <w:sz w:val="18"/>
          <w:szCs w:val="18"/>
          <w:color w:val="auto"/>
        </w:rPr>
      </w:pPr>
    </w:p>
    <w:p>
      <w:pPr>
        <w:ind w:left="660" w:right="26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assisting the Company in reviewing, as requested, the capabilities of the Company’s current and prospective key scientific, clinical, medical, or technical personnel and engagement with key opinion leaders, and the depth and breadth of the Company’s scientific resources;</w:t>
      </w:r>
    </w:p>
    <w:p>
      <w:pPr>
        <w:spacing w:after="0" w:line="15" w:lineRule="exact"/>
        <w:rPr>
          <w:rFonts w:ascii="Arial" w:cs="Arial" w:eastAsia="Arial" w:hAnsi="Arial"/>
          <w:sz w:val="16"/>
          <w:szCs w:val="16"/>
          <w:color w:val="auto"/>
        </w:rPr>
      </w:pPr>
    </w:p>
    <w:p>
      <w:pPr>
        <w:ind w:left="660" w:right="4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advising the Board, and the committees of the Board, as requested, with regard to performance and succession planning of the Company’s officers and other leadership of the research and development, manufacturing, medical, and other technical or scientific functions within the Company;</w:t>
      </w:r>
    </w:p>
    <w:p>
      <w:pPr>
        <w:spacing w:after="0" w:line="1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counsel and know-how to the Company’s management in the area of research and development and the Company’s product pipeline and technology; and</w:t>
      </w:r>
    </w:p>
    <w:p>
      <w:pPr>
        <w:spacing w:after="0" w:line="62" w:lineRule="exact"/>
        <w:rPr>
          <w:rFonts w:ascii="Arial" w:cs="Arial" w:eastAsia="Arial" w:hAnsi="Arial"/>
          <w:sz w:val="18"/>
          <w:szCs w:val="18"/>
          <w:color w:val="auto"/>
        </w:rPr>
      </w:pPr>
    </w:p>
    <w:p>
      <w:pPr>
        <w:ind w:left="340" w:right="320" w:hanging="8"/>
        <w:spacing w:after="0" w:line="402" w:lineRule="auto"/>
        <w:tabs>
          <w:tab w:leader="none" w:pos="6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carrying out other tasks or providing other advice related to the Company’s product pipeline and technology as may be requested by the Board The Research and Development Committee was formed in September 2021, and met one time in 2021.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This Compensation Discussion and Analysis is intended to assist our stockholders in understanding our executive compensation program by providing an overview of our executive compensation-related policies, practices, and decisions for 2021. It also explains how we determined the material elements of compensation for our principal executive officer, our principal financial officer, and the three executive officers (other than our principal executive officer and principal financial officer) who were our most highly compensated executive officers as of December 31, 2021, and who we refer to as our “Named Executive Officers.” For 2021, our Named Executive Officers were:</w:t>
      </w:r>
    </w:p>
    <w:p>
      <w:pPr>
        <w:spacing w:after="0" w:line="8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Carsten Brunn, Ph.D., our President and Chief Executive Officer (our “CEO”);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Kevin Tan, our Chief Financial Officer (our “CFO”);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Bradford D. Dahms, our former Chief Financial Officer, who served as our principal financial and accounting officer during portions of 2021;</w:t>
      </w:r>
    </w:p>
    <w:p>
      <w:pPr>
        <w:spacing w:after="0" w:line="128" w:lineRule="exact"/>
        <w:rPr>
          <w:rFonts w:ascii="Arial" w:cs="Arial" w:eastAsia="Arial" w:hAnsi="Arial"/>
          <w:sz w:val="17"/>
          <w:szCs w:val="17"/>
          <w:color w:val="auto"/>
        </w:rPr>
      </w:pPr>
    </w:p>
    <w:p>
      <w:pPr>
        <w:ind w:left="660" w:right="4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 K. Donohue, our V.P. Finance and Corporate Controller and former principal financial officer, who served as our principal financial and accounting officer during portions of 2021;</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Peter G. Traber, M.D., our Chief Medical Officer;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Takashi Kei Kishimoto, Ph.D., our Chief Scientific Officer;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Lloyd Johnston, Ph.D., our Chief Operations Officer.</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Specifically, this Compensation Discussion and Analysis provides an overview of our executive compensation philosophy, the overall objectives of our executive compensation program, and each compensation element that we provide to our executive officers. In addition, it explains how and why the Compensation Committee of our Board (the “Compensation Committee”) arrived at the specific compensation decisions for our executive officers, including our Named Executive Officers, in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are a clinical-stage biopharmaceutical company. Our ImmTOR® platform encapsulates rapamycin, also known as sirolimus, an FDA approved immunomodulator, in biodegradable nanoparticles ImmTOR is designed to induce antigen-specific immune tolerance.</w:t>
      </w:r>
    </w:p>
    <w:p>
      <w:pPr>
        <w:spacing w:after="0" w:line="6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By combining ImmTOR with antigens of interest, our precision immune tolerance platform has the potential to restore self-tolerance to auto-antigens in autoimmune diseases, amplify the efficacy of biologics (including gene therapies) and mitigate the formation of anti-drug antibodies, or ADAs, against biologic drugs.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Business Highlights</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Received positive top-line data of SEL-399 in a Phase 1 trial.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Completed enrollment of DISSOLVE I Phase 3 trial for SEL-212 for the potential treatment of chronic refractory gout.</w:t>
      </w:r>
    </w:p>
    <w:p>
      <w:pPr>
        <w:spacing w:after="0" w:line="246" w:lineRule="exact"/>
        <w:rPr>
          <w:rFonts w:ascii="Arial" w:cs="Arial" w:eastAsia="Arial" w:hAnsi="Arial"/>
          <w:sz w:val="18"/>
          <w:szCs w:val="18"/>
          <w:color w:val="auto"/>
        </w:rPr>
      </w:pPr>
    </w:p>
    <w:p>
      <w:pPr>
        <w:ind w:left="660" w:right="300" w:hanging="328"/>
        <w:spacing w:after="0" w:line="22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Observed synergistic activity of ImmTOR and IL-2 (which we refer to as ImmTOR-IL</w:t>
      </w:r>
      <w:r>
        <w:rPr>
          <w:rFonts w:ascii="Arial" w:cs="Arial" w:eastAsia="Arial" w:hAnsi="Arial"/>
          <w:sz w:val="23"/>
          <w:szCs w:val="23"/>
          <w:color w:val="auto"/>
          <w:vertAlign w:val="superscript"/>
        </w:rPr>
        <w:t>TM</w:t>
      </w:r>
      <w:r>
        <w:rPr>
          <w:rFonts w:ascii="Arial" w:cs="Arial" w:eastAsia="Arial" w:hAnsi="Arial"/>
          <w:sz w:val="18"/>
          <w:szCs w:val="18"/>
          <w:color w:val="auto"/>
        </w:rPr>
        <w:t>) in expanding antigen-specific regulatory T cells and improving durability of immune tolerance.</w:t>
      </w:r>
    </w:p>
    <w:p>
      <w:pPr>
        <w:spacing w:after="0" w:line="2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investigational new drug application for methylmalonic acidemia program.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Operated within internal budget for 2021.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Received $3 million payment from Sarepta for the completion of pre-specified pre-clinical milestones.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Strengthened executive team with additions of Mr. Tan and Kristen Baldwin, our Chief People Officer.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Appointed Dr. de Silva to Board.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Participated in several healthcare industry conferences.</w:t>
      </w:r>
    </w:p>
    <w:p>
      <w:pPr>
        <w:spacing w:after="0" w:line="252"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Entered into strategic licensing agreement with Takeda Pharmaceuticals USA, Inc. to develop therapies for patients with lysosomal storage disorders.</w:t>
      </w:r>
    </w:p>
    <w:p>
      <w:pPr>
        <w:sectPr>
          <w:pgSz w:w="11900" w:h="16838" w:orient="portrait"/>
          <w:cols w:equalWidth="0" w:num="1">
            <w:col w:w="11220"/>
          </w:cols>
          <w:pgMar w:left="320" w:top="125" w:right="359"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Entered into collaboration with Cyrus Biotechnology, Inc. to develop novel engineered therapeutic proteins.</w:t>
      </w:r>
    </w:p>
    <w:p>
      <w:pPr>
        <w:spacing w:after="0" w:line="252"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Entered into Exclusive License Agreement with Genovis AB (publ.) to in-license novel IgG protease, Xork, to treat certain IgG-mediated autoimmune diseases and potentially unlock full potential of transformative gene therapies.</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Entered into partnership with Ginkgo Bioworks Holdings, Inc. (“Ginkgo Bioworks”) to create potentially transformative enzymes to treat select auto-immune diseases.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Entered into collaboration with Ginkgo Bioworks to develop next-generation gene therapy capsids.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Hired Jude Samulski, Ph.D. as gene therapy special advisor.</w:t>
      </w:r>
    </w:p>
    <w:p>
      <w:pPr>
        <w:spacing w:after="0" w:line="252"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Matured and professionalized people and culture operations in the form of transparent and data-driven compensation practices for non-executive employees, marked increase in internal communications, cutting-edge talent management tools, and launch of company-wide culture and engagement initiatives.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Raised $51.9 million in net proceeds through use of at-the-market facilities with SVB Securities LLC and Jefferies LLC.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After year end, in April 2022, raised $36 million in net proceeds through an SEC-registered securities offering.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Executive Compensation Highlights</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Consistent with our performance and compensation philosophy, the Compensation Committee (and, in the case of Ms. Donohue, Dr. Brunn) took the following compensation actions for our Named Executive Officers for 2021:</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880" w:type="dxa"/>
            <w:vAlign w:val="bottom"/>
            <w:tcBorders>
              <w:top w:val="single" w:sz="8" w:color="auto"/>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b w:val="1"/>
                <w:bCs w:val="1"/>
                <w:color w:val="auto"/>
              </w:rPr>
              <w:t>Named Executive Officer</w:t>
            </w:r>
          </w:p>
        </w:tc>
        <w:tc>
          <w:tcPr>
            <w:tcW w:w="18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2021 Base Salary Increase</w:t>
            </w:r>
          </w:p>
        </w:tc>
        <w:tc>
          <w:tcPr>
            <w:tcW w:w="18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2021 Annual Bonus</w:t>
            </w:r>
          </w:p>
        </w:tc>
        <w:tc>
          <w:tcPr>
            <w:tcW w:w="186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2021 Annual Time-Based</w:t>
            </w:r>
          </w:p>
        </w:tc>
        <w:tc>
          <w:tcPr>
            <w:tcW w:w="18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2021 Performance-Based</w:t>
            </w:r>
          </w:p>
        </w:tc>
        <w:tc>
          <w:tcPr>
            <w:tcW w:w="18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 Restricted</w:t>
            </w:r>
          </w:p>
        </w:tc>
      </w:tr>
      <w:tr>
        <w:trPr>
          <w:trHeight w:val="135"/>
        </w:trPr>
        <w:tc>
          <w:tcPr>
            <w:tcW w:w="188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from 2020</w:t>
            </w:r>
          </w:p>
        </w:tc>
        <w:tc>
          <w:tcPr>
            <w:tcW w:w="1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1"/>
              </w:rPr>
              <w:t>as a Percentage of Target</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Restricted Stock Units Award</w:t>
            </w:r>
          </w:p>
        </w:tc>
        <w:tc>
          <w:tcPr>
            <w:tcW w:w="1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Restricted Stock Units Award</w:t>
            </w:r>
          </w:p>
        </w:tc>
        <w:tc>
          <w:tcPr>
            <w:tcW w:w="1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Stock Units Actually Realized</w:t>
            </w:r>
          </w:p>
        </w:tc>
      </w:tr>
      <w:tr>
        <w:trPr>
          <w:trHeight w:val="188"/>
        </w:trPr>
        <w:tc>
          <w:tcPr>
            <w:tcW w:w="1880" w:type="dxa"/>
            <w:vAlign w:val="bottom"/>
            <w:tcBorders>
              <w:left w:val="single" w:sz="8" w:color="auto"/>
              <w:bottom w:val="single" w:sz="8" w:color="auto"/>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Bonus</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 of shares)</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 of shares)</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at Target/Maximum</w:t>
            </w:r>
          </w:p>
        </w:tc>
      </w:tr>
      <w:tr>
        <w:trPr>
          <w:trHeight w:val="181"/>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Carsten Brunn, Ph.D.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55%</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137,200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75,000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100%</w:t>
            </w:r>
          </w:p>
        </w:tc>
      </w:tr>
      <w:tr>
        <w:trPr>
          <w:trHeight w:val="183"/>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Kevin Tan</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183"/>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Bradford D. Dahms</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6.7%</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83"/>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Ann K. Donohue</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183"/>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Peter G. Traber, M.D.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47,100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100%</w:t>
            </w:r>
          </w:p>
        </w:tc>
      </w:tr>
      <w:tr>
        <w:trPr>
          <w:trHeight w:val="183"/>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w w:val="99"/>
              </w:rPr>
              <w:t>Takashi Kei Kishimoto, Ph.D.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3.4%</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100%</w:t>
            </w:r>
          </w:p>
        </w:tc>
      </w:tr>
      <w:tr>
        <w:trPr>
          <w:trHeight w:val="183"/>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Lloyd Johnston, Ph.D.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100%</w:t>
            </w:r>
          </w:p>
        </w:tc>
      </w:tr>
    </w:tbl>
    <w:p>
      <w:pPr>
        <w:spacing w:after="0" w:line="188" w:lineRule="exact"/>
        <w:rPr>
          <w:sz w:val="20"/>
          <w:szCs w:val="20"/>
          <w:color w:val="auto"/>
        </w:rPr>
      </w:pPr>
    </w:p>
    <w:p>
      <w:pPr>
        <w:ind w:left="340" w:right="800"/>
        <w:spacing w:after="0" w:line="375" w:lineRule="auto"/>
        <w:rPr>
          <w:sz w:val="20"/>
          <w:szCs w:val="20"/>
          <w:color w:val="auto"/>
        </w:rPr>
      </w:pPr>
      <w:r>
        <w:rPr>
          <w:rFonts w:ascii="Arial" w:cs="Arial" w:eastAsia="Arial" w:hAnsi="Arial"/>
          <w:sz w:val="18"/>
          <w:szCs w:val="18"/>
          <w:color w:val="auto"/>
        </w:rPr>
        <w:t xml:space="preserve">* Mr. Dahms resigned from our Company prior to meeting the performance conditions for the vesting of performance-based restricted stock. </w:t>
      </w:r>
      <w:r>
        <w:rPr>
          <w:rFonts w:ascii="Arial" w:cs="Arial" w:eastAsia="Arial" w:hAnsi="Arial"/>
          <w:sz w:val="18"/>
          <w:szCs w:val="18"/>
          <w:b w:val="1"/>
          <w:bCs w:val="1"/>
          <w:i w:val="1"/>
          <w:iCs w:val="1"/>
          <w:color w:val="auto"/>
        </w:rPr>
        <w:t>Emphasis on Variable and Performance-Based Compensation</w:t>
      </w:r>
    </w:p>
    <w:p>
      <w:pPr>
        <w:spacing w:after="0" w:line="1"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The annual compensation of our executive officers, including our Named Executive Officers, varies from year to year based on our corporate financial and operational results and individual performance. Consistent with our compensation philosophy, our executive compensation program emphasizes “variable” pay over “fixed” pay and seeks to balance short-term and long-term incentives, as well as performance-based and time-based incentives. In 2021, the majority of the target total direct compensation of our CEO consisted of variable pay, including cash awarded under our annual bonus plan and long-term incentives in the form of equity awards for which value is likely to be variable. Fixed pay, primarily consisting of base salary, made up only</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15.5% of our CEO’s target total direct compensation in 2021, while variable pay, consisting of annual incentives in the form of an annual bonus program and long-term incentives in the form of equity awards, made up 84.5% of his target total direct compensation. Similar allocations applied to our other executive officers, including our other Named Executive Officers. The following chart shows the percentages of target variable pay versus target fixed pay for our CEO and our other Named Executive Officers in 2021:</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50" w:type="dxa"/>
        <w:tblCellMar>
          <w:top w:w="0" w:type="dxa"/>
          <w:left w:w="0" w:type="dxa"/>
          <w:bottom w:w="0" w:type="dxa"/>
          <w:right w:w="0" w:type="dxa"/>
        </w:tblCellMar>
      </w:tblPr>
      <w:tr>
        <w:trPr>
          <w:trHeight w:val="201"/>
        </w:trPr>
        <w:tc>
          <w:tcPr>
            <w:tcW w:w="224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Named Executive Officer</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6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4"/>
                <w:szCs w:val="14"/>
                <w:b w:val="1"/>
                <w:bCs w:val="1"/>
                <w:color w:val="auto"/>
              </w:rPr>
              <w:t>Total Pay (2021)</w:t>
            </w:r>
          </w:p>
        </w:tc>
        <w:tc>
          <w:tcPr>
            <w:tcW w:w="224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Percentage of Pay (Fixed)</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Percentage of Pay (Variable)</w:t>
            </w:r>
          </w:p>
        </w:tc>
      </w:tr>
      <w:tr>
        <w:trPr>
          <w:trHeight w:val="130"/>
        </w:trPr>
        <w:tc>
          <w:tcPr>
            <w:tcW w:w="2240" w:type="dxa"/>
            <w:vAlign w:val="bottom"/>
            <w:tcBorders>
              <w:left w:val="single" w:sz="8" w:color="auto"/>
              <w:right w:val="single" w:sz="8" w:color="auto"/>
            </w:tcBorders>
          </w:tcPr>
          <w:p>
            <w:pPr>
              <w:ind w:left="40"/>
              <w:spacing w:after="0" w:line="130" w:lineRule="exact"/>
              <w:rPr>
                <w:sz w:val="20"/>
                <w:szCs w:val="20"/>
                <w:color w:val="auto"/>
              </w:rPr>
            </w:pPr>
            <w:r>
              <w:rPr>
                <w:rFonts w:ascii="Arial" w:cs="Arial" w:eastAsia="Arial" w:hAnsi="Arial"/>
                <w:sz w:val="14"/>
                <w:szCs w:val="14"/>
                <w:color w:val="auto"/>
              </w:rPr>
              <w:t>Carsten Brunn, Ph.D.</w:t>
            </w:r>
          </w:p>
        </w:tc>
        <w:tc>
          <w:tcPr>
            <w:tcW w:w="222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color w:val="auto"/>
                <w:w w:val="92"/>
              </w:rPr>
              <w:t>President and Chief Executive</w:t>
            </w:r>
          </w:p>
        </w:tc>
        <w:tc>
          <w:tcPr>
            <w:tcW w:w="226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color w:val="auto"/>
                <w:w w:val="94"/>
              </w:rPr>
              <w:t>$3,671,395</w:t>
            </w:r>
          </w:p>
        </w:tc>
        <w:tc>
          <w:tcPr>
            <w:tcW w:w="224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color w:val="auto"/>
                <w:w w:val="95"/>
              </w:rPr>
              <w:t>15.5%</w:t>
            </w:r>
          </w:p>
        </w:tc>
        <w:tc>
          <w:tcPr>
            <w:tcW w:w="224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color w:val="auto"/>
                <w:w w:val="95"/>
              </w:rPr>
              <w:t>84.5%</w:t>
            </w:r>
          </w:p>
        </w:tc>
      </w:tr>
      <w:tr>
        <w:trPr>
          <w:trHeight w:val="186"/>
        </w:trPr>
        <w:tc>
          <w:tcPr>
            <w:tcW w:w="2240" w:type="dxa"/>
            <w:vAlign w:val="bottom"/>
            <w:tcBorders>
              <w:left w:val="single" w:sz="8" w:color="auto"/>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Officer</w:t>
            </w:r>
          </w:p>
        </w:tc>
        <w:tc>
          <w:tcPr>
            <w:tcW w:w="22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183"/>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Kevin Tan</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Chief Financial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$2,601,621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95.8%</w:t>
            </w:r>
          </w:p>
        </w:tc>
      </w:tr>
      <w:tr>
        <w:trPr>
          <w:trHeight w:val="183"/>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Bradford D. Dahms</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Former Chief Financial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$868,052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21.1%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78.9%</w:t>
            </w:r>
          </w:p>
        </w:tc>
      </w:tr>
      <w:tr>
        <w:trPr>
          <w:trHeight w:val="132"/>
        </w:trPr>
        <w:tc>
          <w:tcPr>
            <w:tcW w:w="2240" w:type="dxa"/>
            <w:vAlign w:val="bottom"/>
            <w:tcBorders>
              <w:left w:val="single" w:sz="8" w:color="auto"/>
              <w:right w:val="single" w:sz="8" w:color="auto"/>
            </w:tcBorders>
          </w:tcPr>
          <w:p>
            <w:pPr>
              <w:ind w:left="40"/>
              <w:spacing w:after="0" w:line="132" w:lineRule="exact"/>
              <w:rPr>
                <w:sz w:val="20"/>
                <w:szCs w:val="20"/>
                <w:color w:val="auto"/>
              </w:rPr>
            </w:pPr>
            <w:r>
              <w:rPr>
                <w:rFonts w:ascii="Arial" w:cs="Arial" w:eastAsia="Arial" w:hAnsi="Arial"/>
                <w:sz w:val="14"/>
                <w:szCs w:val="14"/>
                <w:color w:val="auto"/>
              </w:rPr>
              <w:t>Ann K. Donohue</w:t>
            </w:r>
          </w:p>
        </w:tc>
        <w:tc>
          <w:tcPr>
            <w:tcW w:w="22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4"/>
                <w:szCs w:val="14"/>
                <w:color w:val="auto"/>
                <w:w w:val="93"/>
              </w:rPr>
              <w:t>VP, Finance, Former Principal</w:t>
            </w:r>
          </w:p>
        </w:tc>
        <w:tc>
          <w:tcPr>
            <w:tcW w:w="226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4"/>
                <w:szCs w:val="14"/>
                <w:color w:val="auto"/>
                <w:w w:val="92"/>
              </w:rPr>
              <w:t>$361,493</w:t>
            </w:r>
          </w:p>
        </w:tc>
        <w:tc>
          <w:tcPr>
            <w:tcW w:w="224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4"/>
                <w:szCs w:val="14"/>
                <w:color w:val="auto"/>
                <w:w w:val="95"/>
              </w:rPr>
              <w:t>57.8%</w:t>
            </w:r>
          </w:p>
        </w:tc>
        <w:tc>
          <w:tcPr>
            <w:tcW w:w="224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4"/>
                <w:szCs w:val="14"/>
                <w:color w:val="auto"/>
                <w:w w:val="95"/>
              </w:rPr>
              <w:t>42.2%</w:t>
            </w:r>
          </w:p>
        </w:tc>
      </w:tr>
      <w:tr>
        <w:trPr>
          <w:trHeight w:val="186"/>
        </w:trPr>
        <w:tc>
          <w:tcPr>
            <w:tcW w:w="2240" w:type="dxa"/>
            <w:vAlign w:val="bottom"/>
            <w:tcBorders>
              <w:left w:val="single" w:sz="8" w:color="auto"/>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Financial Officer</w:t>
            </w:r>
          </w:p>
        </w:tc>
        <w:tc>
          <w:tcPr>
            <w:tcW w:w="22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183"/>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Peter G. Traber, M.D.</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Chief Medical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$1,600,685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27.5%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72.5%</w:t>
            </w:r>
          </w:p>
        </w:tc>
      </w:tr>
      <w:tr>
        <w:trPr>
          <w:trHeight w:val="183"/>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Takashi Kei Kishimoto, Ph.D.</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Chief Scientific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$1,306,675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30.6%</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69.4%</w:t>
            </w:r>
          </w:p>
        </w:tc>
      </w:tr>
      <w:tr>
        <w:trPr>
          <w:trHeight w:val="183"/>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Lloyd Johnston, Ph.D.</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Chief Operations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$1,304,845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30.6%</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69.4%</w:t>
            </w:r>
          </w:p>
        </w:tc>
      </w:tr>
    </w:tbl>
    <w:p>
      <w:pPr>
        <w:spacing w:after="0" w:line="200" w:lineRule="exact"/>
        <w:rPr>
          <w:sz w:val="20"/>
          <w:szCs w:val="20"/>
          <w:color w:val="auto"/>
        </w:rPr>
      </w:pPr>
    </w:p>
    <w:p>
      <w:pPr>
        <w:spacing w:after="0" w:line="3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Practices</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endeavor to maintain sound executive compensation policies and practices, including compensation-related corporate governance standards, consistent with our executive compensation philosophy. During 2021,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What We Do</w:t>
      </w:r>
    </w:p>
    <w:p>
      <w:pPr>
        <w:spacing w:after="0" w:line="279" w:lineRule="exact"/>
        <w:rPr>
          <w:sz w:val="20"/>
          <w:szCs w:val="20"/>
          <w:color w:val="auto"/>
        </w:rPr>
      </w:pPr>
    </w:p>
    <w:p>
      <w:pPr>
        <w:jc w:val="both"/>
        <w:ind w:left="820" w:right="260" w:hanging="146"/>
        <w:spacing w:after="0" w:line="342" w:lineRule="auto"/>
        <w:tabs>
          <w:tab w:leader="none" w:pos="1144"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Compensation Committee Independence </w:t>
      </w:r>
      <w:r>
        <w:rPr>
          <w:rFonts w:ascii="Arial" w:cs="Arial" w:eastAsia="Arial" w:hAnsi="Arial"/>
          <w:sz w:val="16"/>
          <w:szCs w:val="16"/>
          <w:color w:val="auto"/>
        </w:rPr>
        <w:t>– Our Board maintains a Compensation Committee comprised solely of independent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 have established effective means for communicating with our stockholders regarding their executive compensation ideas and concerns.</w:t>
      </w:r>
    </w:p>
    <w:p>
      <w:pPr>
        <w:spacing w:after="0" w:line="56" w:lineRule="exact"/>
        <w:rPr>
          <w:rFonts w:ascii="Arial" w:cs="Arial" w:eastAsia="Arial" w:hAnsi="Arial"/>
          <w:sz w:val="16"/>
          <w:szCs w:val="16"/>
          <w:b w:val="1"/>
          <w:bCs w:val="1"/>
          <w:color w:val="auto"/>
        </w:rPr>
      </w:pPr>
    </w:p>
    <w:p>
      <w:pPr>
        <w:ind w:left="820" w:right="80" w:hanging="146"/>
        <w:spacing w:after="0" w:line="219" w:lineRule="auto"/>
        <w:tabs>
          <w:tab w:leader="none" w:pos="114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Compensation Committee Advisor Independence </w:t>
      </w:r>
      <w:r>
        <w:rPr>
          <w:rFonts w:ascii="Arial" w:cs="Arial" w:eastAsia="Arial" w:hAnsi="Arial"/>
          <w:sz w:val="18"/>
          <w:szCs w:val="18"/>
          <w:color w:val="auto"/>
        </w:rPr>
        <w:t>– The Compensation Committee engages and retains its own advisors. During 2021,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engaged Radford to assist with its responsibilities. In 2022, the Compensation Committee engaged Compensia to assist moving forward, and relieved Radford of its advisory duties on executive compensation. Compensia performs no consulting or other services for the Company.</w:t>
      </w:r>
    </w:p>
    <w:p>
      <w:pPr>
        <w:spacing w:after="0" w:line="216" w:lineRule="exact"/>
        <w:rPr>
          <w:rFonts w:ascii="Arial" w:cs="Arial" w:eastAsia="Arial" w:hAnsi="Arial"/>
          <w:sz w:val="18"/>
          <w:szCs w:val="18"/>
          <w:b w:val="1"/>
          <w:bCs w:val="1"/>
          <w:color w:val="auto"/>
        </w:rPr>
      </w:pPr>
    </w:p>
    <w:p>
      <w:pPr>
        <w:ind w:left="820" w:right="380" w:hanging="146"/>
        <w:spacing w:after="0" w:line="235" w:lineRule="auto"/>
        <w:tabs>
          <w:tab w:leader="none" w:pos="114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Annual Compensation Review </w:t>
      </w:r>
      <w:r>
        <w:rPr>
          <w:rFonts w:ascii="Arial" w:cs="Arial" w:eastAsia="Arial" w:hAnsi="Arial"/>
          <w:sz w:val="18"/>
          <w:szCs w:val="18"/>
          <w:color w:val="auto"/>
        </w:rPr>
        <w:t>– The Compensation Committee conducts an annual review of our executive compensation philosophy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strategy, including a review of the compensation peer group used for comparative purposes.</w:t>
      </w:r>
    </w:p>
    <w:p>
      <w:pPr>
        <w:spacing w:after="0" w:line="215" w:lineRule="exact"/>
        <w:rPr>
          <w:rFonts w:ascii="Arial" w:cs="Arial" w:eastAsia="Arial" w:hAnsi="Arial"/>
          <w:sz w:val="18"/>
          <w:szCs w:val="18"/>
          <w:b w:val="1"/>
          <w:bCs w:val="1"/>
          <w:color w:val="auto"/>
        </w:rPr>
      </w:pPr>
    </w:p>
    <w:p>
      <w:pPr>
        <w:ind w:left="820" w:right="440" w:hanging="146"/>
        <w:spacing w:after="0" w:line="224" w:lineRule="auto"/>
        <w:tabs>
          <w:tab w:leader="none" w:pos="114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Compensation-Related Risk Assessment </w:t>
      </w:r>
      <w:r>
        <w:rPr>
          <w:rFonts w:ascii="Arial" w:cs="Arial" w:eastAsia="Arial" w:hAnsi="Arial"/>
          <w:sz w:val="18"/>
          <w:szCs w:val="18"/>
          <w:color w:val="auto"/>
        </w:rPr>
        <w:t>– We conduct an annual evaluation of our compensation programs, policies, and practices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ensure that they reflect an appropriate level of risk-taking but do not encourage our employees to take excessive or unnecessary risks that could have a material adverse impact on our Company.</w:t>
      </w:r>
    </w:p>
    <w:p>
      <w:pPr>
        <w:spacing w:after="0" w:line="216" w:lineRule="exact"/>
        <w:rPr>
          <w:rFonts w:ascii="Arial" w:cs="Arial" w:eastAsia="Arial" w:hAnsi="Arial"/>
          <w:sz w:val="18"/>
          <w:szCs w:val="18"/>
          <w:b w:val="1"/>
          <w:bCs w:val="1"/>
          <w:color w:val="auto"/>
        </w:rPr>
      </w:pPr>
    </w:p>
    <w:p>
      <w:pPr>
        <w:ind w:left="820" w:right="220" w:hanging="146"/>
        <w:spacing w:after="0" w:line="224" w:lineRule="auto"/>
        <w:tabs>
          <w:tab w:leader="none" w:pos="114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Emphasize Performance-based Incentive Compensation </w:t>
      </w:r>
      <w:r>
        <w:rPr>
          <w:rFonts w:ascii="Arial" w:cs="Arial" w:eastAsia="Arial" w:hAnsi="Arial"/>
          <w:sz w:val="18"/>
          <w:szCs w:val="18"/>
          <w:color w:val="auto"/>
        </w:rPr>
        <w:t>– The Compensation Committee designs our executive compensation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use performance-based long-term incentive compensation awards to align of the long-term interests of our executive officers with the interests of our stockholders.</w:t>
      </w:r>
    </w:p>
    <w:p>
      <w:pPr>
        <w:spacing w:after="0" w:line="216" w:lineRule="exact"/>
        <w:rPr>
          <w:rFonts w:ascii="Arial" w:cs="Arial" w:eastAsia="Arial" w:hAnsi="Arial"/>
          <w:sz w:val="18"/>
          <w:szCs w:val="18"/>
          <w:b w:val="1"/>
          <w:bCs w:val="1"/>
          <w:color w:val="auto"/>
        </w:rPr>
      </w:pPr>
    </w:p>
    <w:p>
      <w:pPr>
        <w:ind w:left="820" w:right="400" w:hanging="146"/>
        <w:spacing w:after="0" w:line="237" w:lineRule="auto"/>
        <w:tabs>
          <w:tab w:leader="none" w:pos="1144"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Emphasize Long-Term Equity Compensation </w:t>
      </w:r>
      <w:r>
        <w:rPr>
          <w:rFonts w:ascii="Arial" w:cs="Arial" w:eastAsia="Arial" w:hAnsi="Arial"/>
          <w:sz w:val="17"/>
          <w:szCs w:val="17"/>
          <w:color w:val="auto"/>
        </w:rPr>
        <w:t>– The Compensation Committee uses equity awards to deliver long-term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opportunities to our executive officers, including our Named Executive Officers. These equity awards vest or may be earned over multi-year periods, which we believe better serves our long-term value creation goals and retention objectives.</w:t>
      </w:r>
    </w:p>
    <w:p>
      <w:pPr>
        <w:spacing w:after="0" w:line="217" w:lineRule="exact"/>
        <w:rPr>
          <w:rFonts w:ascii="Arial" w:cs="Arial" w:eastAsia="Arial" w:hAnsi="Arial"/>
          <w:sz w:val="17"/>
          <w:szCs w:val="17"/>
          <w:b w:val="1"/>
          <w:bCs w:val="1"/>
          <w:color w:val="auto"/>
        </w:rPr>
      </w:pPr>
    </w:p>
    <w:p>
      <w:pPr>
        <w:ind w:left="820" w:right="140" w:hanging="146"/>
        <w:spacing w:after="0" w:line="224" w:lineRule="auto"/>
        <w:tabs>
          <w:tab w:leader="none" w:pos="114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Limited Executive Perquisites </w:t>
      </w:r>
      <w:r>
        <w:rPr>
          <w:rFonts w:ascii="Arial" w:cs="Arial" w:eastAsia="Arial" w:hAnsi="Arial"/>
          <w:sz w:val="18"/>
          <w:szCs w:val="18"/>
          <w:color w:val="auto"/>
        </w:rPr>
        <w:t>– We provide only modest amounts of perquisites or other personal benefits that serve a sound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purpose to the Named Executive Officers. In addition, the Named Executive Officers participate in our health and welfare benefit programs on the same terms as all of our employees.</w:t>
      </w:r>
    </w:p>
    <w:p>
      <w:pPr>
        <w:spacing w:after="0" w:line="216" w:lineRule="exact"/>
        <w:rPr>
          <w:rFonts w:ascii="Arial" w:cs="Arial" w:eastAsia="Arial" w:hAnsi="Arial"/>
          <w:sz w:val="18"/>
          <w:szCs w:val="18"/>
          <w:b w:val="1"/>
          <w:bCs w:val="1"/>
          <w:color w:val="auto"/>
        </w:rPr>
      </w:pPr>
    </w:p>
    <w:p>
      <w:pPr>
        <w:ind w:left="820" w:right="300" w:hanging="146"/>
        <w:spacing w:after="0" w:line="237" w:lineRule="auto"/>
        <w:tabs>
          <w:tab w:leader="none" w:pos="1144"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“Double-Trigger” Change in Control Arrangements </w:t>
      </w:r>
      <w:r>
        <w:rPr>
          <w:rFonts w:ascii="Arial" w:cs="Arial" w:eastAsia="Arial" w:hAnsi="Arial"/>
          <w:sz w:val="17"/>
          <w:szCs w:val="17"/>
          <w:color w:val="auto"/>
        </w:rPr>
        <w:t>– The post-employment compensation arrangements for our executive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our Named Executive Officers, are based on a “double-trigger” arrangement that provides for the receipt of payments and benefits only in the event of (i) a change in control of the Company and (ii) a qualifying termination of employment.</w:t>
      </w:r>
    </w:p>
    <w:p>
      <w:pPr>
        <w:spacing w:after="0" w:line="217" w:lineRule="exact"/>
        <w:rPr>
          <w:rFonts w:ascii="Arial" w:cs="Arial" w:eastAsia="Arial" w:hAnsi="Arial"/>
          <w:sz w:val="17"/>
          <w:szCs w:val="17"/>
          <w:b w:val="1"/>
          <w:bCs w:val="1"/>
          <w:color w:val="auto"/>
        </w:rPr>
      </w:pPr>
    </w:p>
    <w:p>
      <w:pPr>
        <w:ind w:left="820" w:right="120" w:hanging="146"/>
        <w:spacing w:after="0" w:line="258" w:lineRule="auto"/>
        <w:tabs>
          <w:tab w:leader="none" w:pos="1144"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Reasonable Change-in-Control Arrangements </w:t>
      </w:r>
      <w:r>
        <w:rPr>
          <w:rFonts w:ascii="Arial" w:cs="Arial" w:eastAsia="Arial" w:hAnsi="Arial"/>
          <w:sz w:val="17"/>
          <w:szCs w:val="17"/>
          <w:color w:val="auto"/>
        </w:rPr>
        <w:t>– We believe the post-employment compensation arrangements for our executive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our Named Executive Officers, provide for amounts and multiples that are within reasonable market norms.</w:t>
      </w:r>
    </w:p>
    <w:p>
      <w:pPr>
        <w:spacing w:after="0" w:line="200" w:lineRule="exact"/>
        <w:rPr>
          <w:rFonts w:ascii="Arial" w:cs="Arial" w:eastAsia="Arial" w:hAnsi="Arial"/>
          <w:sz w:val="17"/>
          <w:szCs w:val="17"/>
          <w:b w:val="1"/>
          <w:bCs w:val="1"/>
          <w:color w:val="auto"/>
        </w:rPr>
      </w:pPr>
    </w:p>
    <w:p>
      <w:pPr>
        <w:ind w:left="820" w:right="640" w:hanging="146"/>
        <w:spacing w:after="0" w:line="235" w:lineRule="auto"/>
        <w:tabs>
          <w:tab w:leader="none" w:pos="114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Prohibition on Hedging and Pledging </w:t>
      </w:r>
      <w:r>
        <w:rPr>
          <w:rFonts w:ascii="Arial" w:cs="Arial" w:eastAsia="Arial" w:hAnsi="Arial"/>
          <w:sz w:val="18"/>
          <w:szCs w:val="18"/>
          <w:color w:val="auto"/>
        </w:rPr>
        <w:t>– Under our Insider Trading Policy, we prohibit our employees from hedging any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from pledging any Company securities as collateral for a loan.</w:t>
      </w:r>
    </w:p>
    <w:p>
      <w:pPr>
        <w:spacing w:after="0" w:line="215" w:lineRule="exact"/>
        <w:rPr>
          <w:rFonts w:ascii="Arial" w:cs="Arial" w:eastAsia="Arial" w:hAnsi="Arial"/>
          <w:sz w:val="18"/>
          <w:szCs w:val="18"/>
          <w:b w:val="1"/>
          <w:bCs w:val="1"/>
          <w:color w:val="auto"/>
        </w:rPr>
      </w:pPr>
    </w:p>
    <w:p>
      <w:pPr>
        <w:ind w:left="820" w:right="160" w:hanging="146"/>
        <w:spacing w:after="0" w:line="235" w:lineRule="auto"/>
        <w:tabs>
          <w:tab w:leader="none" w:pos="114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Succession Planning </w:t>
      </w:r>
      <w:r>
        <w:rPr>
          <w:rFonts w:ascii="Arial" w:cs="Arial" w:eastAsia="Arial" w:hAnsi="Arial"/>
          <w:sz w:val="18"/>
          <w:szCs w:val="18"/>
          <w:color w:val="auto"/>
        </w:rPr>
        <w:t>– Our Board reviews the risks associated with our key executive positions on an annual basis so that we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an adequate succession strategy.</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What We Do Not Do</w:t>
      </w:r>
    </w:p>
    <w:p>
      <w:pPr>
        <w:spacing w:after="0" w:line="266" w:lineRule="exact"/>
        <w:rPr>
          <w:sz w:val="20"/>
          <w:szCs w:val="20"/>
          <w:color w:val="auto"/>
        </w:rPr>
      </w:pPr>
    </w:p>
    <w:p>
      <w:pPr>
        <w:ind w:left="840" w:right="640" w:hanging="166"/>
        <w:spacing w:after="0" w:line="224" w:lineRule="auto"/>
        <w:tabs>
          <w:tab w:leader="none" w:pos="1164"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Retirement Programs </w:t>
      </w:r>
      <w:r>
        <w:rPr>
          <w:rFonts w:ascii="Arial" w:cs="Arial" w:eastAsia="Arial" w:hAnsi="Arial"/>
          <w:sz w:val="18"/>
          <w:szCs w:val="18"/>
          <w:color w:val="auto"/>
        </w:rPr>
        <w:t>– Other than our Section 401(k) plan generally available to all employees, we do not offer defined benefit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retirement plans or arrangements or nonqualified deferred compensation plans or arrangements for our executive officers, including our Named Executive Officers.</w:t>
      </w:r>
    </w:p>
    <w:p>
      <w:pPr>
        <w:spacing w:after="0" w:line="216" w:lineRule="exact"/>
        <w:rPr>
          <w:rFonts w:ascii="Arial" w:cs="Arial" w:eastAsia="Arial" w:hAnsi="Arial"/>
          <w:sz w:val="18"/>
          <w:szCs w:val="18"/>
          <w:b w:val="1"/>
          <w:bCs w:val="1"/>
          <w:i w:val="1"/>
          <w:iCs w:val="1"/>
          <w:color w:val="auto"/>
        </w:rPr>
      </w:pPr>
    </w:p>
    <w:p>
      <w:pPr>
        <w:ind w:left="840" w:right="300" w:hanging="166"/>
        <w:spacing w:after="0" w:line="235" w:lineRule="auto"/>
        <w:tabs>
          <w:tab w:leader="none" w:pos="1164"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 Dividends </w:t>
      </w:r>
      <w:r>
        <w:rPr>
          <w:rFonts w:ascii="Arial" w:cs="Arial" w:eastAsia="Arial" w:hAnsi="Arial"/>
          <w:sz w:val="18"/>
          <w:szCs w:val="18"/>
          <w:color w:val="auto"/>
        </w:rPr>
        <w:t>– We do not pay dividends or dividend equivalents on unvested or unearned restricted stock units and performance-based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unit awards.</w:t>
      </w:r>
    </w:p>
    <w:p>
      <w:pPr>
        <w:spacing w:after="0" w:line="55" w:lineRule="exact"/>
        <w:rPr>
          <w:rFonts w:ascii="Arial" w:cs="Arial" w:eastAsia="Arial" w:hAnsi="Arial"/>
          <w:sz w:val="18"/>
          <w:szCs w:val="18"/>
          <w:b w:val="1"/>
          <w:bCs w:val="1"/>
          <w:i w:val="1"/>
          <w:iCs w:val="1"/>
          <w:color w:val="auto"/>
        </w:rPr>
      </w:pPr>
    </w:p>
    <w:p>
      <w:pPr>
        <w:ind w:left="1160" w:hanging="486"/>
        <w:spacing w:after="0"/>
        <w:tabs>
          <w:tab w:leader="none" w:pos="1160" w:val="left"/>
        </w:tabs>
        <w:numPr>
          <w:ilvl w:val="0"/>
          <w:numId w:val="17"/>
        </w:numPr>
        <w:rPr>
          <w:rFonts w:ascii="Arial" w:cs="Arial" w:eastAsia="Arial" w:hAnsi="Arial"/>
          <w:sz w:val="34"/>
          <w:szCs w:val="34"/>
          <w:b w:val="1"/>
          <w:bCs w:val="1"/>
          <w:i w:val="1"/>
          <w:iCs w:val="1"/>
          <w:color w:val="auto"/>
          <w:vertAlign w:val="superscript"/>
        </w:rPr>
      </w:pPr>
      <w:r>
        <w:rPr>
          <w:rFonts w:ascii="Arial" w:cs="Arial" w:eastAsia="Arial" w:hAnsi="Arial"/>
          <w:sz w:val="17"/>
          <w:szCs w:val="17"/>
          <w:b w:val="1"/>
          <w:bCs w:val="1"/>
          <w:i w:val="1"/>
          <w:iCs w:val="1"/>
          <w:color w:val="auto"/>
        </w:rPr>
        <w:t xml:space="preserve">No Stock Option Repricing </w:t>
      </w:r>
      <w:r>
        <w:rPr>
          <w:rFonts w:ascii="Arial" w:cs="Arial" w:eastAsia="Arial" w:hAnsi="Arial"/>
          <w:sz w:val="17"/>
          <w:szCs w:val="17"/>
          <w:color w:val="auto"/>
        </w:rPr>
        <w:t>– We do not reprice options to purchase shares of our Common Stock without stockholder approval.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Guiding Principles</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markets and industries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spacing w:after="0" w:line="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as well as the tax efficiency of our compensation structure and its impact on our financial condition. While the Compensation Committee considers all of the factors in its deliberations, it places no formal weighting on any one f</w:t>
      </w:r>
      <w:r>
        <w:rPr>
          <w:rFonts w:ascii="Arial" w:cs="Arial" w:eastAsia="Arial" w:hAnsi="Arial"/>
          <w:sz w:val="18"/>
          <w:szCs w:val="18"/>
          <w:i w:val="1"/>
          <w:iCs w:val="1"/>
          <w:color w:val="auto"/>
        </w:rPr>
        <w:t>actor.</w:t>
      </w:r>
    </w:p>
    <w:p>
      <w:pPr>
        <w:spacing w:after="0" w:line="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we continue to grow, the Compensation Committee will evaluate our compensation philosophy and program objectives as circumstances require. At a minimum, we expect the Compensation Committee to review executive compensation annually.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the Compensation Committee</w:t>
      </w:r>
    </w:p>
    <w:p>
      <w:pPr>
        <w:spacing w:after="0" w:line="117"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Compensation Committee, among its other responsibilities, establishes our overall compensation philosophy and reviews and approves our executive compensation program, including the specific compensation of our executive officers, including our Named Executive Officers. The Compensation Committee has the authority to retain special counsel and other advisors, including compensation consultants, to assist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the “Corporate Governance” section of the “Investors &amp; Media” page of our website at www.selectabio.com/.</w:t>
      </w:r>
    </w:p>
    <w:p>
      <w:pPr>
        <w:spacing w:after="0" w:line="70"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While the Compensation Committee determines our overall compensation philosophy and approves the compensation of our executive officers, it relies on its compensation consultant and legal counsel, as well as our CEO, our CFO, our Chief People Officer, and other staff to formulate recommendations with respect to specific compensation actions. The Compensation Committee makes all final decisions regarding compensation, including base salary levels, target annual cash bonus opportunities, actual cash bonus payments, and long-term incentives in the form of equity awards. The Compensation Committee meets on at least a quarterly basis and at other times as needed. The Compensation Committee periodically reviews compensation matters with our Board.</w:t>
      </w:r>
    </w:p>
    <w:p>
      <w:pPr>
        <w:spacing w:after="0" w:line="8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At the conclusion of each year, the Compensation Committee reviews our executive compensation program, including any incentive compensation plans and arrangements, to assess whether our compensation elements, actions, and decisions are (i) properly coordinated, (ii) aligned with our vision, mission, values, and corporate goals, (iii) 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spacing w:after="0" w:line="84"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w:t>
      </w:r>
    </w:p>
    <w:p>
      <w:pPr>
        <w:spacing w:after="0" w:line="7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factors considered by the Compensation Committee in determining the compensation of our executive officers, including our Named Executive Officers, for 2021 included: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recommendations of our CEO (except with respect to his own compensation) as described below;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corporate growth and other elements of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corporate and individual achievements against one or more short-term and long-term performance objectives;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individual performance of each executive officer against his management objectives;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review of the relevant competitive market analysis prepared by its compensation consultant (as described below);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expected future contribution of the individual executive officer;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historical compensation awards we have made to our executive officers;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internal pay equity based on the impact on our business and performance.</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part of this process, the Compensation Committee also evaluates the performance of our CEO each year and makes all decisions regarding his base salary adjustments, target annual cash bonus opportunities, actual cash bonus payments, and long-term incentives in the form of equity awards. Our CEO is not present during any of the deliberations regarding his compensation.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our CEO</w:t>
      </w:r>
    </w:p>
    <w:p>
      <w:pPr>
        <w:spacing w:after="0" w:line="11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CEO works closely with the Compensation Committee in determining the compensation of our other executive officers, including the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him.</w:t>
      </w:r>
    </w:p>
    <w:p>
      <w:pPr>
        <w:spacing w:after="0" w:line="8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At the beginning of each year, our CEO reviews the performance of our other executive officers, including the other Named Executive Officers, for the previous year, and then shares these evaluations with, and makes recommendations to, the Compensation Committee for each element of compensation. Using his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himself)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5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jc w:val="both"/>
        <w:ind w:right="340" w:firstLine="324"/>
        <w:spacing w:after="0" w:line="311" w:lineRule="auto"/>
        <w:rPr>
          <w:sz w:val="20"/>
          <w:szCs w:val="20"/>
          <w:color w:val="auto"/>
        </w:rPr>
      </w:pPr>
      <w:r>
        <w:rPr>
          <w:rFonts w:ascii="Arial" w:cs="Arial" w:eastAsia="Arial" w:hAnsi="Arial"/>
          <w:sz w:val="16"/>
          <w:szCs w:val="16"/>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4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 2021, pursuant to this authority, the Compensation Committee engaged Radford, a national compensation consulting firm, to provide information, analysis, and other assistance relating to our executive compensation program on an ongoing basis. The nature and scope of the services provided to the Compensation Committee by Radford in 2021 were as follows:</w:t>
      </w:r>
    </w:p>
    <w:p>
      <w:pPr>
        <w:spacing w:after="0" w:line="7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developed and subsequently updated the compensation peer group;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provided advice with respect to compensation best practices and market trends for executive officers and members of our Board;</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3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conducted an analysis of the levels of overall compensation and each element of compensation for of our executive officers and non-executive employees;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conducted an analysis of the levels of overall compensation and each element of compensation for the members of our Board;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provided </w:t>
      </w:r>
      <w:r>
        <w:rPr>
          <w:rFonts w:ascii="Arial" w:cs="Arial" w:eastAsia="Arial" w:hAnsi="Arial"/>
          <w:sz w:val="18"/>
          <w:szCs w:val="18"/>
          <w:i w:val="1"/>
          <w:iCs w:val="1"/>
          <w:color w:val="auto"/>
        </w:rPr>
        <w:t>ad hoc</w:t>
      </w:r>
      <w:r>
        <w:rPr>
          <w:rFonts w:ascii="Arial" w:cs="Arial" w:eastAsia="Arial" w:hAnsi="Arial"/>
          <w:sz w:val="18"/>
          <w:szCs w:val="18"/>
          <w:color w:val="auto"/>
        </w:rPr>
        <w:t xml:space="preserve"> advice and support throughout the year.</w:t>
      </w:r>
    </w:p>
    <w:p>
      <w:pPr>
        <w:spacing w:after="0" w:line="11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Representatives of Radford attended meetings of the Compensation Committee as requested and also communicated with the Compensation Committee outside of meetings. Radford reported to the Compensation Committee rather than to management, although Radford was permitted to meet with members of management, including our CEO and members of our executive compensation staff, for purposes of gathering information on proposals that management may make to the Compensation Committee. During 2021, Radford met with various executive officers to collect data and obtain management’s perspective on various executive compensation proposals.</w:t>
      </w:r>
    </w:p>
    <w:p>
      <w:pPr>
        <w:spacing w:after="0" w:line="8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2022, the Company engaged Compensia to become its compensation consultant for 2022 and beyond. Neither Radford nor Compensia has provided any other services to us nor received any compensation other than with respect to the services described above.</w:t>
      </w:r>
    </w:p>
    <w:p>
      <w:pPr>
        <w:spacing w:after="0" w:line="62"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The Compensation Committee has assessed the independence of Radford and Compensia taking into account, among other things, the various factors as set forth in Exchange Act Rule 10C-1 and the enhanced independence standards and factors set forth in the applicable Nasdaq listing standards, and has concluded that its relationship with Radford and Compensia and the work of both Radford and Compensia on behalf of the Compensation Committee has not raised any conflict of interest.</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Competitive Positioning</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Compensation Committee believes that the competitive market for executive talent includes the biotechnology and life sciences industries broadly. Accordingly, it develops a compensation peer group to contain a carefully selected cross-section of such public and private biotechnology and life sciences companies using factors described below, with employee sizes, therapeutic focuses, stages of development and market capitalizations that are similar to ours. This data is supplemented with executive compensation survey data representing both public and private biotechnology and life sciences companies that are of similar size. The Compensation Committee considers the compensation practices of these peer group companies as one factor in its compensation deliberations.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Peer Group</w:t>
      </w:r>
    </w:p>
    <w:p>
      <w:pPr>
        <w:spacing w:after="0" w:line="117"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As part of its deliberations, the Compensation Committee considers competitive market data on executive compensation levels and practices and a related analysis of such data. This data is drawn from a select group of peer companies developed by the Compensation Committee, as well as compensation survey data.</w:t>
      </w:r>
    </w:p>
    <w:p>
      <w:pPr>
        <w:spacing w:after="0" w:line="76"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In 2021, the Compensation Committee directed its compensation consultant to formulate a group of peer companies to be used as a reference for market positioning and for assessing competitive market practices. The compensation consultant undertook a detailed review of the pool of U.S.-based publicly traded and private companies, taking into consideration our industry and sector, the size of such companies (based on revenues and market capitalization) relative to our size and growth rate, and the following additional factors:</w:t>
      </w:r>
    </w:p>
    <w:p>
      <w:pPr>
        <w:spacing w:after="0" w:line="7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stage of clinical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area(s) of therapeutic focus;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market capitalization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comparability of the company’s organizational complexities and growth attributes;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comparability of the company’s business focus and corporate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consumer products and/or business services focus;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comparability of the company’s operational performance (for consistency with our strategy and future performance expectations).</w:t>
      </w:r>
    </w:p>
    <w:p>
      <w:pPr>
        <w:spacing w:after="0" w:line="11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Following this review, the compensation consultant recommended to the Compensation Committee the following peer group to consist of 20 private and publicly traded biotechnology and life sciences companies, which the Compensation Committee subsequently approved. The selected companies had market capitalizations ranging from $100 million to $1 billion, with a median of $338 million. The companies comprising the compensation peer group were as follows: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94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AVROBIO</w:t>
            </w:r>
          </w:p>
        </w:tc>
        <w:tc>
          <w:tcPr>
            <w:tcW w:w="2260" w:type="dxa"/>
            <w:vAlign w:val="bottom"/>
          </w:tcPr>
          <w:p>
            <w:pPr>
              <w:ind w:left="180"/>
              <w:spacing w:after="0"/>
              <w:rPr>
                <w:sz w:val="20"/>
                <w:szCs w:val="20"/>
                <w:color w:val="auto"/>
              </w:rPr>
            </w:pPr>
            <w:r>
              <w:rPr>
                <w:rFonts w:ascii="Arial" w:cs="Arial" w:eastAsia="Arial" w:hAnsi="Arial"/>
                <w:sz w:val="18"/>
                <w:szCs w:val="18"/>
                <w:color w:val="auto"/>
              </w:rPr>
              <w:t>Intellia Therapeutics</w:t>
            </w:r>
          </w:p>
        </w:tc>
        <w:tc>
          <w:tcPr>
            <w:tcW w:w="2100" w:type="dxa"/>
            <w:vAlign w:val="bottom"/>
          </w:tcPr>
          <w:p>
            <w:pPr>
              <w:ind w:left="460"/>
              <w:spacing w:after="0"/>
              <w:rPr>
                <w:sz w:val="20"/>
                <w:szCs w:val="20"/>
                <w:color w:val="auto"/>
              </w:rPr>
            </w:pPr>
            <w:r>
              <w:rPr>
                <w:rFonts w:ascii="Arial" w:cs="Arial" w:eastAsia="Arial" w:hAnsi="Arial"/>
                <w:sz w:val="18"/>
                <w:szCs w:val="18"/>
                <w:color w:val="auto"/>
              </w:rPr>
              <w:t>Sio Gene Therapies</w:t>
            </w:r>
          </w:p>
        </w:tc>
      </w:tr>
      <w:tr>
        <w:trPr>
          <w:trHeight w:val="257"/>
        </w:trPr>
        <w:tc>
          <w:tcPr>
            <w:tcW w:w="2360" w:type="dxa"/>
            <w:vAlign w:val="bottom"/>
          </w:tcPr>
          <w:p>
            <w:pPr>
              <w:spacing w:after="0"/>
              <w:rPr>
                <w:sz w:val="20"/>
                <w:szCs w:val="20"/>
                <w:color w:val="auto"/>
              </w:rPr>
            </w:pPr>
            <w:r>
              <w:rPr>
                <w:rFonts w:ascii="Arial" w:cs="Arial" w:eastAsia="Arial" w:hAnsi="Arial"/>
                <w:sz w:val="18"/>
                <w:szCs w:val="18"/>
                <w:color w:val="auto"/>
              </w:rPr>
              <w:t>Calithera Biosciences</w:t>
            </w:r>
          </w:p>
        </w:tc>
        <w:tc>
          <w:tcPr>
            <w:tcW w:w="2260" w:type="dxa"/>
            <w:vAlign w:val="bottom"/>
          </w:tcPr>
          <w:p>
            <w:pPr>
              <w:ind w:left="180"/>
              <w:spacing w:after="0"/>
              <w:rPr>
                <w:sz w:val="20"/>
                <w:szCs w:val="20"/>
                <w:color w:val="auto"/>
              </w:rPr>
            </w:pPr>
            <w:r>
              <w:rPr>
                <w:rFonts w:ascii="Arial" w:cs="Arial" w:eastAsia="Arial" w:hAnsi="Arial"/>
                <w:sz w:val="18"/>
                <w:szCs w:val="18"/>
                <w:color w:val="auto"/>
              </w:rPr>
              <w:t>Jounce Therapeutics</w:t>
            </w:r>
          </w:p>
        </w:tc>
        <w:tc>
          <w:tcPr>
            <w:tcW w:w="2100" w:type="dxa"/>
            <w:vAlign w:val="bottom"/>
          </w:tcPr>
          <w:p>
            <w:pPr>
              <w:ind w:left="460"/>
              <w:spacing w:after="0"/>
              <w:rPr>
                <w:sz w:val="20"/>
                <w:szCs w:val="20"/>
                <w:color w:val="auto"/>
              </w:rPr>
            </w:pPr>
            <w:r>
              <w:rPr>
                <w:rFonts w:ascii="Arial" w:cs="Arial" w:eastAsia="Arial" w:hAnsi="Arial"/>
                <w:sz w:val="18"/>
                <w:szCs w:val="18"/>
                <w:color w:val="auto"/>
              </w:rPr>
              <w:t>Solid Biosciences</w:t>
            </w:r>
          </w:p>
        </w:tc>
      </w:tr>
      <w:tr>
        <w:trPr>
          <w:trHeight w:val="257"/>
        </w:trPr>
        <w:tc>
          <w:tcPr>
            <w:tcW w:w="2360" w:type="dxa"/>
            <w:vAlign w:val="bottom"/>
          </w:tcPr>
          <w:p>
            <w:pPr>
              <w:spacing w:after="0"/>
              <w:rPr>
                <w:sz w:val="20"/>
                <w:szCs w:val="20"/>
                <w:color w:val="auto"/>
              </w:rPr>
            </w:pPr>
            <w:r>
              <w:rPr>
                <w:rFonts w:ascii="Arial" w:cs="Arial" w:eastAsia="Arial" w:hAnsi="Arial"/>
                <w:sz w:val="18"/>
                <w:szCs w:val="18"/>
                <w:color w:val="auto"/>
              </w:rPr>
              <w:t>Cogent Biosciences</w:t>
            </w:r>
          </w:p>
        </w:tc>
        <w:tc>
          <w:tcPr>
            <w:tcW w:w="2260" w:type="dxa"/>
            <w:vAlign w:val="bottom"/>
          </w:tcPr>
          <w:p>
            <w:pPr>
              <w:ind w:left="180"/>
              <w:spacing w:after="0"/>
              <w:rPr>
                <w:sz w:val="20"/>
                <w:szCs w:val="20"/>
                <w:color w:val="auto"/>
              </w:rPr>
            </w:pPr>
            <w:r>
              <w:rPr>
                <w:rFonts w:ascii="Arial" w:cs="Arial" w:eastAsia="Arial" w:hAnsi="Arial"/>
                <w:sz w:val="18"/>
                <w:szCs w:val="18"/>
                <w:color w:val="auto"/>
              </w:rPr>
              <w:t>Magenta Therapeutics</w:t>
            </w:r>
          </w:p>
        </w:tc>
        <w:tc>
          <w:tcPr>
            <w:tcW w:w="2100" w:type="dxa"/>
            <w:vAlign w:val="bottom"/>
          </w:tcPr>
          <w:p>
            <w:pPr>
              <w:ind w:left="460"/>
              <w:spacing w:after="0"/>
              <w:rPr>
                <w:sz w:val="20"/>
                <w:szCs w:val="20"/>
                <w:color w:val="auto"/>
              </w:rPr>
            </w:pPr>
            <w:r>
              <w:rPr>
                <w:rFonts w:ascii="Arial" w:cs="Arial" w:eastAsia="Arial" w:hAnsi="Arial"/>
                <w:sz w:val="18"/>
                <w:szCs w:val="18"/>
                <w:color w:val="auto"/>
              </w:rPr>
              <w:t>Spero Therapeutics</w:t>
            </w:r>
          </w:p>
        </w:tc>
      </w:tr>
      <w:tr>
        <w:trPr>
          <w:trHeight w:val="257"/>
        </w:trPr>
        <w:tc>
          <w:tcPr>
            <w:tcW w:w="2360" w:type="dxa"/>
            <w:vAlign w:val="bottom"/>
          </w:tcPr>
          <w:p>
            <w:pPr>
              <w:spacing w:after="0"/>
              <w:rPr>
                <w:sz w:val="20"/>
                <w:szCs w:val="20"/>
                <w:color w:val="auto"/>
              </w:rPr>
            </w:pPr>
            <w:r>
              <w:rPr>
                <w:rFonts w:ascii="Arial" w:cs="Arial" w:eastAsia="Arial" w:hAnsi="Arial"/>
                <w:sz w:val="18"/>
                <w:szCs w:val="18"/>
                <w:color w:val="auto"/>
              </w:rPr>
              <w:t>Concert Pharmaceuticals</w:t>
            </w:r>
          </w:p>
        </w:tc>
        <w:tc>
          <w:tcPr>
            <w:tcW w:w="2260" w:type="dxa"/>
            <w:vAlign w:val="bottom"/>
          </w:tcPr>
          <w:p>
            <w:pPr>
              <w:ind w:left="180"/>
              <w:spacing w:after="0"/>
              <w:rPr>
                <w:sz w:val="20"/>
                <w:szCs w:val="20"/>
                <w:color w:val="auto"/>
              </w:rPr>
            </w:pPr>
            <w:r>
              <w:rPr>
                <w:rFonts w:ascii="Arial" w:cs="Arial" w:eastAsia="Arial" w:hAnsi="Arial"/>
                <w:sz w:val="18"/>
                <w:szCs w:val="18"/>
                <w:color w:val="auto"/>
              </w:rPr>
              <w:t>MeiraGTx</w:t>
            </w:r>
          </w:p>
        </w:tc>
        <w:tc>
          <w:tcPr>
            <w:tcW w:w="2100" w:type="dxa"/>
            <w:vAlign w:val="bottom"/>
          </w:tcPr>
          <w:p>
            <w:pPr>
              <w:ind w:left="460"/>
              <w:spacing w:after="0"/>
              <w:rPr>
                <w:sz w:val="20"/>
                <w:szCs w:val="20"/>
                <w:color w:val="auto"/>
              </w:rPr>
            </w:pPr>
            <w:r>
              <w:rPr>
                <w:rFonts w:ascii="Arial" w:cs="Arial" w:eastAsia="Arial" w:hAnsi="Arial"/>
                <w:sz w:val="18"/>
                <w:szCs w:val="18"/>
                <w:color w:val="auto"/>
                <w:w w:val="87"/>
              </w:rPr>
              <w:t>Syros Pharmaceuticals</w:t>
            </w:r>
          </w:p>
        </w:tc>
      </w:tr>
      <w:tr>
        <w:trPr>
          <w:trHeight w:val="256"/>
        </w:trPr>
        <w:tc>
          <w:tcPr>
            <w:tcW w:w="2360" w:type="dxa"/>
            <w:vAlign w:val="bottom"/>
          </w:tcPr>
          <w:p>
            <w:pPr>
              <w:spacing w:after="0"/>
              <w:rPr>
                <w:sz w:val="20"/>
                <w:szCs w:val="20"/>
                <w:color w:val="auto"/>
              </w:rPr>
            </w:pPr>
            <w:r>
              <w:rPr>
                <w:rFonts w:ascii="Arial" w:cs="Arial" w:eastAsia="Arial" w:hAnsi="Arial"/>
                <w:sz w:val="18"/>
                <w:szCs w:val="18"/>
                <w:color w:val="auto"/>
                <w:w w:val="96"/>
              </w:rPr>
              <w:t>Constellation Pharmaceuticals</w:t>
            </w:r>
          </w:p>
        </w:tc>
        <w:tc>
          <w:tcPr>
            <w:tcW w:w="2260" w:type="dxa"/>
            <w:vAlign w:val="bottom"/>
          </w:tcPr>
          <w:p>
            <w:pPr>
              <w:ind w:left="180"/>
              <w:spacing w:after="0"/>
              <w:rPr>
                <w:sz w:val="20"/>
                <w:szCs w:val="20"/>
                <w:color w:val="auto"/>
              </w:rPr>
            </w:pPr>
            <w:r>
              <w:rPr>
                <w:rFonts w:ascii="Arial" w:cs="Arial" w:eastAsia="Arial" w:hAnsi="Arial"/>
                <w:sz w:val="18"/>
                <w:szCs w:val="18"/>
                <w:color w:val="auto"/>
              </w:rPr>
              <w:t>Orchard Therapeutics</w:t>
            </w:r>
          </w:p>
        </w:tc>
        <w:tc>
          <w:tcPr>
            <w:tcW w:w="2100" w:type="dxa"/>
            <w:vAlign w:val="bottom"/>
          </w:tcPr>
          <w:p>
            <w:pPr>
              <w:ind w:left="460"/>
              <w:spacing w:after="0"/>
              <w:rPr>
                <w:sz w:val="20"/>
                <w:szCs w:val="20"/>
                <w:color w:val="auto"/>
              </w:rPr>
            </w:pPr>
            <w:r>
              <w:rPr>
                <w:rFonts w:ascii="Arial" w:cs="Arial" w:eastAsia="Arial" w:hAnsi="Arial"/>
                <w:sz w:val="18"/>
                <w:szCs w:val="18"/>
                <w:color w:val="auto"/>
              </w:rPr>
              <w:t>Translate Bio</w:t>
            </w:r>
          </w:p>
        </w:tc>
      </w:tr>
      <w:tr>
        <w:trPr>
          <w:trHeight w:val="257"/>
        </w:trPr>
        <w:tc>
          <w:tcPr>
            <w:tcW w:w="2360" w:type="dxa"/>
            <w:vAlign w:val="bottom"/>
          </w:tcPr>
          <w:p>
            <w:pPr>
              <w:spacing w:after="0"/>
              <w:rPr>
                <w:sz w:val="20"/>
                <w:szCs w:val="20"/>
                <w:color w:val="auto"/>
              </w:rPr>
            </w:pPr>
            <w:r>
              <w:rPr>
                <w:rFonts w:ascii="Arial" w:cs="Arial" w:eastAsia="Arial" w:hAnsi="Arial"/>
                <w:sz w:val="18"/>
                <w:szCs w:val="18"/>
                <w:color w:val="auto"/>
              </w:rPr>
              <w:t>Five Prime Therapeutics</w:t>
            </w:r>
          </w:p>
        </w:tc>
        <w:tc>
          <w:tcPr>
            <w:tcW w:w="2260" w:type="dxa"/>
            <w:vAlign w:val="bottom"/>
          </w:tcPr>
          <w:p>
            <w:pPr>
              <w:ind w:left="180"/>
              <w:spacing w:after="0"/>
              <w:rPr>
                <w:sz w:val="20"/>
                <w:szCs w:val="20"/>
                <w:color w:val="auto"/>
              </w:rPr>
            </w:pPr>
            <w:r>
              <w:rPr>
                <w:rFonts w:ascii="Arial" w:cs="Arial" w:eastAsia="Arial" w:hAnsi="Arial"/>
                <w:sz w:val="18"/>
                <w:szCs w:val="18"/>
                <w:color w:val="auto"/>
              </w:rPr>
              <w:t>Prevail Therapeutics</w:t>
            </w:r>
          </w:p>
        </w:tc>
        <w:tc>
          <w:tcPr>
            <w:tcW w:w="2100" w:type="dxa"/>
            <w:vAlign w:val="bottom"/>
          </w:tcPr>
          <w:p>
            <w:pPr>
              <w:ind w:left="460"/>
              <w:spacing w:after="0"/>
              <w:rPr>
                <w:sz w:val="20"/>
                <w:szCs w:val="20"/>
                <w:color w:val="auto"/>
              </w:rPr>
            </w:pPr>
            <w:r>
              <w:rPr>
                <w:rFonts w:ascii="Arial" w:cs="Arial" w:eastAsia="Arial" w:hAnsi="Arial"/>
                <w:sz w:val="18"/>
                <w:szCs w:val="18"/>
                <w:color w:val="auto"/>
                <w:w w:val="91"/>
              </w:rPr>
              <w:t>Voyager Therapeutics</w:t>
            </w:r>
          </w:p>
        </w:tc>
      </w:tr>
      <w:tr>
        <w:trPr>
          <w:trHeight w:val="257"/>
        </w:trPr>
        <w:tc>
          <w:tcPr>
            <w:tcW w:w="2360" w:type="dxa"/>
            <w:vAlign w:val="bottom"/>
          </w:tcPr>
          <w:p>
            <w:pPr>
              <w:spacing w:after="0"/>
              <w:rPr>
                <w:sz w:val="20"/>
                <w:szCs w:val="20"/>
                <w:color w:val="auto"/>
              </w:rPr>
            </w:pPr>
            <w:r>
              <w:rPr>
                <w:rFonts w:ascii="Arial" w:cs="Arial" w:eastAsia="Arial" w:hAnsi="Arial"/>
                <w:sz w:val="18"/>
                <w:szCs w:val="18"/>
                <w:color w:val="auto"/>
              </w:rPr>
              <w:t>Homology Medicines</w:t>
            </w:r>
          </w:p>
        </w:tc>
        <w:tc>
          <w:tcPr>
            <w:tcW w:w="2260" w:type="dxa"/>
            <w:vAlign w:val="bottom"/>
          </w:tcPr>
          <w:p>
            <w:pPr>
              <w:ind w:left="180"/>
              <w:spacing w:after="0"/>
              <w:rPr>
                <w:sz w:val="20"/>
                <w:szCs w:val="20"/>
                <w:color w:val="auto"/>
              </w:rPr>
            </w:pPr>
            <w:r>
              <w:rPr>
                <w:rFonts w:ascii="Arial" w:cs="Arial" w:eastAsia="Arial" w:hAnsi="Arial"/>
                <w:sz w:val="18"/>
                <w:szCs w:val="18"/>
                <w:color w:val="auto"/>
              </w:rPr>
              <w:t>Rubius Therapeutics</w:t>
            </w:r>
          </w:p>
        </w:tc>
        <w:tc>
          <w:tcPr>
            <w:tcW w:w="2100" w:type="dxa"/>
            <w:vAlign w:val="bottom"/>
          </w:tcPr>
          <w:p>
            <w:pPr>
              <w:spacing w:after="0"/>
              <w:rPr>
                <w:sz w:val="22"/>
                <w:szCs w:val="22"/>
                <w:color w:val="auto"/>
              </w:rPr>
            </w:pPr>
          </w:p>
        </w:tc>
      </w:tr>
    </w:tbl>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This compensation peer group was used by the Compensation Committee in connection with its annual review of our executive compensation program in December 2020. Specifically, the Compensation Committee reviewed the compensation data drawn from the compensation peer group, in combination with industry-specific compensation survey data, to develop a subjective representation of the “competitive market” with respect to current executive compensation levels and related policies and practices. The Compensation Committee then evaluated how our pay practices and the compensation levels of our executive officers compared to the competitive market. As part of this evaluation, the Compensation Committee also reviewed the performance measures and performance goals generally used within the competitive market to reward performance.</w:t>
      </w:r>
    </w:p>
    <w:p>
      <w:pPr>
        <w:spacing w:after="0" w:line="70"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In 2021, using the same criteria as described above but updating the criteria (employee size, stage of clinical development, area of therapeutic focus and market capitalization) to align with our then-current status, the compensation consultant evaluated the existing compensation peer group and recommended to the Compensation Committee the following peer group to consist of 20 private and publicly traded biotechnology companies, which the Compensation Committee subsequently approved. The selected companies had market capitalizations ranging from $150 million to $1.3 billion, with a median of $445 million. The companies comprising the updated compensation peer group were as follows:</w:t>
      </w:r>
    </w:p>
    <w:p>
      <w:pPr>
        <w:spacing w:after="0" w:line="122" w:lineRule="exact"/>
        <w:rPr>
          <w:sz w:val="20"/>
          <w:szCs w:val="20"/>
          <w:color w:val="auto"/>
        </w:rPr>
      </w:pPr>
    </w:p>
    <w:tbl>
      <w:tblPr>
        <w:tblLayout w:type="fixed"/>
        <w:tblInd w:w="1940" w:type="dxa"/>
        <w:tblCellMar>
          <w:top w:w="0" w:type="dxa"/>
          <w:left w:w="0" w:type="dxa"/>
          <w:bottom w:w="0" w:type="dxa"/>
          <w:right w:w="0" w:type="dxa"/>
        </w:tblCellMar>
      </w:tblPr>
      <w:tr>
        <w:trPr>
          <w:trHeight w:val="244"/>
        </w:trPr>
        <w:tc>
          <w:tcPr>
            <w:tcW w:w="2160" w:type="dxa"/>
            <w:vAlign w:val="bottom"/>
          </w:tcPr>
          <w:p>
            <w:pPr>
              <w:spacing w:after="0"/>
              <w:rPr>
                <w:sz w:val="20"/>
                <w:szCs w:val="20"/>
                <w:color w:val="auto"/>
              </w:rPr>
            </w:pPr>
            <w:r>
              <w:rPr>
                <w:rFonts w:ascii="Arial" w:cs="Arial" w:eastAsia="Arial" w:hAnsi="Arial"/>
                <w:sz w:val="18"/>
                <w:szCs w:val="18"/>
                <w:color w:val="auto"/>
              </w:rPr>
              <w:t>Aldeyra Therapeutics</w:t>
            </w:r>
          </w:p>
        </w:tc>
        <w:tc>
          <w:tcPr>
            <w:tcW w:w="2460" w:type="dxa"/>
            <w:vAlign w:val="bottom"/>
          </w:tcPr>
          <w:p>
            <w:pPr>
              <w:ind w:left="380"/>
              <w:spacing w:after="0"/>
              <w:rPr>
                <w:sz w:val="20"/>
                <w:szCs w:val="20"/>
                <w:color w:val="auto"/>
              </w:rPr>
            </w:pPr>
            <w:r>
              <w:rPr>
                <w:rFonts w:ascii="Arial" w:cs="Arial" w:eastAsia="Arial" w:hAnsi="Arial"/>
                <w:sz w:val="18"/>
                <w:szCs w:val="18"/>
                <w:color w:val="auto"/>
              </w:rPr>
              <w:t>Homology Medicines</w:t>
            </w:r>
          </w:p>
        </w:tc>
        <w:tc>
          <w:tcPr>
            <w:tcW w:w="2100" w:type="dxa"/>
            <w:vAlign w:val="bottom"/>
          </w:tcPr>
          <w:p>
            <w:pPr>
              <w:ind w:left="460"/>
              <w:spacing w:after="0"/>
              <w:rPr>
                <w:sz w:val="20"/>
                <w:szCs w:val="20"/>
                <w:color w:val="auto"/>
              </w:rPr>
            </w:pPr>
            <w:r>
              <w:rPr>
                <w:rFonts w:ascii="Arial" w:cs="Arial" w:eastAsia="Arial" w:hAnsi="Arial"/>
                <w:sz w:val="18"/>
                <w:szCs w:val="18"/>
                <w:color w:val="auto"/>
              </w:rPr>
              <w:t>REGENXBIO</w:t>
            </w:r>
          </w:p>
        </w:tc>
      </w:tr>
      <w:tr>
        <w:trPr>
          <w:trHeight w:val="257"/>
        </w:trPr>
        <w:tc>
          <w:tcPr>
            <w:tcW w:w="2160" w:type="dxa"/>
            <w:vAlign w:val="bottom"/>
          </w:tcPr>
          <w:p>
            <w:pPr>
              <w:spacing w:after="0"/>
              <w:rPr>
                <w:sz w:val="20"/>
                <w:szCs w:val="20"/>
                <w:color w:val="auto"/>
              </w:rPr>
            </w:pPr>
            <w:r>
              <w:rPr>
                <w:rFonts w:ascii="Arial" w:cs="Arial" w:eastAsia="Arial" w:hAnsi="Arial"/>
                <w:sz w:val="18"/>
                <w:szCs w:val="18"/>
                <w:color w:val="auto"/>
              </w:rPr>
              <w:t>Altimmune</w:t>
            </w:r>
          </w:p>
        </w:tc>
        <w:tc>
          <w:tcPr>
            <w:tcW w:w="2460" w:type="dxa"/>
            <w:vAlign w:val="bottom"/>
          </w:tcPr>
          <w:p>
            <w:pPr>
              <w:ind w:left="380"/>
              <w:spacing w:after="0"/>
              <w:rPr>
                <w:sz w:val="20"/>
                <w:szCs w:val="20"/>
                <w:color w:val="auto"/>
              </w:rPr>
            </w:pPr>
            <w:r>
              <w:rPr>
                <w:rFonts w:ascii="Arial" w:cs="Arial" w:eastAsia="Arial" w:hAnsi="Arial"/>
                <w:sz w:val="18"/>
                <w:szCs w:val="18"/>
                <w:color w:val="auto"/>
              </w:rPr>
              <w:t>Immunovant</w:t>
            </w:r>
          </w:p>
        </w:tc>
        <w:tc>
          <w:tcPr>
            <w:tcW w:w="2100" w:type="dxa"/>
            <w:vAlign w:val="bottom"/>
          </w:tcPr>
          <w:p>
            <w:pPr>
              <w:ind w:left="460"/>
              <w:spacing w:after="0"/>
              <w:rPr>
                <w:sz w:val="20"/>
                <w:szCs w:val="20"/>
                <w:color w:val="auto"/>
              </w:rPr>
            </w:pPr>
            <w:r>
              <w:rPr>
                <w:rFonts w:ascii="Arial" w:cs="Arial" w:eastAsia="Arial" w:hAnsi="Arial"/>
                <w:sz w:val="18"/>
                <w:szCs w:val="18"/>
                <w:color w:val="auto"/>
              </w:rPr>
              <w:t>Sio Gene Therapies</w:t>
            </w:r>
          </w:p>
        </w:tc>
      </w:tr>
      <w:tr>
        <w:trPr>
          <w:trHeight w:val="257"/>
        </w:trPr>
        <w:tc>
          <w:tcPr>
            <w:tcW w:w="2160" w:type="dxa"/>
            <w:vAlign w:val="bottom"/>
          </w:tcPr>
          <w:p>
            <w:pPr>
              <w:spacing w:after="0"/>
              <w:rPr>
                <w:sz w:val="20"/>
                <w:szCs w:val="20"/>
                <w:color w:val="auto"/>
              </w:rPr>
            </w:pPr>
            <w:r>
              <w:rPr>
                <w:rFonts w:ascii="Arial" w:cs="Arial" w:eastAsia="Arial" w:hAnsi="Arial"/>
                <w:sz w:val="18"/>
                <w:szCs w:val="18"/>
                <w:color w:val="auto"/>
              </w:rPr>
              <w:t>AnaptysBio</w:t>
            </w:r>
          </w:p>
        </w:tc>
        <w:tc>
          <w:tcPr>
            <w:tcW w:w="2460" w:type="dxa"/>
            <w:vAlign w:val="bottom"/>
          </w:tcPr>
          <w:p>
            <w:pPr>
              <w:ind w:left="380"/>
              <w:spacing w:after="0"/>
              <w:rPr>
                <w:sz w:val="20"/>
                <w:szCs w:val="20"/>
                <w:color w:val="auto"/>
              </w:rPr>
            </w:pPr>
            <w:r>
              <w:rPr>
                <w:rFonts w:ascii="Arial" w:cs="Arial" w:eastAsia="Arial" w:hAnsi="Arial"/>
                <w:sz w:val="18"/>
                <w:szCs w:val="18"/>
                <w:color w:val="auto"/>
              </w:rPr>
              <w:t>Iteos Therapeutics</w:t>
            </w:r>
          </w:p>
        </w:tc>
        <w:tc>
          <w:tcPr>
            <w:tcW w:w="2100" w:type="dxa"/>
            <w:vAlign w:val="bottom"/>
          </w:tcPr>
          <w:p>
            <w:pPr>
              <w:ind w:left="460"/>
              <w:spacing w:after="0"/>
              <w:rPr>
                <w:sz w:val="20"/>
                <w:szCs w:val="20"/>
                <w:color w:val="auto"/>
              </w:rPr>
            </w:pPr>
            <w:r>
              <w:rPr>
                <w:rFonts w:ascii="Arial" w:cs="Arial" w:eastAsia="Arial" w:hAnsi="Arial"/>
                <w:sz w:val="18"/>
                <w:szCs w:val="18"/>
                <w:color w:val="auto"/>
              </w:rPr>
              <w:t>Solid Biosciences</w:t>
            </w:r>
          </w:p>
        </w:tc>
      </w:tr>
      <w:tr>
        <w:trPr>
          <w:trHeight w:val="257"/>
        </w:trPr>
        <w:tc>
          <w:tcPr>
            <w:tcW w:w="2160" w:type="dxa"/>
            <w:vAlign w:val="bottom"/>
          </w:tcPr>
          <w:p>
            <w:pPr>
              <w:spacing w:after="0"/>
              <w:rPr>
                <w:sz w:val="20"/>
                <w:szCs w:val="20"/>
                <w:color w:val="auto"/>
              </w:rPr>
            </w:pPr>
            <w:r>
              <w:rPr>
                <w:rFonts w:ascii="Arial" w:cs="Arial" w:eastAsia="Arial" w:hAnsi="Arial"/>
                <w:sz w:val="18"/>
                <w:szCs w:val="18"/>
                <w:color w:val="auto"/>
              </w:rPr>
              <w:t>AVROBIO</w:t>
            </w:r>
          </w:p>
        </w:tc>
        <w:tc>
          <w:tcPr>
            <w:tcW w:w="2460" w:type="dxa"/>
            <w:vAlign w:val="bottom"/>
          </w:tcPr>
          <w:p>
            <w:pPr>
              <w:ind w:left="380"/>
              <w:spacing w:after="0"/>
              <w:rPr>
                <w:sz w:val="20"/>
                <w:szCs w:val="20"/>
                <w:color w:val="auto"/>
              </w:rPr>
            </w:pPr>
            <w:r>
              <w:rPr>
                <w:rFonts w:ascii="Arial" w:cs="Arial" w:eastAsia="Arial" w:hAnsi="Arial"/>
                <w:sz w:val="18"/>
                <w:szCs w:val="18"/>
                <w:color w:val="auto"/>
              </w:rPr>
              <w:t>Jounce Therapeutics</w:t>
            </w:r>
          </w:p>
        </w:tc>
        <w:tc>
          <w:tcPr>
            <w:tcW w:w="2100" w:type="dxa"/>
            <w:vAlign w:val="bottom"/>
          </w:tcPr>
          <w:p>
            <w:pPr>
              <w:ind w:left="460"/>
              <w:spacing w:after="0"/>
              <w:rPr>
                <w:sz w:val="20"/>
                <w:szCs w:val="20"/>
                <w:color w:val="auto"/>
              </w:rPr>
            </w:pPr>
            <w:r>
              <w:rPr>
                <w:rFonts w:ascii="Arial" w:cs="Arial" w:eastAsia="Arial" w:hAnsi="Arial"/>
                <w:sz w:val="18"/>
                <w:szCs w:val="18"/>
                <w:color w:val="auto"/>
              </w:rPr>
              <w:t>Spero Therapeutics</w:t>
            </w:r>
          </w:p>
        </w:tc>
      </w:tr>
      <w:tr>
        <w:trPr>
          <w:trHeight w:val="256"/>
        </w:trPr>
        <w:tc>
          <w:tcPr>
            <w:tcW w:w="2160" w:type="dxa"/>
            <w:vAlign w:val="bottom"/>
          </w:tcPr>
          <w:p>
            <w:pPr>
              <w:spacing w:after="0"/>
              <w:rPr>
                <w:sz w:val="20"/>
                <w:szCs w:val="20"/>
                <w:color w:val="auto"/>
              </w:rPr>
            </w:pPr>
            <w:r>
              <w:rPr>
                <w:rFonts w:ascii="Arial" w:cs="Arial" w:eastAsia="Arial" w:hAnsi="Arial"/>
                <w:sz w:val="18"/>
                <w:szCs w:val="18"/>
                <w:color w:val="auto"/>
              </w:rPr>
              <w:t>Calithera Biosciences</w:t>
            </w:r>
          </w:p>
        </w:tc>
        <w:tc>
          <w:tcPr>
            <w:tcW w:w="2460" w:type="dxa"/>
            <w:vAlign w:val="bottom"/>
          </w:tcPr>
          <w:p>
            <w:pPr>
              <w:ind w:left="380"/>
              <w:spacing w:after="0"/>
              <w:rPr>
                <w:sz w:val="20"/>
                <w:szCs w:val="20"/>
                <w:color w:val="auto"/>
              </w:rPr>
            </w:pPr>
            <w:r>
              <w:rPr>
                <w:rFonts w:ascii="Arial" w:cs="Arial" w:eastAsia="Arial" w:hAnsi="Arial"/>
                <w:sz w:val="18"/>
                <w:szCs w:val="18"/>
                <w:color w:val="auto"/>
              </w:rPr>
              <w:t>Magenta Therapeutics</w:t>
            </w:r>
          </w:p>
        </w:tc>
        <w:tc>
          <w:tcPr>
            <w:tcW w:w="2100" w:type="dxa"/>
            <w:vAlign w:val="bottom"/>
          </w:tcPr>
          <w:p>
            <w:pPr>
              <w:ind w:left="460"/>
              <w:spacing w:after="0"/>
              <w:rPr>
                <w:sz w:val="20"/>
                <w:szCs w:val="20"/>
                <w:color w:val="auto"/>
              </w:rPr>
            </w:pPr>
            <w:r>
              <w:rPr>
                <w:rFonts w:ascii="Arial" w:cs="Arial" w:eastAsia="Arial" w:hAnsi="Arial"/>
                <w:sz w:val="18"/>
                <w:szCs w:val="18"/>
                <w:color w:val="auto"/>
                <w:w w:val="95"/>
              </w:rPr>
              <w:t>SQZ Biotechnologies</w:t>
            </w:r>
          </w:p>
        </w:tc>
      </w:tr>
      <w:tr>
        <w:trPr>
          <w:trHeight w:val="256"/>
        </w:trPr>
        <w:tc>
          <w:tcPr>
            <w:tcW w:w="2160" w:type="dxa"/>
            <w:vAlign w:val="bottom"/>
          </w:tcPr>
          <w:p>
            <w:pPr>
              <w:spacing w:after="0"/>
              <w:rPr>
                <w:sz w:val="20"/>
                <w:szCs w:val="20"/>
                <w:color w:val="auto"/>
              </w:rPr>
            </w:pPr>
            <w:r>
              <w:rPr>
                <w:rFonts w:ascii="Arial" w:cs="Arial" w:eastAsia="Arial" w:hAnsi="Arial"/>
                <w:sz w:val="18"/>
                <w:szCs w:val="18"/>
                <w:color w:val="auto"/>
              </w:rPr>
              <w:t>Cogent Biosciences</w:t>
            </w:r>
          </w:p>
        </w:tc>
        <w:tc>
          <w:tcPr>
            <w:tcW w:w="2460" w:type="dxa"/>
            <w:vAlign w:val="bottom"/>
          </w:tcPr>
          <w:p>
            <w:pPr>
              <w:ind w:left="380"/>
              <w:spacing w:after="0"/>
              <w:rPr>
                <w:sz w:val="20"/>
                <w:szCs w:val="20"/>
                <w:color w:val="auto"/>
              </w:rPr>
            </w:pPr>
            <w:r>
              <w:rPr>
                <w:rFonts w:ascii="Arial" w:cs="Arial" w:eastAsia="Arial" w:hAnsi="Arial"/>
                <w:sz w:val="18"/>
                <w:szCs w:val="18"/>
                <w:color w:val="auto"/>
              </w:rPr>
              <w:t>MeiraGTx</w:t>
            </w:r>
          </w:p>
        </w:tc>
        <w:tc>
          <w:tcPr>
            <w:tcW w:w="2100" w:type="dxa"/>
            <w:vAlign w:val="bottom"/>
          </w:tcPr>
          <w:p>
            <w:pPr>
              <w:ind w:left="460"/>
              <w:spacing w:after="0"/>
              <w:rPr>
                <w:sz w:val="20"/>
                <w:szCs w:val="20"/>
                <w:color w:val="auto"/>
              </w:rPr>
            </w:pPr>
            <w:r>
              <w:rPr>
                <w:rFonts w:ascii="Arial" w:cs="Arial" w:eastAsia="Arial" w:hAnsi="Arial"/>
                <w:sz w:val="18"/>
                <w:szCs w:val="18"/>
                <w:color w:val="auto"/>
                <w:w w:val="87"/>
              </w:rPr>
              <w:t>Syros Pharmaceuticals</w:t>
            </w:r>
          </w:p>
        </w:tc>
      </w:tr>
      <w:tr>
        <w:trPr>
          <w:trHeight w:val="257"/>
        </w:trPr>
        <w:tc>
          <w:tcPr>
            <w:tcW w:w="2160" w:type="dxa"/>
            <w:vAlign w:val="bottom"/>
          </w:tcPr>
          <w:p>
            <w:pPr>
              <w:spacing w:after="0"/>
              <w:rPr>
                <w:sz w:val="20"/>
                <w:szCs w:val="20"/>
                <w:color w:val="auto"/>
              </w:rPr>
            </w:pPr>
            <w:r>
              <w:rPr>
                <w:rFonts w:ascii="Arial" w:cs="Arial" w:eastAsia="Arial" w:hAnsi="Arial"/>
                <w:sz w:val="18"/>
                <w:szCs w:val="18"/>
                <w:color w:val="auto"/>
              </w:rPr>
              <w:t>Concert Pharmaceuticals</w:t>
            </w:r>
          </w:p>
        </w:tc>
        <w:tc>
          <w:tcPr>
            <w:tcW w:w="2460" w:type="dxa"/>
            <w:vAlign w:val="bottom"/>
          </w:tcPr>
          <w:p>
            <w:pPr>
              <w:ind w:left="380"/>
              <w:spacing w:after="0"/>
              <w:rPr>
                <w:sz w:val="20"/>
                <w:szCs w:val="20"/>
                <w:color w:val="auto"/>
              </w:rPr>
            </w:pPr>
            <w:r>
              <w:rPr>
                <w:rFonts w:ascii="Arial" w:cs="Arial" w:eastAsia="Arial" w:hAnsi="Arial"/>
                <w:sz w:val="18"/>
                <w:szCs w:val="18"/>
                <w:color w:val="auto"/>
              </w:rPr>
              <w:t>Orchard Therapeutics</w:t>
            </w:r>
          </w:p>
        </w:tc>
        <w:tc>
          <w:tcPr>
            <w:tcW w:w="2100" w:type="dxa"/>
            <w:vAlign w:val="bottom"/>
          </w:tcPr>
          <w:p>
            <w:pPr>
              <w:ind w:left="460"/>
              <w:spacing w:after="0"/>
              <w:rPr>
                <w:sz w:val="20"/>
                <w:szCs w:val="20"/>
                <w:color w:val="auto"/>
              </w:rPr>
            </w:pPr>
            <w:r>
              <w:rPr>
                <w:rFonts w:ascii="Arial" w:cs="Arial" w:eastAsia="Arial" w:hAnsi="Arial"/>
                <w:sz w:val="18"/>
                <w:szCs w:val="18"/>
                <w:color w:val="auto"/>
                <w:w w:val="91"/>
              </w:rPr>
              <w:t>Voyager Therapeutics</w:t>
            </w:r>
          </w:p>
        </w:tc>
      </w:tr>
    </w:tbl>
    <w:p>
      <w:pPr>
        <w:spacing w:after="0" w:line="17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do not believe that it is appropriate to make compensation decisions, whether regarding base salaries or short-term or long-term incentive compensation, upon any type of benchmarking to a peer or other representative group of companies. The Compensation Committee believes that information regarding the compensation practices at other companies is useful in at least two respects. First, the Compensation Committee recognizes that our compensation policies and practices must be competitive in the marketplace. Second, this information is useful in assessing the reasonableness and appropriateness of individual executive compensation elements and of our overall executive compensation packages. This information is only one of several factors that the Compensation Committee considers, however, in making its decisions with respect to the compensation of our executive officers.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Elements</w:t>
      </w:r>
    </w:p>
    <w:p>
      <w:pPr>
        <w:spacing w:after="0" w:line="12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three primary elements of our executive compensation programs are: (1) base salary, (2) annual cash bonus opportunities, and (3) long-term incentives in the form of equity awards, as described below:</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Compensation Element</w:t>
            </w:r>
          </w:p>
        </w:tc>
        <w:tc>
          <w:tcPr>
            <w:tcW w:w="374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8"/>
                <w:szCs w:val="18"/>
                <w:color w:val="auto"/>
              </w:rPr>
              <w:t>What This Element Rewards</w:t>
            </w:r>
          </w:p>
        </w:tc>
        <w:tc>
          <w:tcPr>
            <w:tcW w:w="376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Purpose and Key Features of Element</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Base salary</w:t>
            </w:r>
          </w:p>
        </w:tc>
        <w:tc>
          <w:tcPr>
            <w:tcW w:w="37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Individual performance, level of experience,</w:t>
            </w:r>
          </w:p>
        </w:tc>
        <w:tc>
          <w:tcPr>
            <w:tcW w:w="37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Provides competitive level of fixed compensation</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7"/>
              </w:rPr>
              <w:t>expected future performance and contributions.</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determined by the market value of the position,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with actual base salaries established based on the</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facts and circumstances of each executive officer</w:t>
            </w:r>
          </w:p>
        </w:tc>
        <w:tc>
          <w:tcPr>
            <w:tcW w:w="0" w:type="dxa"/>
            <w:vAlign w:val="bottom"/>
          </w:tcPr>
          <w:p>
            <w:pPr>
              <w:spacing w:after="0"/>
              <w:rPr>
                <w:sz w:val="1"/>
                <w:szCs w:val="1"/>
                <w:color w:val="auto"/>
              </w:rPr>
            </w:pPr>
          </w:p>
        </w:tc>
      </w:tr>
      <w:tr>
        <w:trPr>
          <w:trHeight w:val="230"/>
        </w:trPr>
        <w:tc>
          <w:tcPr>
            <w:tcW w:w="3760" w:type="dxa"/>
            <w:vAlign w:val="bottom"/>
            <w:tcBorders>
              <w:left w:val="single" w:sz="8" w:color="auto"/>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each individual position.</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Annual cash bonuses</w:t>
            </w:r>
          </w:p>
        </w:tc>
        <w:tc>
          <w:tcPr>
            <w:tcW w:w="37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9"/>
              </w:rPr>
              <w:t>Achievement of pre-established corporate and</w:t>
            </w:r>
          </w:p>
        </w:tc>
        <w:tc>
          <w:tcPr>
            <w:tcW w:w="37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Motivate executive officers to achieve certain</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individual performance objectives (for 2021,</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corporate objectives and drive the company’s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focused on the advancement of our pipeline,</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corporate strategy and business development, and</w:t>
            </w:r>
          </w:p>
        </w:tc>
        <w:tc>
          <w:tcPr>
            <w:tcW w:w="3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5"/>
              </w:rPr>
              <w:t>Generally, performance levels are established to</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the company’s financials, as well as individual</w:t>
            </w:r>
          </w:p>
        </w:tc>
        <w:tc>
          <w:tcPr>
            <w:tcW w:w="37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contributions and management objectives).</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incent our executive officers to achieve or exceed</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performance objectives. For 2021, payouts for</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corporate performance objectives were not</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weighted individually, and the Compensation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Committee had discretion to award based on</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7"/>
              </w:rPr>
              <w:t>overall achievement of the corporate goals as a</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group, taking into account overachievement on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certain objectives, depending on actual</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achievement and payouts for individual</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performance objectives could range from 0% to an</w:t>
            </w:r>
          </w:p>
        </w:tc>
        <w:tc>
          <w:tcPr>
            <w:tcW w:w="0" w:type="dxa"/>
            <w:vAlign w:val="bottom"/>
          </w:tcPr>
          <w:p>
            <w:pPr>
              <w:spacing w:after="0"/>
              <w:rPr>
                <w:sz w:val="1"/>
                <w:szCs w:val="1"/>
                <w:color w:val="auto"/>
              </w:rPr>
            </w:pPr>
          </w:p>
        </w:tc>
      </w:tr>
      <w:tr>
        <w:trPr>
          <w:trHeight w:val="229"/>
        </w:trPr>
        <w:tc>
          <w:tcPr>
            <w:tcW w:w="3760" w:type="dxa"/>
            <w:vAlign w:val="bottom"/>
            <w:tcBorders>
              <w:left w:val="single" w:sz="8" w:color="auto"/>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undetermined percentage.</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Long-term incentives/equity awards</w:t>
            </w:r>
          </w:p>
        </w:tc>
        <w:tc>
          <w:tcPr>
            <w:tcW w:w="37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Achievement of corporate and individual</w:t>
            </w:r>
          </w:p>
        </w:tc>
        <w:tc>
          <w:tcPr>
            <w:tcW w:w="37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Annual equity awards that vest over four years and</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performance objectives designed to enhance long-</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provide a variable “at risk” pay opportunity.</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term stockholder value and attract, retain,</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Because the ultimate value of these equity awards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motivate, and reward executive officers over</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is directly related to the market price of our</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extended periods for achieving important</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5"/>
              </w:rPr>
              <w:t>Common Stock, and the awards are only earned</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corporate objectives. Vesting requirements</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over an extended period of time subject to vesting,</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promote retention of highly-valued executive</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they serve to focus management on the creation</w:t>
            </w:r>
          </w:p>
        </w:tc>
        <w:tc>
          <w:tcPr>
            <w:tcW w:w="0" w:type="dxa"/>
            <w:vAlign w:val="bottom"/>
          </w:tcPr>
          <w:p>
            <w:pPr>
              <w:spacing w:after="0"/>
              <w:rPr>
                <w:sz w:val="1"/>
                <w:szCs w:val="1"/>
                <w:color w:val="auto"/>
              </w:rPr>
            </w:pPr>
          </w:p>
        </w:tc>
      </w:tr>
      <w:tr>
        <w:trPr>
          <w:trHeight w:val="230"/>
        </w:trPr>
        <w:tc>
          <w:tcPr>
            <w:tcW w:w="37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officers.</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and maintenance of long-term stockholder value.</w:t>
            </w:r>
          </w:p>
        </w:tc>
        <w:tc>
          <w:tcPr>
            <w:tcW w:w="0" w:type="dxa"/>
            <w:vAlign w:val="bottom"/>
          </w:tcPr>
          <w:p>
            <w:pPr>
              <w:spacing w:after="0"/>
              <w:rPr>
                <w:sz w:val="1"/>
                <w:szCs w:val="1"/>
                <w:color w:val="auto"/>
              </w:rPr>
            </w:pPr>
          </w:p>
        </w:tc>
      </w:tr>
      <w:tr>
        <w:trPr>
          <w:trHeight w:val="296"/>
        </w:trPr>
        <w:tc>
          <w:tcPr>
            <w:tcW w:w="37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2021, the Board awarded a grant of</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performance-based restricted stock units which</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carried performance criteria related to the positive</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top-line data reported from our SEL-399 Empty</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5"/>
              </w:rPr>
              <w:t>Capsid clinical trial as well as the entrance into a</w:t>
            </w:r>
          </w:p>
        </w:tc>
        <w:tc>
          <w:tcPr>
            <w:tcW w:w="0" w:type="dxa"/>
            <w:vAlign w:val="bottom"/>
          </w:tcPr>
          <w:p>
            <w:pPr>
              <w:spacing w:after="0"/>
              <w:rPr>
                <w:sz w:val="1"/>
                <w:szCs w:val="1"/>
                <w:color w:val="auto"/>
              </w:rPr>
            </w:pPr>
          </w:p>
        </w:tc>
      </w:tr>
      <w:tr>
        <w:trPr>
          <w:trHeight w:val="230"/>
        </w:trPr>
        <w:tc>
          <w:tcPr>
            <w:tcW w:w="3760" w:type="dxa"/>
            <w:vAlign w:val="bottom"/>
            <w:tcBorders>
              <w:left w:val="single" w:sz="8" w:color="auto"/>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value-creating strategic transaction.</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Our executive officers also participate in the standard employee benefit plans available to all of our employees . In addition, our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executive officers, including our Named Executive Officers, in 2021 under each of these elements.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believe that a competitive base salary is a necessary element of our executive compensation program, so that we can attract and retain a stable management team. Base salaries for our executive officers are also intended to be competitive with those received by other individuals in similar positions at the companies with which we compete for talent, as well as equitable across the executive team.</w:t>
      </w:r>
    </w:p>
    <w:p>
      <w:pPr>
        <w:spacing w:after="0" w:line="76"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Generally, we establish the initial base salaries of our executive officers through arm’s-length negotiation at the time we hire the individual executive officer, taking into account his or her position, qualifications, experience, prior salary level, and the base salaries of our other executive officers.</w:t>
      </w:r>
    </w:p>
    <w:p>
      <w:pPr>
        <w:spacing w:after="0" w:line="1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Thereafter, the Compensation Committee reviews the base salaries of our executive officers, including our Named Executive Officers, annually and makes adjustments to base salaries as it determines to be necessary or appropriate.</w:t>
      </w:r>
    </w:p>
    <w:p>
      <w:pPr>
        <w:spacing w:after="0" w:line="6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December 2020, the Compensation Committee reviewed the base salaries of our executive officers, taking into consideration a competitive market analysis performed by Compensia and the recommendations of our CEO (except with</w:t>
      </w: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respect to his own base salary), as well as the other factors described above. Following this review, the Compensation Committee set the base salaries of our executive officers at levels that it believed were appropriate to maintain their competitiveness. The base salaries of our Named Executive Officers for 2021 were as follows:</w:t>
      </w:r>
    </w:p>
    <w:p>
      <w:pPr>
        <w:spacing w:after="0" w:line="97" w:lineRule="exact"/>
        <w:rPr>
          <w:sz w:val="20"/>
          <w:szCs w:val="20"/>
          <w:color w:val="auto"/>
        </w:rPr>
      </w:pPr>
    </w:p>
    <w:tbl>
      <w:tblPr>
        <w:tblLayout w:type="fixed"/>
        <w:tblInd w:w="50" w:type="dxa"/>
        <w:tblCellMar>
          <w:top w:w="0" w:type="dxa"/>
          <w:left w:w="0" w:type="dxa"/>
          <w:bottom w:w="0" w:type="dxa"/>
          <w:right w:w="0" w:type="dxa"/>
        </w:tblCellMar>
      </w:tblPr>
      <w:tr>
        <w:trPr>
          <w:trHeight w:val="252"/>
        </w:trPr>
        <w:tc>
          <w:tcPr>
            <w:tcW w:w="3360" w:type="dxa"/>
            <w:vAlign w:val="bottom"/>
            <w:tcBorders>
              <w:top w:val="single" w:sz="8" w:color="auto"/>
              <w:left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Named Executive Officer</w:t>
            </w:r>
          </w:p>
        </w:tc>
        <w:tc>
          <w:tcPr>
            <w:tcW w:w="2600" w:type="dxa"/>
            <w:vAlign w:val="bottom"/>
            <w:tcBorders>
              <w:top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2020 Base Salary</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 Base Salary</w:t>
            </w:r>
          </w:p>
        </w:tc>
        <w:tc>
          <w:tcPr>
            <w:tcW w:w="262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Percentage Adjustment</w:t>
            </w:r>
          </w:p>
        </w:tc>
      </w:tr>
      <w:tr>
        <w:trPr>
          <w:trHeight w:val="234"/>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Carsten Brunn, Ph.D.</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$550,000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$569,300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3.5%</w:t>
            </w:r>
          </w:p>
        </w:tc>
      </w:tr>
      <w:tr>
        <w:trPr>
          <w:trHeight w:val="237"/>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Bradford D. Dahms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$375,000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6.7%</w:t>
            </w:r>
          </w:p>
        </w:tc>
      </w:tr>
      <w:tr>
        <w:trPr>
          <w:trHeight w:val="237"/>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Ann K. Donohue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$225,000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6"/>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Kevin Tan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$410,000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6"/>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Peter G. Traber, M.D.</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$440,000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$440,000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Takashi Kei Kishimoto, Ph.D.</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$386,703</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3.4%</w:t>
            </w:r>
          </w:p>
        </w:tc>
      </w:tr>
      <w:tr>
        <w:trPr>
          <w:trHeight w:val="237"/>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Lloyd Johnston, Ph.D.</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$384,537</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4.0%</w:t>
            </w:r>
          </w:p>
        </w:tc>
      </w:tr>
    </w:tbl>
    <w:p>
      <w:pPr>
        <w:spacing w:after="0" w:line="188" w:lineRule="exact"/>
        <w:rPr>
          <w:sz w:val="20"/>
          <w:szCs w:val="20"/>
          <w:color w:val="auto"/>
        </w:rPr>
      </w:pPr>
    </w:p>
    <w:p>
      <w:pPr>
        <w:ind w:left="340" w:right="1280"/>
        <w:spacing w:after="0" w:line="375" w:lineRule="auto"/>
        <w:rPr>
          <w:sz w:val="20"/>
          <w:szCs w:val="20"/>
          <w:color w:val="auto"/>
        </w:rPr>
      </w:pPr>
      <w:r>
        <w:rPr>
          <w:rFonts w:ascii="Arial" w:cs="Arial" w:eastAsia="Arial" w:hAnsi="Arial"/>
          <w:sz w:val="18"/>
          <w:szCs w:val="18"/>
          <w:color w:val="auto"/>
        </w:rPr>
        <w:t xml:space="preserve">The base salaries of our Named Executive Officers during 2021 are also set forth in the “2021 Summary Compensation Table” below. </w:t>
      </w:r>
      <w:r>
        <w:rPr>
          <w:rFonts w:ascii="Arial" w:cs="Arial" w:eastAsia="Arial" w:hAnsi="Arial"/>
          <w:sz w:val="18"/>
          <w:szCs w:val="18"/>
          <w:b w:val="1"/>
          <w:bCs w:val="1"/>
          <w:i w:val="1"/>
          <w:iCs w:val="1"/>
          <w:color w:val="auto"/>
        </w:rPr>
        <w:t>Annual Cash Bonuses</w:t>
      </w:r>
    </w:p>
    <w:p>
      <w:pPr>
        <w:spacing w:after="0" w:line="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use annual bonuses paid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to deliver a competitive total direct compensation opportunity to our executive officers. Annual cash bonuses are entirely performance-based, are not guaranteed, and may vary materially from year-to-year.</w:t>
      </w:r>
    </w:p>
    <w:p>
      <w:pPr>
        <w:spacing w:after="0" w:line="63"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Typically, the Compensation Committee establishes cash bonus opportunities pursuant to a set of board-approved corporate goals that measures and rewards our executive officers for our actual corporate and their individual performance over our fiscal year. The cash bonus plan is designed to pay above-target bonuses when we exceed our annual corporate objectives and below-target bonuses when we do not achieve these objectives.</w:t>
      </w:r>
    </w:p>
    <w:p>
      <w:pPr>
        <w:spacing w:after="0" w:line="4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In February 2021, the Compensation Committee determined to award cash bonus opportunities to our executive officers, including our Named Executive Officers, pursuant to the cash bonus plan for 2021 (the “2021 Bonus Plan”). Under the 2021 Bonus Plan, the Compensation Committee had the authority to select the performance measures and related target levels applicable to the annual cash bonus opportunities for our executive officers. The performance measures involving our financial results could be determined in accordance with generally accepted accounting principles (“GAAP”), or such financial results could consist of non-GAAP financial measures, and any actual results were subject to adjustment by the Compensation Committee for one-time items or unbudgeted or unexpected items when determining whether the target levels for the performance measures had been met. Individual performance objectives could be established on the basis of any factors the Compensation Committee determined relevant, and were subject to adjustment on an individual, divisional, business unit, or Company-wide basis.</w:t>
      </w:r>
    </w:p>
    <w:p>
      <w:pPr>
        <w:spacing w:after="0" w:line="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Under the 2021 Bonus Plan, the Compensation Committee could, in its sole discretion and at any time, increase, reduce, or eliminate a participant’s actual bonus payment, and/or increase, reduce, or eliminate the amount allocated to the bonus pool for the year. Further, the actual bonus payment could be below, at, or above a participant’s target bonus opportunity, in the Compensation Committee’s sole discretion. The Compensation Committee could determine the amount of any reduction on the basis of such factors as it deemed relevant, and it was not required to establish any allocation or weighting with respect to the factors it considers.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Target Bonus Opportunities</w:t>
      </w:r>
    </w:p>
    <w:p>
      <w:pPr>
        <w:spacing w:after="0" w:line="11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For 2021, the target annual cash bonus opportunities for each of our Named Executive Officers under the 2021 Bonus Plan, expressed as a percentage of his or her annual base salary, were as follows:</w:t>
      </w:r>
    </w:p>
    <w:p>
      <w:pPr>
        <w:spacing w:after="0" w:line="84" w:lineRule="exact"/>
        <w:rPr>
          <w:sz w:val="20"/>
          <w:szCs w:val="20"/>
          <w:color w:val="auto"/>
        </w:rPr>
      </w:pPr>
    </w:p>
    <w:tbl>
      <w:tblPr>
        <w:tblLayout w:type="fixed"/>
        <w:tblInd w:w="50" w:type="dxa"/>
        <w:tblCellMar>
          <w:top w:w="0" w:type="dxa"/>
          <w:left w:w="0" w:type="dxa"/>
          <w:bottom w:w="0" w:type="dxa"/>
          <w:right w:w="0" w:type="dxa"/>
        </w:tblCellMar>
      </w:tblPr>
      <w:tr>
        <w:trPr>
          <w:trHeight w:val="198"/>
        </w:trPr>
        <w:tc>
          <w:tcPr>
            <w:tcW w:w="3360" w:type="dxa"/>
            <w:vAlign w:val="bottom"/>
            <w:tcBorders>
              <w:top w:val="single" w:sz="8" w:color="auto"/>
              <w:left w:val="single" w:sz="8" w:color="auto"/>
              <w:right w:val="single" w:sz="8" w:color="auto"/>
            </w:tcBorders>
          </w:tcPr>
          <w:p>
            <w:pPr>
              <w:spacing w:after="0"/>
              <w:rPr>
                <w:sz w:val="17"/>
                <w:szCs w:val="17"/>
                <w:color w:val="auto"/>
              </w:rPr>
            </w:pP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Annual</w:t>
            </w:r>
          </w:p>
        </w:tc>
        <w:tc>
          <w:tcPr>
            <w:tcW w:w="196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Target Bonus</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Actual</w:t>
            </w:r>
          </w:p>
        </w:tc>
        <w:tc>
          <w:tcPr>
            <w:tcW w:w="0" w:type="dxa"/>
            <w:vAlign w:val="bottom"/>
          </w:tcPr>
          <w:p>
            <w:pPr>
              <w:spacing w:after="0"/>
              <w:rPr>
                <w:sz w:val="1"/>
                <w:szCs w:val="1"/>
                <w:color w:val="auto"/>
              </w:rPr>
            </w:pPr>
          </w:p>
        </w:tc>
      </w:tr>
      <w:tr>
        <w:trPr>
          <w:trHeight w:val="95"/>
        </w:trPr>
        <w:tc>
          <w:tcPr>
            <w:tcW w:w="3360" w:type="dxa"/>
            <w:vAlign w:val="bottom"/>
            <w:tcBorders>
              <w:left w:val="single" w:sz="8" w:color="auto"/>
              <w:right w:val="single" w:sz="8" w:color="auto"/>
            </w:tcBorders>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8"/>
                <w:szCs w:val="18"/>
                <w:b w:val="1"/>
                <w:bCs w:val="1"/>
                <w:color w:val="auto"/>
                <w:w w:val="95"/>
              </w:rPr>
              <w:t>Opportunity</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360" w:type="dxa"/>
            <w:vAlign w:val="bottom"/>
            <w:tcBorders>
              <w:left w:val="single" w:sz="8" w:color="auto"/>
              <w:right w:val="single" w:sz="8" w:color="auto"/>
            </w:tcBorders>
            <w:vMerge w:val="restart"/>
          </w:tcPr>
          <w:p>
            <w:pPr>
              <w:ind w:left="700"/>
              <w:spacing w:after="0" w:line="189" w:lineRule="exact"/>
              <w:rPr>
                <w:sz w:val="20"/>
                <w:szCs w:val="20"/>
                <w:color w:val="auto"/>
              </w:rPr>
            </w:pPr>
            <w:r>
              <w:rPr>
                <w:rFonts w:ascii="Arial" w:cs="Arial" w:eastAsia="Arial" w:hAnsi="Arial"/>
                <w:sz w:val="18"/>
                <w:szCs w:val="18"/>
                <w:b w:val="1"/>
                <w:bCs w:val="1"/>
                <w:color w:val="auto"/>
              </w:rPr>
              <w:t>Named Executive Officer</w:t>
            </w:r>
          </w:p>
        </w:tc>
        <w:tc>
          <w:tcPr>
            <w:tcW w:w="196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8"/>
                <w:szCs w:val="18"/>
                <w:b w:val="1"/>
                <w:bCs w:val="1"/>
                <w:color w:val="auto"/>
                <w:w w:val="83"/>
              </w:rPr>
              <w:t>Base</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8"/>
                <w:szCs w:val="18"/>
                <w:b w:val="1"/>
                <w:bCs w:val="1"/>
                <w:color w:val="auto"/>
                <w:w w:val="85"/>
              </w:rPr>
              <w:t>Bonus</w:t>
            </w:r>
          </w:p>
        </w:tc>
        <w:tc>
          <w:tcPr>
            <w:tcW w:w="196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8"/>
                <w:szCs w:val="18"/>
                <w:b w:val="1"/>
                <w:bCs w:val="1"/>
                <w:color w:val="auto"/>
                <w:w w:val="85"/>
              </w:rPr>
              <w:t>Bonus</w:t>
            </w:r>
          </w:p>
        </w:tc>
        <w:tc>
          <w:tcPr>
            <w:tcW w:w="0" w:type="dxa"/>
            <w:vAlign w:val="bottom"/>
          </w:tcPr>
          <w:p>
            <w:pPr>
              <w:spacing w:after="0"/>
              <w:rPr>
                <w:sz w:val="1"/>
                <w:szCs w:val="1"/>
                <w:color w:val="auto"/>
              </w:rPr>
            </w:pPr>
          </w:p>
        </w:tc>
      </w:tr>
      <w:tr>
        <w:trPr>
          <w:trHeight w:val="94"/>
        </w:trPr>
        <w:tc>
          <w:tcPr>
            <w:tcW w:w="336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8"/>
                <w:szCs w:val="18"/>
                <w:b w:val="1"/>
                <w:bCs w:val="1"/>
                <w:color w:val="auto"/>
                <w:w w:val="86"/>
              </w:rPr>
              <w:t>(as a percentage of base</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360" w:type="dxa"/>
            <w:vAlign w:val="bottom"/>
            <w:tcBorders>
              <w:left w:val="single" w:sz="8" w:color="auto"/>
              <w:right w:val="single" w:sz="8" w:color="auto"/>
            </w:tcBorders>
          </w:tcPr>
          <w:p>
            <w:pPr>
              <w:spacing w:after="0"/>
              <w:rPr>
                <w:sz w:val="8"/>
                <w:szCs w:val="8"/>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Salary</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Opportunity ($)</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Payout ($)</w:t>
            </w:r>
          </w:p>
        </w:tc>
        <w:tc>
          <w:tcPr>
            <w:tcW w:w="0" w:type="dxa"/>
            <w:vAlign w:val="bottom"/>
          </w:tcPr>
          <w:p>
            <w:pPr>
              <w:spacing w:after="0"/>
              <w:rPr>
                <w:sz w:val="1"/>
                <w:szCs w:val="1"/>
                <w:color w:val="auto"/>
              </w:rPr>
            </w:pPr>
          </w:p>
        </w:tc>
      </w:tr>
      <w:tr>
        <w:trPr>
          <w:trHeight w:val="140"/>
        </w:trPr>
        <w:tc>
          <w:tcPr>
            <w:tcW w:w="3360" w:type="dxa"/>
            <w:vAlign w:val="bottom"/>
            <w:tcBorders>
              <w:left w:val="single" w:sz="8" w:color="auto"/>
              <w:right w:val="single" w:sz="8" w:color="auto"/>
            </w:tcBorders>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salary)</w:t>
            </w:r>
          </w:p>
        </w:tc>
        <w:tc>
          <w:tcPr>
            <w:tcW w:w="1960" w:type="dxa"/>
            <w:vAlign w:val="bottom"/>
            <w:tcBorders>
              <w:right w:val="single" w:sz="8" w:color="auto"/>
            </w:tcBorders>
            <w:vMerge w:val="continue"/>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vMerge w:val="continue"/>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Carsten Brunn, Ph.D.</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$569,300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55%</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$313,115</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$313,115</w:t>
            </w:r>
          </w:p>
        </w:tc>
        <w:tc>
          <w:tcPr>
            <w:tcW w:w="0" w:type="dxa"/>
            <w:vAlign w:val="bottom"/>
          </w:tcPr>
          <w:p>
            <w:pPr>
              <w:spacing w:after="0"/>
              <w:rPr>
                <w:sz w:val="1"/>
                <w:szCs w:val="1"/>
                <w:color w:val="auto"/>
              </w:rPr>
            </w:pPr>
          </w:p>
        </w:tc>
      </w:tr>
      <w:tr>
        <w:trPr>
          <w:trHeight w:val="237"/>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Bradford D. Dahms</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$400,000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Ann K. Donohue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$225,000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30%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$67,500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$74,250</w:t>
            </w:r>
          </w:p>
        </w:tc>
        <w:tc>
          <w:tcPr>
            <w:tcW w:w="0" w:type="dxa"/>
            <w:vAlign w:val="bottom"/>
          </w:tcPr>
          <w:p>
            <w:pPr>
              <w:spacing w:after="0"/>
              <w:rPr>
                <w:sz w:val="1"/>
                <w:szCs w:val="1"/>
                <w:color w:val="auto"/>
              </w:rPr>
            </w:pPr>
          </w:p>
        </w:tc>
      </w:tr>
      <w:tr>
        <w:trPr>
          <w:trHeight w:val="243"/>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Kevin Tan</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$410,000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196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85"/>
              </w:rPr>
              <w:t>$46,280</w:t>
            </w:r>
            <w:r>
              <w:rPr>
                <w:rFonts w:ascii="Arial" w:cs="Arial" w:eastAsia="Arial" w:hAnsi="Arial"/>
                <w:sz w:val="23"/>
                <w:szCs w:val="23"/>
                <w:color w:val="auto"/>
                <w:w w:val="85"/>
                <w:vertAlign w:val="superscript"/>
              </w:rPr>
              <w:t>(1)</w:t>
            </w:r>
          </w:p>
        </w:tc>
        <w:tc>
          <w:tcPr>
            <w:tcW w:w="196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85"/>
              </w:rPr>
              <w:t>$46,280</w:t>
            </w:r>
            <w:r>
              <w:rPr>
                <w:rFonts w:ascii="Arial" w:cs="Arial" w:eastAsia="Arial" w:hAnsi="Arial"/>
                <w:sz w:val="23"/>
                <w:szCs w:val="23"/>
                <w:color w:val="auto"/>
                <w:w w:val="85"/>
                <w:vertAlign w:val="superscript"/>
              </w:rPr>
              <w:t>(1)</w:t>
            </w:r>
          </w:p>
        </w:tc>
        <w:tc>
          <w:tcPr>
            <w:tcW w:w="0" w:type="dxa"/>
            <w:vAlign w:val="bottom"/>
          </w:tcPr>
          <w:p>
            <w:pPr>
              <w:spacing w:after="0"/>
              <w:rPr>
                <w:sz w:val="1"/>
                <w:szCs w:val="1"/>
                <w:color w:val="auto"/>
              </w:rPr>
            </w:pPr>
          </w:p>
        </w:tc>
      </w:tr>
      <w:tr>
        <w:trPr>
          <w:trHeight w:val="23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Peter G. Traber, M.D.</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$440,000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$176,000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$181,000</w:t>
            </w:r>
          </w:p>
        </w:tc>
        <w:tc>
          <w:tcPr>
            <w:tcW w:w="0" w:type="dxa"/>
            <w:vAlign w:val="bottom"/>
          </w:tcPr>
          <w:p>
            <w:pPr>
              <w:spacing w:after="0"/>
              <w:rPr>
                <w:sz w:val="1"/>
                <w:szCs w:val="1"/>
                <w:color w:val="auto"/>
              </w:rPr>
            </w:pPr>
          </w:p>
        </w:tc>
      </w:tr>
      <w:tr>
        <w:trPr>
          <w:trHeight w:val="237"/>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Takashi Kei Kishimoto, Ph.D.</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$400,000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$160,000</w:t>
            </w:r>
          </w:p>
        </w:tc>
        <w:tc>
          <w:tcPr>
            <w:tcW w:w="0" w:type="dxa"/>
            <w:vAlign w:val="bottom"/>
          </w:tcPr>
          <w:p>
            <w:pPr>
              <w:spacing w:after="0"/>
              <w:rPr>
                <w:sz w:val="1"/>
                <w:szCs w:val="1"/>
                <w:color w:val="auto"/>
              </w:rPr>
            </w:pPr>
          </w:p>
        </w:tc>
      </w:tr>
      <w:tr>
        <w:trPr>
          <w:trHeight w:val="237"/>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Lloyd Johnston, Ph.D.</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$400,000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20" w:hanging="188"/>
        <w:spacing w:after="0"/>
        <w:tabs>
          <w:tab w:leader="none" w:pos="5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Mr. Tan’s bonus was prorated from his start date in September 2021.</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and Individual Performance Objectives</w:t>
      </w:r>
    </w:p>
    <w:p>
      <w:pPr>
        <w:spacing w:after="0" w:line="11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For purposes of the 2021 Bonus Plan, the Compensation Committee selected certain pre-specified advancements to our candidate pipeline, developments in our corporate strategy and business partnerships, and financial objectives as the corporate performance measures. Each of these corporate performance measures was equally weighted. The Compensation Committee believed these performance measures were appropriate for our business because they provided a balance between moving our product candidates further in the clinic, managing our expenses, and maximizing the potential value of our ImmTOR technology, which it believes most directly influences long-term stockholder value. At the same time, the Compensation Committee established target performance levels for each of these measures at levels that it believed to be challenging, but attainable, through the successful execution of our annual operating plan. The Compensation Committee determined that we had achieved 100% of our bonus target achievement under the 2021 Bonus Plan. In an effort to recognize Dr. Traber’s efforts toward the clinical development of our pipeline, the Compensation Committee awarded Dr. Traber an additional discretionary bonus beyond his 100% target achievement.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Performance Results and Bonus Decisions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December 2021, the Compensation Committee determined that our actual achievement with respect to the corporate financial objectives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Bonus Plan was as follows: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640" w:type="dxa"/>
            <w:vAlign w:val="bottom"/>
            <w:tcBorders>
              <w:top w:val="single" w:sz="8" w:color="auto"/>
              <w:left w:val="single" w:sz="8" w:color="auto"/>
              <w:bottom w:val="single" w:sz="8" w:color="auto"/>
              <w:right w:val="single" w:sz="8" w:color="auto"/>
            </w:tcBorders>
          </w:tcPr>
          <w:p>
            <w:pPr>
              <w:ind w:left="1540"/>
              <w:spacing w:after="0"/>
              <w:rPr>
                <w:sz w:val="20"/>
                <w:szCs w:val="20"/>
                <w:color w:val="auto"/>
              </w:rPr>
            </w:pPr>
            <w:r>
              <w:rPr>
                <w:rFonts w:ascii="Arial" w:cs="Arial" w:eastAsia="Arial" w:hAnsi="Arial"/>
                <w:sz w:val="18"/>
                <w:szCs w:val="18"/>
                <w:b w:val="1"/>
                <w:bCs w:val="1"/>
                <w:color w:val="auto"/>
              </w:rPr>
              <w:t>Corporate Performance Measure</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2021 Target Achievement %</w:t>
            </w:r>
          </w:p>
        </w:tc>
      </w:tr>
      <w:tr>
        <w:trPr>
          <w:trHeight w:val="23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Pipeline Development</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37"/>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Corporate Strategy and Business Development</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36"/>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Finance</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bl>
    <w:p>
      <w:pPr>
        <w:spacing w:after="0" w:line="17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Compensation Committee determined that, based on our actual performance with respect to each corporate performance measure, the corporate performance objectives had been achieved, in the aggregate, at a 100% level. Based on its review of our overall corporate performance, and taking into account an additional discretionary bonus for Dr. Traber, the Compensation Committee approved bonus payments as follows for our Named Executive Officers:</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480" w:type="dxa"/>
            <w:vAlign w:val="bottom"/>
            <w:tcBorders>
              <w:top w:val="single" w:sz="8" w:color="auto"/>
              <w:left w:val="single" w:sz="8" w:color="auto"/>
              <w:right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Target Annual Cash</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Related to</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Amount of Individual</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Actual Annual Cash</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Percentage of Target</w:t>
            </w:r>
          </w:p>
        </w:tc>
      </w:tr>
      <w:tr>
        <w:trPr>
          <w:trHeight w:val="189"/>
        </w:trPr>
        <w:tc>
          <w:tcPr>
            <w:tcW w:w="2480" w:type="dxa"/>
            <w:vAlign w:val="bottom"/>
            <w:tcBorders>
              <w:left w:val="single" w:sz="8" w:color="auto"/>
              <w:right w:val="single" w:sz="8" w:color="auto"/>
            </w:tcBorders>
          </w:tcPr>
          <w:p>
            <w:pPr>
              <w:ind w:left="260"/>
              <w:spacing w:after="0" w:line="189" w:lineRule="exact"/>
              <w:rPr>
                <w:sz w:val="20"/>
                <w:szCs w:val="20"/>
                <w:color w:val="auto"/>
              </w:rPr>
            </w:pPr>
            <w:r>
              <w:rPr>
                <w:rFonts w:ascii="Arial" w:cs="Arial" w:eastAsia="Arial" w:hAnsi="Arial"/>
                <w:sz w:val="18"/>
                <w:szCs w:val="18"/>
                <w:b w:val="1"/>
                <w:bCs w:val="1"/>
                <w:color w:val="auto"/>
              </w:rPr>
              <w:t>Named Executive Officer</w:t>
            </w:r>
          </w:p>
        </w:tc>
        <w:tc>
          <w:tcPr>
            <w:tcW w:w="17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1"/>
              </w:rPr>
              <w:t>Bonus Opportunity</w:t>
            </w:r>
          </w:p>
        </w:tc>
        <w:tc>
          <w:tcPr>
            <w:tcW w:w="1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Corporate Financial</w:t>
            </w:r>
          </w:p>
        </w:tc>
        <w:tc>
          <w:tcPr>
            <w:tcW w:w="1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9"/>
              </w:rPr>
              <w:t>Discretionary Bonus</w:t>
            </w:r>
          </w:p>
        </w:tc>
        <w:tc>
          <w:tcPr>
            <w:tcW w:w="1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8"/>
              </w:rPr>
              <w:t>Bonus Payment</w:t>
            </w:r>
          </w:p>
        </w:tc>
        <w:tc>
          <w:tcPr>
            <w:tcW w:w="1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8"/>
              </w:rPr>
              <w:t>Annual Cash Bonus</w:t>
            </w:r>
          </w:p>
        </w:tc>
      </w:tr>
      <w:tr>
        <w:trPr>
          <w:trHeight w:val="162"/>
        </w:trPr>
        <w:tc>
          <w:tcPr>
            <w:tcW w:w="2480" w:type="dxa"/>
            <w:vAlign w:val="bottom"/>
            <w:tcBorders>
              <w:left w:val="single" w:sz="8" w:color="auto"/>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90"/>
              </w:rPr>
              <w:t>Objectives</w:t>
            </w:r>
          </w:p>
        </w:tc>
        <w:tc>
          <w:tcPr>
            <w:tcW w:w="176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93"/>
              </w:rPr>
              <w:t>Opportunity</w:t>
            </w:r>
          </w:p>
        </w:tc>
      </w:tr>
      <w:tr>
        <w:trPr>
          <w:trHeight w:val="230"/>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Carsten Brunn, Ph.D.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$313,115</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$313,115</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$313,115</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37"/>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Bradford D. Dahms</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$160,000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$160,000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p>
        </w:tc>
      </w:tr>
      <w:tr>
        <w:trPr>
          <w:trHeight w:val="23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Ann K. Donohue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$67,500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$67,500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$6,750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$74,250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110%</w:t>
            </w:r>
          </w:p>
        </w:tc>
      </w:tr>
      <w:tr>
        <w:trPr>
          <w:trHeight w:val="237"/>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Kevin Tan</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$46,280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$46,280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$46,280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3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Peter G. Traber, M.D.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$176,000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$176,000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$181,000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103%</w:t>
            </w:r>
          </w:p>
        </w:tc>
      </w:tr>
      <w:tr>
        <w:trPr>
          <w:trHeight w:val="237"/>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Takashi Kei Kishimoto, Ph.D.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$160,000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$160,000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$160,000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3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Lloyd Johnston, Ph.D.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$160,000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$160,000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$160,000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ectPr>
          <w:pgSz w:w="11900" w:h="16838" w:orient="portrait"/>
          <w:cols w:equalWidth="0" w:num="1">
            <w:col w:w="11260"/>
          </w:cols>
          <w:pgMar w:left="32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640"/>
        <w:spacing w:after="0" w:line="375" w:lineRule="auto"/>
        <w:rPr>
          <w:sz w:val="20"/>
          <w:szCs w:val="20"/>
          <w:color w:val="auto"/>
        </w:rPr>
      </w:pPr>
      <w:r>
        <w:rPr>
          <w:rFonts w:ascii="Arial" w:cs="Arial" w:eastAsia="Arial" w:hAnsi="Arial"/>
          <w:sz w:val="18"/>
          <w:szCs w:val="18"/>
          <w:color w:val="auto"/>
        </w:rPr>
        <w:t xml:space="preserve">The annual cash bonuses paid to our Named Executive Officers for 2021 are also set forth in the “2021 Summary Compensation Table” below. </w:t>
      </w:r>
      <w:r>
        <w:rPr>
          <w:rFonts w:ascii="Arial" w:cs="Arial" w:eastAsia="Arial" w:hAnsi="Arial"/>
          <w:sz w:val="18"/>
          <w:szCs w:val="18"/>
          <w:b w:val="1"/>
          <w:bCs w:val="1"/>
          <w:i w:val="1"/>
          <w:iCs w:val="1"/>
          <w:color w:val="auto"/>
        </w:rPr>
        <w:t>Long-Term Incentive Compensation</w:t>
      </w:r>
    </w:p>
    <w:p>
      <w:pPr>
        <w:spacing w:after="0" w:line="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Historically, we have relied on options to purchase shares of our Common Stock and, beginning in 2018, restricted stock unit (“RSU”) awards that may be settled for shares of our Common Stock as the principal vehicles for delivering long-term incentive compensation opportunities to our executive officers.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purchased. The Compensation Committee further believes these awards enable us to attract and retain key talent in our industry and aligns our executive officers’ interests with the long-term interests of our stockholders.</w:t>
      </w:r>
    </w:p>
    <w:p>
      <w:pPr>
        <w:spacing w:after="0" w:line="8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Generally, in determining the size of the equity awards granted to our executive officers the Compensation Committee takes into consideration the recommendations of our CEO (except with respect to his own equity award), as well as the factors described above. The Compensation Committee also considers the dilutive effect of our long-term incentive compensation practices, and the overall impact that these equity awards, as well as awards to other employees, will have on stockholder value.</w:t>
      </w:r>
    </w:p>
    <w:p>
      <w:pPr>
        <w:spacing w:after="0" w:line="7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In January 2021, the Compensation Committee approved equity awards for our executive officers, including our Named Executive Officers, in recognition of our financial and operational results and each executive officer’s individual performance for 2020, as well as for retentive purposes. In determining the amount of each executive officer’s equity award, the Compensation Committee took into consideration the recommendations of our CEO (except with respect to his own equity award),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w:t>
      </w:r>
    </w:p>
    <w:p>
      <w:pPr>
        <w:spacing w:after="0" w:line="84"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These equity awards consisted of both options to purchase shares of our Common Stock and, for certain executive officers, RSU awards that may be settled for shares of our Common Stock. The equity awards granted to our Named Executive Officers in 2021 were as follows:</w:t>
      </w:r>
    </w:p>
    <w:p>
      <w:pPr>
        <w:spacing w:after="0" w:line="6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3600" w:type="dxa"/>
            <w:vAlign w:val="bottom"/>
            <w:tcBorders>
              <w:top w:val="single" w:sz="8" w:color="auto"/>
              <w:left w:val="single" w:sz="8" w:color="auto"/>
              <w:right w:val="single" w:sz="8" w:color="auto"/>
            </w:tcBorders>
          </w:tcPr>
          <w:p>
            <w:pPr>
              <w:spacing w:after="0"/>
              <w:rPr>
                <w:sz w:val="17"/>
                <w:szCs w:val="17"/>
                <w:color w:val="auto"/>
              </w:rPr>
            </w:pPr>
          </w:p>
        </w:tc>
        <w:tc>
          <w:tcPr>
            <w:tcW w:w="2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Stock Options</w:t>
            </w:r>
          </w:p>
        </w:tc>
        <w:tc>
          <w:tcPr>
            <w:tcW w:w="25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Restricted Stock</w:t>
            </w:r>
          </w:p>
        </w:tc>
        <w:tc>
          <w:tcPr>
            <w:tcW w:w="256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Performance-Based</w:t>
            </w:r>
          </w:p>
        </w:tc>
        <w:tc>
          <w:tcPr>
            <w:tcW w:w="0" w:type="dxa"/>
            <w:vAlign w:val="bottom"/>
          </w:tcPr>
          <w:p>
            <w:pPr>
              <w:spacing w:after="0"/>
              <w:rPr>
                <w:sz w:val="1"/>
                <w:szCs w:val="1"/>
                <w:color w:val="auto"/>
              </w:rPr>
            </w:pPr>
          </w:p>
        </w:tc>
      </w:tr>
      <w:tr>
        <w:trPr>
          <w:trHeight w:val="95"/>
        </w:trPr>
        <w:tc>
          <w:tcPr>
            <w:tcW w:w="3600" w:type="dxa"/>
            <w:vAlign w:val="bottom"/>
            <w:tcBorders>
              <w:left w:val="single" w:sz="8" w:color="auto"/>
              <w:right w:val="single" w:sz="8" w:color="auto"/>
            </w:tcBorders>
            <w:vMerge w:val="restart"/>
          </w:tcPr>
          <w:p>
            <w:pPr>
              <w:ind w:left="840"/>
              <w:spacing w:after="0" w:line="189" w:lineRule="exact"/>
              <w:rPr>
                <w:sz w:val="20"/>
                <w:szCs w:val="20"/>
                <w:color w:val="auto"/>
              </w:rPr>
            </w:pPr>
            <w:r>
              <w:rPr>
                <w:rFonts w:ascii="Arial" w:cs="Arial" w:eastAsia="Arial" w:hAnsi="Arial"/>
                <w:sz w:val="18"/>
                <w:szCs w:val="18"/>
                <w:b w:val="1"/>
                <w:bCs w:val="1"/>
                <w:color w:val="auto"/>
              </w:rPr>
              <w:t>Named Executive Officer</w:t>
            </w:r>
          </w:p>
        </w:tc>
        <w:tc>
          <w:tcPr>
            <w:tcW w:w="2560" w:type="dxa"/>
            <w:vAlign w:val="bottom"/>
            <w:tcBorders>
              <w:right w:val="single" w:sz="8" w:color="auto"/>
            </w:tcBorders>
            <w:vMerge w:val="continue"/>
          </w:tcPr>
          <w:p>
            <w:pPr>
              <w:spacing w:after="0"/>
              <w:rPr>
                <w:sz w:val="8"/>
                <w:szCs w:val="8"/>
                <w:color w:val="auto"/>
              </w:rPr>
            </w:pPr>
          </w:p>
        </w:tc>
        <w:tc>
          <w:tcPr>
            <w:tcW w:w="254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8"/>
                <w:szCs w:val="18"/>
                <w:b w:val="1"/>
                <w:bCs w:val="1"/>
                <w:color w:val="auto"/>
                <w:w w:val="91"/>
              </w:rPr>
              <w:t>Unit Awards</w:t>
            </w:r>
          </w:p>
        </w:tc>
        <w:tc>
          <w:tcPr>
            <w:tcW w:w="256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8"/>
                <w:szCs w:val="18"/>
                <w:b w:val="1"/>
                <w:bCs w:val="1"/>
                <w:color w:val="auto"/>
                <w:w w:val="89"/>
              </w:rPr>
              <w:t>Restricted Stock Units</w:t>
            </w:r>
          </w:p>
        </w:tc>
        <w:tc>
          <w:tcPr>
            <w:tcW w:w="0" w:type="dxa"/>
            <w:vAlign w:val="bottom"/>
          </w:tcPr>
          <w:p>
            <w:pPr>
              <w:spacing w:after="0"/>
              <w:rPr>
                <w:sz w:val="1"/>
                <w:szCs w:val="1"/>
                <w:color w:val="auto"/>
              </w:rPr>
            </w:pPr>
          </w:p>
        </w:tc>
      </w:tr>
      <w:tr>
        <w:trPr>
          <w:trHeight w:val="95"/>
        </w:trPr>
        <w:tc>
          <w:tcPr>
            <w:tcW w:w="3600" w:type="dxa"/>
            <w:vAlign w:val="bottom"/>
            <w:tcBorders>
              <w:left w:val="single" w:sz="8" w:color="auto"/>
              <w:right w:val="single" w:sz="8" w:color="auto"/>
            </w:tcBorders>
            <w:vMerge w:val="continue"/>
          </w:tcPr>
          <w:p>
            <w:pPr>
              <w:spacing w:after="0"/>
              <w:rPr>
                <w:sz w:val="8"/>
                <w:szCs w:val="8"/>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(Number of Shares)</w:t>
            </w:r>
          </w:p>
        </w:tc>
        <w:tc>
          <w:tcPr>
            <w:tcW w:w="2540" w:type="dxa"/>
            <w:vAlign w:val="bottom"/>
            <w:tcBorders>
              <w:right w:val="single" w:sz="8" w:color="auto"/>
            </w:tcBorders>
            <w:vMerge w:val="continue"/>
          </w:tcPr>
          <w:p>
            <w:pPr>
              <w:spacing w:after="0"/>
              <w:rPr>
                <w:sz w:val="8"/>
                <w:szCs w:val="8"/>
                <w:color w:val="auto"/>
              </w:rPr>
            </w:pPr>
          </w:p>
        </w:tc>
        <w:tc>
          <w:tcPr>
            <w:tcW w:w="2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600" w:type="dxa"/>
            <w:vAlign w:val="bottom"/>
            <w:tcBorders>
              <w:left w:val="single" w:sz="8" w:color="auto"/>
              <w:right w:val="single" w:sz="8" w:color="auto"/>
            </w:tcBorders>
          </w:tcPr>
          <w:p>
            <w:pPr>
              <w:spacing w:after="0"/>
              <w:rPr>
                <w:sz w:val="12"/>
                <w:szCs w:val="12"/>
                <w:color w:val="auto"/>
              </w:rPr>
            </w:pPr>
          </w:p>
        </w:tc>
        <w:tc>
          <w:tcPr>
            <w:tcW w:w="2560" w:type="dxa"/>
            <w:vAlign w:val="bottom"/>
            <w:tcBorders>
              <w:right w:val="single" w:sz="8" w:color="auto"/>
            </w:tcBorders>
            <w:vMerge w:val="continue"/>
          </w:tcPr>
          <w:p>
            <w:pPr>
              <w:spacing w:after="0"/>
              <w:rPr>
                <w:sz w:val="12"/>
                <w:szCs w:val="12"/>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(Number of Shares)</w:t>
            </w: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(Number of Shares)</w:t>
            </w:r>
          </w:p>
        </w:tc>
        <w:tc>
          <w:tcPr>
            <w:tcW w:w="0" w:type="dxa"/>
            <w:vAlign w:val="bottom"/>
          </w:tcPr>
          <w:p>
            <w:pPr>
              <w:spacing w:after="0"/>
              <w:rPr>
                <w:sz w:val="1"/>
                <w:szCs w:val="1"/>
                <w:color w:val="auto"/>
              </w:rPr>
            </w:pPr>
          </w:p>
        </w:tc>
      </w:tr>
      <w:tr>
        <w:trPr>
          <w:trHeight w:val="101"/>
        </w:trPr>
        <w:tc>
          <w:tcPr>
            <w:tcW w:w="3600" w:type="dxa"/>
            <w:vAlign w:val="bottom"/>
            <w:tcBorders>
              <w:left w:val="single" w:sz="8" w:color="auto"/>
              <w:bottom w:val="single" w:sz="8" w:color="auto"/>
              <w:right w:val="single" w:sz="8" w:color="auto"/>
            </w:tcBorders>
          </w:tcPr>
          <w:p>
            <w:pPr>
              <w:spacing w:after="0"/>
              <w:rPr>
                <w:sz w:val="8"/>
                <w:szCs w:val="8"/>
                <w:color w:val="auto"/>
              </w:rPr>
            </w:pPr>
          </w:p>
        </w:tc>
        <w:tc>
          <w:tcPr>
            <w:tcW w:w="2560" w:type="dxa"/>
            <w:vAlign w:val="bottom"/>
            <w:tcBorders>
              <w:bottom w:val="single" w:sz="8" w:color="auto"/>
              <w:right w:val="single" w:sz="8" w:color="auto"/>
            </w:tcBorders>
          </w:tcPr>
          <w:p>
            <w:pPr>
              <w:spacing w:after="0"/>
              <w:rPr>
                <w:sz w:val="8"/>
                <w:szCs w:val="8"/>
                <w:color w:val="auto"/>
              </w:rPr>
            </w:pPr>
          </w:p>
        </w:tc>
        <w:tc>
          <w:tcPr>
            <w:tcW w:w="2540" w:type="dxa"/>
            <w:vAlign w:val="bottom"/>
            <w:tcBorders>
              <w:bottom w:val="single" w:sz="8" w:color="auto"/>
              <w:right w:val="single" w:sz="8" w:color="auto"/>
            </w:tcBorders>
            <w:vMerge w:val="continue"/>
          </w:tcPr>
          <w:p>
            <w:pPr>
              <w:spacing w:after="0"/>
              <w:rPr>
                <w:sz w:val="8"/>
                <w:szCs w:val="8"/>
                <w:color w:val="auto"/>
              </w:rPr>
            </w:pPr>
          </w:p>
        </w:tc>
        <w:tc>
          <w:tcPr>
            <w:tcW w:w="25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Carsten Brunn, Ph.D.</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833,000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137,200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75,000</w:t>
            </w:r>
          </w:p>
        </w:tc>
        <w:tc>
          <w:tcPr>
            <w:tcW w:w="0" w:type="dxa"/>
            <w:vAlign w:val="bottom"/>
          </w:tcPr>
          <w:p>
            <w:pPr>
              <w:spacing w:after="0"/>
              <w:rPr>
                <w:sz w:val="1"/>
                <w:szCs w:val="1"/>
                <w:color w:val="auto"/>
              </w:rPr>
            </w:pPr>
          </w:p>
        </w:tc>
      </w:tr>
      <w:tr>
        <w:trPr>
          <w:trHeight w:val="237"/>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Bradford D. Dahms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38,000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27,500</w:t>
            </w:r>
          </w:p>
        </w:tc>
        <w:tc>
          <w:tcPr>
            <w:tcW w:w="0" w:type="dxa"/>
            <w:vAlign w:val="bottom"/>
          </w:tcPr>
          <w:p>
            <w:pPr>
              <w:spacing w:after="0"/>
              <w:rPr>
                <w:sz w:val="1"/>
                <w:szCs w:val="1"/>
                <w:color w:val="auto"/>
              </w:rPr>
            </w:pPr>
          </w:p>
        </w:tc>
      </w:tr>
      <w:tr>
        <w:trPr>
          <w:trHeight w:val="236"/>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Ann K. Donohue</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4,250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Kevin Tan</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Peter G. Traber, M.D.</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284,400</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47,100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27,500</w:t>
            </w:r>
          </w:p>
        </w:tc>
        <w:tc>
          <w:tcPr>
            <w:tcW w:w="0" w:type="dxa"/>
            <w:vAlign w:val="bottom"/>
          </w:tcPr>
          <w:p>
            <w:pPr>
              <w:spacing w:after="0"/>
              <w:rPr>
                <w:sz w:val="1"/>
                <w:szCs w:val="1"/>
                <w:color w:val="auto"/>
              </w:rPr>
            </w:pPr>
          </w:p>
        </w:tc>
      </w:tr>
      <w:tr>
        <w:trPr>
          <w:trHeight w:val="236"/>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Takashi Kei Kishimoto, Ph.D.</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38,000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27,500</w:t>
            </w:r>
          </w:p>
        </w:tc>
        <w:tc>
          <w:tcPr>
            <w:tcW w:w="0" w:type="dxa"/>
            <w:vAlign w:val="bottom"/>
          </w:tcPr>
          <w:p>
            <w:pPr>
              <w:spacing w:after="0"/>
              <w:rPr>
                <w:sz w:val="1"/>
                <w:szCs w:val="1"/>
                <w:color w:val="auto"/>
              </w:rPr>
            </w:pPr>
          </w:p>
        </w:tc>
      </w:tr>
      <w:tr>
        <w:trPr>
          <w:trHeight w:val="237"/>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Lloyd Johnston, Ph.D.</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38,000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27,500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options to purchase shares of our Common Stock granted to our executive officers, including the Named Executive Officers, in January 2021 were subject to a time-based vesting requirement providing that these options are to vest as to 25% of the shares of our Common Stock subject to the option on the first anniversary of the date of grant and, thereafter, as to 1/48th of the shares subject to the option for each of the following 36 months thereafter, assuming the continued service of the executive officers on each such vesting date.</w:t>
      </w:r>
    </w:p>
    <w:p>
      <w:pPr>
        <w:spacing w:after="0" w:line="7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RSU awards granted to our executive officers, including the Named Executive Officers, in January 2021 were subject to a time-based vesting requirement providing that these awards are to vest as to 25% of the shares of our Common Stock subject to the award in four equal annual installments, each on the anniversary of the grant date, such that on the fourth anniversary of the grant date, the award would be fully vested, assuming the continued service of the executive officers on each such vesting date.</w:t>
      </w:r>
    </w:p>
    <w:p>
      <w:pPr>
        <w:spacing w:after="0" w:line="7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performance-based RSUs granted to our executive officers, including the Named Executive Officers, in January 2021 were subject to performance condition-based vesting. The performance conditions were such that the RSUs would vest in two equal installments on the dates that the Administrator (as defined in the 2016 Incentive Award Plan) determines (the “Administrator Determination”) that (i) the Company obtains positive top-line results from a proof-of-concept study in the field of gene therapy; and (ii) that the Company enters into a value creating strategic transaction (each of (i) and (ii), a “Performance Condition”), provided that, if an Administrator Determination does not occur with respect to a Performance Condition on or prior to December 31, 2021 or the Administrator determines that a Performance Condition was not satisfied, the Restricted</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Stock Units associated with such Performance Condition would be forfeited for no consideration. On October 1, 2021, the Compensation Committee determined that the second performance condition had been satisfied. On December 8, 2021, the Compensation Committee determined that the first performance condition had been satisfied, and the performance-based RSU award was fully vested.</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Equity Grants</w:t>
      </w:r>
    </w:p>
    <w:p>
      <w:pPr>
        <w:spacing w:after="0" w:line="11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connection with the commencement of his employment with the Company, the Compensation Committee approved a one-time equity grant in the form of stock options for Mr. Tan (the “New Employment Grant Options”) as follows:</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60" w:type="dxa"/>
            <w:vAlign w:val="bottom"/>
            <w:tcBorders>
              <w:top w:val="single" w:sz="8" w:color="auto"/>
              <w:left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8"/>
                <w:szCs w:val="18"/>
                <w:color w:val="auto"/>
              </w:rPr>
              <w:t>Employee</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Number of Options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Grant Date</w:t>
            </w:r>
          </w:p>
        </w:tc>
      </w:tr>
      <w:tr>
        <w:trPr>
          <w:trHeight w:val="24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Kevin Tan</w:t>
            </w:r>
          </w:p>
        </w:tc>
        <w:tc>
          <w:tcPr>
            <w:tcW w:w="3740" w:type="dxa"/>
            <w:vAlign w:val="bottom"/>
            <w:tcBorders>
              <w:bottom w:val="single" w:sz="8" w:color="auto"/>
              <w:right w:val="single" w:sz="8" w:color="auto"/>
            </w:tcBorders>
          </w:tcPr>
          <w:p>
            <w:pPr>
              <w:jc w:val="right"/>
              <w:ind w:right="1510"/>
              <w:spacing w:after="0"/>
              <w:rPr>
                <w:sz w:val="20"/>
                <w:szCs w:val="20"/>
                <w:color w:val="auto"/>
              </w:rPr>
            </w:pPr>
            <w:r>
              <w:rPr>
                <w:rFonts w:ascii="Arial" w:cs="Arial" w:eastAsia="Arial" w:hAnsi="Arial"/>
                <w:sz w:val="18"/>
                <w:szCs w:val="18"/>
                <w:color w:val="auto"/>
              </w:rPr>
              <w:t>750,000</w:t>
            </w:r>
          </w:p>
        </w:tc>
        <w:tc>
          <w:tcPr>
            <w:tcW w:w="3760" w:type="dxa"/>
            <w:vAlign w:val="bottom"/>
            <w:tcBorders>
              <w:bottom w:val="single" w:sz="8" w:color="auto"/>
              <w:right w:val="single" w:sz="8" w:color="auto"/>
            </w:tcBorders>
          </w:tcPr>
          <w:p>
            <w:pPr>
              <w:jc w:val="right"/>
              <w:ind w:right="1430"/>
              <w:spacing w:after="0"/>
              <w:rPr>
                <w:sz w:val="20"/>
                <w:szCs w:val="20"/>
                <w:color w:val="auto"/>
              </w:rPr>
            </w:pPr>
            <w:r>
              <w:rPr>
                <w:rFonts w:ascii="Arial" w:cs="Arial" w:eastAsia="Arial" w:hAnsi="Arial"/>
                <w:sz w:val="18"/>
                <w:szCs w:val="18"/>
                <w:color w:val="auto"/>
              </w:rPr>
              <w:t>9/20/2021</w:t>
            </w:r>
          </w:p>
        </w:tc>
      </w:tr>
    </w:tbl>
    <w:p>
      <w:pPr>
        <w:spacing w:after="0" w:line="18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New Employment Grant Options are subject to a time-based vesting requirement providing that these options are to vest as to 25% of the shares of our Common Stock subject to the option on the first anniversary of the date of grant and, thereafter, as to 1/48th of the shares subject to the option each of the following 36 months, assuming the continued service of the executive officers on each such vesting date.</w:t>
      </w:r>
    </w:p>
    <w:p>
      <w:pPr>
        <w:spacing w:after="0" w:line="5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Additionally, in September 2021, the Compensation Committee approved a one-time equity grant in the form of stock options and RSUs to Drs. Brunn and Traber in recognition of their accomplishments to-date in 2021 as follows:</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60" w:type="dxa"/>
            <w:vAlign w:val="bottom"/>
            <w:tcBorders>
              <w:top w:val="single" w:sz="8" w:color="auto"/>
              <w:left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8"/>
                <w:szCs w:val="18"/>
                <w:color w:val="auto"/>
              </w:rPr>
              <w:t>Employee</w:t>
            </w:r>
          </w:p>
        </w:tc>
        <w:tc>
          <w:tcPr>
            <w:tcW w:w="3740" w:type="dxa"/>
            <w:vAlign w:val="bottom"/>
            <w:tcBorders>
              <w:top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Number of Options</w:t>
            </w:r>
          </w:p>
        </w:tc>
        <w:tc>
          <w:tcPr>
            <w:tcW w:w="37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rPr>
              <w:t>Number of RSUs</w:t>
            </w:r>
          </w:p>
        </w:tc>
      </w:tr>
      <w:tr>
        <w:trPr>
          <w:trHeight w:val="24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Carsten Brunn, Ph.D.</w:t>
            </w:r>
          </w:p>
        </w:tc>
        <w:tc>
          <w:tcPr>
            <w:tcW w:w="3740" w:type="dxa"/>
            <w:vAlign w:val="bottom"/>
            <w:tcBorders>
              <w:bottom w:val="single" w:sz="8" w:color="auto"/>
              <w:right w:val="single" w:sz="8" w:color="auto"/>
            </w:tcBorders>
          </w:tcPr>
          <w:p>
            <w:pPr>
              <w:jc w:val="right"/>
              <w:ind w:right="1510"/>
              <w:spacing w:after="0"/>
              <w:rPr>
                <w:sz w:val="20"/>
                <w:szCs w:val="20"/>
                <w:color w:val="auto"/>
              </w:rPr>
            </w:pPr>
            <w:r>
              <w:rPr>
                <w:rFonts w:ascii="Arial" w:cs="Arial" w:eastAsia="Arial" w:hAnsi="Arial"/>
                <w:sz w:val="18"/>
                <w:szCs w:val="18"/>
                <w:color w:val="auto"/>
              </w:rPr>
              <w:t>163,000</w:t>
            </w:r>
          </w:p>
        </w:tc>
        <w:tc>
          <w:tcPr>
            <w:tcW w:w="376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8"/>
                <w:szCs w:val="18"/>
                <w:color w:val="auto"/>
              </w:rPr>
              <w:t>27,200</w:t>
            </w:r>
          </w:p>
        </w:tc>
      </w:tr>
      <w:tr>
        <w:trPr>
          <w:trHeight w:val="237"/>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Peter G. Traber, M.D.</w:t>
            </w:r>
          </w:p>
        </w:tc>
        <w:tc>
          <w:tcPr>
            <w:tcW w:w="374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8"/>
                <w:szCs w:val="18"/>
                <w:color w:val="auto"/>
              </w:rPr>
              <w:t>54,400</w:t>
            </w:r>
          </w:p>
        </w:tc>
        <w:tc>
          <w:tcPr>
            <w:tcW w:w="3760" w:type="dxa"/>
            <w:vAlign w:val="bottom"/>
            <w:tcBorders>
              <w:bottom w:val="single" w:sz="8" w:color="auto"/>
              <w:right w:val="single" w:sz="8" w:color="auto"/>
            </w:tcBorders>
          </w:tcPr>
          <w:p>
            <w:pPr>
              <w:jc w:val="right"/>
              <w:ind w:right="1590"/>
              <w:spacing w:after="0"/>
              <w:rPr>
                <w:sz w:val="20"/>
                <w:szCs w:val="20"/>
                <w:color w:val="auto"/>
              </w:rPr>
            </w:pPr>
            <w:r>
              <w:rPr>
                <w:rFonts w:ascii="Arial" w:cs="Arial" w:eastAsia="Arial" w:hAnsi="Arial"/>
                <w:sz w:val="18"/>
                <w:szCs w:val="18"/>
                <w:color w:val="auto"/>
              </w:rPr>
              <w:t>9,100</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Welfare and Health Benefits</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maintain a tax-qualified retirement plan under Section 401(k) of the Internal Revenue Code, as amended (the “Code”), for our employees, including our executive officers, who satisfy certain eligibility requirements, including requirements relating to age and length of service that provides them with an opportunity to save for retirement on a tax-advantaged basis. We intend for this plan to qualify under Sections 401(a) and 501(a) of the Code so that contributions by employees to the plan, and income earned on plan contributions, are not taxable to employees until distributed from the applicable plan. In addition, all contributions are deductible by us when made.</w:t>
      </w:r>
    </w:p>
    <w:p>
      <w:pPr>
        <w:spacing w:after="0" w:line="80"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All participants’ interests in their deferrals are 100% vested when contributed under both plans. In 2021, we matched 50% of contributions made by participants in the 401(k) plan up to a maximum Company match of $3,400 per year. Under the plan, pre-tax contributions are allocated to each participant’s individual account and are then invested in selected investment alternatives according to the participants’ directions.</w:t>
      </w:r>
    </w:p>
    <w:p>
      <w:pPr>
        <w:spacing w:after="0" w:line="57"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In addition, we provide other benefits to our executive officers, including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vacation and other paid holidays to all employees, including our executive officers. We do not offer our employees a non-qualified deferred compensation plan or pension plan.</w:t>
      </w:r>
    </w:p>
    <w:p>
      <w:pPr>
        <w:spacing w:after="0" w:line="4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17"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2021, none of the Named Executive Officers received perquisites or other personal benefits that were, in the aggregate, $10,000 or more for each Named Executive Officer.</w:t>
      </w:r>
    </w:p>
    <w:p>
      <w:pPr>
        <w:spacing w:after="0" w:line="4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subject to periodic review by the Compensation Committee.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During the period of their service with our Company, we had employment agreements in place with each of our executive officers, including our CEO and our other Named Executive Officers, other than Ms. Donohue, to whom we have extended a written offer letter. Each of these arrangements was approved on our behalf by our Board or the Compensation Committee, as applicable, or by the CEO, subject to his authority as granted by the Board. We believe that these arrangements were appropriate to induce these individuals to forego other employment opportunities or leave their current employer for the uncertainty of a demanding position in a new and unfamiliar organization.</w:t>
      </w:r>
    </w:p>
    <w:p>
      <w:pPr>
        <w:spacing w:after="0" w:line="8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filling these executive positions, our Board or the Compensation Committee, as applicable, was aware that it would be necessary to recruit candidates with the requisite experience and skills to manage a growing business in a dynamic and ever-changing environment. Accordingly, it recognized that it would need to develop competitive compensation packages to attract qualified candidates in a highly competitive labor market. At the same time, our Board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6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Each of these employment arrangements provides for “at will” employment and sets forth the initial compensation arrangements for the Named Executive Officer, including an initial base salary, a target annual cash bonus opportunity, and, in some instances, a recommendation for an equity award in the form of a stock option to purchase shares of our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12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Other than Ms. Donohue, all of our Named Executive Officers entered into employment agreements that provide for post-employment compensation in the event of a change-in-control or if the Named Executive Officer is fired without Good Reason, as defined in each employment agreement.</w:t>
      </w:r>
    </w:p>
    <w:p>
      <w:pPr>
        <w:spacing w:after="0" w:line="16"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These agreements require us to provide certain payments and benefits upon a qualifying termination of employment, which includes a termination of employment without cause or where the Named Executive Officer resigns with good reason, within three months preceding or 12 months following a change in control of the Company. The receipt of these payments and benefits are contingent upon the Named Executive Officer’s execution, delivery, and non-revocation of a release and waiver of claims satisfactory to us following the separation from service. In addition, for six months following termination of employment, and as a condition to the payments and benefits, the Named Executive Officer must cooperate with any transition efforts that we request and must not disparage us, or our directors, officers, or employees.</w:t>
      </w:r>
    </w:p>
    <w:p>
      <w:pPr>
        <w:spacing w:after="0" w:line="70"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Other than Ms. Donohue, our Named Executive Officers are eligible to receive severance payments and benefits upon a qualifying termination of employment in connection with a change in control of our Company. In addition, the outstanding RSU awards held by our Named Executive Officers provide for vesting and acceleration pursuant to a provision that supersedes any acceleration that would have been provided under their employment agreements.</w:t>
      </w:r>
    </w:p>
    <w:p>
      <w:pPr>
        <w:spacing w:after="0" w:line="79" w:lineRule="exact"/>
        <w:rPr>
          <w:sz w:val="20"/>
          <w:szCs w:val="20"/>
          <w:color w:val="auto"/>
        </w:rPr>
      </w:pPr>
    </w:p>
    <w:p>
      <w:pPr>
        <w:jc w:val="both"/>
        <w:ind w:right="20" w:firstLine="324"/>
        <w:spacing w:after="0" w:line="296" w:lineRule="auto"/>
        <w:rPr>
          <w:sz w:val="20"/>
          <w:szCs w:val="20"/>
          <w:color w:val="auto"/>
        </w:rPr>
      </w:pPr>
      <w:r>
        <w:rPr>
          <w:rFonts w:ascii="Arial" w:cs="Arial" w:eastAsia="Arial" w:hAnsi="Arial"/>
          <w:sz w:val="16"/>
          <w:szCs w:val="16"/>
          <w:color w:val="auto"/>
        </w:rPr>
        <w:t>We believe that the severance policy serves several objectives. First, it eliminates the need to negotiate separation payments and benefits on a case-by-case basis. It also helps assure an executive officer that his or her severance payments and benefits are comparable to those of other executive officers with similar levels of responsibility and tenure. Further, it acts as an incentive for our executive officers to remain employed and focused on their responsibilities during the threat or negotiation of a change-in-control transaction, which preserves our value and the potential benefit to be received by our stockholders in the transaction. Finally, the severance policy is easier for us to administer, as it requires less time and expense.</w:t>
      </w:r>
    </w:p>
    <w:p>
      <w:pPr>
        <w:spacing w:after="0" w:line="5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severance policy contemplates that the payments and benefits in the event of a change in control of the Company are payable only upon a “double trigger”; that is, only following a change in control and a qualifying termination of employment, including a termination of employment without cause or a resignation for good reason, and in each case requires that the Named Executive Officer execute a release of claims in our favor. In addition, the severance policy provides payments and benefits to our Named Executive Officers for qualified terminations of employment unrelated to a change in control of the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Recovery Policy</w:t>
      </w:r>
    </w:p>
    <w:p>
      <w:pPr>
        <w:spacing w:after="0" w:line="11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To date, we have not adopted a formal compensation recovery (“clawback”) policy. Under Section 304 of the Sarbanes-Oxley Act of 2002, as applicable to all public companies, we operate under the requirements of that provision, under which our Board may seek reimbursement from our CEO and CFO if, as a result of their misconduct, we restate our financial results due to our material noncompliance with any financial reporting requirements under the federal securities laws.</w:t>
      </w:r>
    </w:p>
    <w:p>
      <w:pPr>
        <w:spacing w:after="0" w:line="7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we intend to comply with the requirements of Section 954 of the Dodd-Frank Wall Street Reform and Consumer Protection Act and will adopt a compensation recovery policy once final regulations on the subject have been adopted.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Award Grant Policy</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adopted an equity award grant policy that provides the following guidelines to be observed by the Compensation Committee and our Board in administering the grant of equity awards under our equity compensation plans: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the 2016 Plan, equity awards may be granted to our employees, non-employee directors, and consultants. The exercise price of any option to purchase shares of our Common Stock may not be less than the fair market value of our Common Stock on the date of grant. Stock option awards expire no longer than ten years after the date of grant. Equity awards granted under our 2018 Plan may only be granted to employees as a means of inducing them to commence employment with the Company as an initial equity grant, and equity awards under the 2018 Plan are granted with the same limitations on pricing and expiration as are included in the 2016 Plan. We may grant up to $100,000 per year in incentive stock options to employees, subject to the limitations of Section 422 of the Code and the regulations issued thereunder.</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Derivatives Trading, Hedging, and Pledging Policies</w:t>
      </w:r>
    </w:p>
    <w:p>
      <w:pPr>
        <w:spacing w:after="0" w:line="11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have adopted a policy prohibiting our employees, including our executive officers, and members of our Board from speculating in our equity securities, including the use of short sales, “sales against the box” or any equivalent transaction involving our equity securities. In addition, they may not engage in any other hedging transactions, such as “cashless” collars, forward sales, equity swaps and other similar or related arrangements, with respect to the securities that they hold. Finally, no employee, including an executive officer or member of our Board may acquire, sell, or trade in any interest or position relating to the future price of our equity securities.</w:t>
      </w:r>
    </w:p>
    <w:p>
      <w:pPr>
        <w:spacing w:after="0" w:line="8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also have adopted a policy prohibiting the pledging of our Common Stock by our employees, including our executive officers, and members of our Board.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Section 162(m) of the Code generally disallows a deduction for federal income tax purposes to any publicly-traded corporation for any remuneration in excess of $1 million paid in any taxable year to its chief executive officer and each of the three other most highly compensated executive officers (other than its chief financial officer). Generally, remuneration in excess of $1 million may be deducted if, among other things, it qualifies as “performance-based compensation” within the meaning of the Code or qualifies for a different exemption. In this regard, the compensation income realized upon the exercise of options to purchase shares of the granting company’s securities granted under a stockholder-approved stock option plan generally will be deductible so long as the options are granted by a committee whose members are outside directors and certain other conditions are satisfied. Conversely, the compensation income realized upon the vesting of restricted stock unit awards that are subject to time-based vesting requirements generally will not be deductible since such awards do not qualify as “performance-based compensation.”</w:t>
      </w:r>
    </w:p>
    <w:p>
      <w:pPr>
        <w:spacing w:after="0" w:line="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Compensation Committee seeks to qualify the incentive compensation paid to the covered executive officers for the “performance-based compensation” exemption from the deduction limit under Section 162(m) when it believes such action is in our best interests. In approving the amount and form of compensation for our executive officers, the Compensation Committee believes that the potential deductibility of the compensation payable under those plans and arrangements should be only one of a number of relevant factors taken into consideration, and not the sole governing factor. Accordingly, the Compensation Committee considers all elements of the cost to us of providing such compensation, including the potential impact of the Section 162(m) deduction limit.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spacing w:after="0" w:line="57"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Taxation of Nonqualified Deferred Compensation</w:t>
      </w:r>
    </w:p>
    <w:p>
      <w:pPr>
        <w:spacing w:after="0" w:line="11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components, as well as the compensation plans and arrangements for our employees generally, so that they are either exempt from, or satisfy the requirements of, Section 409A. From time to time, we may be required to amend some of our compensation plans and arrangements to ensure that they are either exempt from, or compliant with, Section 409A.</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Taxation of “Parachute” Payments</w:t>
      </w:r>
    </w:p>
    <w:p>
      <w:pPr>
        <w:spacing w:after="0" w:line="11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Sections 280G and 4999 of the Code provide that executive officers and directors who hold significant equity interests and certain other service providers may be subject to additional taxes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Sections 280G or 4999 during 2021 and we have not agreed and are not otherwise obligated to provide any executive officers, including any Named Executive Officer, with such a “gross-up” or other reimbursement payment.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17"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7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ASC Topic 718 requires us to recognize in our financial statements all share-based payment awards to employees, including grants of options to purchase shares of our Common Stock and restricted stock awards for shares of our Common Stock to our executive officers, based on their fair values. The application of ASC Topic 718 involves significant amounts of judgment in the determination of inputs into the Black-Scholes-Merton valuation model that we use to determine the fair value of stock options. These inputs are based upon assumptions as to the volatility of the underlying stock, risk free interest rates, and the expected life (term) of the options. As required under GAAP, we review our valuation assumptions at each grant date, and, as a result, our valuation assumptions used to value stock options granted in future periods may vary from the valuation assumptions we have used previously. For performance-based stock awards, we also must apply judgment in determining the periods when, and if, the related performance targets become probable of being met.</w:t>
      </w:r>
    </w:p>
    <w:p>
      <w:pPr>
        <w:spacing w:after="0" w:line="8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ASC Topic 718 also requires us to recognize the compensation cost of our share-based payment awards in our income statement over the period that an employee, including one of our executive officers, is required to render service in exchange for the award (which, generally, will correspond to the award’s vesting schedule).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This section discusses the material components of the executive compensation program offered to our Named Executive Officers identified below. For 2021, our Named Executive Officers and their positions as of December 31, 2021 were:</w:t>
      </w:r>
    </w:p>
    <w:p>
      <w:pPr>
        <w:spacing w:after="0" w:line="6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Carsten Brunn, Ph.D., our President and CEO;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Kevin Tan, our CFO;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Bradford D. Dahms, our former CFO;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 K. Donohue, our V.P. Finance and Corporate Controller and former principal financial and accounting officer;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Peter G. Traber, M.D., our Chief Medical Officer;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Takashi Kei Kishimoto, Ph.D., our Chief Scientific Officer;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Lloyd Johnston, our Chief Operations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0891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Salary</w:t>
            </w:r>
          </w:p>
        </w:tc>
        <w:tc>
          <w:tcPr>
            <w:tcW w:w="1080" w:type="dxa"/>
            <w:vAlign w:val="bottom"/>
          </w:tcPr>
          <w:p>
            <w:pPr>
              <w:spacing w:after="0"/>
              <w:rPr>
                <w:sz w:val="14"/>
                <w:szCs w:val="14"/>
                <w:color w:val="auto"/>
              </w:rPr>
            </w:pPr>
          </w:p>
        </w:tc>
        <w:tc>
          <w:tcPr>
            <w:tcW w:w="1040" w:type="dxa"/>
            <w:vAlign w:val="bottom"/>
          </w:tcPr>
          <w:p>
            <w:pPr>
              <w:jc w:val="right"/>
              <w:ind w:right="370"/>
              <w:spacing w:after="0"/>
              <w:rPr>
                <w:sz w:val="20"/>
                <w:szCs w:val="20"/>
                <w:color w:val="auto"/>
              </w:rPr>
            </w:pPr>
            <w:r>
              <w:rPr>
                <w:rFonts w:ascii="Arial" w:cs="Arial" w:eastAsia="Arial" w:hAnsi="Arial"/>
                <w:sz w:val="14"/>
                <w:szCs w:val="14"/>
                <w:b w:val="1"/>
                <w:bCs w:val="1"/>
                <w:color w:val="auto"/>
              </w:rPr>
              <w:t>Stock</w:t>
            </w:r>
          </w:p>
        </w:tc>
        <w:tc>
          <w:tcPr>
            <w:tcW w:w="940" w:type="dxa"/>
            <w:vAlign w:val="bottom"/>
          </w:tcPr>
          <w:p>
            <w:pPr>
              <w:jc w:val="center"/>
              <w:ind w:right="30"/>
              <w:spacing w:after="0"/>
              <w:rPr>
                <w:sz w:val="20"/>
                <w:szCs w:val="20"/>
                <w:color w:val="auto"/>
              </w:rPr>
            </w:pPr>
            <w:r>
              <w:rPr>
                <w:rFonts w:ascii="Arial" w:cs="Arial" w:eastAsia="Arial" w:hAnsi="Arial"/>
                <w:sz w:val="14"/>
                <w:szCs w:val="14"/>
                <w:b w:val="1"/>
                <w:bCs w:val="1"/>
                <w:color w:val="auto"/>
                <w:w w:val="97"/>
              </w:rPr>
              <w:t>Option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Non-equity</w:t>
            </w:r>
          </w:p>
        </w:tc>
        <w:tc>
          <w:tcPr>
            <w:tcW w:w="14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All other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Name and principal position</w:t>
            </w:r>
          </w:p>
        </w:tc>
        <w:tc>
          <w:tcPr>
            <w:tcW w:w="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020" w:type="dxa"/>
            <w:vAlign w:val="bottom"/>
            <w:vMerge w:val="continue"/>
          </w:tcPr>
          <w:p>
            <w:pPr>
              <w:spacing w:after="0"/>
              <w:rPr>
                <w:sz w:val="11"/>
                <w:szCs w:val="11"/>
                <w:color w:val="auto"/>
              </w:rPr>
            </w:pPr>
          </w:p>
        </w:tc>
        <w:tc>
          <w:tcPr>
            <w:tcW w:w="10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Bonus ($)</w:t>
            </w:r>
          </w:p>
        </w:tc>
        <w:tc>
          <w:tcPr>
            <w:tcW w:w="1040" w:type="dxa"/>
            <w:vAlign w:val="bottom"/>
          </w:tcPr>
          <w:p>
            <w:pPr>
              <w:jc w:val="right"/>
              <w:ind w:right="330"/>
              <w:spacing w:after="0" w:line="135" w:lineRule="exact"/>
              <w:rPr>
                <w:sz w:val="20"/>
                <w:szCs w:val="20"/>
                <w:color w:val="auto"/>
              </w:rPr>
            </w:pPr>
            <w:r>
              <w:rPr>
                <w:rFonts w:ascii="Arial" w:cs="Arial" w:eastAsia="Arial" w:hAnsi="Arial"/>
                <w:sz w:val="14"/>
                <w:szCs w:val="14"/>
                <w:b w:val="1"/>
                <w:bCs w:val="1"/>
                <w:color w:val="auto"/>
              </w:rPr>
              <w:t>awards</w:t>
            </w:r>
          </w:p>
        </w:tc>
        <w:tc>
          <w:tcPr>
            <w:tcW w:w="940" w:type="dxa"/>
            <w:vAlign w:val="bottom"/>
          </w:tcPr>
          <w:p>
            <w:pPr>
              <w:jc w:val="center"/>
              <w:ind w:right="30"/>
              <w:spacing w:after="0" w:line="135" w:lineRule="exact"/>
              <w:rPr>
                <w:sz w:val="20"/>
                <w:szCs w:val="20"/>
                <w:color w:val="auto"/>
              </w:rPr>
            </w:pPr>
            <w:r>
              <w:rPr>
                <w:rFonts w:ascii="Arial" w:cs="Arial" w:eastAsia="Arial" w:hAnsi="Arial"/>
                <w:sz w:val="14"/>
                <w:szCs w:val="14"/>
                <w:b w:val="1"/>
                <w:bCs w:val="1"/>
                <w:color w:val="auto"/>
                <w:w w:val="91"/>
              </w:rPr>
              <w:t>awards</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incentive plan</w:t>
            </w:r>
          </w:p>
        </w:tc>
        <w:tc>
          <w:tcPr>
            <w:tcW w:w="1420" w:type="dxa"/>
            <w:vAlign w:val="bottom"/>
            <w:vMerge w:val="continue"/>
          </w:tcPr>
          <w:p>
            <w:pPr>
              <w:spacing w:after="0"/>
              <w:rPr>
                <w:sz w:val="11"/>
                <w:szCs w:val="11"/>
                <w:color w:val="auto"/>
              </w:rPr>
            </w:pP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28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020" w:type="dxa"/>
            <w:vAlign w:val="bottom"/>
          </w:tcPr>
          <w:p>
            <w:pPr>
              <w:jc w:val="right"/>
              <w:ind w:right="350"/>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(1)</w:t>
            </w:r>
          </w:p>
        </w:tc>
        <w:tc>
          <w:tcPr>
            <w:tcW w:w="1080" w:type="dxa"/>
            <w:vAlign w:val="bottom"/>
            <w:vMerge w:val="continue"/>
          </w:tcPr>
          <w:p>
            <w:pPr>
              <w:spacing w:after="0"/>
              <w:rPr>
                <w:sz w:val="16"/>
                <w:szCs w:val="16"/>
                <w:color w:val="auto"/>
              </w:rPr>
            </w:pPr>
          </w:p>
        </w:tc>
        <w:tc>
          <w:tcPr>
            <w:tcW w:w="1040" w:type="dxa"/>
            <w:vAlign w:val="bottom"/>
          </w:tcPr>
          <w:p>
            <w:pPr>
              <w:jc w:val="right"/>
              <w:ind w:right="390"/>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(2)</w:t>
            </w:r>
          </w:p>
        </w:tc>
        <w:tc>
          <w:tcPr>
            <w:tcW w:w="94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(2)</w:t>
            </w:r>
          </w:p>
        </w:tc>
        <w:tc>
          <w:tcPr>
            <w:tcW w:w="13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8"/>
              </w:rPr>
              <w:t>compensation ($)</w:t>
            </w:r>
            <w:r>
              <w:rPr>
                <w:rFonts w:ascii="Arial" w:cs="Arial" w:eastAsia="Arial" w:hAnsi="Arial"/>
                <w:sz w:val="18"/>
                <w:szCs w:val="18"/>
                <w:b w:val="1"/>
                <w:bCs w:val="1"/>
                <w:color w:val="auto"/>
                <w:w w:val="88"/>
                <w:vertAlign w:val="superscript"/>
              </w:rPr>
              <w:t>(3)</w:t>
            </w:r>
          </w:p>
        </w:tc>
        <w:tc>
          <w:tcPr>
            <w:tcW w:w="1420" w:type="dxa"/>
            <w:vAlign w:val="bottom"/>
          </w:tcPr>
          <w:p>
            <w:pPr>
              <w:jc w:val="right"/>
              <w:ind w:right="108"/>
              <w:spacing w:after="0" w:line="189" w:lineRule="exact"/>
              <w:rPr>
                <w:sz w:val="20"/>
                <w:szCs w:val="20"/>
                <w:color w:val="auto"/>
              </w:rPr>
            </w:pPr>
            <w:r>
              <w:rPr>
                <w:rFonts w:ascii="Arial" w:cs="Arial" w:eastAsia="Arial" w:hAnsi="Arial"/>
                <w:sz w:val="14"/>
                <w:szCs w:val="14"/>
                <w:b w:val="1"/>
                <w:bCs w:val="1"/>
                <w:color w:val="auto"/>
                <w:w w:val="93"/>
              </w:rPr>
              <w:t>compensation ($)</w:t>
            </w:r>
            <w:r>
              <w:rPr>
                <w:rFonts w:ascii="Arial" w:cs="Arial" w:eastAsia="Arial" w:hAnsi="Arial"/>
                <w:sz w:val="18"/>
                <w:szCs w:val="18"/>
                <w:b w:val="1"/>
                <w:bCs w:val="1"/>
                <w:color w:val="auto"/>
                <w:w w:val="93"/>
                <w:vertAlign w:val="superscript"/>
              </w:rPr>
              <w:t>(4)</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Carsten Brunn, Ph.D.</w:t>
            </w:r>
          </w:p>
        </w:tc>
        <w:tc>
          <w:tcPr>
            <w:tcW w:w="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569,003</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720,529</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2,067,782</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313,115</w:t>
            </w:r>
          </w:p>
        </w:tc>
        <w:tc>
          <w:tcPr>
            <w:tcW w:w="1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966</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3,671,395</w:t>
            </w:r>
          </w:p>
        </w:tc>
        <w:tc>
          <w:tcPr>
            <w:tcW w:w="0" w:type="dxa"/>
            <w:vAlign w:val="bottom"/>
          </w:tcPr>
          <w:p>
            <w:pPr>
              <w:spacing w:after="0"/>
              <w:rPr>
                <w:sz w:val="1"/>
                <w:szCs w:val="1"/>
                <w:color w:val="auto"/>
              </w:rPr>
            </w:pPr>
          </w:p>
        </w:tc>
      </w:tr>
      <w:tr>
        <w:trPr>
          <w:trHeight w:val="135"/>
        </w:trPr>
        <w:tc>
          <w:tcPr>
            <w:tcW w:w="2840" w:type="dxa"/>
            <w:vAlign w:val="bottom"/>
          </w:tcPr>
          <w:p>
            <w:pPr>
              <w:ind w:left="240"/>
              <w:spacing w:after="0" w:line="135" w:lineRule="exact"/>
              <w:rPr>
                <w:sz w:val="20"/>
                <w:szCs w:val="20"/>
                <w:color w:val="auto"/>
              </w:rPr>
            </w:pPr>
            <w:r>
              <w:rPr>
                <w:rFonts w:ascii="Arial" w:cs="Arial" w:eastAsia="Arial" w:hAnsi="Arial"/>
                <w:sz w:val="14"/>
                <w:szCs w:val="14"/>
                <w:i w:val="1"/>
                <w:iCs w:val="1"/>
                <w:color w:val="auto"/>
              </w:rPr>
              <w:t>President and</w:t>
            </w:r>
          </w:p>
        </w:tc>
        <w:tc>
          <w:tcPr>
            <w:tcW w:w="620" w:type="dxa"/>
            <w:vAlign w:val="bottom"/>
            <w:vMerge w:val="restart"/>
          </w:tcPr>
          <w:p>
            <w:pPr>
              <w:ind w:left="80"/>
              <w:spacing w:after="0"/>
              <w:rPr>
                <w:sz w:val="20"/>
                <w:szCs w:val="20"/>
                <w:color w:val="auto"/>
              </w:rPr>
            </w:pPr>
            <w:r>
              <w:rPr>
                <w:rFonts w:ascii="Arial" w:cs="Arial" w:eastAsia="Arial" w:hAnsi="Arial"/>
                <w:sz w:val="14"/>
                <w:szCs w:val="14"/>
                <w:color w:val="auto"/>
              </w:rPr>
              <w:t>2020</w:t>
            </w:r>
          </w:p>
        </w:tc>
        <w:tc>
          <w:tcPr>
            <w:tcW w:w="1020" w:type="dxa"/>
            <w:vAlign w:val="bottom"/>
            <w:vMerge w:val="restart"/>
          </w:tcPr>
          <w:p>
            <w:pPr>
              <w:jc w:val="right"/>
              <w:ind w:right="110"/>
              <w:spacing w:after="0"/>
              <w:rPr>
                <w:sz w:val="20"/>
                <w:szCs w:val="20"/>
                <w:color w:val="auto"/>
              </w:rPr>
            </w:pPr>
            <w:r>
              <w:rPr>
                <w:rFonts w:ascii="Arial" w:cs="Arial" w:eastAsia="Arial" w:hAnsi="Arial"/>
                <w:sz w:val="14"/>
                <w:szCs w:val="14"/>
                <w:color w:val="auto"/>
              </w:rPr>
              <w:t>550,000</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50,000</w:t>
            </w:r>
          </w:p>
        </w:tc>
        <w:tc>
          <w:tcPr>
            <w:tcW w:w="10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color w:val="auto"/>
              </w:rPr>
              <w:t>1,178,324</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316,250</w:t>
            </w:r>
          </w:p>
        </w:tc>
        <w:tc>
          <w:tcPr>
            <w:tcW w:w="1420" w:type="dxa"/>
            <w:vAlign w:val="bottom"/>
            <w:vMerge w:val="restart"/>
          </w:tcPr>
          <w:p>
            <w:pPr>
              <w:jc w:val="right"/>
              <w:ind w:right="128"/>
              <w:spacing w:after="0"/>
              <w:rPr>
                <w:sz w:val="20"/>
                <w:szCs w:val="20"/>
                <w:color w:val="auto"/>
              </w:rPr>
            </w:pPr>
            <w:r>
              <w:rPr>
                <w:rFonts w:ascii="Arial" w:cs="Arial" w:eastAsia="Arial" w:hAnsi="Arial"/>
                <w:sz w:val="14"/>
                <w:szCs w:val="14"/>
                <w:color w:val="auto"/>
              </w:rPr>
              <w:t>773</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2,095,347</w:t>
            </w:r>
          </w:p>
        </w:tc>
        <w:tc>
          <w:tcPr>
            <w:tcW w:w="0" w:type="dxa"/>
            <w:vAlign w:val="bottom"/>
          </w:tcPr>
          <w:p>
            <w:pPr>
              <w:spacing w:after="0"/>
              <w:rPr>
                <w:sz w:val="1"/>
                <w:szCs w:val="1"/>
                <w:color w:val="auto"/>
              </w:rPr>
            </w:pPr>
          </w:p>
        </w:tc>
      </w:tr>
      <w:tr>
        <w:trPr>
          <w:trHeight w:val="18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6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40" w:type="dxa"/>
            <w:vAlign w:val="bottom"/>
            <w:shd w:val="clear" w:color="auto" w:fill="CCEEFF"/>
          </w:tcPr>
          <w:p>
            <w:pPr>
              <w:ind w:left="20"/>
              <w:spacing w:after="0" w:line="186" w:lineRule="exact"/>
              <w:rPr>
                <w:sz w:val="20"/>
                <w:szCs w:val="20"/>
                <w:color w:val="auto"/>
              </w:rPr>
            </w:pPr>
            <w:r>
              <w:rPr>
                <w:rFonts w:ascii="Arial" w:cs="Arial" w:eastAsia="Arial" w:hAnsi="Arial"/>
                <w:sz w:val="14"/>
                <w:szCs w:val="14"/>
                <w:color w:val="auto"/>
              </w:rPr>
              <w:t>Kevin Tan</w:t>
            </w:r>
            <w:r>
              <w:rPr>
                <w:rFonts w:ascii="Arial" w:cs="Arial" w:eastAsia="Arial" w:hAnsi="Arial"/>
                <w:sz w:val="18"/>
                <w:szCs w:val="18"/>
                <w:color w:val="auto"/>
                <w:vertAlign w:val="superscript"/>
              </w:rPr>
              <w:t>(5)</w:t>
            </w:r>
          </w:p>
        </w:tc>
        <w:tc>
          <w:tcPr>
            <w:tcW w:w="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110,385</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75,000</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2,369,619</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46,280</w:t>
            </w:r>
          </w:p>
        </w:tc>
        <w:tc>
          <w:tcPr>
            <w:tcW w:w="1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338</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2,601,622</w:t>
            </w:r>
          </w:p>
        </w:tc>
        <w:tc>
          <w:tcPr>
            <w:tcW w:w="0" w:type="dxa"/>
            <w:vAlign w:val="bottom"/>
          </w:tcPr>
          <w:p>
            <w:pPr>
              <w:spacing w:after="0"/>
              <w:rPr>
                <w:sz w:val="1"/>
                <w:szCs w:val="1"/>
                <w:color w:val="auto"/>
              </w:rPr>
            </w:pPr>
          </w:p>
        </w:tc>
      </w:tr>
      <w:tr>
        <w:trPr>
          <w:trHeight w:val="186"/>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Chief Financial Officer</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Bradford D. Dahms</w:t>
            </w:r>
            <w:r>
              <w:rPr>
                <w:rFonts w:ascii="Arial" w:cs="Arial" w:eastAsia="Arial" w:hAnsi="Arial"/>
                <w:sz w:val="18"/>
                <w:szCs w:val="18"/>
                <w:color w:val="auto"/>
                <w:vertAlign w:val="superscript"/>
              </w:rPr>
              <w:t>(6)</w:t>
            </w:r>
          </w:p>
        </w:tc>
        <w:tc>
          <w:tcPr>
            <w:tcW w:w="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183,206</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154,733</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526,588</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3,526</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868,053</w:t>
            </w:r>
          </w:p>
        </w:tc>
        <w:tc>
          <w:tcPr>
            <w:tcW w:w="0" w:type="dxa"/>
            <w:vAlign w:val="bottom"/>
          </w:tcPr>
          <w:p>
            <w:pPr>
              <w:spacing w:after="0"/>
              <w:rPr>
                <w:sz w:val="1"/>
                <w:szCs w:val="1"/>
                <w:color w:val="auto"/>
              </w:rPr>
            </w:pPr>
          </w:p>
        </w:tc>
      </w:tr>
      <w:tr>
        <w:trPr>
          <w:trHeight w:val="186"/>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Chief Financial Officer</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370,577</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25,000</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323,644</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172,500</w:t>
            </w: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67,635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959,356</w:t>
            </w:r>
          </w:p>
        </w:tc>
        <w:tc>
          <w:tcPr>
            <w:tcW w:w="0" w:type="dxa"/>
            <w:vAlign w:val="bottom"/>
          </w:tcPr>
          <w:p>
            <w:pPr>
              <w:spacing w:after="0"/>
              <w:rPr>
                <w:sz w:val="1"/>
                <w:szCs w:val="1"/>
                <w:color w:val="auto"/>
              </w:rPr>
            </w:pPr>
          </w:p>
        </w:tc>
      </w:tr>
      <w:tr>
        <w:trPr>
          <w:trHeight w:val="186"/>
        </w:trPr>
        <w:tc>
          <w:tcPr>
            <w:tcW w:w="2840" w:type="dxa"/>
            <w:vAlign w:val="bottom"/>
            <w:shd w:val="clear" w:color="auto" w:fill="CCEEFF"/>
          </w:tcPr>
          <w:p>
            <w:pPr>
              <w:ind w:left="20"/>
              <w:spacing w:after="0" w:line="186" w:lineRule="exact"/>
              <w:rPr>
                <w:sz w:val="20"/>
                <w:szCs w:val="20"/>
                <w:color w:val="auto"/>
              </w:rPr>
            </w:pPr>
            <w:r>
              <w:rPr>
                <w:rFonts w:ascii="Arial" w:cs="Arial" w:eastAsia="Arial" w:hAnsi="Arial"/>
                <w:sz w:val="14"/>
                <w:szCs w:val="14"/>
                <w:color w:val="auto"/>
              </w:rPr>
              <w:t>Ann K. Donohue, C.P.A.</w:t>
            </w:r>
            <w:r>
              <w:rPr>
                <w:rFonts w:ascii="Arial" w:cs="Arial" w:eastAsia="Arial" w:hAnsi="Arial"/>
                <w:sz w:val="18"/>
                <w:szCs w:val="18"/>
                <w:color w:val="auto"/>
                <w:vertAlign w:val="superscript"/>
              </w:rPr>
              <w:t>(7)</w:t>
            </w:r>
          </w:p>
        </w:tc>
        <w:tc>
          <w:tcPr>
            <w:tcW w:w="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208,753</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12,708</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61,817</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74,250</w:t>
            </w:r>
          </w:p>
        </w:tc>
        <w:tc>
          <w:tcPr>
            <w:tcW w:w="1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3,965</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361,493</w:t>
            </w:r>
          </w:p>
        </w:tc>
        <w:tc>
          <w:tcPr>
            <w:tcW w:w="0" w:type="dxa"/>
            <w:vAlign w:val="bottom"/>
          </w:tcPr>
          <w:p>
            <w:pPr>
              <w:spacing w:after="0"/>
              <w:rPr>
                <w:sz w:val="1"/>
                <w:szCs w:val="1"/>
                <w:color w:val="auto"/>
              </w:rPr>
            </w:pPr>
          </w:p>
        </w:tc>
      </w:tr>
      <w:tr>
        <w:trPr>
          <w:trHeight w:val="135"/>
        </w:trPr>
        <w:tc>
          <w:tcPr>
            <w:tcW w:w="2840" w:type="dxa"/>
            <w:vAlign w:val="bottom"/>
          </w:tcPr>
          <w:p>
            <w:pPr>
              <w:ind w:left="220"/>
              <w:spacing w:after="0" w:line="135" w:lineRule="exact"/>
              <w:rPr>
                <w:sz w:val="20"/>
                <w:szCs w:val="20"/>
                <w:color w:val="auto"/>
              </w:rPr>
            </w:pPr>
            <w:r>
              <w:rPr>
                <w:rFonts w:ascii="Arial" w:cs="Arial" w:eastAsia="Arial" w:hAnsi="Arial"/>
                <w:sz w:val="14"/>
                <w:szCs w:val="14"/>
                <w:i w:val="1"/>
                <w:iCs w:val="1"/>
                <w:color w:val="auto"/>
              </w:rPr>
              <w:t>VP, Finance and Corporate Controller,</w:t>
            </w:r>
          </w:p>
        </w:tc>
        <w:tc>
          <w:tcPr>
            <w:tcW w:w="620" w:type="dxa"/>
            <w:vAlign w:val="bottom"/>
            <w:vMerge w:val="restart"/>
          </w:tcPr>
          <w:p>
            <w:pPr>
              <w:ind w:left="80"/>
              <w:spacing w:after="0"/>
              <w:rPr>
                <w:sz w:val="20"/>
                <w:szCs w:val="20"/>
                <w:color w:val="auto"/>
              </w:rPr>
            </w:pPr>
            <w:r>
              <w:rPr>
                <w:rFonts w:ascii="Arial" w:cs="Arial" w:eastAsia="Arial" w:hAnsi="Arial"/>
                <w:sz w:val="14"/>
                <w:szCs w:val="14"/>
                <w:color w:val="auto"/>
              </w:rPr>
              <w:t>2020</w:t>
            </w:r>
          </w:p>
        </w:tc>
        <w:tc>
          <w:tcPr>
            <w:tcW w:w="1020" w:type="dxa"/>
            <w:vAlign w:val="bottom"/>
            <w:vMerge w:val="restart"/>
          </w:tcPr>
          <w:p>
            <w:pPr>
              <w:jc w:val="right"/>
              <w:ind w:right="11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1"/>
                <w:szCs w:val="11"/>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Principal Financial and Accounting Officer</w:t>
            </w:r>
          </w:p>
        </w:tc>
        <w:tc>
          <w:tcPr>
            <w:tcW w:w="6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Peter G. Traber, M.D.</w:t>
            </w:r>
            <w:r>
              <w:rPr>
                <w:rFonts w:ascii="Arial" w:cs="Arial" w:eastAsia="Arial" w:hAnsi="Arial"/>
                <w:sz w:val="18"/>
                <w:szCs w:val="18"/>
                <w:color w:val="auto"/>
                <w:vertAlign w:val="superscript"/>
              </w:rPr>
              <w:t>(8)</w:t>
            </w:r>
          </w:p>
        </w:tc>
        <w:tc>
          <w:tcPr>
            <w:tcW w:w="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440,000</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253,445</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704,679</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181,000</w:t>
            </w:r>
          </w:p>
        </w:tc>
        <w:tc>
          <w:tcPr>
            <w:tcW w:w="1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21,561</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1,600,685</w:t>
            </w:r>
          </w:p>
        </w:tc>
        <w:tc>
          <w:tcPr>
            <w:tcW w:w="0" w:type="dxa"/>
            <w:vAlign w:val="bottom"/>
          </w:tcPr>
          <w:p>
            <w:pPr>
              <w:spacing w:after="0"/>
              <w:rPr>
                <w:sz w:val="1"/>
                <w:szCs w:val="1"/>
                <w:color w:val="auto"/>
              </w:rPr>
            </w:pPr>
          </w:p>
        </w:tc>
      </w:tr>
      <w:tr>
        <w:trPr>
          <w:trHeight w:val="186"/>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Chief Medical Officer</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177,692</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75,000</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1,174,027</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84,333</w:t>
            </w: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1,805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1,512,857</w:t>
            </w:r>
          </w:p>
        </w:tc>
        <w:tc>
          <w:tcPr>
            <w:tcW w:w="0" w:type="dxa"/>
            <w:vAlign w:val="bottom"/>
          </w:tcPr>
          <w:p>
            <w:pPr>
              <w:spacing w:after="0"/>
              <w:rPr>
                <w:sz w:val="1"/>
                <w:szCs w:val="1"/>
                <w:color w:val="auto"/>
              </w:rPr>
            </w:pPr>
          </w:p>
        </w:tc>
      </w:tr>
      <w:tr>
        <w:trPr>
          <w:trHeight w:val="18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Takashi Kei Kishimoto, Ph.D.</w:t>
            </w:r>
          </w:p>
        </w:tc>
        <w:tc>
          <w:tcPr>
            <w:tcW w:w="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399,798</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214,133</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526,588</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160,000</w:t>
            </w:r>
          </w:p>
        </w:tc>
        <w:tc>
          <w:tcPr>
            <w:tcW w:w="1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6,156</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1,306,675</w:t>
            </w:r>
          </w:p>
        </w:tc>
        <w:tc>
          <w:tcPr>
            <w:tcW w:w="0" w:type="dxa"/>
            <w:vAlign w:val="bottom"/>
          </w:tcPr>
          <w:p>
            <w:pPr>
              <w:spacing w:after="0"/>
              <w:rPr>
                <w:sz w:val="1"/>
                <w:szCs w:val="1"/>
                <w:color w:val="auto"/>
              </w:rPr>
            </w:pPr>
          </w:p>
        </w:tc>
      </w:tr>
      <w:tr>
        <w:trPr>
          <w:trHeight w:val="186"/>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Chief Scientific Officer</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386,703</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237,063</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177,949</w:t>
            </w: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5,618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807,333</w:t>
            </w:r>
          </w:p>
        </w:tc>
        <w:tc>
          <w:tcPr>
            <w:tcW w:w="0" w:type="dxa"/>
            <w:vAlign w:val="bottom"/>
          </w:tcPr>
          <w:p>
            <w:pPr>
              <w:spacing w:after="0"/>
              <w:rPr>
                <w:sz w:val="1"/>
                <w:szCs w:val="1"/>
                <w:color w:val="auto"/>
              </w:rPr>
            </w:pPr>
          </w:p>
        </w:tc>
      </w:tr>
      <w:tr>
        <w:trPr>
          <w:trHeight w:val="18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Lloyd Johnston, Ph.D.</w:t>
            </w:r>
          </w:p>
        </w:tc>
        <w:tc>
          <w:tcPr>
            <w:tcW w:w="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399,764</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214,133</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526,588</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160,000</w:t>
            </w:r>
          </w:p>
        </w:tc>
        <w:tc>
          <w:tcPr>
            <w:tcW w:w="1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4,360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1,304,845</w:t>
            </w:r>
          </w:p>
        </w:tc>
        <w:tc>
          <w:tcPr>
            <w:tcW w:w="0" w:type="dxa"/>
            <w:vAlign w:val="bottom"/>
          </w:tcPr>
          <w:p>
            <w:pPr>
              <w:spacing w:after="0"/>
              <w:rPr>
                <w:sz w:val="1"/>
                <w:szCs w:val="1"/>
                <w:color w:val="auto"/>
              </w:rPr>
            </w:pPr>
          </w:p>
        </w:tc>
      </w:tr>
      <w:tr>
        <w:trPr>
          <w:trHeight w:val="186"/>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Chief Operations Officer</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384,537</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323,644</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176,952</w:t>
            </w: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4,173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889,306</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right="200" w:hanging="332"/>
        <w:spacing w:after="0" w:line="277"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amounts represent actual earnings for the calendar year, which may be impacted by, among other things, hire date and the timing of any salary increases made during the year.</w:t>
      </w:r>
    </w:p>
    <w:p>
      <w:pPr>
        <w:spacing w:after="0" w:line="62" w:lineRule="exact"/>
        <w:rPr>
          <w:rFonts w:ascii="Arial" w:cs="Arial" w:eastAsia="Arial" w:hAnsi="Arial"/>
          <w:sz w:val="18"/>
          <w:szCs w:val="18"/>
          <w:color w:val="auto"/>
        </w:rPr>
      </w:pPr>
    </w:p>
    <w:p>
      <w:pPr>
        <w:ind w:left="340" w:right="200" w:hanging="332"/>
        <w:spacing w:after="0" w:line="263"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stock and option awards computed in accordance with ASC Topic 718, excluding the effect of estimated forfeitures. For a description of the assumptions used in valuing these awards, see Note 11 to our consolidated audited financial statements included in our 2021 Annual Report.</w:t>
      </w:r>
    </w:p>
    <w:p>
      <w:pPr>
        <w:spacing w:after="0" w:line="75" w:lineRule="exact"/>
        <w:rPr>
          <w:rFonts w:ascii="Arial" w:cs="Arial" w:eastAsia="Arial" w:hAnsi="Arial"/>
          <w:sz w:val="18"/>
          <w:szCs w:val="18"/>
          <w:color w:val="auto"/>
        </w:rPr>
      </w:pPr>
    </w:p>
    <w:p>
      <w:pPr>
        <w:ind w:left="340" w:right="180" w:hanging="332"/>
        <w:spacing w:after="0" w:line="277"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Non-equity incentive plan compensation represents amounts earned under our annual performance-based bonus program. For additional information, see “Performance Bonuses” below.</w:t>
      </w:r>
    </w:p>
    <w:p>
      <w:pPr>
        <w:spacing w:after="0" w:line="62" w:lineRule="exact"/>
        <w:rPr>
          <w:rFonts w:ascii="Arial" w:cs="Arial" w:eastAsia="Arial" w:hAnsi="Arial"/>
          <w:sz w:val="18"/>
          <w:szCs w:val="18"/>
          <w:color w:val="auto"/>
        </w:rPr>
      </w:pPr>
    </w:p>
    <w:p>
      <w:pPr>
        <w:ind w:left="340" w:right="60" w:hanging="332"/>
        <w:spacing w:after="0" w:line="286" w:lineRule="auto"/>
        <w:tabs>
          <w:tab w:leader="none" w:pos="334"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Dr. Brunn, the amounts for 2020 and 2021 include $773 and $966, respectively, representing payments on Dr. Brunn’s term life insurance policy. For Mr. Tan, the amount for 2021 includes $113 representing payments on Mr. Tan’s term life insurance policy and $225 representing reimbursement for cell phone expenses. For Mr. Dahms, the amount for 2021 includes $3,400 representing our 401(k) matching contribution and $126 representing payments on Mr. Dahms’ term life insurance policy. For Ms. Donohue, the amount for 2020 includes $3,400 representing our 401(k) matching contributions and $151 representing payments on Ms. Donohue’s term life insurance policy. For Ms. Donohue, the amount for 2021 includes $3,400 representing our 401(k) matching contributions, $190 representing payments on Ms. Donohue’s term life insurance policy, and $375 representing reimbursement for cell phone expenses. For Dr. Traber, the amount for 2021 includes $21,186 representing payments on Dr. Traber’s term life insurance policy and $375 representing reimbursement for cell phone expenses. For Dr. Kishimoto, the amount for 2020 includes $3,400 representing our 401(k) matching contributions and $2,218 representing payments on Dr. Kishimoto’s term life insurance policy. For Dr. Kishimoto, the amount for 2021 includes $3,400 representing our 401(k) matching contributions and $2,756 representing payments on Dr. Kishimoto’s term life insurance policy. For Dr. Johnston, the amount for 2020 includes $3,400 representing our 401(k) matching contributions and $773 representing payments on Dr. Johnston’s term life insurance policy. For Dr. Johnston, the amount for 2021 includes $3,400 representing our 401(k) matching contributions and $960 representing payments on Dr. Johnston’s term life insurance policy.</w:t>
      </w:r>
    </w:p>
    <w:p>
      <w:pPr>
        <w:spacing w:after="0" w:line="65" w:lineRule="exact"/>
        <w:rPr>
          <w:rFonts w:ascii="Arial" w:cs="Arial" w:eastAsia="Arial" w:hAnsi="Arial"/>
          <w:sz w:val="16"/>
          <w:szCs w:val="16"/>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Tan was appointed Chief Financial Officer on September 20, 2021.</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Dahms resigned as Chief Financial Officer effective as of May 21, 2021.</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Donohue served as our principal accounting officer from May 21 to September 20, 2021.</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 Traber was appointed Chief Medical Officer effective as of August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49" w:lineRule="exact"/>
        <w:rPr>
          <w:sz w:val="20"/>
          <w:szCs w:val="20"/>
          <w:color w:val="auto"/>
        </w:rPr>
      </w:pPr>
    </w:p>
    <w:p>
      <w:pPr>
        <w:jc w:val="both"/>
        <w:ind w:right="240" w:firstLine="324"/>
        <w:spacing w:after="0" w:line="287" w:lineRule="auto"/>
        <w:rPr>
          <w:sz w:val="20"/>
          <w:szCs w:val="20"/>
          <w:color w:val="auto"/>
        </w:rPr>
      </w:pPr>
      <w:r>
        <w:rPr>
          <w:rFonts w:ascii="Arial" w:cs="Arial" w:eastAsia="Arial" w:hAnsi="Arial"/>
          <w:sz w:val="16"/>
          <w:szCs w:val="16"/>
          <w:color w:val="auto"/>
        </w:rPr>
        <w:t>At the end of 2020, the Compensation Committee recommended to the Board and the Board approved an increase in Dr. Brunn’s annual base salary from $550,000 to $569,300 for 2021, an increase in Mr. Dahms’ annual base salary from $375,000 to $400,000 for 2021, an increase in Dr. Kishimoto’s annual base salary from $386,845 to $400,000 for 2021, and an increase in Dr. Johnston’s annual base salary from $384,587 to $400,000 for 2021. Dr.</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Traber did not receive a base salary increase for 2021. Ms. Donohue’s annual base salary was increased from $176,000 in 2020 to $183,040 for 2021 and subsequently to $225,000 upon her promotion to VP, Finance and Corporate Controller in May 2021. Mr. Tan joined our Company in September 2021 with an annual base salary of $410,000.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Bonuses</w:t>
      </w:r>
    </w:p>
    <w:p>
      <w:pPr>
        <w:spacing w:after="0" w:line="11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or her annual base salary. The 2021 target bonus amount for Dr. Brunn was 55% of his base salary, for Mr. Tan was 40% of his base salary, for Mr. Dahms was 40% of his base salary, for Ms. Donohue was 30% of her base salary, for Dr. Johnston was 40% of his base salary, for Dr. Traber was 40% of his base salary, and for Dr. Kishimoto was 40% of his base salary.</w:t>
      </w:r>
    </w:p>
    <w:p>
      <w:pPr>
        <w:spacing w:after="0" w:line="80" w:lineRule="exact"/>
        <w:rPr>
          <w:sz w:val="20"/>
          <w:szCs w:val="20"/>
          <w:color w:val="auto"/>
        </w:rPr>
      </w:pPr>
    </w:p>
    <w:p>
      <w:pPr>
        <w:jc w:val="both"/>
        <w:ind w:right="200" w:firstLine="324"/>
        <w:spacing w:after="0" w:line="301" w:lineRule="auto"/>
        <w:rPr>
          <w:sz w:val="20"/>
          <w:szCs w:val="20"/>
          <w:color w:val="auto"/>
        </w:rPr>
      </w:pPr>
      <w:r>
        <w:rPr>
          <w:rFonts w:ascii="Arial" w:cs="Arial" w:eastAsia="Arial" w:hAnsi="Arial"/>
          <w:sz w:val="16"/>
          <w:szCs w:val="16"/>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2021, bonuses were almost entirely determined based on Company performance in meeting clinical, business development and financial goals. Dr. Traber received an additional performance-based bonus.</w:t>
      </w:r>
    </w:p>
    <w:p>
      <w:pPr>
        <w:spacing w:after="0" w:line="4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actual cash bonuses earned by the named executives for 2021 are reported under the “Non-equity incentive plan compensation” column of the 2021 Summary Compensation Table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520" w:firstLine="324"/>
        <w:spacing w:after="0" w:line="311" w:lineRule="auto"/>
        <w:rPr>
          <w:sz w:val="20"/>
          <w:szCs w:val="20"/>
          <w:color w:val="auto"/>
        </w:rPr>
      </w:pPr>
      <w:r>
        <w:rPr>
          <w:rFonts w:ascii="Arial" w:cs="Arial" w:eastAsia="Arial" w:hAnsi="Arial"/>
          <w:sz w:val="16"/>
          <w:szCs w:val="16"/>
          <w:color w:val="auto"/>
        </w:rPr>
        <w:t>We grant stock option awards to our Named Executive Officers as a long-term incentive component of their compensation. We have historically granted stock option awards to Named Executive Officers when they commenced employment with us and have from time to time thereafter made additional grants as, and when, our Board determined appropriate to recruit, retain or reward particular Named Executive Officers.</w:t>
      </w:r>
    </w:p>
    <w:p>
      <w:pPr>
        <w:spacing w:after="0" w:line="4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connection with our initial public offering, we adopted and our stockholders approved the 2016 Incentive Award Plan (the “2016 Plan”) to facilitate the grant of cash and equity incentives to our directors, employees (including our Named Executive Officers) and consultants and to enable us to obtain and retain the services of these individuals, which we believe are essential to our long-term success. Following the effective date of our 2016 Plan, we stopped making grants under our 2008 Stock Incentive Plan (the “2008 Plan”). However, the 2008 Plan continues to govern the terms and conditions of the outstanding awards granted under the 2008 Plan.</w:t>
      </w:r>
    </w:p>
    <w:p>
      <w:pPr>
        <w:spacing w:after="0" w:line="8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also maintain the 2018 Employment Inducement Incentive Award Plan (as amended, the “2018 Plan”), which was adopted by the Board on September 25, 2018 without stockholder approval pursuant to Rule 5635(c)(4) of the Nasdaq listing rules (“Rule 5635(c)(4)”) and provides for the grant of equity-based awards in the form of non-qualified stock options, stock appreciation rights, restricted stock awards, restricted stock unit awards and other stock or cash based awards. In accordance with Rule 5635(c)(4), awards under the 2018 Plan may only be made to a newly hired employee who has not previously been a member of the Board, or an employee who is being rehired following a bona fide period of non-employment by the Company, as a material inducement to the employee’s entering into employment with the Company.</w:t>
      </w:r>
    </w:p>
    <w:p>
      <w:pPr>
        <w:spacing w:after="0" w:line="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 36 months, subject to the holder’s continued employment with us and potential accelerated vesting in certain circumstances. From time to time, our Board may also construct alternate vesting schedules as it determines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are appropriate to motivate particular employees. Our stock option awards may be intended to qualify as incentive stock options under the Code.</w:t>
      </w:r>
    </w:p>
    <w:p>
      <w:pPr>
        <w:spacing w:after="0" w:line="1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In early 2021, we granted to Dr. Brunn options to purchase 670,000 shares of our Common Stock and 110,000 restricted stock units, respectively, under the 2016 Plan. We also to granted Dr. Brunn 75,000 restricted stock units under the 2016 Plan that vested in two equal installments on the dates applicable performance conditions were achieved. In September 2021, we granted to Dr. Brunn options to purchase 163,000 shares of our Common Stock and 27,200 stock units, respectively, under the 2016 Plan. In early 2021, we granted to Mr. Dahms options to purchase 230,000 shares of our Common Stock and 38,000 restricted stock units, respectively, under the 2016 Plan. We also granted to Mr. Dahms 27,500 restricted stock units under the 2016 Plan that vest in two equal installments on the dates applicable performance conditions were achieved. These performance restricted stock units were forfeit upon Mr. Dahms’ termination. In early 2021, we granted to Ms. Donohue options to purchase 27,000 shares of our Common Stock and 4,250 restricted stock units, respectively, under the 2016 Plan. In early 2021, we granted to Dr. Traber options to purchase 230,000 shares of our Common stock and 38,000 restricted stock units, respectively, under the 2016 Plan. We also granted to Dr. Traber 27,500 restricted stock units under the 2016 Plan that vested in two equal installments on the dates applicable performance conditions were achieved. In September 2021, we granted to Dr. Traber options to purchase 54,400 shares of our Common Stock and 9,100 restricted stock units, respectively, under the 2016 Plan. In early 2021, we granted to Dr. Kishimoto options to purchase 230,000 shares of our Common Stock and 38,000 restricted stock units, respectively, under the 2016 Plan. We also granted to Dr. Kishimoto and Dr. Johnston 27,500 restricted stock units under the 2016 Plan that vested in two equal installments on the dates applicable performance conditions were achieved. Mr. Tan was granted options to purchase 750,000 shares of our Common Stock under the 2016 Plan at his employment date.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11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76"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 End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ind w:left="720"/>
              <w:spacing w:after="0"/>
              <w:rPr>
                <w:sz w:val="20"/>
                <w:szCs w:val="20"/>
                <w:color w:val="auto"/>
              </w:rPr>
            </w:pPr>
            <w:r>
              <w:rPr>
                <w:rFonts w:ascii="Arial" w:cs="Arial" w:eastAsia="Arial" w:hAnsi="Arial"/>
                <w:sz w:val="13"/>
                <w:szCs w:val="13"/>
                <w:b w:val="1"/>
                <w:bCs w:val="1"/>
                <w:color w:val="auto"/>
              </w:rPr>
              <w:t>Option Awards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3"/>
              </w:rPr>
              <w:t>Stock Awards</w:t>
            </w:r>
          </w:p>
        </w:tc>
        <w:tc>
          <w:tcPr>
            <w:tcW w:w="0" w:type="dxa"/>
            <w:vAlign w:val="bottom"/>
          </w:tcPr>
          <w:p>
            <w:pPr>
              <w:spacing w:after="0"/>
              <w:rPr>
                <w:sz w:val="1"/>
                <w:szCs w:val="1"/>
                <w:color w:val="auto"/>
              </w:rPr>
            </w:pPr>
          </w:p>
        </w:tc>
      </w:tr>
      <w:tr>
        <w:trPr>
          <w:trHeight w:val="136"/>
        </w:trPr>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280"/>
              <w:spacing w:after="0" w:line="136" w:lineRule="exact"/>
              <w:rPr>
                <w:sz w:val="20"/>
                <w:szCs w:val="20"/>
                <w:color w:val="auto"/>
              </w:rPr>
            </w:pPr>
            <w:r>
              <w:rPr>
                <w:rFonts w:ascii="Arial" w:cs="Arial" w:eastAsia="Arial" w:hAnsi="Arial"/>
                <w:sz w:val="13"/>
                <w:szCs w:val="13"/>
                <w:b w:val="1"/>
                <w:bCs w:val="1"/>
                <w:color w:val="auto"/>
              </w:rPr>
              <w:t>Number of</w:t>
            </w:r>
          </w:p>
        </w:tc>
        <w:tc>
          <w:tcPr>
            <w:tcW w:w="1340" w:type="dxa"/>
            <w:vAlign w:val="bottom"/>
            <w:gridSpan w:val="2"/>
          </w:tcPr>
          <w:p>
            <w:pPr>
              <w:ind w:left="320"/>
              <w:spacing w:after="0" w:line="136" w:lineRule="exact"/>
              <w:rPr>
                <w:sz w:val="20"/>
                <w:szCs w:val="20"/>
                <w:color w:val="auto"/>
              </w:rPr>
            </w:pPr>
            <w:r>
              <w:rPr>
                <w:rFonts w:ascii="Arial" w:cs="Arial" w:eastAsia="Arial" w:hAnsi="Arial"/>
                <w:sz w:val="13"/>
                <w:szCs w:val="13"/>
                <w:b w:val="1"/>
                <w:bCs w:val="1"/>
                <w:color w:val="auto"/>
              </w:rPr>
              <w:t>Number of</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Market value of</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securities</w:t>
            </w:r>
          </w:p>
        </w:tc>
        <w:tc>
          <w:tcPr>
            <w:tcW w:w="13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securities</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Number of shares</w:t>
            </w:r>
          </w:p>
        </w:tc>
        <w:tc>
          <w:tcPr>
            <w:tcW w:w="3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9"/>
              </w:rPr>
              <w:t>Vesting</w:t>
            </w: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underlying</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underlying</w:t>
            </w:r>
          </w:p>
        </w:tc>
        <w:tc>
          <w:tcPr>
            <w:tcW w:w="120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Option</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Option</w:t>
            </w:r>
          </w:p>
        </w:tc>
        <w:tc>
          <w:tcPr>
            <w:tcW w:w="11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unexercised</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unexercised</w:t>
            </w:r>
          </w:p>
        </w:tc>
        <w:tc>
          <w:tcPr>
            <w:tcW w:w="12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or units of stock</w:t>
            </w:r>
          </w:p>
        </w:tc>
        <w:tc>
          <w:tcPr>
            <w:tcW w:w="3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or units of stock</w:t>
            </w:r>
          </w:p>
        </w:tc>
        <w:tc>
          <w:tcPr>
            <w:tcW w:w="0" w:type="dxa"/>
            <w:vAlign w:val="bottom"/>
          </w:tcPr>
          <w:p>
            <w:pPr>
              <w:spacing w:after="0"/>
              <w:rPr>
                <w:sz w:val="1"/>
                <w:szCs w:val="1"/>
                <w:color w:val="auto"/>
              </w:rPr>
            </w:pPr>
          </w:p>
        </w:tc>
      </w:tr>
      <w:tr>
        <w:trPr>
          <w:trHeight w:val="135"/>
        </w:trPr>
        <w:tc>
          <w:tcPr>
            <w:tcW w:w="108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Name</w:t>
            </w:r>
          </w:p>
        </w:tc>
        <w:tc>
          <w:tcPr>
            <w:tcW w:w="112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Grant date</w:t>
            </w:r>
          </w:p>
        </w:tc>
        <w:tc>
          <w:tcPr>
            <w:tcW w:w="100" w:type="dxa"/>
            <w:vAlign w:val="bottom"/>
            <w:vMerge w:val="restart"/>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Commencement</w:t>
            </w: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options (#)</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options (#)</w:t>
            </w:r>
          </w:p>
        </w:tc>
        <w:tc>
          <w:tcPr>
            <w:tcW w:w="1200" w:type="dxa"/>
            <w:vAlign w:val="bottom"/>
            <w:gridSpan w:val="2"/>
          </w:tcPr>
          <w:p>
            <w:pPr>
              <w:ind w:left="320"/>
              <w:spacing w:after="0" w:line="135" w:lineRule="exact"/>
              <w:rPr>
                <w:sz w:val="20"/>
                <w:szCs w:val="20"/>
                <w:color w:val="auto"/>
              </w:rPr>
            </w:pPr>
            <w:r>
              <w:rPr>
                <w:rFonts w:ascii="Arial" w:cs="Arial" w:eastAsia="Arial" w:hAnsi="Arial"/>
                <w:sz w:val="13"/>
                <w:szCs w:val="13"/>
                <w:b w:val="1"/>
                <w:bCs w:val="1"/>
                <w:color w:val="auto"/>
              </w:rPr>
              <w:t>exercise</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expiration</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that have not</w:t>
            </w:r>
          </w:p>
        </w:tc>
        <w:tc>
          <w:tcPr>
            <w:tcW w:w="3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that have not</w:t>
            </w:r>
          </w:p>
        </w:tc>
        <w:tc>
          <w:tcPr>
            <w:tcW w:w="0" w:type="dxa"/>
            <w:vAlign w:val="bottom"/>
          </w:tcPr>
          <w:p>
            <w:pPr>
              <w:spacing w:after="0"/>
              <w:rPr>
                <w:sz w:val="1"/>
                <w:szCs w:val="1"/>
                <w:color w:val="auto"/>
              </w:rPr>
            </w:pPr>
          </w:p>
        </w:tc>
      </w:tr>
      <w:tr>
        <w:trPr>
          <w:trHeight w:val="188"/>
        </w:trPr>
        <w:tc>
          <w:tcPr>
            <w:tcW w:w="10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Date </w:t>
            </w:r>
            <w:r>
              <w:rPr>
                <w:rFonts w:ascii="Arial" w:cs="Arial" w:eastAsia="Arial" w:hAnsi="Arial"/>
                <w:sz w:val="17"/>
                <w:szCs w:val="17"/>
                <w:b w:val="1"/>
                <w:bCs w:val="1"/>
                <w:color w:val="auto"/>
                <w:w w:val="91"/>
                <w:vertAlign w:val="superscript"/>
              </w:rPr>
              <w:t>(1)</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86"/>
              </w:rPr>
              <w:t xml:space="preserve">exercisable </w:t>
            </w:r>
            <w:r>
              <w:rPr>
                <w:rFonts w:ascii="Arial" w:cs="Arial" w:eastAsia="Arial" w:hAnsi="Arial"/>
                <w:sz w:val="17"/>
                <w:szCs w:val="17"/>
                <w:b w:val="1"/>
                <w:bCs w:val="1"/>
                <w:color w:val="auto"/>
                <w:w w:val="86"/>
                <w:vertAlign w:val="superscript"/>
              </w:rPr>
              <w:t>(2)</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unexercisable </w:t>
            </w:r>
            <w:r>
              <w:rPr>
                <w:rFonts w:ascii="Arial" w:cs="Arial" w:eastAsia="Arial" w:hAnsi="Arial"/>
                <w:sz w:val="17"/>
                <w:szCs w:val="17"/>
                <w:b w:val="1"/>
                <w:bCs w:val="1"/>
                <w:color w:val="auto"/>
                <w:w w:val="88"/>
                <w:vertAlign w:val="superscript"/>
              </w:rPr>
              <w:t>(2)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price ($)</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vested (#)</w:t>
            </w:r>
          </w:p>
        </w:tc>
        <w:tc>
          <w:tcPr>
            <w:tcW w:w="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89"/>
              </w:rPr>
              <w:t xml:space="preserve">vested ($) </w:t>
            </w:r>
            <w:r>
              <w:rPr>
                <w:rFonts w:ascii="Arial" w:cs="Arial" w:eastAsia="Arial" w:hAnsi="Arial"/>
                <w:sz w:val="17"/>
                <w:szCs w:val="17"/>
                <w:b w:val="1"/>
                <w:bCs w:val="1"/>
                <w:color w:val="auto"/>
                <w:w w:val="89"/>
                <w:vertAlign w:val="superscript"/>
              </w:rPr>
              <w:t>(3)</w:t>
            </w:r>
          </w:p>
        </w:tc>
        <w:tc>
          <w:tcPr>
            <w:tcW w:w="0" w:type="dxa"/>
            <w:vAlign w:val="bottom"/>
          </w:tcPr>
          <w:p>
            <w:pPr>
              <w:spacing w:after="0"/>
              <w:rPr>
                <w:sz w:val="1"/>
                <w:szCs w:val="1"/>
                <w:color w:val="auto"/>
              </w:rPr>
            </w:pPr>
          </w:p>
        </w:tc>
      </w:tr>
      <w:tr>
        <w:trPr>
          <w:trHeight w:val="131"/>
        </w:trPr>
        <w:tc>
          <w:tcPr>
            <w:tcW w:w="10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Carsten Brunn,</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3"/>
              </w:rPr>
              <w:t>9/24/2021</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3"/>
              </w:rPr>
              <w:t>9/24/2021</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3"/>
              </w:rPr>
              <w:t>163,000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4.32</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3"/>
              </w:rPr>
              <w:t>9/23/2031</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Ph.D.</w:t>
            </w: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3"/>
              </w:rPr>
              <w:t>9/24/2021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9/24/2021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27,200</w:t>
            </w:r>
          </w:p>
        </w:tc>
        <w:tc>
          <w:tcPr>
            <w:tcW w:w="360" w:type="dxa"/>
            <w:vAlign w:val="bottom"/>
          </w:tcPr>
          <w:p>
            <w:pPr>
              <w:jc w:val="center"/>
              <w:spacing w:after="0"/>
              <w:rPr>
                <w:sz w:val="20"/>
                <w:szCs w:val="20"/>
                <w:color w:val="auto"/>
              </w:rPr>
            </w:pPr>
            <w:r>
              <w:rPr>
                <w:rFonts w:ascii="Arial" w:cs="Arial" w:eastAsia="Arial" w:hAnsi="Arial"/>
                <w:sz w:val="9"/>
                <w:szCs w:val="9"/>
                <w:color w:val="auto"/>
                <w:w w:val="90"/>
              </w:rPr>
              <w:t>(4)</w:t>
            </w: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88,672</w:t>
            </w:r>
          </w:p>
        </w:tc>
        <w:tc>
          <w:tcPr>
            <w:tcW w:w="0" w:type="dxa"/>
            <w:vAlign w:val="bottom"/>
          </w:tcPr>
          <w:p>
            <w:pPr>
              <w:spacing w:after="0"/>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1/4/2021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1/4/2021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670,000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2.99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1/3/2031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4"/>
              </w:rPr>
              <w:t>1/4/2021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1/4/2021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89"/>
              </w:rPr>
              <w:t>110,000</w:t>
            </w:r>
          </w:p>
        </w:tc>
        <w:tc>
          <w:tcPr>
            <w:tcW w:w="360" w:type="dxa"/>
            <w:vAlign w:val="bottom"/>
          </w:tcPr>
          <w:p>
            <w:pPr>
              <w:jc w:val="center"/>
              <w:spacing w:after="0"/>
              <w:rPr>
                <w:sz w:val="20"/>
                <w:szCs w:val="20"/>
                <w:color w:val="auto"/>
              </w:rPr>
            </w:pPr>
            <w:r>
              <w:rPr>
                <w:rFonts w:ascii="Arial" w:cs="Arial" w:eastAsia="Arial" w:hAnsi="Arial"/>
                <w:sz w:val="9"/>
                <w:szCs w:val="9"/>
                <w:color w:val="auto"/>
                <w:w w:val="90"/>
              </w:rPr>
              <w:t>(4)</w:t>
            </w:r>
          </w:p>
        </w:tc>
        <w:tc>
          <w:tcPr>
            <w:tcW w:w="1100" w:type="dxa"/>
            <w:vAlign w:val="bottom"/>
          </w:tcPr>
          <w:p>
            <w:pPr>
              <w:jc w:val="center"/>
              <w:spacing w:after="0"/>
              <w:rPr>
                <w:sz w:val="20"/>
                <w:szCs w:val="20"/>
                <w:color w:val="auto"/>
              </w:rPr>
            </w:pPr>
            <w:r>
              <w:rPr>
                <w:rFonts w:ascii="Arial" w:cs="Arial" w:eastAsia="Arial" w:hAnsi="Arial"/>
                <w:sz w:val="13"/>
                <w:szCs w:val="13"/>
                <w:color w:val="auto"/>
                <w:w w:val="93"/>
              </w:rPr>
              <w:t>358,600</w:t>
            </w:r>
          </w:p>
        </w:tc>
        <w:tc>
          <w:tcPr>
            <w:tcW w:w="0" w:type="dxa"/>
            <w:vAlign w:val="bottom"/>
          </w:tcPr>
          <w:p>
            <w:pPr>
              <w:spacing w:after="0"/>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7/1/2020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7/1/2020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26,562</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48,438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2.84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6/30/2030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4"/>
              </w:rPr>
              <w:t>1/2/2020</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1/2/2020</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93"/>
              </w:rPr>
              <w:t>287,503</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3"/>
              </w:rPr>
              <w:t>312,497</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4"/>
              </w:rPr>
              <w:t>2.30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4"/>
              </w:rPr>
              <w:t>1/1/2030</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10/7/2019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10/7/2019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400,000</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10/6/2029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3"/>
              </w:rPr>
              <w:t>2/25/2019</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2/25/2019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93"/>
              </w:rPr>
              <w:t>233,754</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0"/>
              </w:rPr>
              <w:t>96,246</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4"/>
              </w:rPr>
              <w:t>2.20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3"/>
              </w:rPr>
              <w:t>2/24/2029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12/1/2018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12/1/2018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750,015</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249,985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6.03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11/30/2028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12/1/2018</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12/1/2018</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13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43,750</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w w:val="90"/>
              </w:rPr>
              <w:t>(4)</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142,625</w:t>
            </w:r>
          </w:p>
        </w:tc>
        <w:tc>
          <w:tcPr>
            <w:tcW w:w="0" w:type="dxa"/>
            <w:vAlign w:val="bottom"/>
          </w:tcPr>
          <w:p>
            <w:pPr>
              <w:spacing w:after="0"/>
              <w:rPr>
                <w:sz w:val="1"/>
                <w:szCs w:val="1"/>
                <w:color w:val="auto"/>
              </w:rPr>
            </w:pPr>
          </w:p>
        </w:tc>
      </w:tr>
      <w:tr>
        <w:trPr>
          <w:trHeight w:val="189"/>
        </w:trPr>
        <w:tc>
          <w:tcPr>
            <w:tcW w:w="10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3"/>
                <w:szCs w:val="13"/>
                <w:color w:val="auto"/>
              </w:rPr>
              <w:t xml:space="preserve">Kevin Tan </w:t>
            </w:r>
            <w:r>
              <w:rPr>
                <w:rFonts w:ascii="Arial" w:cs="Arial" w:eastAsia="Arial" w:hAnsi="Arial"/>
                <w:sz w:val="17"/>
                <w:szCs w:val="17"/>
                <w:color w:val="auto"/>
                <w:vertAlign w:val="superscript"/>
              </w:rPr>
              <w:t>(5)</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3"/>
              </w:rPr>
              <w:t>9/20/2021</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3"/>
              </w:rPr>
              <w:t>9/20/2021</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3"/>
              </w:rPr>
              <w:t>750,000</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4.17</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3"/>
              </w:rPr>
              <w:t>9/19/2031</w:t>
            </w: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080" w:type="dxa"/>
            <w:vAlign w:val="bottom"/>
          </w:tcPr>
          <w:p>
            <w:pPr>
              <w:ind w:left="20"/>
              <w:spacing w:after="0" w:line="131" w:lineRule="exact"/>
              <w:rPr>
                <w:sz w:val="20"/>
                <w:szCs w:val="20"/>
                <w:color w:val="auto"/>
              </w:rPr>
            </w:pPr>
            <w:r>
              <w:rPr>
                <w:rFonts w:ascii="Arial" w:cs="Arial" w:eastAsia="Arial" w:hAnsi="Arial"/>
                <w:sz w:val="13"/>
                <w:szCs w:val="13"/>
                <w:color w:val="auto"/>
              </w:rPr>
              <w:t>Bradford D.</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rPr>
              <w:t>—</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1"/>
              </w:rPr>
              <w:t>—</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80" w:type="dxa"/>
            <w:vAlign w:val="bottom"/>
            <w:tcBorders>
              <w:bottom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Dahms </w:t>
            </w:r>
            <w:r>
              <w:rPr>
                <w:rFonts w:ascii="Arial" w:cs="Arial" w:eastAsia="Arial" w:hAnsi="Arial"/>
                <w:sz w:val="17"/>
                <w:szCs w:val="17"/>
                <w:color w:val="auto"/>
                <w:vertAlign w:val="superscript"/>
              </w:rPr>
              <w:t>(6)</w:t>
            </w:r>
          </w:p>
        </w:tc>
        <w:tc>
          <w:tcPr>
            <w:tcW w:w="122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Ann K. Donohue</w:t>
            </w:r>
          </w:p>
        </w:tc>
        <w:tc>
          <w:tcPr>
            <w:tcW w:w="1120" w:type="dxa"/>
            <w:vAlign w:val="bottom"/>
            <w:tcBorders>
              <w:top w:val="single" w:sz="8" w:color="auto"/>
            </w:tcBorders>
            <w:vMerge w:val="restart"/>
            <w:shd w:val="clear" w:color="auto" w:fill="CCEEFF"/>
          </w:tcPr>
          <w:p>
            <w:pPr>
              <w:jc w:val="center"/>
              <w:ind w:right="133"/>
              <w:spacing w:after="0"/>
              <w:rPr>
                <w:sz w:val="20"/>
                <w:szCs w:val="20"/>
                <w:color w:val="auto"/>
              </w:rPr>
            </w:pPr>
            <w:r>
              <w:rPr>
                <w:rFonts w:ascii="Arial" w:cs="Arial" w:eastAsia="Arial" w:hAnsi="Arial"/>
                <w:sz w:val="13"/>
                <w:szCs w:val="13"/>
                <w:color w:val="auto"/>
                <w:w w:val="94"/>
              </w:rPr>
              <w:t>1/4/2021</w:t>
            </w:r>
          </w:p>
        </w:tc>
        <w:tc>
          <w:tcPr>
            <w:tcW w:w="13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1/4/2021</w:t>
            </w:r>
          </w:p>
        </w:tc>
        <w:tc>
          <w:tcPr>
            <w:tcW w:w="12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27,000</w:t>
            </w:r>
          </w:p>
        </w:tc>
        <w:tc>
          <w:tcPr>
            <w:tcW w:w="11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2.99</w:t>
            </w:r>
          </w:p>
        </w:tc>
        <w:tc>
          <w:tcPr>
            <w:tcW w:w="2320" w:type="dxa"/>
            <w:vAlign w:val="bottom"/>
            <w:tcBorders>
              <w:top w:val="single" w:sz="8" w:color="auto"/>
            </w:tcBorders>
            <w:vMerge w:val="restart"/>
            <w:shd w:val="clear" w:color="auto" w:fill="CCEEFF"/>
          </w:tcPr>
          <w:p>
            <w:pPr>
              <w:jc w:val="center"/>
              <w:ind w:right="893"/>
              <w:spacing w:after="0"/>
              <w:rPr>
                <w:sz w:val="20"/>
                <w:szCs w:val="20"/>
                <w:color w:val="auto"/>
              </w:rPr>
            </w:pPr>
            <w:r>
              <w:rPr>
                <w:rFonts w:ascii="Arial" w:cs="Arial" w:eastAsia="Arial" w:hAnsi="Arial"/>
                <w:sz w:val="13"/>
                <w:szCs w:val="13"/>
                <w:color w:val="auto"/>
                <w:w w:val="94"/>
              </w:rPr>
              <w:t>1/3/2031</w:t>
            </w:r>
          </w:p>
        </w:tc>
        <w:tc>
          <w:tcPr>
            <w:tcW w:w="5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20"/>
              <w:spacing w:after="0"/>
              <w:rPr>
                <w:sz w:val="20"/>
                <w:szCs w:val="20"/>
                <w:color w:val="auto"/>
              </w:rPr>
            </w:pPr>
            <w:r>
              <w:rPr>
                <w:rFonts w:ascii="Arial" w:cs="Arial" w:eastAsia="Arial" w:hAnsi="Arial"/>
                <w:sz w:val="9"/>
                <w:szCs w:val="9"/>
                <w:color w:val="auto"/>
              </w:rPr>
              <w:t>(7)</w:t>
            </w:r>
          </w:p>
        </w:tc>
        <w:tc>
          <w:tcPr>
            <w:tcW w:w="1120" w:type="dxa"/>
            <w:vAlign w:val="bottom"/>
            <w:vMerge w:val="continue"/>
            <w:shd w:val="clear" w:color="auto" w:fill="CCEEFF"/>
          </w:tcPr>
          <w:p>
            <w:pPr>
              <w:spacing w:after="0"/>
              <w:rPr>
                <w:sz w:val="11"/>
                <w:szCs w:val="11"/>
                <w:color w:val="auto"/>
              </w:rPr>
            </w:pPr>
          </w:p>
        </w:tc>
        <w:tc>
          <w:tcPr>
            <w:tcW w:w="1320" w:type="dxa"/>
            <w:vAlign w:val="bottom"/>
            <w:vMerge w:val="continue"/>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232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120" w:type="dxa"/>
            <w:vAlign w:val="bottom"/>
          </w:tcPr>
          <w:p>
            <w:pPr>
              <w:jc w:val="center"/>
              <w:ind w:right="133"/>
              <w:spacing w:after="0"/>
              <w:rPr>
                <w:sz w:val="20"/>
                <w:szCs w:val="20"/>
                <w:color w:val="auto"/>
              </w:rPr>
            </w:pPr>
            <w:r>
              <w:rPr>
                <w:rFonts w:ascii="Arial" w:cs="Arial" w:eastAsia="Arial" w:hAnsi="Arial"/>
                <w:sz w:val="13"/>
                <w:szCs w:val="13"/>
                <w:color w:val="auto"/>
                <w:w w:val="94"/>
              </w:rPr>
              <w:t>1/4/2021</w:t>
            </w: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1/4/2021</w:t>
            </w:r>
          </w:p>
        </w:tc>
        <w:tc>
          <w:tcPr>
            <w:tcW w:w="1280" w:type="dxa"/>
            <w:vAlign w:val="bottom"/>
          </w:tcPr>
          <w:p>
            <w:pPr>
              <w:jc w:val="center"/>
              <w:spacing w:after="0"/>
              <w:rPr>
                <w:sz w:val="20"/>
                <w:szCs w:val="20"/>
                <w:color w:val="auto"/>
              </w:rPr>
            </w:pPr>
            <w:r>
              <w:rPr>
                <w:rFonts w:ascii="Arial" w:cs="Arial" w:eastAsia="Arial" w:hAnsi="Arial"/>
                <w:sz w:val="13"/>
                <w:szCs w:val="13"/>
                <w:color w:val="auto"/>
              </w:rPr>
              <w:t>—</w:t>
            </w:r>
          </w:p>
        </w:tc>
        <w:tc>
          <w:tcPr>
            <w:tcW w:w="130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ind w:left="13"/>
              <w:spacing w:after="0"/>
              <w:rPr>
                <w:sz w:val="20"/>
                <w:szCs w:val="20"/>
                <w:color w:val="auto"/>
              </w:rPr>
            </w:pPr>
            <w:r>
              <w:rPr>
                <w:rFonts w:ascii="Arial" w:cs="Arial" w:eastAsia="Arial" w:hAnsi="Arial"/>
                <w:sz w:val="13"/>
                <w:szCs w:val="13"/>
                <w:color w:val="auto"/>
              </w:rPr>
              <w:t>—</w:t>
            </w:r>
          </w:p>
        </w:tc>
        <w:tc>
          <w:tcPr>
            <w:tcW w:w="2320" w:type="dxa"/>
            <w:vAlign w:val="bottom"/>
          </w:tcPr>
          <w:p>
            <w:pPr>
              <w:jc w:val="center"/>
              <w:ind w:left="1393"/>
              <w:spacing w:after="0"/>
              <w:rPr>
                <w:sz w:val="20"/>
                <w:szCs w:val="20"/>
                <w:color w:val="auto"/>
              </w:rPr>
            </w:pPr>
            <w:r>
              <w:rPr>
                <w:rFonts w:ascii="Arial" w:cs="Arial" w:eastAsia="Arial" w:hAnsi="Arial"/>
                <w:sz w:val="13"/>
                <w:szCs w:val="13"/>
                <w:color w:val="auto"/>
                <w:w w:val="92"/>
              </w:rPr>
              <w:t>4,250</w:t>
            </w:r>
          </w:p>
        </w:tc>
        <w:tc>
          <w:tcPr>
            <w:tcW w:w="580" w:type="dxa"/>
            <w:vAlign w:val="bottom"/>
          </w:tcPr>
          <w:p>
            <w:pPr>
              <w:jc w:val="right"/>
              <w:ind w:right="196"/>
              <w:spacing w:after="0"/>
              <w:rPr>
                <w:sz w:val="20"/>
                <w:szCs w:val="20"/>
                <w:color w:val="auto"/>
              </w:rPr>
            </w:pPr>
            <w:r>
              <w:rPr>
                <w:rFonts w:ascii="Arial" w:cs="Arial" w:eastAsia="Arial" w:hAnsi="Arial"/>
                <w:sz w:val="9"/>
                <w:szCs w:val="9"/>
                <w:color w:val="auto"/>
              </w:rPr>
              <w:t>(4)</w:t>
            </w:r>
          </w:p>
        </w:tc>
        <w:tc>
          <w:tcPr>
            <w:tcW w:w="1000" w:type="dxa"/>
            <w:vAlign w:val="bottom"/>
          </w:tcPr>
          <w:p>
            <w:pPr>
              <w:jc w:val="center"/>
              <w:ind w:right="33"/>
              <w:spacing w:after="0"/>
              <w:rPr>
                <w:sz w:val="20"/>
                <w:szCs w:val="20"/>
                <w:color w:val="auto"/>
              </w:rPr>
            </w:pPr>
            <w:r>
              <w:rPr>
                <w:rFonts w:ascii="Arial" w:cs="Arial" w:eastAsia="Arial" w:hAnsi="Arial"/>
                <w:sz w:val="13"/>
                <w:szCs w:val="13"/>
                <w:color w:val="auto"/>
                <w:w w:val="95"/>
              </w:rPr>
              <w:t>13,855</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3"/>
              <w:spacing w:after="0"/>
              <w:rPr>
                <w:sz w:val="20"/>
                <w:szCs w:val="20"/>
                <w:color w:val="auto"/>
              </w:rPr>
            </w:pPr>
            <w:r>
              <w:rPr>
                <w:rFonts w:ascii="Arial" w:cs="Arial" w:eastAsia="Arial" w:hAnsi="Arial"/>
                <w:sz w:val="13"/>
                <w:szCs w:val="13"/>
                <w:color w:val="auto"/>
                <w:w w:val="94"/>
              </w:rPr>
              <w:t>1/2/2020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1/2/2020</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7,187</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7,813</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2.30</w:t>
            </w:r>
          </w:p>
        </w:tc>
        <w:tc>
          <w:tcPr>
            <w:tcW w:w="2320" w:type="dxa"/>
            <w:vAlign w:val="bottom"/>
            <w:shd w:val="clear" w:color="auto" w:fill="CCEEFF"/>
          </w:tcPr>
          <w:p>
            <w:pPr>
              <w:jc w:val="center"/>
              <w:ind w:right="893"/>
              <w:spacing w:after="0"/>
              <w:rPr>
                <w:sz w:val="20"/>
                <w:szCs w:val="20"/>
                <w:color w:val="auto"/>
              </w:rPr>
            </w:pPr>
            <w:r>
              <w:rPr>
                <w:rFonts w:ascii="Arial" w:cs="Arial" w:eastAsia="Arial" w:hAnsi="Arial"/>
                <w:sz w:val="13"/>
                <w:szCs w:val="13"/>
                <w:color w:val="auto"/>
                <w:w w:val="94"/>
              </w:rPr>
              <w:t>1/1/2030</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120" w:type="dxa"/>
            <w:vAlign w:val="bottom"/>
          </w:tcPr>
          <w:p>
            <w:pPr>
              <w:jc w:val="center"/>
              <w:ind w:right="113"/>
              <w:spacing w:after="0"/>
              <w:rPr>
                <w:sz w:val="20"/>
                <w:szCs w:val="20"/>
                <w:color w:val="auto"/>
              </w:rPr>
            </w:pPr>
            <w:r>
              <w:rPr>
                <w:rFonts w:ascii="Arial" w:cs="Arial" w:eastAsia="Arial" w:hAnsi="Arial"/>
                <w:sz w:val="13"/>
                <w:szCs w:val="13"/>
                <w:color w:val="auto"/>
                <w:w w:val="93"/>
              </w:rPr>
              <w:t>10/7/2019</w:t>
            </w:r>
          </w:p>
        </w:tc>
        <w:tc>
          <w:tcPr>
            <w:tcW w:w="1320" w:type="dxa"/>
            <w:vAlign w:val="bottom"/>
          </w:tcPr>
          <w:p>
            <w:pPr>
              <w:jc w:val="center"/>
              <w:spacing w:after="0"/>
              <w:rPr>
                <w:sz w:val="20"/>
                <w:szCs w:val="20"/>
                <w:color w:val="auto"/>
              </w:rPr>
            </w:pPr>
            <w:r>
              <w:rPr>
                <w:rFonts w:ascii="Arial" w:cs="Arial" w:eastAsia="Arial" w:hAnsi="Arial"/>
                <w:sz w:val="13"/>
                <w:szCs w:val="13"/>
                <w:color w:val="auto"/>
                <w:w w:val="93"/>
              </w:rPr>
              <w:t>10/7/2019</w:t>
            </w:r>
          </w:p>
        </w:tc>
        <w:tc>
          <w:tcPr>
            <w:tcW w:w="1280" w:type="dxa"/>
            <w:vAlign w:val="bottom"/>
          </w:tcPr>
          <w:p>
            <w:pPr>
              <w:jc w:val="center"/>
              <w:spacing w:after="0"/>
              <w:rPr>
                <w:sz w:val="20"/>
                <w:szCs w:val="20"/>
                <w:color w:val="auto"/>
              </w:rPr>
            </w:pPr>
            <w:r>
              <w:rPr>
                <w:rFonts w:ascii="Arial" w:cs="Arial" w:eastAsia="Arial" w:hAnsi="Arial"/>
                <w:sz w:val="13"/>
                <w:szCs w:val="13"/>
                <w:color w:val="auto"/>
                <w:w w:val="95"/>
              </w:rPr>
              <w:t>44,000</w:t>
            </w:r>
          </w:p>
        </w:tc>
        <w:tc>
          <w:tcPr>
            <w:tcW w:w="130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spacing w:after="0"/>
              <w:rPr>
                <w:sz w:val="20"/>
                <w:szCs w:val="20"/>
                <w:color w:val="auto"/>
              </w:rPr>
            </w:pPr>
            <w:r>
              <w:rPr>
                <w:rFonts w:ascii="Arial" w:cs="Arial" w:eastAsia="Arial" w:hAnsi="Arial"/>
                <w:sz w:val="13"/>
                <w:szCs w:val="13"/>
                <w:color w:val="auto"/>
                <w:w w:val="94"/>
              </w:rPr>
              <w:t>1.75</w:t>
            </w:r>
          </w:p>
        </w:tc>
        <w:tc>
          <w:tcPr>
            <w:tcW w:w="2320" w:type="dxa"/>
            <w:vAlign w:val="bottom"/>
          </w:tcPr>
          <w:p>
            <w:pPr>
              <w:jc w:val="center"/>
              <w:ind w:right="913"/>
              <w:spacing w:after="0"/>
              <w:rPr>
                <w:sz w:val="20"/>
                <w:szCs w:val="20"/>
                <w:color w:val="auto"/>
              </w:rPr>
            </w:pPr>
            <w:r>
              <w:rPr>
                <w:rFonts w:ascii="Arial" w:cs="Arial" w:eastAsia="Arial" w:hAnsi="Arial"/>
                <w:sz w:val="13"/>
                <w:szCs w:val="13"/>
                <w:color w:val="auto"/>
                <w:w w:val="93"/>
              </w:rPr>
              <w:t>10/6/2029</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3"/>
              <w:spacing w:after="0"/>
              <w:rPr>
                <w:sz w:val="20"/>
                <w:szCs w:val="20"/>
                <w:color w:val="auto"/>
              </w:rPr>
            </w:pPr>
            <w:r>
              <w:rPr>
                <w:rFonts w:ascii="Arial" w:cs="Arial" w:eastAsia="Arial" w:hAnsi="Arial"/>
                <w:sz w:val="13"/>
                <w:szCs w:val="13"/>
                <w:color w:val="auto"/>
                <w:w w:val="94"/>
              </w:rPr>
              <w:t>1/7/2019</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1/7/2019</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18,229</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6,771</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2.60</w:t>
            </w:r>
          </w:p>
        </w:tc>
        <w:tc>
          <w:tcPr>
            <w:tcW w:w="2320" w:type="dxa"/>
            <w:vAlign w:val="bottom"/>
            <w:shd w:val="clear" w:color="auto" w:fill="CCEEFF"/>
          </w:tcPr>
          <w:p>
            <w:pPr>
              <w:jc w:val="center"/>
              <w:ind w:right="893"/>
              <w:spacing w:after="0"/>
              <w:rPr>
                <w:sz w:val="20"/>
                <w:szCs w:val="20"/>
                <w:color w:val="auto"/>
              </w:rPr>
            </w:pPr>
            <w:r>
              <w:rPr>
                <w:rFonts w:ascii="Arial" w:cs="Arial" w:eastAsia="Arial" w:hAnsi="Arial"/>
                <w:sz w:val="13"/>
                <w:szCs w:val="13"/>
                <w:color w:val="auto"/>
                <w:w w:val="94"/>
              </w:rPr>
              <w:t>1/6/2029</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120" w:type="dxa"/>
            <w:vAlign w:val="bottom"/>
          </w:tcPr>
          <w:p>
            <w:pPr>
              <w:jc w:val="center"/>
              <w:ind w:right="113"/>
              <w:spacing w:after="0"/>
              <w:rPr>
                <w:sz w:val="20"/>
                <w:szCs w:val="20"/>
                <w:color w:val="auto"/>
              </w:rPr>
            </w:pPr>
            <w:r>
              <w:rPr>
                <w:rFonts w:ascii="Arial" w:cs="Arial" w:eastAsia="Arial" w:hAnsi="Arial"/>
                <w:sz w:val="13"/>
                <w:szCs w:val="13"/>
                <w:color w:val="auto"/>
                <w:w w:val="93"/>
              </w:rPr>
              <w:t>6/12/2018</w:t>
            </w:r>
          </w:p>
        </w:tc>
        <w:tc>
          <w:tcPr>
            <w:tcW w:w="1320" w:type="dxa"/>
            <w:vAlign w:val="bottom"/>
          </w:tcPr>
          <w:p>
            <w:pPr>
              <w:jc w:val="center"/>
              <w:spacing w:after="0"/>
              <w:rPr>
                <w:sz w:val="20"/>
                <w:szCs w:val="20"/>
                <w:color w:val="auto"/>
              </w:rPr>
            </w:pPr>
            <w:r>
              <w:rPr>
                <w:rFonts w:ascii="Arial" w:cs="Arial" w:eastAsia="Arial" w:hAnsi="Arial"/>
                <w:sz w:val="13"/>
                <w:szCs w:val="13"/>
                <w:color w:val="auto"/>
                <w:w w:val="93"/>
              </w:rPr>
              <w:t>6/12/2018</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8,750</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1,250</w:t>
            </w:r>
          </w:p>
        </w:tc>
        <w:tc>
          <w:tcPr>
            <w:tcW w:w="1140" w:type="dxa"/>
            <w:vAlign w:val="bottom"/>
          </w:tcPr>
          <w:p>
            <w:pPr>
              <w:jc w:val="center"/>
              <w:ind w:left="13"/>
              <w:spacing w:after="0"/>
              <w:rPr>
                <w:sz w:val="20"/>
                <w:szCs w:val="20"/>
                <w:color w:val="auto"/>
              </w:rPr>
            </w:pPr>
            <w:r>
              <w:rPr>
                <w:rFonts w:ascii="Arial" w:cs="Arial" w:eastAsia="Arial" w:hAnsi="Arial"/>
                <w:sz w:val="13"/>
                <w:szCs w:val="13"/>
                <w:color w:val="auto"/>
                <w:w w:val="92"/>
              </w:rPr>
              <w:t>12.46</w:t>
            </w:r>
          </w:p>
        </w:tc>
        <w:tc>
          <w:tcPr>
            <w:tcW w:w="2320" w:type="dxa"/>
            <w:vAlign w:val="bottom"/>
          </w:tcPr>
          <w:p>
            <w:pPr>
              <w:jc w:val="center"/>
              <w:ind w:right="913"/>
              <w:spacing w:after="0"/>
              <w:rPr>
                <w:sz w:val="20"/>
                <w:szCs w:val="20"/>
                <w:color w:val="auto"/>
              </w:rPr>
            </w:pPr>
            <w:r>
              <w:rPr>
                <w:rFonts w:ascii="Arial" w:cs="Arial" w:eastAsia="Arial" w:hAnsi="Arial"/>
                <w:sz w:val="13"/>
                <w:szCs w:val="13"/>
                <w:color w:val="auto"/>
                <w:w w:val="93"/>
              </w:rPr>
              <w:t>6/11/2028</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13"/>
              <w:spacing w:after="0"/>
              <w:rPr>
                <w:sz w:val="20"/>
                <w:szCs w:val="20"/>
                <w:color w:val="auto"/>
              </w:rPr>
            </w:pPr>
            <w:r>
              <w:rPr>
                <w:rFonts w:ascii="Arial" w:cs="Arial" w:eastAsia="Arial" w:hAnsi="Arial"/>
                <w:sz w:val="13"/>
                <w:szCs w:val="13"/>
                <w:color w:val="auto"/>
                <w:w w:val="93"/>
              </w:rPr>
              <w:t>6/16/2017</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6/16/2017</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1,108</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2"/>
              </w:rPr>
              <w:t>17.47</w:t>
            </w:r>
          </w:p>
        </w:tc>
        <w:tc>
          <w:tcPr>
            <w:tcW w:w="2320" w:type="dxa"/>
            <w:vAlign w:val="bottom"/>
            <w:shd w:val="clear" w:color="auto" w:fill="CCEEFF"/>
          </w:tcPr>
          <w:p>
            <w:pPr>
              <w:jc w:val="center"/>
              <w:ind w:right="913"/>
              <w:spacing w:after="0"/>
              <w:rPr>
                <w:sz w:val="20"/>
                <w:szCs w:val="20"/>
                <w:color w:val="auto"/>
              </w:rPr>
            </w:pPr>
            <w:r>
              <w:rPr>
                <w:rFonts w:ascii="Arial" w:cs="Arial" w:eastAsia="Arial" w:hAnsi="Arial"/>
                <w:sz w:val="13"/>
                <w:szCs w:val="13"/>
                <w:color w:val="auto"/>
                <w:w w:val="93"/>
              </w:rPr>
              <w:t>6/15/2027</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color w:val="auto"/>
                <w:w w:val="93"/>
              </w:rPr>
              <w:t>3/23/2017</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9/12/2016</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5,100</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auto"/>
                <w:w w:val="92"/>
              </w:rPr>
              <w:t>10.89</w:t>
            </w:r>
          </w:p>
        </w:tc>
        <w:tc>
          <w:tcPr>
            <w:tcW w:w="2320" w:type="dxa"/>
            <w:vAlign w:val="bottom"/>
            <w:tcBorders>
              <w:bottom w:val="single" w:sz="8" w:color="auto"/>
            </w:tcBorders>
          </w:tcPr>
          <w:p>
            <w:pPr>
              <w:jc w:val="center"/>
              <w:ind w:right="913"/>
              <w:spacing w:after="0"/>
              <w:rPr>
                <w:sz w:val="20"/>
                <w:szCs w:val="20"/>
                <w:color w:val="auto"/>
              </w:rPr>
            </w:pPr>
            <w:r>
              <w:rPr>
                <w:rFonts w:ascii="Arial" w:cs="Arial" w:eastAsia="Arial" w:hAnsi="Arial"/>
                <w:sz w:val="13"/>
                <w:szCs w:val="13"/>
                <w:color w:val="auto"/>
                <w:w w:val="93"/>
              </w:rPr>
              <w:t>3/22/2027</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8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Peter G. Traber,</w:t>
            </w:r>
          </w:p>
        </w:tc>
        <w:tc>
          <w:tcPr>
            <w:tcW w:w="1120" w:type="dxa"/>
            <w:vAlign w:val="bottom"/>
            <w:vMerge w:val="restart"/>
            <w:shd w:val="clear" w:color="auto" w:fill="CCEEFF"/>
          </w:tcPr>
          <w:p>
            <w:pPr>
              <w:jc w:val="center"/>
              <w:ind w:right="113"/>
              <w:spacing w:after="0"/>
              <w:rPr>
                <w:sz w:val="20"/>
                <w:szCs w:val="20"/>
                <w:color w:val="auto"/>
              </w:rPr>
            </w:pPr>
            <w:r>
              <w:rPr>
                <w:rFonts w:ascii="Arial" w:cs="Arial" w:eastAsia="Arial" w:hAnsi="Arial"/>
                <w:sz w:val="13"/>
                <w:szCs w:val="13"/>
                <w:color w:val="auto"/>
                <w:w w:val="93"/>
              </w:rPr>
              <w:t>9/24/2021</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3"/>
              </w:rPr>
              <w:t>9/24/2021</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54,400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4.32</w:t>
            </w:r>
          </w:p>
        </w:tc>
        <w:tc>
          <w:tcPr>
            <w:tcW w:w="2320" w:type="dxa"/>
            <w:vAlign w:val="bottom"/>
            <w:vMerge w:val="restart"/>
            <w:shd w:val="clear" w:color="auto" w:fill="CCEEFF"/>
          </w:tcPr>
          <w:p>
            <w:pPr>
              <w:jc w:val="center"/>
              <w:ind w:right="913"/>
              <w:spacing w:after="0"/>
              <w:rPr>
                <w:sz w:val="20"/>
                <w:szCs w:val="20"/>
                <w:color w:val="auto"/>
              </w:rPr>
            </w:pPr>
            <w:r>
              <w:rPr>
                <w:rFonts w:ascii="Arial" w:cs="Arial" w:eastAsia="Arial" w:hAnsi="Arial"/>
                <w:sz w:val="13"/>
                <w:szCs w:val="13"/>
                <w:color w:val="auto"/>
                <w:w w:val="93"/>
              </w:rPr>
              <w:t>9/23/2031</w:t>
            </w:r>
          </w:p>
        </w:tc>
        <w:tc>
          <w:tcPr>
            <w:tcW w:w="5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180" w:type="dxa"/>
            <w:vAlign w:val="bottom"/>
            <w:shd w:val="clear" w:color="auto" w:fill="CCEEFF"/>
          </w:tcPr>
          <w:p>
            <w:pPr>
              <w:ind w:left="20"/>
              <w:spacing w:after="0" w:line="186" w:lineRule="exact"/>
              <w:rPr>
                <w:sz w:val="20"/>
                <w:szCs w:val="20"/>
                <w:color w:val="auto"/>
              </w:rPr>
            </w:pPr>
            <w:r>
              <w:rPr>
                <w:rFonts w:ascii="Arial" w:cs="Arial" w:eastAsia="Arial" w:hAnsi="Arial"/>
                <w:sz w:val="13"/>
                <w:szCs w:val="13"/>
                <w:color w:val="auto"/>
              </w:rPr>
              <w:t xml:space="preserve">M.D. </w:t>
            </w:r>
            <w:r>
              <w:rPr>
                <w:rFonts w:ascii="Arial" w:cs="Arial" w:eastAsia="Arial" w:hAnsi="Arial"/>
                <w:sz w:val="17"/>
                <w:szCs w:val="17"/>
                <w:color w:val="auto"/>
                <w:vertAlign w:val="superscript"/>
              </w:rPr>
              <w:t>(8)</w:t>
            </w:r>
          </w:p>
        </w:tc>
        <w:tc>
          <w:tcPr>
            <w:tcW w:w="112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320" w:type="dxa"/>
            <w:vAlign w:val="bottom"/>
            <w:vMerge w:val="continue"/>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120" w:type="dxa"/>
            <w:vAlign w:val="bottom"/>
          </w:tcPr>
          <w:p>
            <w:pPr>
              <w:jc w:val="center"/>
              <w:ind w:right="113"/>
              <w:spacing w:after="0"/>
              <w:rPr>
                <w:sz w:val="20"/>
                <w:szCs w:val="20"/>
                <w:color w:val="auto"/>
              </w:rPr>
            </w:pPr>
            <w:r>
              <w:rPr>
                <w:rFonts w:ascii="Arial" w:cs="Arial" w:eastAsia="Arial" w:hAnsi="Arial"/>
                <w:sz w:val="13"/>
                <w:szCs w:val="13"/>
                <w:color w:val="auto"/>
                <w:w w:val="93"/>
              </w:rPr>
              <w:t>9/24/2021</w:t>
            </w:r>
          </w:p>
        </w:tc>
        <w:tc>
          <w:tcPr>
            <w:tcW w:w="1320" w:type="dxa"/>
            <w:vAlign w:val="bottom"/>
          </w:tcPr>
          <w:p>
            <w:pPr>
              <w:jc w:val="center"/>
              <w:spacing w:after="0"/>
              <w:rPr>
                <w:sz w:val="20"/>
                <w:szCs w:val="20"/>
                <w:color w:val="auto"/>
              </w:rPr>
            </w:pPr>
            <w:r>
              <w:rPr>
                <w:rFonts w:ascii="Arial" w:cs="Arial" w:eastAsia="Arial" w:hAnsi="Arial"/>
                <w:sz w:val="13"/>
                <w:szCs w:val="13"/>
                <w:color w:val="auto"/>
                <w:w w:val="93"/>
              </w:rPr>
              <w:t>9/24/2021</w:t>
            </w:r>
          </w:p>
        </w:tc>
        <w:tc>
          <w:tcPr>
            <w:tcW w:w="1280" w:type="dxa"/>
            <w:vAlign w:val="bottom"/>
          </w:tcPr>
          <w:p>
            <w:pPr>
              <w:jc w:val="center"/>
              <w:spacing w:after="0"/>
              <w:rPr>
                <w:sz w:val="20"/>
                <w:szCs w:val="20"/>
                <w:color w:val="auto"/>
              </w:rPr>
            </w:pPr>
            <w:r>
              <w:rPr>
                <w:rFonts w:ascii="Arial" w:cs="Arial" w:eastAsia="Arial" w:hAnsi="Arial"/>
                <w:sz w:val="13"/>
                <w:szCs w:val="13"/>
                <w:color w:val="auto"/>
              </w:rPr>
              <w:t>—</w:t>
            </w:r>
          </w:p>
        </w:tc>
        <w:tc>
          <w:tcPr>
            <w:tcW w:w="130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ind w:left="13"/>
              <w:spacing w:after="0"/>
              <w:rPr>
                <w:sz w:val="20"/>
                <w:szCs w:val="20"/>
                <w:color w:val="auto"/>
              </w:rPr>
            </w:pPr>
            <w:r>
              <w:rPr>
                <w:rFonts w:ascii="Arial" w:cs="Arial" w:eastAsia="Arial" w:hAnsi="Arial"/>
                <w:sz w:val="13"/>
                <w:szCs w:val="13"/>
                <w:color w:val="auto"/>
              </w:rPr>
              <w:t>—</w:t>
            </w:r>
          </w:p>
        </w:tc>
        <w:tc>
          <w:tcPr>
            <w:tcW w:w="2320" w:type="dxa"/>
            <w:vAlign w:val="bottom"/>
          </w:tcPr>
          <w:p>
            <w:pPr>
              <w:jc w:val="center"/>
              <w:ind w:left="1393"/>
              <w:spacing w:after="0"/>
              <w:rPr>
                <w:sz w:val="20"/>
                <w:szCs w:val="20"/>
                <w:color w:val="auto"/>
              </w:rPr>
            </w:pPr>
            <w:r>
              <w:rPr>
                <w:rFonts w:ascii="Arial" w:cs="Arial" w:eastAsia="Arial" w:hAnsi="Arial"/>
                <w:sz w:val="13"/>
                <w:szCs w:val="13"/>
                <w:color w:val="auto"/>
                <w:w w:val="92"/>
              </w:rPr>
              <w:t>9,100</w:t>
            </w:r>
          </w:p>
        </w:tc>
        <w:tc>
          <w:tcPr>
            <w:tcW w:w="580" w:type="dxa"/>
            <w:vAlign w:val="bottom"/>
          </w:tcPr>
          <w:p>
            <w:pPr>
              <w:jc w:val="right"/>
              <w:ind w:right="196"/>
              <w:spacing w:after="0"/>
              <w:rPr>
                <w:sz w:val="20"/>
                <w:szCs w:val="20"/>
                <w:color w:val="auto"/>
              </w:rPr>
            </w:pPr>
            <w:r>
              <w:rPr>
                <w:rFonts w:ascii="Arial" w:cs="Arial" w:eastAsia="Arial" w:hAnsi="Arial"/>
                <w:sz w:val="9"/>
                <w:szCs w:val="9"/>
                <w:color w:val="auto"/>
              </w:rPr>
              <w:t>(4)</w:t>
            </w:r>
          </w:p>
        </w:tc>
        <w:tc>
          <w:tcPr>
            <w:tcW w:w="1000" w:type="dxa"/>
            <w:vAlign w:val="bottom"/>
          </w:tcPr>
          <w:p>
            <w:pPr>
              <w:jc w:val="center"/>
              <w:ind w:right="33"/>
              <w:spacing w:after="0"/>
              <w:rPr>
                <w:sz w:val="20"/>
                <w:szCs w:val="20"/>
                <w:color w:val="auto"/>
              </w:rPr>
            </w:pPr>
            <w:r>
              <w:rPr>
                <w:rFonts w:ascii="Arial" w:cs="Arial" w:eastAsia="Arial" w:hAnsi="Arial"/>
                <w:sz w:val="13"/>
                <w:szCs w:val="13"/>
                <w:color w:val="auto"/>
                <w:w w:val="95"/>
              </w:rPr>
              <w:t>29,666</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3"/>
              <w:spacing w:after="0"/>
              <w:rPr>
                <w:sz w:val="20"/>
                <w:szCs w:val="20"/>
                <w:color w:val="auto"/>
              </w:rPr>
            </w:pPr>
            <w:r>
              <w:rPr>
                <w:rFonts w:ascii="Arial" w:cs="Arial" w:eastAsia="Arial" w:hAnsi="Arial"/>
                <w:sz w:val="13"/>
                <w:szCs w:val="13"/>
                <w:color w:val="auto"/>
                <w:w w:val="94"/>
              </w:rPr>
              <w:t>1/4/2021</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1/4/2021</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230,000</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2.99</w:t>
            </w:r>
          </w:p>
        </w:tc>
        <w:tc>
          <w:tcPr>
            <w:tcW w:w="2320" w:type="dxa"/>
            <w:vAlign w:val="bottom"/>
            <w:shd w:val="clear" w:color="auto" w:fill="CCEEFF"/>
          </w:tcPr>
          <w:p>
            <w:pPr>
              <w:jc w:val="center"/>
              <w:ind w:right="893"/>
              <w:spacing w:after="0"/>
              <w:rPr>
                <w:sz w:val="20"/>
                <w:szCs w:val="20"/>
                <w:color w:val="auto"/>
              </w:rPr>
            </w:pPr>
            <w:r>
              <w:rPr>
                <w:rFonts w:ascii="Arial" w:cs="Arial" w:eastAsia="Arial" w:hAnsi="Arial"/>
                <w:sz w:val="13"/>
                <w:szCs w:val="13"/>
                <w:color w:val="auto"/>
                <w:w w:val="94"/>
              </w:rPr>
              <w:t>1/3/2031</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120" w:type="dxa"/>
            <w:vAlign w:val="bottom"/>
          </w:tcPr>
          <w:p>
            <w:pPr>
              <w:jc w:val="center"/>
              <w:ind w:right="133"/>
              <w:spacing w:after="0"/>
              <w:rPr>
                <w:sz w:val="20"/>
                <w:szCs w:val="20"/>
                <w:color w:val="auto"/>
              </w:rPr>
            </w:pPr>
            <w:r>
              <w:rPr>
                <w:rFonts w:ascii="Arial" w:cs="Arial" w:eastAsia="Arial" w:hAnsi="Arial"/>
                <w:sz w:val="13"/>
                <w:szCs w:val="13"/>
                <w:color w:val="auto"/>
                <w:w w:val="94"/>
              </w:rPr>
              <w:t>1/4/2021</w:t>
            </w: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1/4/2021</w:t>
            </w:r>
          </w:p>
        </w:tc>
        <w:tc>
          <w:tcPr>
            <w:tcW w:w="1280" w:type="dxa"/>
            <w:vAlign w:val="bottom"/>
          </w:tcPr>
          <w:p>
            <w:pPr>
              <w:jc w:val="center"/>
              <w:spacing w:after="0"/>
              <w:rPr>
                <w:sz w:val="20"/>
                <w:szCs w:val="20"/>
                <w:color w:val="auto"/>
              </w:rPr>
            </w:pPr>
            <w:r>
              <w:rPr>
                <w:rFonts w:ascii="Arial" w:cs="Arial" w:eastAsia="Arial" w:hAnsi="Arial"/>
                <w:sz w:val="13"/>
                <w:szCs w:val="13"/>
                <w:color w:val="auto"/>
              </w:rPr>
              <w:t>—</w:t>
            </w:r>
          </w:p>
        </w:tc>
        <w:tc>
          <w:tcPr>
            <w:tcW w:w="130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ind w:left="13"/>
              <w:spacing w:after="0"/>
              <w:rPr>
                <w:sz w:val="20"/>
                <w:szCs w:val="20"/>
                <w:color w:val="auto"/>
              </w:rPr>
            </w:pPr>
            <w:r>
              <w:rPr>
                <w:rFonts w:ascii="Arial" w:cs="Arial" w:eastAsia="Arial" w:hAnsi="Arial"/>
                <w:sz w:val="13"/>
                <w:szCs w:val="13"/>
                <w:color w:val="auto"/>
              </w:rPr>
              <w:t>—</w:t>
            </w:r>
          </w:p>
        </w:tc>
        <w:tc>
          <w:tcPr>
            <w:tcW w:w="2320" w:type="dxa"/>
            <w:vAlign w:val="bottom"/>
          </w:tcPr>
          <w:p>
            <w:pPr>
              <w:jc w:val="center"/>
              <w:ind w:left="1393"/>
              <w:spacing w:after="0"/>
              <w:rPr>
                <w:sz w:val="20"/>
                <w:szCs w:val="20"/>
                <w:color w:val="auto"/>
              </w:rPr>
            </w:pPr>
            <w:r>
              <w:rPr>
                <w:rFonts w:ascii="Arial" w:cs="Arial" w:eastAsia="Arial" w:hAnsi="Arial"/>
                <w:sz w:val="13"/>
                <w:szCs w:val="13"/>
                <w:color w:val="auto"/>
                <w:w w:val="95"/>
              </w:rPr>
              <w:t>38,000</w:t>
            </w:r>
          </w:p>
        </w:tc>
        <w:tc>
          <w:tcPr>
            <w:tcW w:w="580" w:type="dxa"/>
            <w:vAlign w:val="bottom"/>
          </w:tcPr>
          <w:p>
            <w:pPr>
              <w:jc w:val="right"/>
              <w:ind w:right="196"/>
              <w:spacing w:after="0"/>
              <w:rPr>
                <w:sz w:val="20"/>
                <w:szCs w:val="20"/>
                <w:color w:val="auto"/>
              </w:rPr>
            </w:pPr>
            <w:r>
              <w:rPr>
                <w:rFonts w:ascii="Arial" w:cs="Arial" w:eastAsia="Arial" w:hAnsi="Arial"/>
                <w:sz w:val="9"/>
                <w:szCs w:val="9"/>
                <w:color w:val="auto"/>
              </w:rPr>
              <w:t>(4)</w:t>
            </w:r>
          </w:p>
        </w:tc>
        <w:tc>
          <w:tcPr>
            <w:tcW w:w="1000" w:type="dxa"/>
            <w:vAlign w:val="bottom"/>
          </w:tcPr>
          <w:p>
            <w:pPr>
              <w:jc w:val="center"/>
              <w:ind w:right="53"/>
              <w:spacing w:after="0"/>
              <w:rPr>
                <w:sz w:val="20"/>
                <w:szCs w:val="20"/>
                <w:color w:val="auto"/>
              </w:rPr>
            </w:pPr>
            <w:r>
              <w:rPr>
                <w:rFonts w:ascii="Arial" w:cs="Arial" w:eastAsia="Arial" w:hAnsi="Arial"/>
                <w:sz w:val="13"/>
                <w:szCs w:val="13"/>
                <w:color w:val="auto"/>
                <w:w w:val="93"/>
              </w:rPr>
              <w:t>123,880</w:t>
            </w:r>
          </w:p>
        </w:tc>
        <w:tc>
          <w:tcPr>
            <w:tcW w:w="0" w:type="dxa"/>
            <w:vAlign w:val="bottom"/>
          </w:tcPr>
          <w:p>
            <w:pPr>
              <w:spacing w:after="0"/>
              <w:rPr>
                <w:sz w:val="1"/>
                <w:szCs w:val="1"/>
                <w:color w:val="auto"/>
              </w:rPr>
            </w:pPr>
          </w:p>
        </w:tc>
      </w:tr>
      <w:tr>
        <w:trPr>
          <w:trHeight w:val="189"/>
        </w:trPr>
        <w:tc>
          <w:tcPr>
            <w:tcW w:w="1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center"/>
              <w:ind w:right="133"/>
              <w:spacing w:after="0"/>
              <w:rPr>
                <w:sz w:val="20"/>
                <w:szCs w:val="20"/>
                <w:color w:val="auto"/>
              </w:rPr>
            </w:pPr>
            <w:r>
              <w:rPr>
                <w:rFonts w:ascii="Arial" w:cs="Arial" w:eastAsia="Arial" w:hAnsi="Arial"/>
                <w:sz w:val="13"/>
                <w:szCs w:val="13"/>
                <w:color w:val="auto"/>
                <w:w w:val="94"/>
              </w:rPr>
              <w:t>8/1/2020</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8/1/2020</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3"/>
              </w:rPr>
              <w:t>216,667</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3"/>
              </w:rPr>
              <w:t>433,333</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2.38</w:t>
            </w:r>
          </w:p>
        </w:tc>
        <w:tc>
          <w:tcPr>
            <w:tcW w:w="2320" w:type="dxa"/>
            <w:vAlign w:val="bottom"/>
            <w:tcBorders>
              <w:bottom w:val="single" w:sz="8" w:color="auto"/>
            </w:tcBorders>
            <w:shd w:val="clear" w:color="auto" w:fill="CCEEFF"/>
          </w:tcPr>
          <w:p>
            <w:pPr>
              <w:jc w:val="center"/>
              <w:ind w:right="913"/>
              <w:spacing w:after="0"/>
              <w:rPr>
                <w:sz w:val="20"/>
                <w:szCs w:val="20"/>
                <w:color w:val="auto"/>
              </w:rPr>
            </w:pPr>
            <w:r>
              <w:rPr>
                <w:rFonts w:ascii="Arial" w:cs="Arial" w:eastAsia="Arial" w:hAnsi="Arial"/>
                <w:sz w:val="13"/>
                <w:szCs w:val="13"/>
                <w:color w:val="auto"/>
                <w:w w:val="93"/>
              </w:rPr>
              <w:t>7/31/2030</w:t>
            </w:r>
          </w:p>
        </w:tc>
        <w:tc>
          <w:tcPr>
            <w:tcW w:w="5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80" w:type="dxa"/>
            <w:vAlign w:val="bottom"/>
          </w:tcPr>
          <w:p>
            <w:pPr>
              <w:ind w:left="20"/>
              <w:spacing w:after="0" w:line="138" w:lineRule="exact"/>
              <w:rPr>
                <w:sz w:val="20"/>
                <w:szCs w:val="20"/>
                <w:color w:val="auto"/>
              </w:rPr>
            </w:pPr>
            <w:r>
              <w:rPr>
                <w:rFonts w:ascii="Arial" w:cs="Arial" w:eastAsia="Arial" w:hAnsi="Arial"/>
                <w:sz w:val="13"/>
                <w:szCs w:val="13"/>
                <w:color w:val="auto"/>
              </w:rPr>
              <w:t>Takashi Kei</w:t>
            </w:r>
          </w:p>
        </w:tc>
        <w:tc>
          <w:tcPr>
            <w:tcW w:w="1120" w:type="dxa"/>
            <w:vAlign w:val="bottom"/>
            <w:vMerge w:val="restart"/>
          </w:tcPr>
          <w:p>
            <w:pPr>
              <w:jc w:val="center"/>
              <w:ind w:right="133"/>
              <w:spacing w:after="0"/>
              <w:rPr>
                <w:sz w:val="20"/>
                <w:szCs w:val="20"/>
                <w:color w:val="auto"/>
              </w:rPr>
            </w:pPr>
            <w:r>
              <w:rPr>
                <w:rFonts w:ascii="Arial" w:cs="Arial" w:eastAsia="Arial" w:hAnsi="Arial"/>
                <w:sz w:val="13"/>
                <w:szCs w:val="13"/>
                <w:color w:val="auto"/>
                <w:w w:val="94"/>
              </w:rPr>
              <w:t>1/4/2021</w:t>
            </w:r>
          </w:p>
        </w:tc>
        <w:tc>
          <w:tcPr>
            <w:tcW w:w="1320" w:type="dxa"/>
            <w:vAlign w:val="bottom"/>
            <w:vMerge w:val="restart"/>
          </w:tcPr>
          <w:p>
            <w:pPr>
              <w:jc w:val="center"/>
              <w:spacing w:after="0"/>
              <w:rPr>
                <w:sz w:val="20"/>
                <w:szCs w:val="20"/>
                <w:color w:val="auto"/>
              </w:rPr>
            </w:pPr>
            <w:r>
              <w:rPr>
                <w:rFonts w:ascii="Arial" w:cs="Arial" w:eastAsia="Arial" w:hAnsi="Arial"/>
                <w:sz w:val="13"/>
                <w:szCs w:val="13"/>
                <w:color w:val="auto"/>
                <w:w w:val="94"/>
              </w:rPr>
              <w:t>1/4/2021</w:t>
            </w:r>
          </w:p>
        </w:tc>
        <w:tc>
          <w:tcPr>
            <w:tcW w:w="12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jc w:val="center"/>
              <w:spacing w:after="0"/>
              <w:rPr>
                <w:sz w:val="20"/>
                <w:szCs w:val="20"/>
                <w:color w:val="auto"/>
              </w:rPr>
            </w:pPr>
            <w:r>
              <w:rPr>
                <w:rFonts w:ascii="Arial" w:cs="Arial" w:eastAsia="Arial" w:hAnsi="Arial"/>
                <w:sz w:val="13"/>
                <w:szCs w:val="13"/>
                <w:color w:val="auto"/>
                <w:w w:val="93"/>
              </w:rPr>
              <w:t>230,000</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4"/>
              </w:rPr>
              <w:t>2.99</w:t>
            </w:r>
          </w:p>
        </w:tc>
        <w:tc>
          <w:tcPr>
            <w:tcW w:w="2320" w:type="dxa"/>
            <w:vAlign w:val="bottom"/>
            <w:vMerge w:val="restart"/>
          </w:tcPr>
          <w:p>
            <w:pPr>
              <w:jc w:val="center"/>
              <w:ind w:right="893"/>
              <w:spacing w:after="0"/>
              <w:rPr>
                <w:sz w:val="20"/>
                <w:szCs w:val="20"/>
                <w:color w:val="auto"/>
              </w:rPr>
            </w:pPr>
            <w:r>
              <w:rPr>
                <w:rFonts w:ascii="Arial" w:cs="Arial" w:eastAsia="Arial" w:hAnsi="Arial"/>
                <w:sz w:val="13"/>
                <w:szCs w:val="13"/>
                <w:color w:val="auto"/>
                <w:w w:val="94"/>
              </w:rPr>
              <w:t>1/3/2031</w:t>
            </w: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180" w:type="dxa"/>
            <w:vAlign w:val="bottom"/>
          </w:tcPr>
          <w:p>
            <w:pPr>
              <w:ind w:left="20"/>
              <w:spacing w:after="0"/>
              <w:rPr>
                <w:sz w:val="20"/>
                <w:szCs w:val="20"/>
                <w:color w:val="auto"/>
              </w:rPr>
            </w:pPr>
            <w:r>
              <w:rPr>
                <w:rFonts w:ascii="Arial" w:cs="Arial" w:eastAsia="Arial" w:hAnsi="Arial"/>
                <w:sz w:val="13"/>
                <w:szCs w:val="13"/>
                <w:color w:val="auto"/>
              </w:rPr>
              <w:t>Kishimoto, Ph.D.</w:t>
            </w:r>
          </w:p>
        </w:tc>
        <w:tc>
          <w:tcPr>
            <w:tcW w:w="11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3"/>
              <w:spacing w:after="0"/>
              <w:rPr>
                <w:sz w:val="20"/>
                <w:szCs w:val="20"/>
                <w:color w:val="auto"/>
              </w:rPr>
            </w:pPr>
            <w:r>
              <w:rPr>
                <w:rFonts w:ascii="Arial" w:cs="Arial" w:eastAsia="Arial" w:hAnsi="Arial"/>
                <w:sz w:val="13"/>
                <w:szCs w:val="13"/>
                <w:color w:val="auto"/>
                <w:w w:val="94"/>
              </w:rPr>
              <w:t>1/4/2021</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1/4/2021</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2320" w:type="dxa"/>
            <w:vAlign w:val="bottom"/>
            <w:shd w:val="clear" w:color="auto" w:fill="CCEEFF"/>
          </w:tcPr>
          <w:p>
            <w:pPr>
              <w:jc w:val="center"/>
              <w:ind w:left="1393"/>
              <w:spacing w:after="0"/>
              <w:rPr>
                <w:sz w:val="20"/>
                <w:szCs w:val="20"/>
                <w:color w:val="auto"/>
              </w:rPr>
            </w:pPr>
            <w:r>
              <w:rPr>
                <w:rFonts w:ascii="Arial" w:cs="Arial" w:eastAsia="Arial" w:hAnsi="Arial"/>
                <w:sz w:val="13"/>
                <w:szCs w:val="13"/>
                <w:color w:val="auto"/>
                <w:w w:val="95"/>
              </w:rPr>
              <w:t>38,000</w:t>
            </w:r>
          </w:p>
        </w:tc>
        <w:tc>
          <w:tcPr>
            <w:tcW w:w="580" w:type="dxa"/>
            <w:vAlign w:val="bottom"/>
            <w:shd w:val="clear" w:color="auto" w:fill="CCEEFF"/>
          </w:tcPr>
          <w:p>
            <w:pPr>
              <w:jc w:val="right"/>
              <w:ind w:right="196"/>
              <w:spacing w:after="0"/>
              <w:rPr>
                <w:sz w:val="20"/>
                <w:szCs w:val="20"/>
                <w:color w:val="auto"/>
              </w:rPr>
            </w:pPr>
            <w:r>
              <w:rPr>
                <w:rFonts w:ascii="Arial" w:cs="Arial" w:eastAsia="Arial" w:hAnsi="Arial"/>
                <w:sz w:val="9"/>
                <w:szCs w:val="9"/>
                <w:color w:val="auto"/>
              </w:rPr>
              <w:t>(4)</w:t>
            </w:r>
          </w:p>
        </w:tc>
        <w:tc>
          <w:tcPr>
            <w:tcW w:w="1000" w:type="dxa"/>
            <w:vAlign w:val="bottom"/>
            <w:shd w:val="clear" w:color="auto" w:fill="CCEEFF"/>
          </w:tcPr>
          <w:p>
            <w:pPr>
              <w:jc w:val="center"/>
              <w:ind w:right="53"/>
              <w:spacing w:after="0"/>
              <w:rPr>
                <w:sz w:val="20"/>
                <w:szCs w:val="20"/>
                <w:color w:val="auto"/>
              </w:rPr>
            </w:pPr>
            <w:r>
              <w:rPr>
                <w:rFonts w:ascii="Arial" w:cs="Arial" w:eastAsia="Arial" w:hAnsi="Arial"/>
                <w:sz w:val="13"/>
                <w:szCs w:val="13"/>
                <w:color w:val="auto"/>
                <w:w w:val="93"/>
              </w:rPr>
              <w:t>123,880</w:t>
            </w: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120" w:type="dxa"/>
            <w:vAlign w:val="bottom"/>
          </w:tcPr>
          <w:p>
            <w:pPr>
              <w:jc w:val="center"/>
              <w:ind w:right="133"/>
              <w:spacing w:after="0"/>
              <w:rPr>
                <w:sz w:val="20"/>
                <w:szCs w:val="20"/>
                <w:color w:val="auto"/>
              </w:rPr>
            </w:pPr>
            <w:r>
              <w:rPr>
                <w:rFonts w:ascii="Arial" w:cs="Arial" w:eastAsia="Arial" w:hAnsi="Arial"/>
                <w:sz w:val="13"/>
                <w:szCs w:val="13"/>
                <w:color w:val="auto"/>
                <w:w w:val="94"/>
              </w:rPr>
              <w:t>1/2/2020</w:t>
            </w: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1/2/2020</w:t>
            </w:r>
          </w:p>
        </w:tc>
        <w:tc>
          <w:tcPr>
            <w:tcW w:w="1280" w:type="dxa"/>
            <w:vAlign w:val="bottom"/>
          </w:tcPr>
          <w:p>
            <w:pPr>
              <w:jc w:val="center"/>
              <w:spacing w:after="0"/>
              <w:rPr>
                <w:sz w:val="20"/>
                <w:szCs w:val="20"/>
                <w:color w:val="auto"/>
              </w:rPr>
            </w:pPr>
            <w:r>
              <w:rPr>
                <w:rFonts w:ascii="Arial" w:cs="Arial" w:eastAsia="Arial" w:hAnsi="Arial"/>
                <w:sz w:val="13"/>
                <w:szCs w:val="13"/>
                <w:color w:val="auto"/>
                <w:w w:val="95"/>
              </w:rPr>
              <w:t>67,084</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72,916</w:t>
            </w:r>
          </w:p>
        </w:tc>
        <w:tc>
          <w:tcPr>
            <w:tcW w:w="1140" w:type="dxa"/>
            <w:vAlign w:val="bottom"/>
          </w:tcPr>
          <w:p>
            <w:pPr>
              <w:jc w:val="center"/>
              <w:spacing w:after="0"/>
              <w:rPr>
                <w:sz w:val="20"/>
                <w:szCs w:val="20"/>
                <w:color w:val="auto"/>
              </w:rPr>
            </w:pPr>
            <w:r>
              <w:rPr>
                <w:rFonts w:ascii="Arial" w:cs="Arial" w:eastAsia="Arial" w:hAnsi="Arial"/>
                <w:sz w:val="13"/>
                <w:szCs w:val="13"/>
                <w:color w:val="auto"/>
                <w:w w:val="94"/>
              </w:rPr>
              <w:t>2.30</w:t>
            </w:r>
          </w:p>
        </w:tc>
        <w:tc>
          <w:tcPr>
            <w:tcW w:w="2320" w:type="dxa"/>
            <w:vAlign w:val="bottom"/>
          </w:tcPr>
          <w:p>
            <w:pPr>
              <w:jc w:val="center"/>
              <w:ind w:right="893"/>
              <w:spacing w:after="0"/>
              <w:rPr>
                <w:sz w:val="20"/>
                <w:szCs w:val="20"/>
                <w:color w:val="auto"/>
              </w:rPr>
            </w:pPr>
            <w:r>
              <w:rPr>
                <w:rFonts w:ascii="Arial" w:cs="Arial" w:eastAsia="Arial" w:hAnsi="Arial"/>
                <w:sz w:val="13"/>
                <w:szCs w:val="13"/>
                <w:color w:val="auto"/>
                <w:w w:val="94"/>
              </w:rPr>
              <w:t>1/1/2030</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13"/>
              <w:spacing w:after="0"/>
              <w:rPr>
                <w:sz w:val="20"/>
                <w:szCs w:val="20"/>
                <w:color w:val="auto"/>
              </w:rPr>
            </w:pPr>
            <w:r>
              <w:rPr>
                <w:rFonts w:ascii="Arial" w:cs="Arial" w:eastAsia="Arial" w:hAnsi="Arial"/>
                <w:sz w:val="13"/>
                <w:szCs w:val="13"/>
                <w:color w:val="auto"/>
                <w:w w:val="93"/>
              </w:rPr>
              <w:t>10/7/2019</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10/7/2019</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180,000</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1.75</w:t>
            </w:r>
          </w:p>
        </w:tc>
        <w:tc>
          <w:tcPr>
            <w:tcW w:w="2320" w:type="dxa"/>
            <w:vAlign w:val="bottom"/>
            <w:shd w:val="clear" w:color="auto" w:fill="CCEEFF"/>
          </w:tcPr>
          <w:p>
            <w:pPr>
              <w:jc w:val="center"/>
              <w:ind w:right="913"/>
              <w:spacing w:after="0"/>
              <w:rPr>
                <w:sz w:val="20"/>
                <w:szCs w:val="20"/>
                <w:color w:val="auto"/>
              </w:rPr>
            </w:pPr>
            <w:r>
              <w:rPr>
                <w:rFonts w:ascii="Arial" w:cs="Arial" w:eastAsia="Arial" w:hAnsi="Arial"/>
                <w:sz w:val="13"/>
                <w:szCs w:val="13"/>
                <w:color w:val="auto"/>
                <w:w w:val="93"/>
              </w:rPr>
              <w:t>10/6/2029</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120" w:type="dxa"/>
            <w:vAlign w:val="bottom"/>
          </w:tcPr>
          <w:p>
            <w:pPr>
              <w:jc w:val="center"/>
              <w:ind w:right="133"/>
              <w:spacing w:after="0"/>
              <w:rPr>
                <w:sz w:val="20"/>
                <w:szCs w:val="20"/>
                <w:color w:val="auto"/>
              </w:rPr>
            </w:pPr>
            <w:r>
              <w:rPr>
                <w:rFonts w:ascii="Arial" w:cs="Arial" w:eastAsia="Arial" w:hAnsi="Arial"/>
                <w:sz w:val="13"/>
                <w:szCs w:val="13"/>
                <w:color w:val="auto"/>
                <w:w w:val="94"/>
              </w:rPr>
              <w:t>1/7/2019</w:t>
            </w: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1/7/2019</w:t>
            </w:r>
          </w:p>
        </w:tc>
        <w:tc>
          <w:tcPr>
            <w:tcW w:w="1280" w:type="dxa"/>
            <w:vAlign w:val="bottom"/>
          </w:tcPr>
          <w:p>
            <w:pPr>
              <w:jc w:val="center"/>
              <w:spacing w:after="0"/>
              <w:rPr>
                <w:sz w:val="20"/>
                <w:szCs w:val="20"/>
                <w:color w:val="auto"/>
              </w:rPr>
            </w:pPr>
            <w:r>
              <w:rPr>
                <w:rFonts w:ascii="Arial" w:cs="Arial" w:eastAsia="Arial" w:hAnsi="Arial"/>
                <w:sz w:val="13"/>
                <w:szCs w:val="13"/>
                <w:color w:val="auto"/>
                <w:w w:val="95"/>
              </w:rPr>
              <w:t>72,918</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27,082</w:t>
            </w:r>
          </w:p>
        </w:tc>
        <w:tc>
          <w:tcPr>
            <w:tcW w:w="1140" w:type="dxa"/>
            <w:vAlign w:val="bottom"/>
          </w:tcPr>
          <w:p>
            <w:pPr>
              <w:jc w:val="center"/>
              <w:spacing w:after="0"/>
              <w:rPr>
                <w:sz w:val="20"/>
                <w:szCs w:val="20"/>
                <w:color w:val="auto"/>
              </w:rPr>
            </w:pPr>
            <w:r>
              <w:rPr>
                <w:rFonts w:ascii="Arial" w:cs="Arial" w:eastAsia="Arial" w:hAnsi="Arial"/>
                <w:sz w:val="13"/>
                <w:szCs w:val="13"/>
                <w:color w:val="auto"/>
                <w:w w:val="94"/>
              </w:rPr>
              <w:t>2.60</w:t>
            </w:r>
          </w:p>
        </w:tc>
        <w:tc>
          <w:tcPr>
            <w:tcW w:w="2320" w:type="dxa"/>
            <w:vAlign w:val="bottom"/>
          </w:tcPr>
          <w:p>
            <w:pPr>
              <w:jc w:val="center"/>
              <w:ind w:right="893"/>
              <w:spacing w:after="0"/>
              <w:rPr>
                <w:sz w:val="20"/>
                <w:szCs w:val="20"/>
                <w:color w:val="auto"/>
              </w:rPr>
            </w:pPr>
            <w:r>
              <w:rPr>
                <w:rFonts w:ascii="Arial" w:cs="Arial" w:eastAsia="Arial" w:hAnsi="Arial"/>
                <w:sz w:val="13"/>
                <w:szCs w:val="13"/>
                <w:color w:val="auto"/>
                <w:w w:val="94"/>
              </w:rPr>
              <w:t>1/6/2029</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13"/>
              <w:spacing w:after="0"/>
              <w:rPr>
                <w:sz w:val="20"/>
                <w:szCs w:val="20"/>
                <w:color w:val="auto"/>
              </w:rPr>
            </w:pPr>
            <w:r>
              <w:rPr>
                <w:rFonts w:ascii="Arial" w:cs="Arial" w:eastAsia="Arial" w:hAnsi="Arial"/>
                <w:sz w:val="13"/>
                <w:szCs w:val="13"/>
                <w:color w:val="auto"/>
                <w:w w:val="93"/>
              </w:rPr>
              <w:t>6/15/2018</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6/15/2018</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43,750</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6,250</w:t>
            </w:r>
          </w:p>
        </w:tc>
        <w:tc>
          <w:tcPr>
            <w:tcW w:w="114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2"/>
              </w:rPr>
              <w:t>12.75</w:t>
            </w:r>
          </w:p>
        </w:tc>
        <w:tc>
          <w:tcPr>
            <w:tcW w:w="2320" w:type="dxa"/>
            <w:vAlign w:val="bottom"/>
            <w:shd w:val="clear" w:color="auto" w:fill="CCEEFF"/>
          </w:tcPr>
          <w:p>
            <w:pPr>
              <w:jc w:val="center"/>
              <w:ind w:right="913"/>
              <w:spacing w:after="0"/>
              <w:rPr>
                <w:sz w:val="20"/>
                <w:szCs w:val="20"/>
                <w:color w:val="auto"/>
              </w:rPr>
            </w:pPr>
            <w:r>
              <w:rPr>
                <w:rFonts w:ascii="Arial" w:cs="Arial" w:eastAsia="Arial" w:hAnsi="Arial"/>
                <w:sz w:val="13"/>
                <w:szCs w:val="13"/>
                <w:color w:val="auto"/>
                <w:w w:val="93"/>
              </w:rPr>
              <w:t>6/14/2028</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120" w:type="dxa"/>
            <w:vAlign w:val="bottom"/>
          </w:tcPr>
          <w:p>
            <w:pPr>
              <w:jc w:val="center"/>
              <w:ind w:right="133"/>
              <w:spacing w:after="0"/>
              <w:rPr>
                <w:sz w:val="20"/>
                <w:szCs w:val="20"/>
                <w:color w:val="auto"/>
              </w:rPr>
            </w:pPr>
            <w:r>
              <w:rPr>
                <w:rFonts w:ascii="Arial" w:cs="Arial" w:eastAsia="Arial" w:hAnsi="Arial"/>
                <w:sz w:val="13"/>
                <w:szCs w:val="13"/>
                <w:color w:val="auto"/>
                <w:w w:val="94"/>
              </w:rPr>
              <w:t>7/7/2017</w:t>
            </w:r>
          </w:p>
        </w:tc>
        <w:tc>
          <w:tcPr>
            <w:tcW w:w="1320" w:type="dxa"/>
            <w:vAlign w:val="bottom"/>
          </w:tcPr>
          <w:p>
            <w:pPr>
              <w:jc w:val="center"/>
              <w:spacing w:after="0"/>
              <w:rPr>
                <w:sz w:val="20"/>
                <w:szCs w:val="20"/>
                <w:color w:val="auto"/>
              </w:rPr>
            </w:pPr>
            <w:r>
              <w:rPr>
                <w:rFonts w:ascii="Arial" w:cs="Arial" w:eastAsia="Arial" w:hAnsi="Arial"/>
                <w:sz w:val="13"/>
                <w:szCs w:val="13"/>
                <w:color w:val="auto"/>
                <w:w w:val="93"/>
              </w:rPr>
              <w:t>6/16/2017</w:t>
            </w:r>
          </w:p>
        </w:tc>
        <w:tc>
          <w:tcPr>
            <w:tcW w:w="1280" w:type="dxa"/>
            <w:vAlign w:val="bottom"/>
          </w:tcPr>
          <w:p>
            <w:pPr>
              <w:jc w:val="center"/>
              <w:spacing w:after="0"/>
              <w:rPr>
                <w:sz w:val="20"/>
                <w:szCs w:val="20"/>
                <w:color w:val="auto"/>
              </w:rPr>
            </w:pPr>
            <w:r>
              <w:rPr>
                <w:rFonts w:ascii="Arial" w:cs="Arial" w:eastAsia="Arial" w:hAnsi="Arial"/>
                <w:sz w:val="13"/>
                <w:szCs w:val="13"/>
                <w:color w:val="auto"/>
                <w:w w:val="95"/>
              </w:rPr>
              <w:t>40,000</w:t>
            </w:r>
          </w:p>
        </w:tc>
        <w:tc>
          <w:tcPr>
            <w:tcW w:w="130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ind w:left="13"/>
              <w:spacing w:after="0"/>
              <w:rPr>
                <w:sz w:val="20"/>
                <w:szCs w:val="20"/>
                <w:color w:val="auto"/>
              </w:rPr>
            </w:pPr>
            <w:r>
              <w:rPr>
                <w:rFonts w:ascii="Arial" w:cs="Arial" w:eastAsia="Arial" w:hAnsi="Arial"/>
                <w:sz w:val="13"/>
                <w:szCs w:val="13"/>
                <w:color w:val="auto"/>
                <w:w w:val="92"/>
              </w:rPr>
              <w:t>19.33</w:t>
            </w:r>
          </w:p>
        </w:tc>
        <w:tc>
          <w:tcPr>
            <w:tcW w:w="2320" w:type="dxa"/>
            <w:vAlign w:val="bottom"/>
          </w:tcPr>
          <w:p>
            <w:pPr>
              <w:jc w:val="center"/>
              <w:ind w:right="913"/>
              <w:spacing w:after="0"/>
              <w:rPr>
                <w:sz w:val="20"/>
                <w:szCs w:val="20"/>
                <w:color w:val="auto"/>
              </w:rPr>
            </w:pPr>
            <w:r>
              <w:rPr>
                <w:rFonts w:ascii="Arial" w:cs="Arial" w:eastAsia="Arial" w:hAnsi="Arial"/>
                <w:sz w:val="13"/>
                <w:szCs w:val="13"/>
                <w:color w:val="auto"/>
                <w:w w:val="93"/>
              </w:rPr>
              <w:t>6/15/2027</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13"/>
              <w:spacing w:after="0"/>
              <w:rPr>
                <w:sz w:val="20"/>
                <w:szCs w:val="20"/>
                <w:color w:val="auto"/>
              </w:rPr>
            </w:pPr>
            <w:r>
              <w:rPr>
                <w:rFonts w:ascii="Arial" w:cs="Arial" w:eastAsia="Arial" w:hAnsi="Arial"/>
                <w:sz w:val="13"/>
                <w:szCs w:val="13"/>
                <w:color w:val="auto"/>
                <w:w w:val="93"/>
              </w:rPr>
              <w:t>6/21/2016</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6/21/2016</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24,512</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2"/>
              </w:rPr>
              <w:t>14.00</w:t>
            </w:r>
          </w:p>
        </w:tc>
        <w:tc>
          <w:tcPr>
            <w:tcW w:w="2320" w:type="dxa"/>
            <w:vAlign w:val="bottom"/>
            <w:shd w:val="clear" w:color="auto" w:fill="CCEEFF"/>
          </w:tcPr>
          <w:p>
            <w:pPr>
              <w:jc w:val="center"/>
              <w:ind w:right="913"/>
              <w:spacing w:after="0"/>
              <w:rPr>
                <w:sz w:val="20"/>
                <w:szCs w:val="20"/>
                <w:color w:val="auto"/>
              </w:rPr>
            </w:pPr>
            <w:r>
              <w:rPr>
                <w:rFonts w:ascii="Arial" w:cs="Arial" w:eastAsia="Arial" w:hAnsi="Arial"/>
                <w:sz w:val="13"/>
                <w:szCs w:val="13"/>
                <w:color w:val="auto"/>
                <w:w w:val="93"/>
              </w:rPr>
              <w:t>6/20/2026</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120" w:type="dxa"/>
            <w:vAlign w:val="bottom"/>
          </w:tcPr>
          <w:p>
            <w:pPr>
              <w:jc w:val="center"/>
              <w:ind w:right="133"/>
              <w:spacing w:after="0"/>
              <w:rPr>
                <w:sz w:val="20"/>
                <w:szCs w:val="20"/>
                <w:color w:val="auto"/>
              </w:rPr>
            </w:pPr>
            <w:r>
              <w:rPr>
                <w:rFonts w:ascii="Arial" w:cs="Arial" w:eastAsia="Arial" w:hAnsi="Arial"/>
                <w:sz w:val="13"/>
                <w:szCs w:val="13"/>
                <w:color w:val="auto"/>
                <w:w w:val="94"/>
              </w:rPr>
              <w:t>3/9/2016</w:t>
            </w: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2/1/2016</w:t>
            </w:r>
          </w:p>
        </w:tc>
        <w:tc>
          <w:tcPr>
            <w:tcW w:w="1280" w:type="dxa"/>
            <w:vAlign w:val="bottom"/>
          </w:tcPr>
          <w:p>
            <w:pPr>
              <w:jc w:val="center"/>
              <w:spacing w:after="0"/>
              <w:rPr>
                <w:sz w:val="20"/>
                <w:szCs w:val="20"/>
                <w:color w:val="auto"/>
              </w:rPr>
            </w:pPr>
            <w:r>
              <w:rPr>
                <w:rFonts w:ascii="Arial" w:cs="Arial" w:eastAsia="Arial" w:hAnsi="Arial"/>
                <w:sz w:val="13"/>
                <w:szCs w:val="13"/>
                <w:color w:val="auto"/>
                <w:w w:val="90"/>
              </w:rPr>
              <w:t>20,511</w:t>
            </w:r>
          </w:p>
        </w:tc>
        <w:tc>
          <w:tcPr>
            <w:tcW w:w="130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spacing w:after="0"/>
              <w:rPr>
                <w:sz w:val="20"/>
                <w:szCs w:val="20"/>
                <w:color w:val="auto"/>
              </w:rPr>
            </w:pPr>
            <w:r>
              <w:rPr>
                <w:rFonts w:ascii="Arial" w:cs="Arial" w:eastAsia="Arial" w:hAnsi="Arial"/>
                <w:sz w:val="13"/>
                <w:szCs w:val="13"/>
                <w:color w:val="auto"/>
                <w:w w:val="94"/>
              </w:rPr>
              <w:t>7.02</w:t>
            </w:r>
          </w:p>
        </w:tc>
        <w:tc>
          <w:tcPr>
            <w:tcW w:w="2320" w:type="dxa"/>
            <w:vAlign w:val="bottom"/>
          </w:tcPr>
          <w:p>
            <w:pPr>
              <w:jc w:val="center"/>
              <w:ind w:right="893"/>
              <w:spacing w:after="0"/>
              <w:rPr>
                <w:sz w:val="20"/>
                <w:szCs w:val="20"/>
                <w:color w:val="auto"/>
              </w:rPr>
            </w:pPr>
            <w:r>
              <w:rPr>
                <w:rFonts w:ascii="Arial" w:cs="Arial" w:eastAsia="Arial" w:hAnsi="Arial"/>
                <w:sz w:val="13"/>
                <w:szCs w:val="13"/>
                <w:color w:val="auto"/>
                <w:w w:val="94"/>
              </w:rPr>
              <w:t>3/8/2026</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13"/>
              <w:spacing w:after="0"/>
              <w:rPr>
                <w:sz w:val="20"/>
                <w:szCs w:val="20"/>
                <w:color w:val="auto"/>
              </w:rPr>
            </w:pPr>
            <w:r>
              <w:rPr>
                <w:rFonts w:ascii="Arial" w:cs="Arial" w:eastAsia="Arial" w:hAnsi="Arial"/>
                <w:sz w:val="13"/>
                <w:szCs w:val="13"/>
                <w:color w:val="auto"/>
                <w:w w:val="93"/>
              </w:rPr>
              <w:t>2/21/2015</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1/1/2015</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12,819</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9.36</w:t>
            </w:r>
          </w:p>
        </w:tc>
        <w:tc>
          <w:tcPr>
            <w:tcW w:w="2320" w:type="dxa"/>
            <w:vAlign w:val="bottom"/>
            <w:shd w:val="clear" w:color="auto" w:fill="CCEEFF"/>
          </w:tcPr>
          <w:p>
            <w:pPr>
              <w:jc w:val="center"/>
              <w:ind w:right="913"/>
              <w:spacing w:after="0"/>
              <w:rPr>
                <w:sz w:val="20"/>
                <w:szCs w:val="20"/>
                <w:color w:val="auto"/>
              </w:rPr>
            </w:pPr>
            <w:r>
              <w:rPr>
                <w:rFonts w:ascii="Arial" w:cs="Arial" w:eastAsia="Arial" w:hAnsi="Arial"/>
                <w:sz w:val="13"/>
                <w:szCs w:val="13"/>
                <w:color w:val="auto"/>
                <w:w w:val="93"/>
              </w:rPr>
              <w:t>2/20/2025</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120" w:type="dxa"/>
            <w:vAlign w:val="bottom"/>
          </w:tcPr>
          <w:p>
            <w:pPr>
              <w:jc w:val="center"/>
              <w:ind w:right="133"/>
              <w:spacing w:after="0"/>
              <w:rPr>
                <w:sz w:val="20"/>
                <w:szCs w:val="20"/>
                <w:color w:val="auto"/>
              </w:rPr>
            </w:pPr>
            <w:r>
              <w:rPr>
                <w:rFonts w:ascii="Arial" w:cs="Arial" w:eastAsia="Arial" w:hAnsi="Arial"/>
                <w:sz w:val="13"/>
                <w:szCs w:val="13"/>
                <w:color w:val="auto"/>
                <w:w w:val="94"/>
              </w:rPr>
              <w:t>4/8/2014</w:t>
            </w: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1/1/2014</w:t>
            </w:r>
          </w:p>
        </w:tc>
        <w:tc>
          <w:tcPr>
            <w:tcW w:w="1280" w:type="dxa"/>
            <w:vAlign w:val="bottom"/>
          </w:tcPr>
          <w:p>
            <w:pPr>
              <w:jc w:val="center"/>
              <w:spacing w:after="0"/>
              <w:rPr>
                <w:sz w:val="20"/>
                <w:szCs w:val="20"/>
                <w:color w:val="auto"/>
              </w:rPr>
            </w:pPr>
            <w:r>
              <w:rPr>
                <w:rFonts w:ascii="Arial" w:cs="Arial" w:eastAsia="Arial" w:hAnsi="Arial"/>
                <w:sz w:val="13"/>
                <w:szCs w:val="13"/>
                <w:color w:val="auto"/>
                <w:w w:val="95"/>
              </w:rPr>
              <w:t>12,820</w:t>
            </w:r>
          </w:p>
        </w:tc>
        <w:tc>
          <w:tcPr>
            <w:tcW w:w="130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spacing w:after="0"/>
              <w:rPr>
                <w:sz w:val="20"/>
                <w:szCs w:val="20"/>
                <w:color w:val="auto"/>
              </w:rPr>
            </w:pPr>
            <w:r>
              <w:rPr>
                <w:rFonts w:ascii="Arial" w:cs="Arial" w:eastAsia="Arial" w:hAnsi="Arial"/>
                <w:sz w:val="13"/>
                <w:szCs w:val="13"/>
                <w:color w:val="auto"/>
                <w:w w:val="94"/>
              </w:rPr>
              <w:t>8.97</w:t>
            </w:r>
          </w:p>
        </w:tc>
        <w:tc>
          <w:tcPr>
            <w:tcW w:w="2320" w:type="dxa"/>
            <w:vAlign w:val="bottom"/>
          </w:tcPr>
          <w:p>
            <w:pPr>
              <w:jc w:val="center"/>
              <w:ind w:right="893"/>
              <w:spacing w:after="0"/>
              <w:rPr>
                <w:sz w:val="20"/>
                <w:szCs w:val="20"/>
                <w:color w:val="auto"/>
              </w:rPr>
            </w:pPr>
            <w:r>
              <w:rPr>
                <w:rFonts w:ascii="Arial" w:cs="Arial" w:eastAsia="Arial" w:hAnsi="Arial"/>
                <w:sz w:val="13"/>
                <w:szCs w:val="13"/>
                <w:color w:val="auto"/>
                <w:w w:val="94"/>
              </w:rPr>
              <w:t>4/7/2024</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center"/>
              <w:ind w:right="113"/>
              <w:spacing w:after="0"/>
              <w:rPr>
                <w:sz w:val="20"/>
                <w:szCs w:val="20"/>
                <w:color w:val="auto"/>
              </w:rPr>
            </w:pPr>
            <w:r>
              <w:rPr>
                <w:rFonts w:ascii="Arial" w:cs="Arial" w:eastAsia="Arial" w:hAnsi="Arial"/>
                <w:sz w:val="13"/>
                <w:szCs w:val="13"/>
                <w:color w:val="auto"/>
                <w:w w:val="93"/>
              </w:rPr>
              <w:t>6/14/2013</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1/1/2013</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6,410</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2.77</w:t>
            </w:r>
          </w:p>
        </w:tc>
        <w:tc>
          <w:tcPr>
            <w:tcW w:w="2320" w:type="dxa"/>
            <w:vAlign w:val="bottom"/>
            <w:tcBorders>
              <w:bottom w:val="single" w:sz="8" w:color="auto"/>
            </w:tcBorders>
            <w:shd w:val="clear" w:color="auto" w:fill="CCEEFF"/>
          </w:tcPr>
          <w:p>
            <w:pPr>
              <w:jc w:val="center"/>
              <w:ind w:right="913"/>
              <w:spacing w:after="0"/>
              <w:rPr>
                <w:sz w:val="20"/>
                <w:szCs w:val="20"/>
                <w:color w:val="auto"/>
              </w:rPr>
            </w:pPr>
            <w:r>
              <w:rPr>
                <w:rFonts w:ascii="Arial" w:cs="Arial" w:eastAsia="Arial" w:hAnsi="Arial"/>
                <w:sz w:val="13"/>
                <w:szCs w:val="13"/>
                <w:color w:val="auto"/>
                <w:w w:val="93"/>
              </w:rPr>
              <w:t>6/13/2023</w:t>
            </w:r>
          </w:p>
        </w:tc>
        <w:tc>
          <w:tcPr>
            <w:tcW w:w="5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80" w:type="dxa"/>
            <w:vAlign w:val="bottom"/>
          </w:tcPr>
          <w:p>
            <w:pPr>
              <w:ind w:left="20"/>
              <w:spacing w:after="0" w:line="138" w:lineRule="exact"/>
              <w:rPr>
                <w:sz w:val="20"/>
                <w:szCs w:val="20"/>
                <w:color w:val="auto"/>
              </w:rPr>
            </w:pPr>
            <w:r>
              <w:rPr>
                <w:rFonts w:ascii="Arial" w:cs="Arial" w:eastAsia="Arial" w:hAnsi="Arial"/>
                <w:sz w:val="13"/>
                <w:szCs w:val="13"/>
                <w:color w:val="auto"/>
              </w:rPr>
              <w:t>Lloyd Johnston,</w:t>
            </w:r>
          </w:p>
        </w:tc>
        <w:tc>
          <w:tcPr>
            <w:tcW w:w="1120" w:type="dxa"/>
            <w:vAlign w:val="bottom"/>
            <w:vMerge w:val="restart"/>
          </w:tcPr>
          <w:p>
            <w:pPr>
              <w:jc w:val="center"/>
              <w:ind w:right="133"/>
              <w:spacing w:after="0"/>
              <w:rPr>
                <w:sz w:val="20"/>
                <w:szCs w:val="20"/>
                <w:color w:val="auto"/>
              </w:rPr>
            </w:pPr>
            <w:r>
              <w:rPr>
                <w:rFonts w:ascii="Arial" w:cs="Arial" w:eastAsia="Arial" w:hAnsi="Arial"/>
                <w:sz w:val="13"/>
                <w:szCs w:val="13"/>
                <w:color w:val="auto"/>
                <w:w w:val="94"/>
              </w:rPr>
              <w:t>1/4/2021</w:t>
            </w:r>
          </w:p>
        </w:tc>
        <w:tc>
          <w:tcPr>
            <w:tcW w:w="1320" w:type="dxa"/>
            <w:vAlign w:val="bottom"/>
            <w:vMerge w:val="restart"/>
          </w:tcPr>
          <w:p>
            <w:pPr>
              <w:jc w:val="center"/>
              <w:spacing w:after="0"/>
              <w:rPr>
                <w:sz w:val="20"/>
                <w:szCs w:val="20"/>
                <w:color w:val="auto"/>
              </w:rPr>
            </w:pPr>
            <w:r>
              <w:rPr>
                <w:rFonts w:ascii="Arial" w:cs="Arial" w:eastAsia="Arial" w:hAnsi="Arial"/>
                <w:sz w:val="13"/>
                <w:szCs w:val="13"/>
                <w:color w:val="auto"/>
                <w:w w:val="94"/>
              </w:rPr>
              <w:t>1/4/2021</w:t>
            </w:r>
          </w:p>
        </w:tc>
        <w:tc>
          <w:tcPr>
            <w:tcW w:w="12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jc w:val="center"/>
              <w:spacing w:after="0"/>
              <w:rPr>
                <w:sz w:val="20"/>
                <w:szCs w:val="20"/>
                <w:color w:val="auto"/>
              </w:rPr>
            </w:pPr>
            <w:r>
              <w:rPr>
                <w:rFonts w:ascii="Arial" w:cs="Arial" w:eastAsia="Arial" w:hAnsi="Arial"/>
                <w:sz w:val="13"/>
                <w:szCs w:val="13"/>
                <w:color w:val="auto"/>
                <w:w w:val="93"/>
              </w:rPr>
              <w:t>230,000</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4"/>
              </w:rPr>
              <w:t>2.99</w:t>
            </w:r>
          </w:p>
        </w:tc>
        <w:tc>
          <w:tcPr>
            <w:tcW w:w="2320" w:type="dxa"/>
            <w:vAlign w:val="bottom"/>
            <w:vMerge w:val="restart"/>
          </w:tcPr>
          <w:p>
            <w:pPr>
              <w:jc w:val="center"/>
              <w:ind w:right="893"/>
              <w:spacing w:after="0"/>
              <w:rPr>
                <w:sz w:val="20"/>
                <w:szCs w:val="20"/>
                <w:color w:val="auto"/>
              </w:rPr>
            </w:pPr>
            <w:r>
              <w:rPr>
                <w:rFonts w:ascii="Arial" w:cs="Arial" w:eastAsia="Arial" w:hAnsi="Arial"/>
                <w:sz w:val="13"/>
                <w:szCs w:val="13"/>
                <w:color w:val="auto"/>
                <w:w w:val="94"/>
              </w:rPr>
              <w:t>1/3/2031</w:t>
            </w: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180" w:type="dxa"/>
            <w:vAlign w:val="bottom"/>
          </w:tcPr>
          <w:p>
            <w:pPr>
              <w:ind w:left="20"/>
              <w:spacing w:after="0"/>
              <w:rPr>
                <w:sz w:val="20"/>
                <w:szCs w:val="20"/>
                <w:color w:val="auto"/>
              </w:rPr>
            </w:pPr>
            <w:r>
              <w:rPr>
                <w:rFonts w:ascii="Arial" w:cs="Arial" w:eastAsia="Arial" w:hAnsi="Arial"/>
                <w:sz w:val="13"/>
                <w:szCs w:val="13"/>
                <w:color w:val="auto"/>
              </w:rPr>
              <w:t>Ph.D.</w:t>
            </w:r>
          </w:p>
        </w:tc>
        <w:tc>
          <w:tcPr>
            <w:tcW w:w="11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3"/>
              <w:spacing w:after="0"/>
              <w:rPr>
                <w:sz w:val="20"/>
                <w:szCs w:val="20"/>
                <w:color w:val="auto"/>
              </w:rPr>
            </w:pPr>
            <w:r>
              <w:rPr>
                <w:rFonts w:ascii="Arial" w:cs="Arial" w:eastAsia="Arial" w:hAnsi="Arial"/>
                <w:sz w:val="13"/>
                <w:szCs w:val="13"/>
                <w:color w:val="auto"/>
                <w:w w:val="94"/>
              </w:rPr>
              <w:t>1/4/2021</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1/4/2021</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2320" w:type="dxa"/>
            <w:vAlign w:val="bottom"/>
            <w:shd w:val="clear" w:color="auto" w:fill="CCEEFF"/>
          </w:tcPr>
          <w:p>
            <w:pPr>
              <w:jc w:val="center"/>
              <w:ind w:left="1393"/>
              <w:spacing w:after="0"/>
              <w:rPr>
                <w:sz w:val="20"/>
                <w:szCs w:val="20"/>
                <w:color w:val="auto"/>
              </w:rPr>
            </w:pPr>
            <w:r>
              <w:rPr>
                <w:rFonts w:ascii="Arial" w:cs="Arial" w:eastAsia="Arial" w:hAnsi="Arial"/>
                <w:sz w:val="13"/>
                <w:szCs w:val="13"/>
                <w:color w:val="auto"/>
                <w:w w:val="95"/>
              </w:rPr>
              <w:t>38,000</w:t>
            </w:r>
          </w:p>
        </w:tc>
        <w:tc>
          <w:tcPr>
            <w:tcW w:w="580" w:type="dxa"/>
            <w:vAlign w:val="bottom"/>
            <w:shd w:val="clear" w:color="auto" w:fill="CCEEFF"/>
          </w:tcPr>
          <w:p>
            <w:pPr>
              <w:jc w:val="right"/>
              <w:ind w:right="196"/>
              <w:spacing w:after="0"/>
              <w:rPr>
                <w:sz w:val="20"/>
                <w:szCs w:val="20"/>
                <w:color w:val="auto"/>
              </w:rPr>
            </w:pPr>
            <w:r>
              <w:rPr>
                <w:rFonts w:ascii="Arial" w:cs="Arial" w:eastAsia="Arial" w:hAnsi="Arial"/>
                <w:sz w:val="9"/>
                <w:szCs w:val="9"/>
                <w:color w:val="auto"/>
              </w:rPr>
              <w:t>(4)</w:t>
            </w:r>
          </w:p>
        </w:tc>
        <w:tc>
          <w:tcPr>
            <w:tcW w:w="1000" w:type="dxa"/>
            <w:vAlign w:val="bottom"/>
            <w:shd w:val="clear" w:color="auto" w:fill="CCEEFF"/>
          </w:tcPr>
          <w:p>
            <w:pPr>
              <w:jc w:val="center"/>
              <w:ind w:right="53"/>
              <w:spacing w:after="0"/>
              <w:rPr>
                <w:sz w:val="20"/>
                <w:szCs w:val="20"/>
                <w:color w:val="auto"/>
              </w:rPr>
            </w:pPr>
            <w:r>
              <w:rPr>
                <w:rFonts w:ascii="Arial" w:cs="Arial" w:eastAsia="Arial" w:hAnsi="Arial"/>
                <w:sz w:val="13"/>
                <w:szCs w:val="13"/>
                <w:color w:val="auto"/>
                <w:w w:val="93"/>
              </w:rPr>
              <w:t>123,880</w:t>
            </w: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120" w:type="dxa"/>
            <w:vAlign w:val="bottom"/>
          </w:tcPr>
          <w:p>
            <w:pPr>
              <w:jc w:val="center"/>
              <w:ind w:right="133"/>
              <w:spacing w:after="0"/>
              <w:rPr>
                <w:sz w:val="20"/>
                <w:szCs w:val="20"/>
                <w:color w:val="auto"/>
              </w:rPr>
            </w:pPr>
            <w:r>
              <w:rPr>
                <w:rFonts w:ascii="Arial" w:cs="Arial" w:eastAsia="Arial" w:hAnsi="Arial"/>
                <w:sz w:val="13"/>
                <w:szCs w:val="13"/>
                <w:color w:val="auto"/>
                <w:w w:val="94"/>
              </w:rPr>
              <w:t>7/1/2020</w:t>
            </w: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7/1/2020</w:t>
            </w:r>
          </w:p>
        </w:tc>
        <w:tc>
          <w:tcPr>
            <w:tcW w:w="1280" w:type="dxa"/>
            <w:vAlign w:val="bottom"/>
          </w:tcPr>
          <w:p>
            <w:pPr>
              <w:jc w:val="center"/>
              <w:spacing w:after="0"/>
              <w:rPr>
                <w:sz w:val="20"/>
                <w:szCs w:val="20"/>
                <w:color w:val="auto"/>
              </w:rPr>
            </w:pPr>
            <w:r>
              <w:rPr>
                <w:rFonts w:ascii="Arial" w:cs="Arial" w:eastAsia="Arial" w:hAnsi="Arial"/>
                <w:sz w:val="13"/>
                <w:szCs w:val="13"/>
                <w:color w:val="auto"/>
                <w:w w:val="95"/>
              </w:rPr>
              <w:t>14,166</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25,834</w:t>
            </w:r>
          </w:p>
        </w:tc>
        <w:tc>
          <w:tcPr>
            <w:tcW w:w="1140" w:type="dxa"/>
            <w:vAlign w:val="bottom"/>
          </w:tcPr>
          <w:p>
            <w:pPr>
              <w:jc w:val="center"/>
              <w:spacing w:after="0"/>
              <w:rPr>
                <w:sz w:val="20"/>
                <w:szCs w:val="20"/>
                <w:color w:val="auto"/>
              </w:rPr>
            </w:pPr>
            <w:r>
              <w:rPr>
                <w:rFonts w:ascii="Arial" w:cs="Arial" w:eastAsia="Arial" w:hAnsi="Arial"/>
                <w:sz w:val="13"/>
                <w:szCs w:val="13"/>
                <w:color w:val="auto"/>
                <w:w w:val="94"/>
              </w:rPr>
              <w:t>2.84</w:t>
            </w:r>
          </w:p>
        </w:tc>
        <w:tc>
          <w:tcPr>
            <w:tcW w:w="2320" w:type="dxa"/>
            <w:vAlign w:val="bottom"/>
          </w:tcPr>
          <w:p>
            <w:pPr>
              <w:jc w:val="center"/>
              <w:ind w:right="913"/>
              <w:spacing w:after="0"/>
              <w:rPr>
                <w:sz w:val="20"/>
                <w:szCs w:val="20"/>
                <w:color w:val="auto"/>
              </w:rPr>
            </w:pPr>
            <w:r>
              <w:rPr>
                <w:rFonts w:ascii="Arial" w:cs="Arial" w:eastAsia="Arial" w:hAnsi="Arial"/>
                <w:sz w:val="13"/>
                <w:szCs w:val="13"/>
                <w:color w:val="auto"/>
                <w:w w:val="93"/>
              </w:rPr>
              <w:t>6/30/2030</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3"/>
              <w:spacing w:after="0"/>
              <w:rPr>
                <w:sz w:val="20"/>
                <w:szCs w:val="20"/>
                <w:color w:val="auto"/>
              </w:rPr>
            </w:pPr>
            <w:r>
              <w:rPr>
                <w:rFonts w:ascii="Arial" w:cs="Arial" w:eastAsia="Arial" w:hAnsi="Arial"/>
                <w:sz w:val="13"/>
                <w:szCs w:val="13"/>
                <w:color w:val="auto"/>
                <w:w w:val="94"/>
              </w:rPr>
              <w:t>1/2/2020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1/2/2020</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67,084</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72,916</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2.30</w:t>
            </w:r>
          </w:p>
        </w:tc>
        <w:tc>
          <w:tcPr>
            <w:tcW w:w="2320" w:type="dxa"/>
            <w:vAlign w:val="bottom"/>
            <w:shd w:val="clear" w:color="auto" w:fill="CCEEFF"/>
          </w:tcPr>
          <w:p>
            <w:pPr>
              <w:jc w:val="center"/>
              <w:ind w:right="893"/>
              <w:spacing w:after="0"/>
              <w:rPr>
                <w:sz w:val="20"/>
                <w:szCs w:val="20"/>
                <w:color w:val="auto"/>
              </w:rPr>
            </w:pPr>
            <w:r>
              <w:rPr>
                <w:rFonts w:ascii="Arial" w:cs="Arial" w:eastAsia="Arial" w:hAnsi="Arial"/>
                <w:sz w:val="13"/>
                <w:szCs w:val="13"/>
                <w:color w:val="auto"/>
                <w:w w:val="94"/>
              </w:rPr>
              <w:t>1/1/2030</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120" w:type="dxa"/>
            <w:vAlign w:val="bottom"/>
          </w:tcPr>
          <w:p>
            <w:pPr>
              <w:jc w:val="center"/>
              <w:ind w:right="113"/>
              <w:spacing w:after="0"/>
              <w:rPr>
                <w:sz w:val="20"/>
                <w:szCs w:val="20"/>
                <w:color w:val="auto"/>
              </w:rPr>
            </w:pPr>
            <w:r>
              <w:rPr>
                <w:rFonts w:ascii="Arial" w:cs="Arial" w:eastAsia="Arial" w:hAnsi="Arial"/>
                <w:sz w:val="13"/>
                <w:szCs w:val="13"/>
                <w:color w:val="auto"/>
                <w:w w:val="93"/>
              </w:rPr>
              <w:t>10/7/2019</w:t>
            </w:r>
          </w:p>
        </w:tc>
        <w:tc>
          <w:tcPr>
            <w:tcW w:w="1320" w:type="dxa"/>
            <w:vAlign w:val="bottom"/>
          </w:tcPr>
          <w:p>
            <w:pPr>
              <w:jc w:val="center"/>
              <w:spacing w:after="0"/>
              <w:rPr>
                <w:sz w:val="20"/>
                <w:szCs w:val="20"/>
                <w:color w:val="auto"/>
              </w:rPr>
            </w:pPr>
            <w:r>
              <w:rPr>
                <w:rFonts w:ascii="Arial" w:cs="Arial" w:eastAsia="Arial" w:hAnsi="Arial"/>
                <w:sz w:val="13"/>
                <w:szCs w:val="13"/>
                <w:color w:val="auto"/>
                <w:w w:val="93"/>
              </w:rPr>
              <w:t>10/7/2019</w:t>
            </w:r>
          </w:p>
        </w:tc>
        <w:tc>
          <w:tcPr>
            <w:tcW w:w="1280" w:type="dxa"/>
            <w:vAlign w:val="bottom"/>
          </w:tcPr>
          <w:p>
            <w:pPr>
              <w:jc w:val="center"/>
              <w:spacing w:after="0"/>
              <w:rPr>
                <w:sz w:val="20"/>
                <w:szCs w:val="20"/>
                <w:color w:val="auto"/>
              </w:rPr>
            </w:pPr>
            <w:r>
              <w:rPr>
                <w:rFonts w:ascii="Arial" w:cs="Arial" w:eastAsia="Arial" w:hAnsi="Arial"/>
                <w:sz w:val="13"/>
                <w:szCs w:val="13"/>
                <w:color w:val="auto"/>
                <w:w w:val="93"/>
              </w:rPr>
              <w:t>180,000</w:t>
            </w:r>
          </w:p>
        </w:tc>
        <w:tc>
          <w:tcPr>
            <w:tcW w:w="130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spacing w:after="0"/>
              <w:rPr>
                <w:sz w:val="20"/>
                <w:szCs w:val="20"/>
                <w:color w:val="auto"/>
              </w:rPr>
            </w:pPr>
            <w:r>
              <w:rPr>
                <w:rFonts w:ascii="Arial" w:cs="Arial" w:eastAsia="Arial" w:hAnsi="Arial"/>
                <w:sz w:val="13"/>
                <w:szCs w:val="13"/>
                <w:color w:val="auto"/>
                <w:w w:val="94"/>
              </w:rPr>
              <w:t>1.75</w:t>
            </w:r>
          </w:p>
        </w:tc>
        <w:tc>
          <w:tcPr>
            <w:tcW w:w="2320" w:type="dxa"/>
            <w:vAlign w:val="bottom"/>
          </w:tcPr>
          <w:p>
            <w:pPr>
              <w:jc w:val="center"/>
              <w:ind w:right="913"/>
              <w:spacing w:after="0"/>
              <w:rPr>
                <w:sz w:val="20"/>
                <w:szCs w:val="20"/>
                <w:color w:val="auto"/>
              </w:rPr>
            </w:pPr>
            <w:r>
              <w:rPr>
                <w:rFonts w:ascii="Arial" w:cs="Arial" w:eastAsia="Arial" w:hAnsi="Arial"/>
                <w:sz w:val="13"/>
                <w:szCs w:val="13"/>
                <w:color w:val="auto"/>
                <w:w w:val="93"/>
              </w:rPr>
              <w:t>10/6/2029</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3"/>
              <w:spacing w:after="0"/>
              <w:rPr>
                <w:sz w:val="20"/>
                <w:szCs w:val="20"/>
                <w:color w:val="auto"/>
              </w:rPr>
            </w:pPr>
            <w:r>
              <w:rPr>
                <w:rFonts w:ascii="Arial" w:cs="Arial" w:eastAsia="Arial" w:hAnsi="Arial"/>
                <w:sz w:val="13"/>
                <w:szCs w:val="13"/>
                <w:color w:val="auto"/>
                <w:w w:val="94"/>
              </w:rPr>
              <w:t>1/7/2019</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1/7/2019</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72,918</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27,082</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2.60</w:t>
            </w:r>
          </w:p>
        </w:tc>
        <w:tc>
          <w:tcPr>
            <w:tcW w:w="2320" w:type="dxa"/>
            <w:vAlign w:val="bottom"/>
            <w:shd w:val="clear" w:color="auto" w:fill="CCEEFF"/>
          </w:tcPr>
          <w:p>
            <w:pPr>
              <w:jc w:val="center"/>
              <w:ind w:right="893"/>
              <w:spacing w:after="0"/>
              <w:rPr>
                <w:sz w:val="20"/>
                <w:szCs w:val="20"/>
                <w:color w:val="auto"/>
              </w:rPr>
            </w:pPr>
            <w:r>
              <w:rPr>
                <w:rFonts w:ascii="Arial" w:cs="Arial" w:eastAsia="Arial" w:hAnsi="Arial"/>
                <w:sz w:val="13"/>
                <w:szCs w:val="13"/>
                <w:color w:val="auto"/>
                <w:w w:val="94"/>
              </w:rPr>
              <w:t>1/6/2029</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120" w:type="dxa"/>
            <w:vAlign w:val="bottom"/>
          </w:tcPr>
          <w:p>
            <w:pPr>
              <w:jc w:val="center"/>
              <w:ind w:right="113"/>
              <w:spacing w:after="0"/>
              <w:rPr>
                <w:sz w:val="20"/>
                <w:szCs w:val="20"/>
                <w:color w:val="auto"/>
              </w:rPr>
            </w:pPr>
            <w:r>
              <w:rPr>
                <w:rFonts w:ascii="Arial" w:cs="Arial" w:eastAsia="Arial" w:hAnsi="Arial"/>
                <w:sz w:val="13"/>
                <w:szCs w:val="13"/>
                <w:color w:val="auto"/>
                <w:w w:val="93"/>
              </w:rPr>
              <w:t>6/15/2018</w:t>
            </w:r>
          </w:p>
        </w:tc>
        <w:tc>
          <w:tcPr>
            <w:tcW w:w="1320" w:type="dxa"/>
            <w:vAlign w:val="bottom"/>
          </w:tcPr>
          <w:p>
            <w:pPr>
              <w:jc w:val="center"/>
              <w:spacing w:after="0"/>
              <w:rPr>
                <w:sz w:val="20"/>
                <w:szCs w:val="20"/>
                <w:color w:val="auto"/>
              </w:rPr>
            </w:pPr>
            <w:r>
              <w:rPr>
                <w:rFonts w:ascii="Arial" w:cs="Arial" w:eastAsia="Arial" w:hAnsi="Arial"/>
                <w:sz w:val="13"/>
                <w:szCs w:val="13"/>
                <w:color w:val="auto"/>
                <w:w w:val="93"/>
              </w:rPr>
              <w:t>6/15/2018</w:t>
            </w:r>
          </w:p>
        </w:tc>
        <w:tc>
          <w:tcPr>
            <w:tcW w:w="1280" w:type="dxa"/>
            <w:vAlign w:val="bottom"/>
          </w:tcPr>
          <w:p>
            <w:pPr>
              <w:jc w:val="center"/>
              <w:spacing w:after="0"/>
              <w:rPr>
                <w:sz w:val="20"/>
                <w:szCs w:val="20"/>
                <w:color w:val="auto"/>
              </w:rPr>
            </w:pPr>
            <w:r>
              <w:rPr>
                <w:rFonts w:ascii="Arial" w:cs="Arial" w:eastAsia="Arial" w:hAnsi="Arial"/>
                <w:sz w:val="13"/>
                <w:szCs w:val="13"/>
                <w:color w:val="auto"/>
                <w:w w:val="95"/>
              </w:rPr>
              <w:t>43,750</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6,250</w:t>
            </w:r>
          </w:p>
        </w:tc>
        <w:tc>
          <w:tcPr>
            <w:tcW w:w="1140" w:type="dxa"/>
            <w:vAlign w:val="bottom"/>
          </w:tcPr>
          <w:p>
            <w:pPr>
              <w:jc w:val="center"/>
              <w:ind w:left="13"/>
              <w:spacing w:after="0"/>
              <w:rPr>
                <w:sz w:val="20"/>
                <w:szCs w:val="20"/>
                <w:color w:val="auto"/>
              </w:rPr>
            </w:pPr>
            <w:r>
              <w:rPr>
                <w:rFonts w:ascii="Arial" w:cs="Arial" w:eastAsia="Arial" w:hAnsi="Arial"/>
                <w:sz w:val="13"/>
                <w:szCs w:val="13"/>
                <w:color w:val="auto"/>
                <w:w w:val="92"/>
              </w:rPr>
              <w:t>12.75</w:t>
            </w:r>
          </w:p>
        </w:tc>
        <w:tc>
          <w:tcPr>
            <w:tcW w:w="2320" w:type="dxa"/>
            <w:vAlign w:val="bottom"/>
          </w:tcPr>
          <w:p>
            <w:pPr>
              <w:jc w:val="center"/>
              <w:ind w:right="913"/>
              <w:spacing w:after="0"/>
              <w:rPr>
                <w:sz w:val="20"/>
                <w:szCs w:val="20"/>
                <w:color w:val="auto"/>
              </w:rPr>
            </w:pPr>
            <w:r>
              <w:rPr>
                <w:rFonts w:ascii="Arial" w:cs="Arial" w:eastAsia="Arial" w:hAnsi="Arial"/>
                <w:sz w:val="13"/>
                <w:szCs w:val="13"/>
                <w:color w:val="auto"/>
                <w:w w:val="93"/>
              </w:rPr>
              <w:t>6/14/2028</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3"/>
              <w:spacing w:after="0"/>
              <w:rPr>
                <w:sz w:val="20"/>
                <w:szCs w:val="20"/>
                <w:color w:val="auto"/>
              </w:rPr>
            </w:pPr>
            <w:r>
              <w:rPr>
                <w:rFonts w:ascii="Arial" w:cs="Arial" w:eastAsia="Arial" w:hAnsi="Arial"/>
                <w:sz w:val="13"/>
                <w:szCs w:val="13"/>
                <w:color w:val="auto"/>
                <w:w w:val="94"/>
              </w:rPr>
              <w:t>7/7/2017</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6/16/2017</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45,000</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2"/>
              </w:rPr>
              <w:t>19.33</w:t>
            </w:r>
          </w:p>
        </w:tc>
        <w:tc>
          <w:tcPr>
            <w:tcW w:w="2320" w:type="dxa"/>
            <w:vAlign w:val="bottom"/>
            <w:shd w:val="clear" w:color="auto" w:fill="CCEEFF"/>
          </w:tcPr>
          <w:p>
            <w:pPr>
              <w:jc w:val="center"/>
              <w:ind w:right="913"/>
              <w:spacing w:after="0"/>
              <w:rPr>
                <w:sz w:val="20"/>
                <w:szCs w:val="20"/>
                <w:color w:val="auto"/>
              </w:rPr>
            </w:pPr>
            <w:r>
              <w:rPr>
                <w:rFonts w:ascii="Arial" w:cs="Arial" w:eastAsia="Arial" w:hAnsi="Arial"/>
                <w:sz w:val="13"/>
                <w:szCs w:val="13"/>
                <w:color w:val="auto"/>
                <w:w w:val="93"/>
              </w:rPr>
              <w:t>6/15/2027</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120" w:type="dxa"/>
            <w:vAlign w:val="bottom"/>
          </w:tcPr>
          <w:p>
            <w:pPr>
              <w:jc w:val="center"/>
              <w:ind w:right="113"/>
              <w:spacing w:after="0"/>
              <w:rPr>
                <w:sz w:val="20"/>
                <w:szCs w:val="20"/>
                <w:color w:val="auto"/>
              </w:rPr>
            </w:pPr>
            <w:r>
              <w:rPr>
                <w:rFonts w:ascii="Arial" w:cs="Arial" w:eastAsia="Arial" w:hAnsi="Arial"/>
                <w:sz w:val="13"/>
                <w:szCs w:val="13"/>
                <w:color w:val="auto"/>
                <w:w w:val="93"/>
              </w:rPr>
              <w:t>6/21/2016</w:t>
            </w:r>
          </w:p>
        </w:tc>
        <w:tc>
          <w:tcPr>
            <w:tcW w:w="1320" w:type="dxa"/>
            <w:vAlign w:val="bottom"/>
          </w:tcPr>
          <w:p>
            <w:pPr>
              <w:jc w:val="center"/>
              <w:spacing w:after="0"/>
              <w:rPr>
                <w:sz w:val="20"/>
                <w:szCs w:val="20"/>
                <w:color w:val="auto"/>
              </w:rPr>
            </w:pPr>
            <w:r>
              <w:rPr>
                <w:rFonts w:ascii="Arial" w:cs="Arial" w:eastAsia="Arial" w:hAnsi="Arial"/>
                <w:sz w:val="13"/>
                <w:szCs w:val="13"/>
                <w:color w:val="auto"/>
                <w:w w:val="93"/>
              </w:rPr>
              <w:t>6/21/2016</w:t>
            </w:r>
          </w:p>
        </w:tc>
        <w:tc>
          <w:tcPr>
            <w:tcW w:w="1280" w:type="dxa"/>
            <w:vAlign w:val="bottom"/>
          </w:tcPr>
          <w:p>
            <w:pPr>
              <w:jc w:val="center"/>
              <w:spacing w:after="0"/>
              <w:rPr>
                <w:sz w:val="20"/>
                <w:szCs w:val="20"/>
                <w:color w:val="auto"/>
              </w:rPr>
            </w:pPr>
            <w:r>
              <w:rPr>
                <w:rFonts w:ascii="Arial" w:cs="Arial" w:eastAsia="Arial" w:hAnsi="Arial"/>
                <w:sz w:val="13"/>
                <w:szCs w:val="13"/>
                <w:color w:val="auto"/>
                <w:w w:val="95"/>
              </w:rPr>
              <w:t>27,617</w:t>
            </w:r>
          </w:p>
        </w:tc>
        <w:tc>
          <w:tcPr>
            <w:tcW w:w="130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ind w:left="13"/>
              <w:spacing w:after="0"/>
              <w:rPr>
                <w:sz w:val="20"/>
                <w:szCs w:val="20"/>
                <w:color w:val="auto"/>
              </w:rPr>
            </w:pPr>
            <w:r>
              <w:rPr>
                <w:rFonts w:ascii="Arial" w:cs="Arial" w:eastAsia="Arial" w:hAnsi="Arial"/>
                <w:sz w:val="13"/>
                <w:szCs w:val="13"/>
                <w:color w:val="auto"/>
                <w:w w:val="92"/>
              </w:rPr>
              <w:t>14.00</w:t>
            </w:r>
          </w:p>
        </w:tc>
        <w:tc>
          <w:tcPr>
            <w:tcW w:w="2320" w:type="dxa"/>
            <w:vAlign w:val="bottom"/>
          </w:tcPr>
          <w:p>
            <w:pPr>
              <w:jc w:val="center"/>
              <w:ind w:right="913"/>
              <w:spacing w:after="0"/>
              <w:rPr>
                <w:sz w:val="20"/>
                <w:szCs w:val="20"/>
                <w:color w:val="auto"/>
              </w:rPr>
            </w:pPr>
            <w:r>
              <w:rPr>
                <w:rFonts w:ascii="Arial" w:cs="Arial" w:eastAsia="Arial" w:hAnsi="Arial"/>
                <w:sz w:val="13"/>
                <w:szCs w:val="13"/>
                <w:color w:val="auto"/>
                <w:w w:val="93"/>
              </w:rPr>
              <w:t>6/20/2026</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3"/>
              <w:spacing w:after="0"/>
              <w:rPr>
                <w:sz w:val="20"/>
                <w:szCs w:val="20"/>
                <w:color w:val="auto"/>
              </w:rPr>
            </w:pPr>
            <w:r>
              <w:rPr>
                <w:rFonts w:ascii="Arial" w:cs="Arial" w:eastAsia="Arial" w:hAnsi="Arial"/>
                <w:sz w:val="13"/>
                <w:szCs w:val="13"/>
                <w:color w:val="auto"/>
                <w:w w:val="94"/>
              </w:rPr>
              <w:t>3/9/2016</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2/1/2016</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20,511</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7.02</w:t>
            </w:r>
          </w:p>
        </w:tc>
        <w:tc>
          <w:tcPr>
            <w:tcW w:w="2320" w:type="dxa"/>
            <w:vAlign w:val="bottom"/>
            <w:shd w:val="clear" w:color="auto" w:fill="CCEEFF"/>
          </w:tcPr>
          <w:p>
            <w:pPr>
              <w:jc w:val="center"/>
              <w:ind w:right="893"/>
              <w:spacing w:after="0"/>
              <w:rPr>
                <w:sz w:val="20"/>
                <w:szCs w:val="20"/>
                <w:color w:val="auto"/>
              </w:rPr>
            </w:pPr>
            <w:r>
              <w:rPr>
                <w:rFonts w:ascii="Arial" w:cs="Arial" w:eastAsia="Arial" w:hAnsi="Arial"/>
                <w:sz w:val="13"/>
                <w:szCs w:val="13"/>
                <w:color w:val="auto"/>
                <w:w w:val="94"/>
              </w:rPr>
              <w:t>3/8/2026</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120" w:type="dxa"/>
            <w:vAlign w:val="bottom"/>
          </w:tcPr>
          <w:p>
            <w:pPr>
              <w:jc w:val="center"/>
              <w:ind w:right="113"/>
              <w:spacing w:after="0"/>
              <w:rPr>
                <w:sz w:val="20"/>
                <w:szCs w:val="20"/>
                <w:color w:val="auto"/>
              </w:rPr>
            </w:pPr>
            <w:r>
              <w:rPr>
                <w:rFonts w:ascii="Arial" w:cs="Arial" w:eastAsia="Arial" w:hAnsi="Arial"/>
                <w:sz w:val="13"/>
                <w:szCs w:val="13"/>
                <w:color w:val="auto"/>
                <w:w w:val="93"/>
              </w:rPr>
              <w:t>2/21/2015</w:t>
            </w: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1/1/2015</w:t>
            </w:r>
          </w:p>
        </w:tc>
        <w:tc>
          <w:tcPr>
            <w:tcW w:w="1280" w:type="dxa"/>
            <w:vAlign w:val="bottom"/>
          </w:tcPr>
          <w:p>
            <w:pPr>
              <w:jc w:val="center"/>
              <w:spacing w:after="0"/>
              <w:rPr>
                <w:sz w:val="20"/>
                <w:szCs w:val="20"/>
                <w:color w:val="auto"/>
              </w:rPr>
            </w:pPr>
            <w:r>
              <w:rPr>
                <w:rFonts w:ascii="Arial" w:cs="Arial" w:eastAsia="Arial" w:hAnsi="Arial"/>
                <w:sz w:val="13"/>
                <w:szCs w:val="13"/>
                <w:color w:val="auto"/>
                <w:w w:val="90"/>
              </w:rPr>
              <w:t>11,537</w:t>
            </w:r>
          </w:p>
        </w:tc>
        <w:tc>
          <w:tcPr>
            <w:tcW w:w="130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spacing w:after="0"/>
              <w:rPr>
                <w:sz w:val="20"/>
                <w:szCs w:val="20"/>
                <w:color w:val="auto"/>
              </w:rPr>
            </w:pPr>
            <w:r>
              <w:rPr>
                <w:rFonts w:ascii="Arial" w:cs="Arial" w:eastAsia="Arial" w:hAnsi="Arial"/>
                <w:sz w:val="13"/>
                <w:szCs w:val="13"/>
                <w:color w:val="auto"/>
                <w:w w:val="94"/>
              </w:rPr>
              <w:t>9.36</w:t>
            </w:r>
          </w:p>
        </w:tc>
        <w:tc>
          <w:tcPr>
            <w:tcW w:w="2320" w:type="dxa"/>
            <w:vAlign w:val="bottom"/>
          </w:tcPr>
          <w:p>
            <w:pPr>
              <w:jc w:val="center"/>
              <w:ind w:right="913"/>
              <w:spacing w:after="0"/>
              <w:rPr>
                <w:sz w:val="20"/>
                <w:szCs w:val="20"/>
                <w:color w:val="auto"/>
              </w:rPr>
            </w:pPr>
            <w:r>
              <w:rPr>
                <w:rFonts w:ascii="Arial" w:cs="Arial" w:eastAsia="Arial" w:hAnsi="Arial"/>
                <w:sz w:val="13"/>
                <w:szCs w:val="13"/>
                <w:color w:val="auto"/>
                <w:w w:val="93"/>
              </w:rPr>
              <w:t>2/20/2025</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3"/>
              <w:spacing w:after="0"/>
              <w:rPr>
                <w:sz w:val="20"/>
                <w:szCs w:val="20"/>
                <w:color w:val="auto"/>
              </w:rPr>
            </w:pPr>
            <w:r>
              <w:rPr>
                <w:rFonts w:ascii="Arial" w:cs="Arial" w:eastAsia="Arial" w:hAnsi="Arial"/>
                <w:sz w:val="13"/>
                <w:szCs w:val="13"/>
                <w:color w:val="auto"/>
                <w:w w:val="94"/>
              </w:rPr>
              <w:t>4/8/2014</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1/1/2014</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7,692</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8.97</w:t>
            </w:r>
          </w:p>
        </w:tc>
        <w:tc>
          <w:tcPr>
            <w:tcW w:w="2320" w:type="dxa"/>
            <w:vAlign w:val="bottom"/>
            <w:shd w:val="clear" w:color="auto" w:fill="CCEEFF"/>
          </w:tcPr>
          <w:p>
            <w:pPr>
              <w:jc w:val="center"/>
              <w:ind w:right="893"/>
              <w:spacing w:after="0"/>
              <w:rPr>
                <w:sz w:val="20"/>
                <w:szCs w:val="20"/>
                <w:color w:val="auto"/>
              </w:rPr>
            </w:pPr>
            <w:r>
              <w:rPr>
                <w:rFonts w:ascii="Arial" w:cs="Arial" w:eastAsia="Arial" w:hAnsi="Arial"/>
                <w:sz w:val="13"/>
                <w:szCs w:val="13"/>
                <w:color w:val="auto"/>
                <w:w w:val="94"/>
              </w:rPr>
              <w:t>4/7/2024</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1120" w:type="dxa"/>
            <w:vAlign w:val="bottom"/>
          </w:tcPr>
          <w:p>
            <w:pPr>
              <w:jc w:val="center"/>
              <w:ind w:right="113"/>
              <w:spacing w:after="0"/>
              <w:rPr>
                <w:sz w:val="20"/>
                <w:szCs w:val="20"/>
                <w:color w:val="auto"/>
              </w:rPr>
            </w:pPr>
            <w:r>
              <w:rPr>
                <w:rFonts w:ascii="Arial" w:cs="Arial" w:eastAsia="Arial" w:hAnsi="Arial"/>
                <w:sz w:val="13"/>
                <w:szCs w:val="13"/>
                <w:color w:val="auto"/>
                <w:w w:val="93"/>
              </w:rPr>
              <w:t>6/14/2013</w:t>
            </w: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1/1/2013</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126</w:t>
            </w:r>
          </w:p>
        </w:tc>
        <w:tc>
          <w:tcPr>
            <w:tcW w:w="130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spacing w:after="0"/>
              <w:rPr>
                <w:sz w:val="20"/>
                <w:szCs w:val="20"/>
                <w:color w:val="auto"/>
              </w:rPr>
            </w:pPr>
            <w:r>
              <w:rPr>
                <w:rFonts w:ascii="Arial" w:cs="Arial" w:eastAsia="Arial" w:hAnsi="Arial"/>
                <w:sz w:val="13"/>
                <w:szCs w:val="13"/>
                <w:color w:val="auto"/>
                <w:w w:val="94"/>
              </w:rPr>
              <w:t>2.77</w:t>
            </w:r>
          </w:p>
        </w:tc>
        <w:tc>
          <w:tcPr>
            <w:tcW w:w="2320" w:type="dxa"/>
            <w:vAlign w:val="bottom"/>
          </w:tcPr>
          <w:p>
            <w:pPr>
              <w:jc w:val="center"/>
              <w:ind w:right="913"/>
              <w:spacing w:after="0"/>
              <w:rPr>
                <w:sz w:val="20"/>
                <w:szCs w:val="20"/>
                <w:color w:val="auto"/>
              </w:rPr>
            </w:pPr>
            <w:r>
              <w:rPr>
                <w:rFonts w:ascii="Arial" w:cs="Arial" w:eastAsia="Arial" w:hAnsi="Arial"/>
                <w:sz w:val="13"/>
                <w:szCs w:val="13"/>
                <w:color w:val="auto"/>
                <w:w w:val="93"/>
              </w:rPr>
              <w:t>6/13/2023</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40" w:right="580" w:hanging="332"/>
        <w:spacing w:after="0" w:line="277" w:lineRule="auto"/>
        <w:tabs>
          <w:tab w:leader="none" w:pos="3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equity awards are subject to accelerated vesting in the event of a termination without cause or resignation for good reason within 12 months following a change in control pursuant to the terms of the Named Executive Officers’ employment agreements.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80" w:hanging="332"/>
        <w:spacing w:after="0" w:line="275" w:lineRule="auto"/>
        <w:tabs>
          <w:tab w:leader="none" w:pos="334"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options except those granted on October 7, 2019 vest as to 25% of the total shares underlying the option on the first anniversary of the vesting commencement date and in equal monthly installments over the ensuing 36 months, subject to the holder’s continued employment with us through the applicable vesting date. The options granted October 7, 2019 vested 50% of the total shares underlying the option on the first anniversary of the vesting commencement date and the remaining 50% of the total shares on the second anniversary of the vesting commencement date, subject to the holder’s continued employment with us through the applicable vesting date.</w:t>
      </w:r>
    </w:p>
    <w:p>
      <w:pPr>
        <w:spacing w:after="0" w:line="68" w:lineRule="exact"/>
        <w:rPr>
          <w:rFonts w:ascii="Arial" w:cs="Arial" w:eastAsia="Arial" w:hAnsi="Arial"/>
          <w:sz w:val="17"/>
          <w:szCs w:val="17"/>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the closing price of our Common Stock of $3.26 on December 31, 2021.</w:t>
      </w:r>
    </w:p>
    <w:p>
      <w:pPr>
        <w:spacing w:after="0" w:line="117" w:lineRule="exact"/>
        <w:rPr>
          <w:rFonts w:ascii="Arial" w:cs="Arial" w:eastAsia="Arial" w:hAnsi="Arial"/>
          <w:sz w:val="18"/>
          <w:szCs w:val="18"/>
          <w:color w:val="auto"/>
        </w:rPr>
      </w:pPr>
    </w:p>
    <w:p>
      <w:pPr>
        <w:ind w:left="340" w:right="180" w:hanging="332"/>
        <w:spacing w:after="0" w:line="286" w:lineRule="auto"/>
        <w:tabs>
          <w:tab w:leader="none" w:pos="334"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restricted stock units except those granted on December 1, 2018 vest in four equal annual installments beginning on the first anniversary of the vesting commencement date. Dr. Brunn’s restricted stock units granted on December 1, 2018 vest in twelve substantially equal quarterly installments following December 1, 2020, subject to Dr. Brunn’s continued employment with us through the applicable vesting date.</w:t>
      </w:r>
    </w:p>
    <w:p>
      <w:pPr>
        <w:spacing w:after="0" w:line="57" w:lineRule="exact"/>
        <w:rPr>
          <w:rFonts w:ascii="Arial" w:cs="Arial" w:eastAsia="Arial" w:hAnsi="Arial"/>
          <w:sz w:val="17"/>
          <w:szCs w:val="17"/>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Tan was appointed Chief Financial Officer on September 20, 2021.</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Dahms resigned as Chief Financial Officer effective as of May 21, 2021; subsequently his awards have all expired.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Ms. Donohue served as our principal accounting officer from May 21 to September 20, 2021.</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Dr. Traber was appointed Chief Medical Officer effective as of August 1,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We have entered into employment agreements with each of our Named Executive Officers. The agreements entitle our Named Executive Officers to receive annual base salaries and target bonus opportunities, the current amounts of which are described above under the headings “Base Salaries” and “Performance Bonuses,” as well as certain other payments and benefits, as described below.</w:t>
      </w:r>
    </w:p>
    <w:p>
      <w:pPr>
        <w:spacing w:after="0" w:line="76"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 12 months, (ii) a prorated portion of the annual bonus the Named Executive Officer would otherwise have earned for the year of termination, based on actual performance for the full year, or, if the termination occurs during the first quarter of the calendar year, based on the Named Executive Officer’s target bonus and (iii) direct payment of or reimbursement for continued medical, dental or vision coverage pursuant to the Consolidated Omnibus Budget Reconciliation Act of 1985, as amended,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equity awards that vest solely based on the passage of time. We must provide a Named Executive Officer 30 days’ notice, or pay in lieu of notice, in the event we terminate such Named Executive Officer for any reason other than “cause.”</w:t>
      </w:r>
    </w:p>
    <w:p>
      <w:pPr>
        <w:spacing w:after="0" w:line="6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For purposes of the employment agreements, “cause” generally means, subject to applicable cure rights, the Named Executive Officer’s (i) commission of, or indictment or conviction of, any felony or any crime involving dishonesty; (ii) participation in any fraud against our Company; (iii) intentional damage to any Company property; (iv) misconduct which materially and adversely reflects upon the business, operations, or reputation of our Company;</w:t>
      </w:r>
    </w:p>
    <w:p>
      <w:pPr>
        <w:spacing w:after="0" w:line="2" w:lineRule="exact"/>
        <w:rPr>
          <w:sz w:val="20"/>
          <w:szCs w:val="20"/>
          <w:color w:val="auto"/>
        </w:rPr>
      </w:pPr>
    </w:p>
    <w:p>
      <w:pPr>
        <w:ind w:right="140" w:firstLine="8"/>
        <w:spacing w:after="0" w:line="281"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breach of any material provision of the employment agreement or any other written agreement with our Company; or (vi) for Mr. Dahms and Dr. Traber, a material or substantial failure to perform, or material or substantial negligence of, the executive’s duties and responsibilities to the Company. “Good reason” generally means, subject to our cure rights, the occurrence of any of the following, without the Named Executive Officer’s written consent</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material reduction in his or her base salary or bonus opportunity; (ii) a material diminution in his or her authority, title, duties or areas of responsibility;</w:t>
      </w:r>
    </w:p>
    <w:p>
      <w:pPr>
        <w:spacing w:after="0" w:line="32" w:lineRule="exact"/>
        <w:rPr>
          <w:rFonts w:ascii="Arial" w:cs="Arial" w:eastAsia="Arial" w:hAnsi="Arial"/>
          <w:sz w:val="16"/>
          <w:szCs w:val="16"/>
          <w:color w:val="auto"/>
        </w:rPr>
      </w:pPr>
    </w:p>
    <w:p>
      <w:pPr>
        <w:ind w:right="160" w:firstLine="8"/>
        <w:spacing w:after="0" w:line="302" w:lineRule="auto"/>
        <w:tabs>
          <w:tab w:leader="none" w:pos="3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requirement that he or she report to someone other than the Board with respect to our Chief Executive Officer or the Chief Executive Officer with respect to our other Named Executive Officers; (iv) the relocation of his or her primary office to a location more than 40 miles from the Boston metropolitan area; or (v) a material breach by us of the employment agreement or any other written agreement with the Named Executive Officer.</w:t>
      </w:r>
    </w:p>
    <w:p>
      <w:pPr>
        <w:spacing w:after="0" w:line="4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have also entered into non-disclosure, non-competition and assignment of intellectual property agreements with the Named Executive Officers pursuant to which each of our Named Executive Officers agree to refrain from engaging in direct competition with us or soliciting our employees, in each case, while employed and following his or her termination of employment for a period of 12 months, as more fully set forth in the applicable agreement(s). For Dr. Brunn, during the period following the Named Executive Officer’s employment that he or she is subject to the non-competition covenants, and subject to limited exceptions, we have agreed to provide the Named Executive Officer with garden leave pay at a rate that equals 50% of his or her highest annual base salary within the two years prior to his or her termination, consistent with the Massachusetts Noncompetition Agreement Act.</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We maintain a compensation program for our non-employee directors, which was last amended effective March 30, 2020. Under our non-employee director compensation program as in effect during 2020, each non-employee director received the following amounts for their services on our Board:</w:t>
      </w:r>
    </w:p>
    <w:p>
      <w:pPr>
        <w:spacing w:after="0" w:line="16"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i w:val="1"/>
          <w:iCs w:val="1"/>
          <w:color w:val="auto"/>
        </w:rPr>
        <w:t>Initial Equity Award</w:t>
      </w:r>
      <w:r>
        <w:rPr>
          <w:rFonts w:ascii="Arial" w:cs="Arial" w:eastAsia="Arial" w:hAnsi="Arial"/>
          <w:sz w:val="18"/>
          <w:szCs w:val="18"/>
          <w:color w:val="auto"/>
        </w:rPr>
        <w:t>. Upon a director’s initial election or appointment to our Board, the director received an option to purchase 40,000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which award vests in substantially equal monthly installments over three years following the date of grant, subject to accelerated vesting upon a change in control.</w:t>
      </w:r>
    </w:p>
    <w:p>
      <w:pPr>
        <w:spacing w:after="0" w:line="7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i w:val="1"/>
          <w:iCs w:val="1"/>
          <w:color w:val="auto"/>
        </w:rPr>
        <w:t>Annual Equity Award</w:t>
      </w:r>
      <w:r>
        <w:rPr>
          <w:rFonts w:ascii="Arial" w:cs="Arial" w:eastAsia="Arial" w:hAnsi="Arial"/>
          <w:sz w:val="16"/>
          <w:szCs w:val="16"/>
          <w:color w:val="auto"/>
        </w:rPr>
        <w:t>. If a director has served on our Board for at least six months as of the date of an annual meeting of stockholders, the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an option to purchase 20,000 shares of our Common Stock on the date of the annual meeting, which award vests in a single installment on the earlier of the day before the next annual meeting or the first anniversary of the date of grant, subject to accelerated vesting upon a change in control. If such non-employee director served as the Chairperson of the Board as of immediately following the date of such annual meeting, that non-employee director received an option to purchase 30,000 shares of our Common Stock on the date of such annual meeting, subject to the same vesting terms.</w:t>
      </w:r>
    </w:p>
    <w:p>
      <w:pPr>
        <w:spacing w:after="0" w:line="5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Annual Retainer Fees</w:t>
      </w:r>
      <w:r>
        <w:rPr>
          <w:rFonts w:ascii="Arial" w:cs="Arial" w:eastAsia="Arial" w:hAnsi="Arial"/>
          <w:sz w:val="18"/>
          <w:szCs w:val="18"/>
          <w:color w:val="auto"/>
        </w:rPr>
        <w:t>. In addition to option grants, each director received an annual retainer for service on our Board and additional fees for service on</w:t>
      </w:r>
      <w:r>
        <w:rPr>
          <w:rFonts w:ascii="Arial" w:cs="Arial" w:eastAsia="Arial" w:hAnsi="Arial"/>
          <w:sz w:val="18"/>
          <w:szCs w:val="18"/>
          <w:i w:val="1"/>
          <w:iCs w:val="1"/>
          <w:color w:val="auto"/>
        </w:rPr>
        <w:t xml:space="preserve"> </w:t>
      </w:r>
      <w:r>
        <w:rPr>
          <w:rFonts w:ascii="Arial" w:cs="Arial" w:eastAsia="Arial" w:hAnsi="Arial"/>
          <w:sz w:val="18"/>
          <w:szCs w:val="18"/>
          <w:color w:val="auto"/>
        </w:rPr>
        <w:t>a committee of our Board as follows:</w:t>
      </w:r>
    </w:p>
    <w:p>
      <w:pPr>
        <w:spacing w:after="0" w:line="6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 director fee of $40,000;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chairperson of the board, $30,000 and lead independent director, $20,000;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chairperson of the Audit Committee, $15,000;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Audit Committee member other than the chairperson, $7,500;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chairperson of the Compensation Committee, $12,000;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Compensation Committee member other than the chairperson, $6,000;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chairperson of the Nominating and Corporate Governance Committee, $8,000;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chairperson, $4,000;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chairperson of the Research and Development Committee, $12,000;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Research and Development Committee member other than the chairperson, $6,000.</w:t>
      </w:r>
    </w:p>
    <w:p>
      <w:pPr>
        <w:spacing w:after="0" w:line="11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Director fees are paid in arrears in four equal quarterly installments not later than the fifteenth day following the final day of each calendar quarter, provided that the amount of each payment is prorated for any portion of a quarter that a director is not serving on our Board. Each member of our Board is entitled to be reimbursed for reasonable travel and other expenses incurred in connection with attending meetings of the Board and any committee of the Board on which he or she serves.</w:t>
      </w:r>
    </w:p>
    <w:p>
      <w:pPr>
        <w:spacing w:after="0" w:line="7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Following review of a competitive assessment performed by Radford, effective March 30, 2021, the Board approved the following amendments to our non-employee director compensation program, which were intended to align our program with the median of market:</w:t>
      </w:r>
    </w:p>
    <w:p>
      <w:pPr>
        <w:spacing w:after="0" w:line="6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the initial equity award from 40,000 options to 80,000 options;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the annual equity awards from 30,000 options to 60,000 options for the Chairperson of the Board and from 20,000 options to 40,000 options for each other non-employee director; and</w:t>
      </w:r>
    </w:p>
    <w:p>
      <w:pPr>
        <w:spacing w:after="0" w:line="62" w:lineRule="exact"/>
        <w:rPr>
          <w:rFonts w:ascii="Arial" w:cs="Arial" w:eastAsia="Arial" w:hAnsi="Arial"/>
          <w:sz w:val="18"/>
          <w:szCs w:val="18"/>
          <w:color w:val="auto"/>
        </w:rPr>
      </w:pPr>
    </w:p>
    <w:p>
      <w:pPr>
        <w:ind w:left="660" w:right="300" w:hanging="328"/>
        <w:spacing w:after="0" w:line="342"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Moving the date of grant for the annual equity awards from the Annual Meeting of Stockholders to the first business day of each new calendar year, with 2021 annual equity awards to be granted the date the amendments were approved, which occurred on March 30, 2021.</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Dr. Brunn, our President and Chief Executive Officer, also serves on our Board but receives no additional compensation for this service.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compensation earned to our non-employee directors for their service on our Board during 2021.</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Director Compensation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Fees earned or paid in</w:t>
            </w: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(2)</w:t>
            </w:r>
          </w:p>
        </w:tc>
        <w:tc>
          <w:tcPr>
            <w:tcW w:w="1560" w:type="dxa"/>
            <w:vAlign w:val="bottom"/>
            <w:gridSpan w:val="2"/>
          </w:tcPr>
          <w:p>
            <w:pPr>
              <w:ind w:left="460"/>
              <w:spacing w:after="0"/>
              <w:rPr>
                <w:sz w:val="20"/>
                <w:szCs w:val="20"/>
                <w:color w:val="auto"/>
              </w:rPr>
            </w:pPr>
            <w:r>
              <w:rPr>
                <w:rFonts w:ascii="Arial" w:cs="Arial" w:eastAsia="Arial" w:hAnsi="Arial"/>
                <w:sz w:val="14"/>
                <w:szCs w:val="14"/>
                <w:b w:val="1"/>
                <w:bCs w:val="1"/>
                <w:color w:val="auto"/>
              </w:rPr>
              <w:t>All other</w:t>
            </w:r>
          </w:p>
        </w:tc>
        <w:tc>
          <w:tcPr>
            <w:tcW w:w="14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5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88"/>
              </w:rPr>
              <w:t>cash ($)</w:t>
            </w:r>
            <w:r>
              <w:rPr>
                <w:rFonts w:ascii="Arial" w:cs="Arial" w:eastAsia="Arial" w:hAnsi="Arial"/>
                <w:sz w:val="18"/>
                <w:szCs w:val="18"/>
                <w:b w:val="1"/>
                <w:bCs w:val="1"/>
                <w:color w:val="auto"/>
                <w:w w:val="88"/>
                <w:vertAlign w:val="superscript"/>
              </w:rPr>
              <w:t>(1)</w:t>
            </w:r>
          </w:p>
        </w:tc>
        <w:tc>
          <w:tcPr>
            <w:tcW w:w="1560" w:type="dxa"/>
            <w:vAlign w:val="bottom"/>
            <w:gridSpan w:val="2"/>
            <w:vMerge w:val="continue"/>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compensation ($)</w:t>
            </w: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Göran Ando, M.D.</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79,228</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119,304</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198,532</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Arial" w:cs="Arial" w:eastAsia="Arial" w:hAnsi="Arial"/>
                <w:sz w:val="14"/>
                <w:szCs w:val="14"/>
                <w:color w:val="auto"/>
              </w:rPr>
              <w:t>Timothy C. Barabe</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55,000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119,304</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174,304</w:t>
            </w:r>
          </w:p>
        </w:tc>
        <w:tc>
          <w:tcPr>
            <w:tcW w:w="0" w:type="dxa"/>
            <w:vAlign w:val="bottom"/>
          </w:tcPr>
          <w:p>
            <w:pPr>
              <w:spacing w:after="0"/>
              <w:rPr>
                <w:sz w:val="1"/>
                <w:szCs w:val="1"/>
                <w:color w:val="auto"/>
              </w:rPr>
            </w:pPr>
          </w:p>
        </w:tc>
      </w:tr>
      <w:tr>
        <w:trPr>
          <w:trHeight w:val="192"/>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Carrie S. Cox</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83,500</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178,956</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262,456</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Arial" w:cs="Arial" w:eastAsia="Arial" w:hAnsi="Arial"/>
                <w:sz w:val="14"/>
                <w:szCs w:val="14"/>
                <w:color w:val="auto"/>
              </w:rPr>
              <w:t>Nishan de Silva, M.D., M.B.A.</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26,261</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274,871</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301,132</w:t>
            </w:r>
          </w:p>
        </w:tc>
        <w:tc>
          <w:tcPr>
            <w:tcW w:w="0" w:type="dxa"/>
            <w:vAlign w:val="bottom"/>
          </w:tcPr>
          <w:p>
            <w:pPr>
              <w:spacing w:after="0"/>
              <w:rPr>
                <w:sz w:val="1"/>
                <w:szCs w:val="1"/>
                <w:color w:val="auto"/>
              </w:rPr>
            </w:pPr>
          </w:p>
        </w:tc>
      </w:tr>
      <w:tr>
        <w:trPr>
          <w:trHeight w:val="192"/>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Scott D. Myers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56,000</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119,304</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175,304</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Arial" w:cs="Arial" w:eastAsia="Arial" w:hAnsi="Arial"/>
                <w:sz w:val="14"/>
                <w:szCs w:val="14"/>
                <w:color w:val="auto"/>
              </w:rPr>
              <w:t>Aymeric Sallin</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46,000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119,304</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165,304</w:t>
            </w:r>
          </w:p>
        </w:tc>
        <w:tc>
          <w:tcPr>
            <w:tcW w:w="0" w:type="dxa"/>
            <w:vAlign w:val="bottom"/>
          </w:tcPr>
          <w:p>
            <w:pPr>
              <w:spacing w:after="0"/>
              <w:rPr>
                <w:sz w:val="1"/>
                <w:szCs w:val="1"/>
                <w:color w:val="auto"/>
              </w:rPr>
            </w:pPr>
          </w:p>
        </w:tc>
      </w:tr>
      <w:tr>
        <w:trPr>
          <w:trHeight w:val="192"/>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Timothy Springer, Ph.D.</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53,614</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119,304</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172,918</w:t>
            </w: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4"/>
                <w:szCs w:val="14"/>
                <w:color w:val="auto"/>
              </w:rPr>
              <w:t>Patrick Zenner</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55,500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119,304</w:t>
            </w:r>
          </w:p>
        </w:tc>
        <w:tc>
          <w:tcPr>
            <w:tcW w:w="100" w:type="dxa"/>
            <w:vAlign w:val="bottom"/>
          </w:tcPr>
          <w:p>
            <w:pPr>
              <w:spacing w:after="0"/>
              <w:rPr>
                <w:sz w:val="15"/>
                <w:szCs w:val="15"/>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174,804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cash retainers earned for services rendered as members of the Board and related committees.</w:t>
      </w:r>
    </w:p>
    <w:p>
      <w:pPr>
        <w:spacing w:after="0" w:line="117" w:lineRule="exact"/>
        <w:rPr>
          <w:rFonts w:ascii="Arial" w:cs="Arial" w:eastAsia="Arial" w:hAnsi="Arial"/>
          <w:sz w:val="18"/>
          <w:szCs w:val="18"/>
          <w:color w:val="auto"/>
        </w:rPr>
      </w:pPr>
    </w:p>
    <w:p>
      <w:pPr>
        <w:ind w:left="340" w:right="100" w:hanging="332"/>
        <w:spacing w:after="0" w:line="263"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value of option awards represents the aggregate grant date fair value of stock options computed in accordance with ASC Topic 718, excluding the effect of estimated forfeitures. For a description of the assumptions used in valuing these awards, see Note 11 to our consolidated audited financial statements included in our 2021 Annual Report.</w:t>
      </w:r>
    </w:p>
    <w:p>
      <w:pPr>
        <w:spacing w:after="0" w:line="200" w:lineRule="exact"/>
        <w:rPr>
          <w:sz w:val="20"/>
          <w:szCs w:val="20"/>
          <w:color w:val="auto"/>
        </w:rPr>
      </w:pPr>
    </w:p>
    <w:p>
      <w:pPr>
        <w:spacing w:after="0" w:line="22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table below shows the aggregate number of option awards (exercisable and unexercisable) held by each non-employee director as of December 31, 2021. None of our non-employee directors held unvested stock awards in the Company as of that date.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80" w:type="dxa"/>
            <w:vAlign w:val="bottom"/>
          </w:tcPr>
          <w:p>
            <w:pPr>
              <w:jc w:val="right"/>
              <w:ind w:right="28"/>
              <w:spacing w:after="0"/>
              <w:rPr>
                <w:sz w:val="20"/>
                <w:szCs w:val="20"/>
                <w:color w:val="auto"/>
              </w:rPr>
            </w:pPr>
            <w:r>
              <w:rPr>
                <w:rFonts w:ascii="Arial" w:cs="Arial" w:eastAsia="Arial" w:hAnsi="Arial"/>
                <w:sz w:val="14"/>
                <w:szCs w:val="14"/>
                <w:b w:val="1"/>
                <w:bCs w:val="1"/>
                <w:color w:val="auto"/>
                <w:w w:val="99"/>
              </w:rPr>
              <w:t>Options outstanding</w:t>
            </w:r>
          </w:p>
        </w:tc>
        <w:tc>
          <w:tcPr>
            <w:tcW w:w="0" w:type="dxa"/>
            <w:vAlign w:val="bottom"/>
          </w:tcPr>
          <w:p>
            <w:pPr>
              <w:spacing w:after="0"/>
              <w:rPr>
                <w:sz w:val="1"/>
                <w:szCs w:val="1"/>
                <w:color w:val="auto"/>
              </w:rPr>
            </w:pPr>
          </w:p>
        </w:tc>
      </w:tr>
      <w:tr>
        <w:trPr>
          <w:trHeight w:val="188"/>
        </w:trPr>
        <w:tc>
          <w:tcPr>
            <w:tcW w:w="9760" w:type="dxa"/>
            <w:vAlign w:val="bottom"/>
            <w:gridSpan w:val="2"/>
            <w:vMerge w:val="continue"/>
          </w:tcPr>
          <w:p>
            <w:pPr>
              <w:spacing w:after="0"/>
              <w:rPr>
                <w:sz w:val="16"/>
                <w:szCs w:val="16"/>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rPr>
              <w:t>at fiscal year end</w:t>
            </w:r>
          </w:p>
        </w:tc>
        <w:tc>
          <w:tcPr>
            <w:tcW w:w="0" w:type="dxa"/>
            <w:vAlign w:val="bottom"/>
          </w:tcPr>
          <w:p>
            <w:pPr>
              <w:spacing w:after="0"/>
              <w:rPr>
                <w:sz w:val="1"/>
                <w:szCs w:val="1"/>
                <w:color w:val="auto"/>
              </w:rPr>
            </w:pPr>
          </w:p>
        </w:tc>
      </w:tr>
      <w:tr>
        <w:trPr>
          <w:trHeight w:val="184"/>
        </w:trPr>
        <w:tc>
          <w:tcPr>
            <w:tcW w:w="9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Göran Ando, M.D.</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186"/>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Timothy C. Barabe</w:t>
            </w:r>
          </w:p>
        </w:tc>
        <w:tc>
          <w:tcPr>
            <w:tcW w:w="1480" w:type="dxa"/>
            <w:vAlign w:val="bottom"/>
          </w:tcPr>
          <w:p>
            <w:pPr>
              <w:jc w:val="right"/>
              <w:spacing w:after="0"/>
              <w:rPr>
                <w:sz w:val="20"/>
                <w:szCs w:val="20"/>
                <w:color w:val="auto"/>
              </w:rPr>
            </w:pPr>
            <w:r>
              <w:rPr>
                <w:rFonts w:ascii="Arial" w:cs="Arial" w:eastAsia="Arial" w:hAnsi="Arial"/>
                <w:sz w:val="14"/>
                <w:szCs w:val="14"/>
                <w:color w:val="auto"/>
              </w:rPr>
              <w:t>96,738</w:t>
            </w:r>
          </w:p>
        </w:tc>
        <w:tc>
          <w:tcPr>
            <w:tcW w:w="0" w:type="dxa"/>
            <w:vAlign w:val="bottom"/>
          </w:tcPr>
          <w:p>
            <w:pPr>
              <w:spacing w:after="0"/>
              <w:rPr>
                <w:sz w:val="1"/>
                <w:szCs w:val="1"/>
                <w:color w:val="auto"/>
              </w:rPr>
            </w:pPr>
          </w:p>
        </w:tc>
      </w:tr>
      <w:tr>
        <w:trPr>
          <w:trHeight w:val="192"/>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Carrie S. Cox</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110,000</w:t>
            </w:r>
          </w:p>
        </w:tc>
        <w:tc>
          <w:tcPr>
            <w:tcW w:w="0" w:type="dxa"/>
            <w:vAlign w:val="bottom"/>
          </w:tcPr>
          <w:p>
            <w:pPr>
              <w:spacing w:after="0"/>
              <w:rPr>
                <w:sz w:val="1"/>
                <w:szCs w:val="1"/>
                <w:color w:val="auto"/>
              </w:rPr>
            </w:pPr>
          </w:p>
        </w:tc>
      </w:tr>
      <w:tr>
        <w:trPr>
          <w:trHeight w:val="186"/>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Nishan de Silva, M.D., M.B.A.</w:t>
            </w:r>
          </w:p>
        </w:tc>
        <w:tc>
          <w:tcPr>
            <w:tcW w:w="1480" w:type="dxa"/>
            <w:vAlign w:val="bottom"/>
          </w:tcPr>
          <w:p>
            <w:pPr>
              <w:jc w:val="right"/>
              <w:spacing w:after="0"/>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192"/>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Scott D. Myers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186"/>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Aymeric Sallin</w:t>
            </w:r>
          </w:p>
        </w:tc>
        <w:tc>
          <w:tcPr>
            <w:tcW w:w="1480" w:type="dxa"/>
            <w:vAlign w:val="bottom"/>
          </w:tcPr>
          <w:p>
            <w:pPr>
              <w:jc w:val="right"/>
              <w:spacing w:after="0"/>
              <w:rPr>
                <w:sz w:val="20"/>
                <w:szCs w:val="20"/>
                <w:color w:val="auto"/>
              </w:rPr>
            </w:pPr>
            <w:r>
              <w:rPr>
                <w:rFonts w:ascii="Arial" w:cs="Arial" w:eastAsia="Arial" w:hAnsi="Arial"/>
                <w:sz w:val="14"/>
                <w:szCs w:val="14"/>
                <w:color w:val="auto"/>
              </w:rPr>
              <w:t>86,410</w:t>
            </w:r>
          </w:p>
        </w:tc>
        <w:tc>
          <w:tcPr>
            <w:tcW w:w="0" w:type="dxa"/>
            <w:vAlign w:val="bottom"/>
          </w:tcPr>
          <w:p>
            <w:pPr>
              <w:spacing w:after="0"/>
              <w:rPr>
                <w:sz w:val="1"/>
                <w:szCs w:val="1"/>
                <w:color w:val="auto"/>
              </w:rPr>
            </w:pPr>
          </w:p>
        </w:tc>
      </w:tr>
      <w:tr>
        <w:trPr>
          <w:trHeight w:val="192"/>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Timothy Springer, Ph.D.</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86,410</w:t>
            </w:r>
          </w:p>
        </w:tc>
        <w:tc>
          <w:tcPr>
            <w:tcW w:w="0" w:type="dxa"/>
            <w:vAlign w:val="bottom"/>
          </w:tcPr>
          <w:p>
            <w:pPr>
              <w:spacing w:after="0"/>
              <w:rPr>
                <w:sz w:val="1"/>
                <w:szCs w:val="1"/>
                <w:color w:val="auto"/>
              </w:rPr>
            </w:pPr>
          </w:p>
        </w:tc>
      </w:tr>
      <w:tr>
        <w:trPr>
          <w:trHeight w:val="182"/>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Patrick Zenner</w:t>
            </w:r>
          </w:p>
        </w:tc>
        <w:tc>
          <w:tcPr>
            <w:tcW w:w="1480" w:type="dxa"/>
            <w:vAlign w:val="bottom"/>
          </w:tcPr>
          <w:p>
            <w:pPr>
              <w:jc w:val="right"/>
              <w:spacing w:after="0"/>
              <w:rPr>
                <w:sz w:val="20"/>
                <w:szCs w:val="20"/>
                <w:color w:val="auto"/>
              </w:rPr>
            </w:pPr>
            <w:r>
              <w:rPr>
                <w:rFonts w:ascii="Arial" w:cs="Arial" w:eastAsia="Arial" w:hAnsi="Arial"/>
                <w:sz w:val="14"/>
                <w:szCs w:val="14"/>
                <w:color w:val="auto"/>
              </w:rPr>
              <w:t>92,820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Number of securities</w:t>
            </w: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8"/>
              </w:rPr>
              <w:t>to be issued upon</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Weighted-average</w:t>
            </w:r>
          </w:p>
        </w:tc>
        <w:tc>
          <w:tcPr>
            <w:tcW w:w="2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remaining available for</w:t>
            </w: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9"/>
              </w:rPr>
              <w:t>exercise of outstanding</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exercise price of</w:t>
            </w:r>
          </w:p>
        </w:tc>
        <w:tc>
          <w:tcPr>
            <w:tcW w:w="2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future issuance under</w:t>
            </w: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stock options, warrants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outstanding options,</w:t>
            </w:r>
          </w:p>
        </w:tc>
        <w:tc>
          <w:tcPr>
            <w:tcW w:w="2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equity compensation</w:t>
            </w:r>
          </w:p>
        </w:tc>
      </w:tr>
      <w:tr>
        <w:trPr>
          <w:trHeight w:val="201"/>
        </w:trPr>
        <w:tc>
          <w:tcPr>
            <w:tcW w:w="3940" w:type="dxa"/>
            <w:vAlign w:val="bottom"/>
            <w:gridSpan w:val="2"/>
          </w:tcPr>
          <w:p>
            <w:pPr>
              <w:ind w:left="1500"/>
              <w:spacing w:after="0"/>
              <w:rPr>
                <w:sz w:val="20"/>
                <w:szCs w:val="20"/>
                <w:color w:val="auto"/>
              </w:rPr>
            </w:pPr>
            <w:r>
              <w:rPr>
                <w:rFonts w:ascii="Arial" w:cs="Arial" w:eastAsia="Arial" w:hAnsi="Arial"/>
                <w:sz w:val="14"/>
                <w:szCs w:val="14"/>
                <w:b w:val="1"/>
                <w:bCs w:val="1"/>
                <w:color w:val="auto"/>
              </w:rPr>
              <w:t>Plan category</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line="201" w:lineRule="exact"/>
              <w:rPr>
                <w:sz w:val="20"/>
                <w:szCs w:val="20"/>
                <w:color w:val="auto"/>
              </w:rPr>
            </w:pPr>
            <w:r>
              <w:rPr>
                <w:rFonts w:ascii="Arial" w:cs="Arial" w:eastAsia="Arial" w:hAnsi="Arial"/>
                <w:sz w:val="14"/>
                <w:szCs w:val="14"/>
                <w:b w:val="1"/>
                <w:bCs w:val="1"/>
                <w:color w:val="auto"/>
                <w:w w:val="92"/>
              </w:rPr>
              <w:t>warrants and rights</w:t>
            </w:r>
            <w:r>
              <w:rPr>
                <w:rFonts w:ascii="Arial" w:cs="Arial" w:eastAsia="Arial" w:hAnsi="Arial"/>
                <w:sz w:val="18"/>
                <w:szCs w:val="18"/>
                <w:b w:val="1"/>
                <w:bCs w:val="1"/>
                <w:color w:val="auto"/>
                <w:w w:val="92"/>
                <w:vertAlign w:val="superscript"/>
              </w:rPr>
              <w:t>(1)</w:t>
            </w:r>
          </w:p>
        </w:tc>
        <w:tc>
          <w:tcPr>
            <w:tcW w:w="2440" w:type="dxa"/>
            <w:vAlign w:val="bottom"/>
            <w:gridSpan w:val="2"/>
          </w:tcPr>
          <w:p>
            <w:pPr>
              <w:jc w:val="center"/>
              <w:ind w:right="320"/>
              <w:spacing w:after="0" w:line="201" w:lineRule="exact"/>
              <w:rPr>
                <w:sz w:val="20"/>
                <w:szCs w:val="20"/>
                <w:color w:val="auto"/>
              </w:rPr>
            </w:pPr>
            <w:r>
              <w:rPr>
                <w:rFonts w:ascii="Arial" w:cs="Arial" w:eastAsia="Arial" w:hAnsi="Arial"/>
                <w:sz w:val="14"/>
                <w:szCs w:val="14"/>
                <w:b w:val="1"/>
                <w:bCs w:val="1"/>
                <w:color w:val="auto"/>
                <w:w w:val="85"/>
              </w:rPr>
              <w:t>plans</w:t>
            </w:r>
            <w:r>
              <w:rPr>
                <w:rFonts w:ascii="Arial" w:cs="Arial" w:eastAsia="Arial" w:hAnsi="Arial"/>
                <w:sz w:val="18"/>
                <w:szCs w:val="18"/>
                <w:b w:val="1"/>
                <w:bCs w:val="1"/>
                <w:color w:val="auto"/>
                <w:w w:val="85"/>
                <w:vertAlign w:val="superscript"/>
              </w:rPr>
              <w:t>(2)</w:t>
            </w:r>
          </w:p>
        </w:tc>
      </w:tr>
      <w:tr>
        <w:trPr>
          <w:trHeight w:val="181"/>
        </w:trPr>
        <w:tc>
          <w:tcPr>
            <w:tcW w:w="3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3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(b)</w:t>
            </w:r>
          </w:p>
        </w:tc>
        <w:tc>
          <w:tcPr>
            <w:tcW w:w="320" w:type="dxa"/>
            <w:vAlign w:val="bottom"/>
          </w:tcPr>
          <w:p>
            <w:pPr>
              <w:spacing w:after="0"/>
              <w:rPr>
                <w:sz w:val="15"/>
                <w:szCs w:val="15"/>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340" w:type="dxa"/>
            <w:vAlign w:val="bottom"/>
          </w:tcPr>
          <w:p>
            <w:pPr>
              <w:spacing w:after="0"/>
              <w:rPr>
                <w:sz w:val="15"/>
                <w:szCs w:val="15"/>
                <w:color w:val="auto"/>
              </w:rPr>
            </w:pPr>
          </w:p>
        </w:tc>
      </w:tr>
      <w:tr>
        <w:trPr>
          <w:trHeight w:val="190"/>
        </w:trPr>
        <w:tc>
          <w:tcPr>
            <w:tcW w:w="3940" w:type="dxa"/>
            <w:vAlign w:val="bottom"/>
            <w:gridSpan w:val="2"/>
            <w:shd w:val="clear" w:color="auto" w:fill="CCEEFF"/>
          </w:tcPr>
          <w:p>
            <w:pPr>
              <w:ind w:left="20"/>
              <w:spacing w:after="0" w:line="190" w:lineRule="exact"/>
              <w:rPr>
                <w:sz w:val="20"/>
                <w:szCs w:val="20"/>
                <w:color w:val="auto"/>
              </w:rPr>
            </w:pPr>
            <w:r>
              <w:rPr>
                <w:rFonts w:ascii="Arial" w:cs="Arial" w:eastAsia="Arial" w:hAnsi="Arial"/>
                <w:sz w:val="14"/>
                <w:szCs w:val="14"/>
                <w:color w:val="auto"/>
              </w:rPr>
              <w:t xml:space="preserve">Equity compensation plans approved by security holders </w:t>
            </w:r>
            <w:r>
              <w:rPr>
                <w:rFonts w:ascii="Arial" w:cs="Arial" w:eastAsia="Arial" w:hAnsi="Arial"/>
                <w:sz w:val="18"/>
                <w:szCs w:val="18"/>
                <w:color w:val="auto"/>
                <w:vertAlign w:val="superscript"/>
              </w:rPr>
              <w:t>(3)</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10,248,906</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90"/>
              </w:rPr>
              <w:t>(4)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ind w:left="1540"/>
              <w:spacing w:after="0"/>
              <w:rPr>
                <w:sz w:val="20"/>
                <w:szCs w:val="20"/>
                <w:color w:val="auto"/>
              </w:rPr>
            </w:pPr>
            <w:r>
              <w:rPr>
                <w:rFonts w:ascii="Arial" w:cs="Arial" w:eastAsia="Arial" w:hAnsi="Arial"/>
                <w:sz w:val="14"/>
                <w:szCs w:val="14"/>
                <w:color w:val="auto"/>
              </w:rPr>
              <w:t xml:space="preserve">3.78 </w:t>
            </w:r>
            <w:r>
              <w:rPr>
                <w:rFonts w:ascii="Arial" w:cs="Arial" w:eastAsia="Arial" w:hAnsi="Arial"/>
                <w:sz w:val="9"/>
                <w:szCs w:val="9"/>
                <w:color w:val="auto"/>
              </w:rPr>
              <w:t>(5)</w:t>
            </w:r>
          </w:p>
        </w:tc>
        <w:tc>
          <w:tcPr>
            <w:tcW w:w="2440" w:type="dxa"/>
            <w:vAlign w:val="bottom"/>
            <w:gridSpan w:val="2"/>
            <w:shd w:val="clear" w:color="auto" w:fill="CCEEFF"/>
          </w:tcPr>
          <w:p>
            <w:pPr>
              <w:ind w:left="1460"/>
              <w:spacing w:after="0"/>
              <w:rPr>
                <w:sz w:val="20"/>
                <w:szCs w:val="20"/>
                <w:color w:val="auto"/>
              </w:rPr>
            </w:pPr>
            <w:r>
              <w:rPr>
                <w:rFonts w:ascii="Arial" w:cs="Arial" w:eastAsia="Arial" w:hAnsi="Arial"/>
                <w:sz w:val="14"/>
                <w:szCs w:val="14"/>
                <w:color w:val="auto"/>
              </w:rPr>
              <w:t xml:space="preserve">4,447,903 </w:t>
            </w:r>
            <w:r>
              <w:rPr>
                <w:rFonts w:ascii="Arial" w:cs="Arial" w:eastAsia="Arial" w:hAnsi="Arial"/>
                <w:sz w:val="9"/>
                <w:szCs w:val="9"/>
                <w:color w:val="auto"/>
              </w:rPr>
              <w:t>(6)</w:t>
            </w:r>
          </w:p>
        </w:tc>
      </w:tr>
      <w:tr>
        <w:trPr>
          <w:trHeight w:val="189"/>
        </w:trPr>
        <w:tc>
          <w:tcPr>
            <w:tcW w:w="394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w w:val="99"/>
              </w:rPr>
              <w:t xml:space="preserve">Equity compensation plans not approved by security holders </w:t>
            </w:r>
            <w:r>
              <w:rPr>
                <w:rFonts w:ascii="Arial" w:cs="Arial" w:eastAsia="Arial" w:hAnsi="Arial"/>
                <w:sz w:val="18"/>
                <w:szCs w:val="18"/>
                <w:color w:val="auto"/>
                <w:w w:val="99"/>
                <w:vertAlign w:val="superscript"/>
              </w:rPr>
              <w:t>(7)</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1,185,417</w:t>
            </w:r>
          </w:p>
        </w:tc>
        <w:tc>
          <w:tcPr>
            <w:tcW w:w="340" w:type="dxa"/>
            <w:vAlign w:val="bottom"/>
            <w:tcBorders>
              <w:bottom w:val="single" w:sz="8" w:color="CCEEFF"/>
            </w:tcBorders>
          </w:tcPr>
          <w:p>
            <w:pPr>
              <w:jc w:val="right"/>
              <w:ind w:right="173"/>
              <w:spacing w:after="0"/>
              <w:rPr>
                <w:sz w:val="20"/>
                <w:szCs w:val="20"/>
                <w:color w:val="auto"/>
              </w:rPr>
            </w:pPr>
            <w:r>
              <w:rPr>
                <w:rFonts w:ascii="Arial" w:cs="Arial" w:eastAsia="Arial" w:hAnsi="Arial"/>
                <w:sz w:val="9"/>
                <w:szCs w:val="9"/>
                <w:color w:val="auto"/>
                <w:w w:val="90"/>
              </w:rPr>
              <w:t>(8)</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tcPr>
          <w:p>
            <w:pPr>
              <w:ind w:left="1540"/>
              <w:spacing w:after="0"/>
              <w:rPr>
                <w:sz w:val="20"/>
                <w:szCs w:val="20"/>
                <w:color w:val="auto"/>
              </w:rPr>
            </w:pPr>
            <w:r>
              <w:rPr>
                <w:rFonts w:ascii="Arial" w:cs="Arial" w:eastAsia="Arial" w:hAnsi="Arial"/>
                <w:sz w:val="14"/>
                <w:szCs w:val="14"/>
                <w:color w:val="auto"/>
              </w:rPr>
              <w:t>5.36</w:t>
            </w:r>
          </w:p>
        </w:tc>
        <w:tc>
          <w:tcPr>
            <w:tcW w:w="32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w w:val="99"/>
              </w:rPr>
              <w:t>1,591,661</w:t>
            </w:r>
          </w:p>
        </w:tc>
        <w:tc>
          <w:tcPr>
            <w:tcW w:w="340" w:type="dxa"/>
            <w:vAlign w:val="bottom"/>
            <w:tcBorders>
              <w:bottom w:val="single" w:sz="8" w:color="CCEEFF"/>
            </w:tcBorders>
          </w:tcPr>
          <w:p>
            <w:pPr>
              <w:spacing w:after="0"/>
              <w:rPr>
                <w:sz w:val="16"/>
                <w:szCs w:val="16"/>
                <w:color w:val="auto"/>
              </w:rPr>
            </w:pPr>
          </w:p>
        </w:tc>
      </w:tr>
      <w:tr>
        <w:trPr>
          <w:trHeight w:val="208"/>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11,434,323</w:t>
            </w: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4"/>
                <w:szCs w:val="14"/>
                <w:color w:val="auto"/>
              </w:rPr>
              <w:t>3.94</w:t>
            </w:r>
          </w:p>
        </w:tc>
        <w:tc>
          <w:tcPr>
            <w:tcW w:w="32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4"/>
                <w:szCs w:val="14"/>
                <w:color w:val="auto"/>
                <w:w w:val="99"/>
              </w:rPr>
              <w:t>6,039,564</w:t>
            </w:r>
          </w:p>
        </w:tc>
        <w:tc>
          <w:tcPr>
            <w:tcW w:w="340" w:type="dxa"/>
            <w:vAlign w:val="bottom"/>
            <w:tcBorders>
              <w:bottom w:val="single" w:sz="8" w:color="CCEEFF"/>
            </w:tcBorders>
            <w:shd w:val="clear" w:color="auto" w:fill="CCEEFF"/>
          </w:tcPr>
          <w:p>
            <w:pPr>
              <w:spacing w:after="0"/>
              <w:rPr>
                <w:sz w:val="17"/>
                <w:szCs w:val="17"/>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weighted-average exercise price of outstanding options and is calculated without taking into account outstanding restricted stock units.</w:t>
      </w:r>
    </w:p>
    <w:p>
      <w:pPr>
        <w:spacing w:after="0" w:line="140" w:lineRule="exact"/>
        <w:rPr>
          <w:rFonts w:ascii="Arial" w:cs="Arial" w:eastAsia="Arial" w:hAnsi="Arial"/>
          <w:sz w:val="16"/>
          <w:szCs w:val="16"/>
          <w:color w:val="auto"/>
        </w:rPr>
      </w:pPr>
    </w:p>
    <w:p>
      <w:pPr>
        <w:ind w:left="340" w:right="160" w:hanging="332"/>
        <w:spacing w:after="0" w:line="287" w:lineRule="auto"/>
        <w:tabs>
          <w:tab w:leader="none" w:pos="334" w:val="left"/>
        </w:tabs>
        <w:numPr>
          <w:ilvl w:val="0"/>
          <w:numId w:val="33"/>
        </w:numPr>
        <w:rPr>
          <w:rFonts w:ascii="Arial" w:cs="Arial" w:eastAsia="Arial" w:hAnsi="Arial"/>
          <w:sz w:val="16"/>
          <w:szCs w:val="16"/>
          <w:color w:val="auto"/>
        </w:rPr>
      </w:pPr>
      <w:r>
        <w:rPr>
          <w:rFonts w:ascii="Arial" w:cs="Arial" w:eastAsia="Arial" w:hAnsi="Arial"/>
          <w:sz w:val="16"/>
          <w:szCs w:val="16"/>
          <w:color w:val="auto"/>
        </w:rPr>
        <w:t>Pursuant to the terms of the 2016 Plan, the number of shares of Common Stock available for issuance under the 2016 Plan automatically increases on each January 1, until and including January 1, 2026, by an amount equal to the lesser of: (a) 4% of the number of shares of the Company’s Common Stock outstanding on the last day of the applicable preceding calendar year and (b) such smaller number of shares as is determined by our Board.</w:t>
      </w:r>
    </w:p>
    <w:p>
      <w:pPr>
        <w:spacing w:after="0" w:line="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Pursuant to the terms of the 2016 Employee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line="311" w:lineRule="auto"/>
        <w:rPr>
          <w:sz w:val="20"/>
          <w:szCs w:val="20"/>
          <w:color w:val="auto"/>
        </w:rPr>
      </w:pPr>
      <w:r>
        <w:rPr>
          <w:rFonts w:ascii="Arial" w:cs="Arial" w:eastAsia="Arial" w:hAnsi="Arial"/>
          <w:sz w:val="16"/>
          <w:szCs w:val="16"/>
          <w:color w:val="auto"/>
        </w:rPr>
        <w:t>Stock Purchase Plan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w:t>
      </w:r>
    </w:p>
    <w:p>
      <w:pPr>
        <w:spacing w:after="0" w:line="41"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the 2016 Plan, the 2008 Plan and the 2016 ESPP.</w:t>
      </w:r>
    </w:p>
    <w:p>
      <w:pPr>
        <w:spacing w:after="0" w:line="117" w:lineRule="exact"/>
        <w:rPr>
          <w:rFonts w:ascii="Arial" w:cs="Arial" w:eastAsia="Arial" w:hAnsi="Arial"/>
          <w:sz w:val="18"/>
          <w:szCs w:val="18"/>
          <w:color w:val="auto"/>
        </w:rPr>
      </w:pPr>
    </w:p>
    <w:p>
      <w:pPr>
        <w:ind w:left="340" w:right="380" w:hanging="332"/>
        <w:spacing w:after="0" w:line="277"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9,528,817 outstanding options to purchase stock under the 2016 Plan, 350,700 outstanding restricted stock units and 369,389 outstanding options to purchase stock under the 2008 Plan.</w:t>
      </w:r>
    </w:p>
    <w:p>
      <w:pPr>
        <w:spacing w:after="0" w:line="62" w:lineRule="exact"/>
        <w:rPr>
          <w:rFonts w:ascii="Arial" w:cs="Arial" w:eastAsia="Arial" w:hAnsi="Arial"/>
          <w:sz w:val="18"/>
          <w:szCs w:val="18"/>
          <w:color w:val="auto"/>
        </w:rPr>
      </w:pPr>
    </w:p>
    <w:p>
      <w:pPr>
        <w:ind w:left="340" w:right="580" w:hanging="332"/>
        <w:spacing w:after="0" w:line="277"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December 31, 2021, the weighted-average exercise price of outstanding options under the 2016 Plan was $3.84 and the weighted-average exercise price of outstanding options under the 2008 Plan was $5.75.</w:t>
      </w:r>
    </w:p>
    <w:p>
      <w:pPr>
        <w:spacing w:after="0" w:line="62" w:lineRule="exact"/>
        <w:rPr>
          <w:rFonts w:ascii="Arial" w:cs="Arial" w:eastAsia="Arial" w:hAnsi="Arial"/>
          <w:sz w:val="18"/>
          <w:szCs w:val="18"/>
          <w:color w:val="auto"/>
        </w:rPr>
      </w:pPr>
    </w:p>
    <w:p>
      <w:pPr>
        <w:ind w:left="340" w:right="100" w:hanging="332"/>
        <w:spacing w:after="0" w:line="259"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1,925,537 shares available for issuance under the 2016 Plan and 2,522,366 shares available for issuance under the 2016 ESPP (of which 81,057 shares were issued with respect to the purchase period in effect as of December 31, 2021, which purchase period ended on February 28, 2022). To the extent outstanding stock options under the 2008 Plan are forfeited or lapse unexercised, the shares of Common Stock subject to such stock option awards will be available for issuance under the 2016 Plan.</w:t>
      </w:r>
    </w:p>
    <w:p>
      <w:pPr>
        <w:spacing w:after="0" w:line="78" w:lineRule="exact"/>
        <w:rPr>
          <w:rFonts w:ascii="Arial" w:cs="Arial" w:eastAsia="Arial" w:hAnsi="Arial"/>
          <w:sz w:val="18"/>
          <w:szCs w:val="18"/>
          <w:color w:val="auto"/>
        </w:rPr>
      </w:pPr>
    </w:p>
    <w:p>
      <w:pPr>
        <w:ind w:left="340" w:right="500" w:hanging="332"/>
        <w:spacing w:after="0" w:line="277"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the 2018 Plan. See Note 11 to our consolidated audited financial statements included in our 2021 Annual Report for a description of the material features of the 2018 Plan.</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1,141,667 outstanding options and 43,750 outstanding restricted stock units.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right="2740"/>
        <w:spacing w:after="0" w:line="378"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Common Stock</w:t>
      </w:r>
    </w:p>
    <w:p>
      <w:pPr>
        <w:ind w:firstLine="324"/>
        <w:spacing w:after="0" w:line="270" w:lineRule="auto"/>
        <w:rPr>
          <w:sz w:val="20"/>
          <w:szCs w:val="20"/>
          <w:color w:val="auto"/>
        </w:rPr>
      </w:pPr>
      <w:r>
        <w:rPr>
          <w:rFonts w:ascii="Arial" w:cs="Arial" w:eastAsia="Arial" w:hAnsi="Arial"/>
          <w:sz w:val="17"/>
          <w:szCs w:val="17"/>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April 18, 2022,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151,809,416 shares of Common Stock outstanding as of April 18, 2022. In computing the number of shares beneficially owned by a person and the percentage ownership of that person, shares of Common Stock subject to options, warrants or other rights held by such person that are currently exercisable or will become exercisable within 60 days of April 18, 2022 are considered outstanding, although these shares are not considered outstanding for purposes of computing the percentage ownership of any other person.</w:t>
      </w:r>
    </w:p>
    <w:p>
      <w:pPr>
        <w:spacing w:after="0" w:line="7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Unless otherwise indicated, the address of each beneficial owner listed below is 65 Grove Street, Watertown, Massachusetts 02472.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35"/>
        </w:trPr>
        <w:tc>
          <w:tcPr>
            <w:tcW w:w="6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shares</w:t>
            </w: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of shares</w:t>
            </w:r>
          </w:p>
        </w:tc>
        <w:tc>
          <w:tcPr>
            <w:tcW w:w="0" w:type="dxa"/>
            <w:vAlign w:val="bottom"/>
          </w:tcPr>
          <w:p>
            <w:pPr>
              <w:spacing w:after="0"/>
              <w:rPr>
                <w:sz w:val="1"/>
                <w:szCs w:val="1"/>
                <w:color w:val="auto"/>
              </w:rPr>
            </w:pPr>
          </w:p>
        </w:tc>
      </w:tr>
      <w:tr>
        <w:trPr>
          <w:trHeight w:val="135"/>
        </w:trPr>
        <w:tc>
          <w:tcPr>
            <w:tcW w:w="7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20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beneficially</w:t>
            </w: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beneficially</w:t>
            </w:r>
          </w:p>
        </w:tc>
        <w:tc>
          <w:tcPr>
            <w:tcW w:w="0" w:type="dxa"/>
            <w:vAlign w:val="bottom"/>
          </w:tcPr>
          <w:p>
            <w:pPr>
              <w:spacing w:after="0"/>
              <w:rPr>
                <w:sz w:val="1"/>
                <w:szCs w:val="1"/>
                <w:color w:val="auto"/>
              </w:rPr>
            </w:pPr>
          </w:p>
        </w:tc>
      </w:tr>
      <w:tr>
        <w:trPr>
          <w:trHeight w:val="188"/>
        </w:trPr>
        <w:tc>
          <w:tcPr>
            <w:tcW w:w="7020" w:type="dxa"/>
            <w:vAlign w:val="bottom"/>
            <w:gridSpan w:val="2"/>
            <w:vMerge w:val="continue"/>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owned</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0"/>
              </w:rPr>
              <w:t>owned</w:t>
            </w:r>
          </w:p>
        </w:tc>
        <w:tc>
          <w:tcPr>
            <w:tcW w:w="0" w:type="dxa"/>
            <w:vAlign w:val="bottom"/>
          </w:tcPr>
          <w:p>
            <w:pPr>
              <w:spacing w:after="0"/>
              <w:rPr>
                <w:sz w:val="1"/>
                <w:szCs w:val="1"/>
                <w:color w:val="auto"/>
              </w:rPr>
            </w:pPr>
          </w:p>
        </w:tc>
      </w:tr>
      <w:tr>
        <w:trPr>
          <w:trHeight w:val="184"/>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5% Stockholders</w:t>
            </w:r>
          </w:p>
        </w:tc>
        <w:tc>
          <w:tcPr>
            <w:tcW w:w="1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Entities affiliated with Timothy A. Springer, Ph.D. </w:t>
            </w:r>
            <w:r>
              <w:rPr>
                <w:rFonts w:ascii="Arial" w:cs="Arial" w:eastAsia="Arial" w:hAnsi="Arial"/>
                <w:sz w:val="18"/>
                <w:szCs w:val="18"/>
                <w:color w:val="auto"/>
                <w:vertAlign w:val="superscript"/>
              </w:rPr>
              <w:t>(1)</w:t>
            </w:r>
          </w:p>
        </w:tc>
        <w:tc>
          <w:tcPr>
            <w:tcW w:w="1960" w:type="dxa"/>
            <w:vAlign w:val="bottom"/>
          </w:tcPr>
          <w:p>
            <w:pPr>
              <w:jc w:val="right"/>
              <w:spacing w:after="0"/>
              <w:rPr>
                <w:sz w:val="20"/>
                <w:szCs w:val="20"/>
                <w:color w:val="auto"/>
              </w:rPr>
            </w:pPr>
            <w:r>
              <w:rPr>
                <w:rFonts w:ascii="Arial" w:cs="Arial" w:eastAsia="Arial" w:hAnsi="Arial"/>
                <w:sz w:val="14"/>
                <w:szCs w:val="14"/>
                <w:color w:val="auto"/>
              </w:rPr>
              <w:t>44,395,716</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27.9 %</w:t>
            </w:r>
          </w:p>
        </w:tc>
        <w:tc>
          <w:tcPr>
            <w:tcW w:w="0" w:type="dxa"/>
            <w:vAlign w:val="bottom"/>
          </w:tcPr>
          <w:p>
            <w:pPr>
              <w:spacing w:after="0"/>
              <w:rPr>
                <w:sz w:val="1"/>
                <w:szCs w:val="1"/>
                <w:color w:val="auto"/>
              </w:rPr>
            </w:pPr>
          </w:p>
        </w:tc>
      </w:tr>
      <w:tr>
        <w:trPr>
          <w:trHeight w:val="189"/>
        </w:trPr>
        <w:tc>
          <w:tcPr>
            <w:tcW w:w="7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Entities affiliated with Armistice Capital, LLC </w:t>
            </w:r>
            <w:r>
              <w:rPr>
                <w:rFonts w:ascii="Arial" w:cs="Arial" w:eastAsia="Arial" w:hAnsi="Arial"/>
                <w:sz w:val="18"/>
                <w:szCs w:val="18"/>
                <w:color w:val="auto"/>
                <w:vertAlign w:val="superscript"/>
              </w:rPr>
              <w:t>(2)</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21,875,000</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13.6 %</w:t>
            </w:r>
          </w:p>
        </w:tc>
        <w:tc>
          <w:tcPr>
            <w:tcW w:w="0" w:type="dxa"/>
            <w:vAlign w:val="bottom"/>
          </w:tcPr>
          <w:p>
            <w:pPr>
              <w:spacing w:after="0"/>
              <w:rPr>
                <w:sz w:val="1"/>
                <w:szCs w:val="1"/>
                <w:color w:val="auto"/>
              </w:rPr>
            </w:pPr>
          </w:p>
        </w:tc>
      </w:tr>
      <w:tr>
        <w:trPr>
          <w:trHeight w:val="189"/>
        </w:trPr>
        <w:tc>
          <w:tcPr>
            <w:tcW w:w="70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Entities affiliated with EcoR1 </w:t>
            </w:r>
            <w:r>
              <w:rPr>
                <w:rFonts w:ascii="Arial" w:cs="Arial" w:eastAsia="Arial" w:hAnsi="Arial"/>
                <w:sz w:val="18"/>
                <w:szCs w:val="18"/>
                <w:color w:val="auto"/>
                <w:vertAlign w:val="superscript"/>
              </w:rPr>
              <w:t>(3)</w:t>
            </w:r>
          </w:p>
        </w:tc>
        <w:tc>
          <w:tcPr>
            <w:tcW w:w="1960" w:type="dxa"/>
            <w:vAlign w:val="bottom"/>
          </w:tcPr>
          <w:p>
            <w:pPr>
              <w:jc w:val="right"/>
              <w:spacing w:after="0"/>
              <w:rPr>
                <w:sz w:val="20"/>
                <w:szCs w:val="20"/>
                <w:color w:val="auto"/>
              </w:rPr>
            </w:pPr>
            <w:r>
              <w:rPr>
                <w:rFonts w:ascii="Arial" w:cs="Arial" w:eastAsia="Arial" w:hAnsi="Arial"/>
                <w:sz w:val="14"/>
                <w:szCs w:val="14"/>
                <w:color w:val="auto"/>
              </w:rPr>
              <w:t>12,668,251</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70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Named Executive Officers, Directors and Nominees</w:t>
            </w: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0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Carsten Brunn, Ph.D. </w:t>
            </w:r>
            <w:r>
              <w:rPr>
                <w:rFonts w:ascii="Arial" w:cs="Arial" w:eastAsia="Arial" w:hAnsi="Arial"/>
                <w:sz w:val="18"/>
                <w:szCs w:val="18"/>
                <w:color w:val="auto"/>
                <w:vertAlign w:val="superscript"/>
              </w:rPr>
              <w:t>(4)</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2,384,150</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9"/>
        </w:trPr>
        <w:tc>
          <w:tcPr>
            <w:tcW w:w="70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Kevin Tan </w:t>
            </w:r>
            <w:r>
              <w:rPr>
                <w:rFonts w:ascii="Arial" w:cs="Arial" w:eastAsia="Arial" w:hAnsi="Arial"/>
                <w:sz w:val="18"/>
                <w:szCs w:val="18"/>
                <w:color w:val="auto"/>
                <w:vertAlign w:val="superscript"/>
              </w:rPr>
              <w:t>(5)</w:t>
            </w:r>
          </w:p>
        </w:tc>
        <w:tc>
          <w:tcPr>
            <w:tcW w:w="1960" w:type="dxa"/>
            <w:vAlign w:val="bottom"/>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Bradford D. Dahms </w:t>
            </w:r>
            <w:r>
              <w:rPr>
                <w:rFonts w:ascii="Arial" w:cs="Arial" w:eastAsia="Arial" w:hAnsi="Arial"/>
                <w:sz w:val="18"/>
                <w:szCs w:val="18"/>
                <w:color w:val="auto"/>
                <w:vertAlign w:val="superscript"/>
              </w:rPr>
              <w:t>(6)</w:t>
            </w: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0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Ann K. Donohue </w:t>
            </w:r>
            <w:r>
              <w:rPr>
                <w:rFonts w:ascii="Arial" w:cs="Arial" w:eastAsia="Arial" w:hAnsi="Arial"/>
                <w:sz w:val="18"/>
                <w:szCs w:val="18"/>
                <w:color w:val="auto"/>
                <w:vertAlign w:val="superscript"/>
              </w:rPr>
              <w:t>(7)</w:t>
            </w:r>
          </w:p>
        </w:tc>
        <w:tc>
          <w:tcPr>
            <w:tcW w:w="1960" w:type="dxa"/>
            <w:vAlign w:val="bottom"/>
          </w:tcPr>
          <w:p>
            <w:pPr>
              <w:jc w:val="right"/>
              <w:spacing w:after="0"/>
              <w:rPr>
                <w:sz w:val="20"/>
                <w:szCs w:val="20"/>
                <w:color w:val="auto"/>
              </w:rPr>
            </w:pPr>
            <w:r>
              <w:rPr>
                <w:rFonts w:ascii="Arial" w:cs="Arial" w:eastAsia="Arial" w:hAnsi="Arial"/>
                <w:sz w:val="14"/>
                <w:szCs w:val="14"/>
                <w:color w:val="auto"/>
              </w:rPr>
              <w:t>106,233</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Peter G. Traber, M.D. </w:t>
            </w:r>
            <w:r>
              <w:rPr>
                <w:rFonts w:ascii="Arial" w:cs="Arial" w:eastAsia="Arial" w:hAnsi="Arial"/>
                <w:sz w:val="18"/>
                <w:szCs w:val="18"/>
                <w:color w:val="auto"/>
                <w:vertAlign w:val="superscript"/>
              </w:rPr>
              <w:t>(8)</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502,933</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0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Takashi Kei Kishimoto, Ph.D. </w:t>
            </w:r>
            <w:r>
              <w:rPr>
                <w:rFonts w:ascii="Arial" w:cs="Arial" w:eastAsia="Arial" w:hAnsi="Arial"/>
                <w:sz w:val="18"/>
                <w:szCs w:val="18"/>
                <w:color w:val="auto"/>
                <w:vertAlign w:val="superscript"/>
              </w:rPr>
              <w:t>(9)</w:t>
            </w:r>
          </w:p>
        </w:tc>
        <w:tc>
          <w:tcPr>
            <w:tcW w:w="1960" w:type="dxa"/>
            <w:vAlign w:val="bottom"/>
          </w:tcPr>
          <w:p>
            <w:pPr>
              <w:jc w:val="right"/>
              <w:spacing w:after="0"/>
              <w:rPr>
                <w:sz w:val="20"/>
                <w:szCs w:val="20"/>
                <w:color w:val="auto"/>
              </w:rPr>
            </w:pPr>
            <w:r>
              <w:rPr>
                <w:rFonts w:ascii="Arial" w:cs="Arial" w:eastAsia="Arial" w:hAnsi="Arial"/>
                <w:sz w:val="14"/>
                <w:szCs w:val="14"/>
                <w:color w:val="auto"/>
              </w:rPr>
              <w:t>776,809</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Lloyd Johnston, Ph.D. </w:t>
            </w:r>
            <w:r>
              <w:rPr>
                <w:rFonts w:ascii="Arial" w:cs="Arial" w:eastAsia="Arial" w:hAnsi="Arial"/>
                <w:sz w:val="18"/>
                <w:szCs w:val="18"/>
                <w:color w:val="auto"/>
                <w:vertAlign w:val="superscript"/>
              </w:rPr>
              <w:t>(10)</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684,908</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7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Carrie S. Cox </w:t>
            </w:r>
            <w:r>
              <w:rPr>
                <w:rFonts w:ascii="Arial" w:cs="Arial" w:eastAsia="Arial" w:hAnsi="Arial"/>
                <w:sz w:val="18"/>
                <w:szCs w:val="18"/>
                <w:color w:val="auto"/>
                <w:vertAlign w:val="superscript"/>
              </w:rPr>
              <w:t>(11)</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222,387</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0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Göran Ando, M.D. </w:t>
            </w:r>
            <w:r>
              <w:rPr>
                <w:rFonts w:ascii="Arial" w:cs="Arial" w:eastAsia="Arial" w:hAnsi="Arial"/>
                <w:sz w:val="18"/>
                <w:szCs w:val="18"/>
                <w:color w:val="auto"/>
                <w:vertAlign w:val="superscript"/>
              </w:rPr>
              <w:t>(12)</w:t>
            </w:r>
          </w:p>
        </w:tc>
        <w:tc>
          <w:tcPr>
            <w:tcW w:w="1960" w:type="dxa"/>
            <w:vAlign w:val="bottom"/>
          </w:tcPr>
          <w:p>
            <w:pPr>
              <w:jc w:val="right"/>
              <w:spacing w:after="0"/>
              <w:rPr>
                <w:sz w:val="20"/>
                <w:szCs w:val="20"/>
                <w:color w:val="auto"/>
              </w:rPr>
            </w:pPr>
            <w:r>
              <w:rPr>
                <w:rFonts w:ascii="Arial" w:cs="Arial" w:eastAsia="Arial" w:hAnsi="Arial"/>
                <w:sz w:val="14"/>
                <w:szCs w:val="14"/>
                <w:color w:val="auto"/>
              </w:rPr>
              <w:t>67,777</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Timothy C. Barabe </w:t>
            </w:r>
            <w:r>
              <w:rPr>
                <w:rFonts w:ascii="Arial" w:cs="Arial" w:eastAsia="Arial" w:hAnsi="Arial"/>
                <w:sz w:val="18"/>
                <w:szCs w:val="18"/>
                <w:color w:val="auto"/>
                <w:vertAlign w:val="superscript"/>
              </w:rPr>
              <w:t>(13)</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286,751</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0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Nishan de Silva, M.D., M.B.A. </w:t>
            </w:r>
            <w:r>
              <w:rPr>
                <w:rFonts w:ascii="Arial" w:cs="Arial" w:eastAsia="Arial" w:hAnsi="Arial"/>
                <w:sz w:val="18"/>
                <w:szCs w:val="18"/>
                <w:color w:val="auto"/>
                <w:vertAlign w:val="superscript"/>
              </w:rPr>
              <w:t>(14)</w:t>
            </w:r>
          </w:p>
        </w:tc>
        <w:tc>
          <w:tcPr>
            <w:tcW w:w="1960" w:type="dxa"/>
            <w:vAlign w:val="bottom"/>
          </w:tcPr>
          <w:p>
            <w:pPr>
              <w:jc w:val="right"/>
              <w:spacing w:after="0"/>
              <w:rPr>
                <w:sz w:val="20"/>
                <w:szCs w:val="20"/>
                <w:color w:val="auto"/>
              </w:rPr>
            </w:pPr>
            <w:r>
              <w:rPr>
                <w:rFonts w:ascii="Arial" w:cs="Arial" w:eastAsia="Arial" w:hAnsi="Arial"/>
                <w:sz w:val="14"/>
                <w:szCs w:val="14"/>
                <w:color w:val="auto"/>
              </w:rPr>
              <w:t>31,444</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Scott D. Myers </w:t>
            </w:r>
            <w:r>
              <w:rPr>
                <w:rFonts w:ascii="Arial" w:cs="Arial" w:eastAsia="Arial" w:hAnsi="Arial"/>
                <w:sz w:val="18"/>
                <w:szCs w:val="18"/>
                <w:color w:val="auto"/>
                <w:vertAlign w:val="superscript"/>
              </w:rPr>
              <w:t>(15)</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180,549</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0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Aymeric Sallin </w:t>
            </w:r>
            <w:r>
              <w:rPr>
                <w:rFonts w:ascii="Arial" w:cs="Arial" w:eastAsia="Arial" w:hAnsi="Arial"/>
                <w:sz w:val="18"/>
                <w:szCs w:val="18"/>
                <w:color w:val="auto"/>
                <w:vertAlign w:val="superscript"/>
              </w:rPr>
              <w:t>(16)</w:t>
            </w:r>
          </w:p>
        </w:tc>
        <w:tc>
          <w:tcPr>
            <w:tcW w:w="1960" w:type="dxa"/>
            <w:vAlign w:val="bottom"/>
          </w:tcPr>
          <w:p>
            <w:pPr>
              <w:jc w:val="right"/>
              <w:spacing w:after="0"/>
              <w:rPr>
                <w:sz w:val="20"/>
                <w:szCs w:val="20"/>
                <w:color w:val="auto"/>
              </w:rPr>
            </w:pPr>
            <w:r>
              <w:rPr>
                <w:rFonts w:ascii="Arial" w:cs="Arial" w:eastAsia="Arial" w:hAnsi="Arial"/>
                <w:sz w:val="14"/>
                <w:szCs w:val="14"/>
                <w:color w:val="auto"/>
              </w:rPr>
              <w:t>86,410</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Timothy A. Springer, Ph.D. </w:t>
            </w:r>
            <w:r>
              <w:rPr>
                <w:rFonts w:ascii="Arial" w:cs="Arial" w:eastAsia="Arial" w:hAnsi="Arial"/>
                <w:sz w:val="18"/>
                <w:szCs w:val="18"/>
                <w:color w:val="auto"/>
                <w:vertAlign w:val="superscript"/>
              </w:rPr>
              <w:t>(1)</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44,395,716</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27.9 %</w:t>
            </w:r>
          </w:p>
        </w:tc>
        <w:tc>
          <w:tcPr>
            <w:tcW w:w="0" w:type="dxa"/>
            <w:vAlign w:val="bottom"/>
          </w:tcPr>
          <w:p>
            <w:pPr>
              <w:spacing w:after="0"/>
              <w:rPr>
                <w:sz w:val="1"/>
                <w:szCs w:val="1"/>
                <w:color w:val="auto"/>
              </w:rPr>
            </w:pPr>
          </w:p>
        </w:tc>
      </w:tr>
      <w:tr>
        <w:trPr>
          <w:trHeight w:val="189"/>
        </w:trPr>
        <w:tc>
          <w:tcPr>
            <w:tcW w:w="70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Patrick Zenner </w:t>
            </w:r>
            <w:r>
              <w:rPr>
                <w:rFonts w:ascii="Arial" w:cs="Arial" w:eastAsia="Arial" w:hAnsi="Arial"/>
                <w:sz w:val="18"/>
                <w:szCs w:val="18"/>
                <w:color w:val="auto"/>
                <w:vertAlign w:val="superscript"/>
              </w:rPr>
              <w:t>(17)</w:t>
            </w:r>
          </w:p>
        </w:tc>
        <w:tc>
          <w:tcPr>
            <w:tcW w:w="1960" w:type="dxa"/>
            <w:vAlign w:val="bottom"/>
          </w:tcPr>
          <w:p>
            <w:pPr>
              <w:jc w:val="right"/>
              <w:spacing w:after="0"/>
              <w:rPr>
                <w:sz w:val="20"/>
                <w:szCs w:val="20"/>
                <w:color w:val="auto"/>
              </w:rPr>
            </w:pPr>
            <w:r>
              <w:rPr>
                <w:rFonts w:ascii="Arial" w:cs="Arial" w:eastAsia="Arial" w:hAnsi="Arial"/>
                <w:sz w:val="14"/>
                <w:szCs w:val="14"/>
                <w:color w:val="auto"/>
              </w:rPr>
              <w:t>148,068</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 xml:space="preserve">All executive officers, directors and director nominees as a group (15 persons) </w:t>
            </w:r>
            <w:r>
              <w:rPr>
                <w:rFonts w:ascii="Arial" w:cs="Arial" w:eastAsia="Arial" w:hAnsi="Arial"/>
                <w:sz w:val="18"/>
                <w:szCs w:val="18"/>
                <w:color w:val="auto"/>
                <w:vertAlign w:val="superscript"/>
              </w:rPr>
              <w:t>(18)</w:t>
            </w:r>
          </w:p>
        </w:tc>
        <w:tc>
          <w:tcPr>
            <w:tcW w:w="1960" w:type="dxa"/>
            <w:vAlign w:val="bottom"/>
          </w:tcPr>
          <w:p>
            <w:pPr>
              <w:jc w:val="right"/>
              <w:spacing w:after="0"/>
              <w:rPr>
                <w:sz w:val="20"/>
                <w:szCs w:val="20"/>
                <w:color w:val="auto"/>
              </w:rPr>
            </w:pPr>
            <w:r>
              <w:rPr>
                <w:rFonts w:ascii="Arial" w:cs="Arial" w:eastAsia="Arial" w:hAnsi="Arial"/>
                <w:sz w:val="14"/>
                <w:szCs w:val="14"/>
                <w:color w:val="auto"/>
              </w:rPr>
              <w:t>49,879,135</w:t>
            </w:r>
          </w:p>
        </w:tc>
        <w:tc>
          <w:tcPr>
            <w:tcW w:w="1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30.5 %</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Represents beneficial ownership of less than one percent of our outstanding Common Stock.</w:t>
      </w:r>
    </w:p>
    <w:p>
      <w:pPr>
        <w:spacing w:after="0" w:line="117" w:lineRule="exact"/>
        <w:rPr>
          <w:sz w:val="20"/>
          <w:szCs w:val="20"/>
          <w:color w:val="auto"/>
        </w:rPr>
      </w:pPr>
    </w:p>
    <w:p>
      <w:pPr>
        <w:ind w:left="500" w:right="60" w:hanging="492"/>
        <w:spacing w:after="0" w:line="272" w:lineRule="auto"/>
        <w:tabs>
          <w:tab w:leader="none" w:pos="494"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a Schedule 13D/A filed with the SEC on December 27, 2021 and other information known to us, consists of (i) 7,293,625 shares of Common Stock held directly by Timothy A. Springer, Ph.D., our director, (ii) 79,130 shares of Common Stock issuable upon exercise of underlying warrants exercisable within 60 days of April 18, 2022 held directly by Timothy Springer, (iii) 86,410 shares of Common Stock issuable upon exercise of outstanding options within 60 days of April 18, 2022 and held directly by Timothy Springer, (iv) 29,868,490 shares of Common Stock held by TAS Partners LLC (“TAS”) directly, (v) 6,981,643 shares of Common Stock issuable upon exercise of underlying warrants exercisable within 60 days of April 18, 2022, and (vi) 86,418 shares of Common Stock held by Dr. Chafen Lu, Timothy Springer’s wife. Dr. Springer is the sole managing member of TAS. Dr. Springer exercises sole voting and dispositive power over</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500" w:right="80"/>
        <w:spacing w:after="0" w:line="263" w:lineRule="auto"/>
        <w:rPr>
          <w:sz w:val="20"/>
          <w:szCs w:val="20"/>
          <w:color w:val="auto"/>
        </w:rPr>
      </w:pPr>
      <w:r>
        <w:rPr>
          <w:rFonts w:ascii="Arial" w:cs="Arial" w:eastAsia="Arial" w:hAnsi="Arial"/>
          <w:sz w:val="18"/>
          <w:szCs w:val="18"/>
          <w:color w:val="auto"/>
        </w:rPr>
        <w:t>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76" w:lineRule="exact"/>
        <w:rPr>
          <w:sz w:val="20"/>
          <w:szCs w:val="20"/>
          <w:color w:val="auto"/>
        </w:rPr>
      </w:pPr>
    </w:p>
    <w:p>
      <w:pPr>
        <w:ind w:left="500" w:right="140" w:hanging="492"/>
        <w:spacing w:after="0" w:line="259" w:lineRule="auto"/>
        <w:tabs>
          <w:tab w:leader="none" w:pos="4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solely on information known to us, consists of (i) 12,500,000 shares of Common Stock held by Armistice Capital Master Fund Ltd., and (ii) 9,375,000 shares of Common Stock issuable upon exercise of underlying warrants exercisable within 60 days of April 18, 2022. Armistice Capital, LLC is the general partner of Armistice Capital Master Fund Ltd. The principal business address of Armistice Capital Master Fund Ltd. is 510 Madison Avenue, New York, NY 10022.</w:t>
      </w:r>
    </w:p>
    <w:p>
      <w:pPr>
        <w:spacing w:after="0" w:line="78" w:lineRule="exact"/>
        <w:rPr>
          <w:rFonts w:ascii="Arial" w:cs="Arial" w:eastAsia="Arial" w:hAnsi="Arial"/>
          <w:sz w:val="18"/>
          <w:szCs w:val="18"/>
          <w:color w:val="auto"/>
        </w:rPr>
      </w:pPr>
    </w:p>
    <w:p>
      <w:pPr>
        <w:ind w:left="500" w:hanging="492"/>
        <w:spacing w:after="0" w:line="269" w:lineRule="auto"/>
        <w:tabs>
          <w:tab w:leader="none" w:pos="494"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a Schedule 13G filed with the SEC on February 12, 2021 by EcoR1 Capital, LLC, and other information known to us, consists of (i) 2,541,050 shares of Common Stock held by EcoR1 Capital, LLC, (ii) 567,857 shares of Common Stock issuable upon exercise of underlying warrants exercisable within 60 days of April 18, 2022 held by EcoR1 Capital Fund, LP, (iii) 5,203,351 shares of Common Stock held by EcoR1 Capital Fund Qualified, LP (together with EcoR1 Capital Fund, LP, the “EcoR1 Funds”), and (iv) 4,355,993 shares of Common Stock issuable upon exercise of underlying warrants exercisable within 60 days of April 18, 2022 held by EcoR1 Capital Fund Qualified, LP. Certain warrants restrict the ability of the holder to exercise the warrants to the extent that the holder and its affiliates would beneficially own more than 9.999%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EcoR1 Capital, LLC (“EcoR1”) is the general partner of the EcoR1 Funds. The principal business address of the EcoR1 Funds and Oleg Nodelman is 357 Tehama Street, #3, San Francisco, California, 94103.</w:t>
      </w:r>
    </w:p>
    <w:p>
      <w:pPr>
        <w:spacing w:after="0" w:line="77" w:lineRule="exact"/>
        <w:rPr>
          <w:rFonts w:ascii="Arial" w:cs="Arial" w:eastAsia="Arial" w:hAnsi="Arial"/>
          <w:sz w:val="17"/>
          <w:szCs w:val="17"/>
          <w:color w:val="auto"/>
        </w:rPr>
      </w:pPr>
    </w:p>
    <w:p>
      <w:pPr>
        <w:ind w:left="500" w:right="160" w:hanging="492"/>
        <w:spacing w:after="0" w:line="263" w:lineRule="auto"/>
        <w:tabs>
          <w:tab w:leader="none" w:pos="4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187,452 shares of Common Stock held by Dr. Brunn directly, (ii) 2,185,760 shares of Common Stock underlying outstanding stock options exercisable within 60 days of April 18, 2022, and (iii) 10,938 shares of Common Stock underlying outstanding restricted stock units which will vest within 60 days of April 18, 2022.</w:t>
      </w:r>
    </w:p>
    <w:p>
      <w:pPr>
        <w:spacing w:after="0" w:line="75" w:lineRule="exact"/>
        <w:rPr>
          <w:rFonts w:ascii="Arial" w:cs="Arial" w:eastAsia="Arial" w:hAnsi="Arial"/>
          <w:sz w:val="18"/>
          <w:szCs w:val="18"/>
          <w:color w:val="auto"/>
        </w:rPr>
      </w:pPr>
    </w:p>
    <w:p>
      <w:pPr>
        <w:ind w:left="480" w:hanging="472"/>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5,000 shares of Common Stock held by Mr. Tan directly.</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are not aware of any beneficial ownership of Common Stock by Mr. Dahms.</w:t>
      </w:r>
    </w:p>
    <w:p>
      <w:pPr>
        <w:spacing w:after="0" w:line="117" w:lineRule="exact"/>
        <w:rPr>
          <w:rFonts w:ascii="Arial" w:cs="Arial" w:eastAsia="Arial" w:hAnsi="Arial"/>
          <w:sz w:val="18"/>
          <w:szCs w:val="18"/>
          <w:color w:val="auto"/>
        </w:rPr>
      </w:pPr>
    </w:p>
    <w:p>
      <w:pPr>
        <w:ind w:left="500" w:right="280" w:hanging="492"/>
        <w:spacing w:after="0" w:line="277" w:lineRule="auto"/>
        <w:tabs>
          <w:tab w:leader="none" w:pos="4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6,047 shares of Common Stock held by Ms. Donohue directly, (ii) 100,186 shares of Common Stock underlying outstanding stock options exercisable within 60 days of April 18, 2022.</w:t>
      </w:r>
    </w:p>
    <w:p>
      <w:pPr>
        <w:spacing w:after="0" w:line="62" w:lineRule="exact"/>
        <w:rPr>
          <w:rFonts w:ascii="Arial" w:cs="Arial" w:eastAsia="Arial" w:hAnsi="Arial"/>
          <w:sz w:val="18"/>
          <w:szCs w:val="18"/>
          <w:color w:val="auto"/>
        </w:rPr>
      </w:pPr>
    </w:p>
    <w:p>
      <w:pPr>
        <w:ind w:left="500" w:right="340" w:hanging="492"/>
        <w:spacing w:after="0" w:line="277" w:lineRule="auto"/>
        <w:tabs>
          <w:tab w:leader="none" w:pos="4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123,555 shares of Common Stock held by Dr. Traber directly, (ii) 379,378 shares of Common Stock underlying outstanding stock options exercisable within 60 days of April 18, 2022.</w:t>
      </w:r>
    </w:p>
    <w:p>
      <w:pPr>
        <w:spacing w:after="0" w:line="62" w:lineRule="exact"/>
        <w:rPr>
          <w:rFonts w:ascii="Arial" w:cs="Arial" w:eastAsia="Arial" w:hAnsi="Arial"/>
          <w:sz w:val="18"/>
          <w:szCs w:val="18"/>
          <w:color w:val="auto"/>
        </w:rPr>
      </w:pPr>
    </w:p>
    <w:p>
      <w:pPr>
        <w:ind w:left="500" w:right="60" w:hanging="492"/>
        <w:spacing w:after="0" w:line="277" w:lineRule="auto"/>
        <w:tabs>
          <w:tab w:leader="none" w:pos="4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178,277 shares of Common Stock held by Dr. Kishimoto directly, (ii) 598,532 shares of Common Stock underlying outstanding stock options exercisable within 60 days of April 18, 2022.</w:t>
      </w:r>
    </w:p>
    <w:p>
      <w:pPr>
        <w:spacing w:after="0" w:line="62" w:lineRule="exact"/>
        <w:rPr>
          <w:rFonts w:ascii="Arial" w:cs="Arial" w:eastAsia="Arial" w:hAnsi="Arial"/>
          <w:sz w:val="18"/>
          <w:szCs w:val="18"/>
          <w:color w:val="auto"/>
        </w:rPr>
      </w:pPr>
    </w:p>
    <w:p>
      <w:pPr>
        <w:ind w:left="500" w:right="260" w:hanging="492"/>
        <w:spacing w:after="0" w:line="277" w:lineRule="auto"/>
        <w:tabs>
          <w:tab w:leader="none" w:pos="4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71,799 shares of Common Stock held by Dr. Johnston directly, (ii) 613,109 shares of Common Stock underlying outstanding stock options exercisable within 60 days of April 18, 2022.</w:t>
      </w:r>
    </w:p>
    <w:p>
      <w:pPr>
        <w:spacing w:after="0" w:line="62" w:lineRule="exact"/>
        <w:rPr>
          <w:rFonts w:ascii="Arial" w:cs="Arial" w:eastAsia="Arial" w:hAnsi="Arial"/>
          <w:sz w:val="18"/>
          <w:szCs w:val="18"/>
          <w:color w:val="auto"/>
        </w:rPr>
      </w:pPr>
    </w:p>
    <w:p>
      <w:pPr>
        <w:jc w:val="both"/>
        <w:ind w:left="500" w:right="100" w:hanging="492"/>
        <w:spacing w:after="0" w:line="263" w:lineRule="auto"/>
        <w:tabs>
          <w:tab w:leader="none" w:pos="4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82,881 shares of Common Stock held by Ms. Cox directly, (ii) 32,840 shares of Common Stock issuable upon exercise of underlying warrants exercisable within 60 days of April 18, 2022, and (iii) 106,666 shares of Common Stock underlying outstanding stock options exercisable within 60 days of April 18, 2022.</w:t>
      </w:r>
    </w:p>
    <w:p>
      <w:pPr>
        <w:spacing w:after="0" w:line="75" w:lineRule="exact"/>
        <w:rPr>
          <w:rFonts w:ascii="Arial" w:cs="Arial" w:eastAsia="Arial" w:hAnsi="Arial"/>
          <w:sz w:val="18"/>
          <w:szCs w:val="18"/>
          <w:color w:val="auto"/>
        </w:rPr>
      </w:pPr>
    </w:p>
    <w:p>
      <w:pPr>
        <w:ind w:left="500" w:right="280" w:hanging="492"/>
        <w:spacing w:after="0" w:line="277" w:lineRule="auto"/>
        <w:tabs>
          <w:tab w:leader="none" w:pos="4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67,777 shares of Common Stock underlying outstanding stock options exercisable within 60 days of April 18, 2022 held by Dr. Ando directly.</w:t>
      </w:r>
    </w:p>
    <w:p>
      <w:pPr>
        <w:spacing w:after="0" w:line="62" w:lineRule="exact"/>
        <w:rPr>
          <w:rFonts w:ascii="Arial" w:cs="Arial" w:eastAsia="Arial" w:hAnsi="Arial"/>
          <w:sz w:val="18"/>
          <w:szCs w:val="18"/>
          <w:color w:val="auto"/>
        </w:rPr>
      </w:pPr>
    </w:p>
    <w:p>
      <w:pPr>
        <w:ind w:left="500" w:right="360" w:hanging="492"/>
        <w:spacing w:after="0" w:line="277" w:lineRule="auto"/>
        <w:tabs>
          <w:tab w:leader="none" w:pos="4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200,013 shares of Common Stock held by Mr. Barabe directly, (ii) 86,738 shares of Common Stock underlying outstanding stock options exercisable within 60 days of April 18, 2022.</w:t>
      </w:r>
    </w:p>
    <w:p>
      <w:pPr>
        <w:spacing w:after="0" w:line="62" w:lineRule="exact"/>
        <w:rPr>
          <w:rFonts w:ascii="Arial" w:cs="Arial" w:eastAsia="Arial" w:hAnsi="Arial"/>
          <w:sz w:val="18"/>
          <w:szCs w:val="18"/>
          <w:color w:val="auto"/>
        </w:rPr>
      </w:pPr>
    </w:p>
    <w:p>
      <w:pPr>
        <w:ind w:left="500" w:right="500" w:hanging="492"/>
        <w:spacing w:after="0" w:line="277" w:lineRule="auto"/>
        <w:tabs>
          <w:tab w:leader="none" w:pos="4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7,000 shares of Common Stock held by Dr. de Silva directly, (ii) 24,444 shares of Common Stock underlying outstanding stock options exercisable within 60 days of April 18, 2022.</w:t>
      </w:r>
    </w:p>
    <w:p>
      <w:pPr>
        <w:spacing w:after="0" w:line="62" w:lineRule="exact"/>
        <w:rPr>
          <w:rFonts w:ascii="Arial" w:cs="Arial" w:eastAsia="Arial" w:hAnsi="Arial"/>
          <w:sz w:val="18"/>
          <w:szCs w:val="18"/>
          <w:color w:val="auto"/>
        </w:rPr>
      </w:pPr>
    </w:p>
    <w:p>
      <w:pPr>
        <w:ind w:left="500" w:right="260" w:hanging="492"/>
        <w:spacing w:after="0" w:line="263" w:lineRule="auto"/>
        <w:tabs>
          <w:tab w:leader="none" w:pos="4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80,845 shares of Common Stock held by Mr. Myers directly, (ii) 19,704 shares of Common Stock issuable upon exercise of underlying warrants exercisable within 60 days of April 18, 2022, and (iii) 80,000 shares of Common Stock underlying outstanding stock options exercisable within 60 days of April 18, 2022.</w:t>
      </w:r>
    </w:p>
    <w:p>
      <w:pPr>
        <w:spacing w:after="0" w:line="75" w:lineRule="exact"/>
        <w:rPr>
          <w:rFonts w:ascii="Arial" w:cs="Arial" w:eastAsia="Arial" w:hAnsi="Arial"/>
          <w:sz w:val="18"/>
          <w:szCs w:val="18"/>
          <w:color w:val="auto"/>
        </w:rPr>
      </w:pPr>
    </w:p>
    <w:p>
      <w:pPr>
        <w:ind w:left="500" w:right="220" w:hanging="492"/>
        <w:spacing w:after="0" w:line="277" w:lineRule="auto"/>
        <w:tabs>
          <w:tab w:leader="none" w:pos="4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86,410 shares of Common Stock underlying outstanding stock options exercisable within 60 days of April 18, 2022 held by Mr. Sallin directly.</w:t>
      </w:r>
    </w:p>
    <w:p>
      <w:pPr>
        <w:spacing w:after="0" w:line="62" w:lineRule="exact"/>
        <w:rPr>
          <w:rFonts w:ascii="Arial" w:cs="Arial" w:eastAsia="Arial" w:hAnsi="Arial"/>
          <w:sz w:val="18"/>
          <w:szCs w:val="18"/>
          <w:color w:val="auto"/>
        </w:rPr>
      </w:pPr>
    </w:p>
    <w:p>
      <w:pPr>
        <w:ind w:left="500" w:right="360" w:hanging="492"/>
        <w:spacing w:after="0" w:line="277" w:lineRule="auto"/>
        <w:tabs>
          <w:tab w:leader="none" w:pos="4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55,248 shares of Common Stock held by Mr. Zenner directly, and (ii) 92,820 shares of Common Stock underlying outstanding stock options exercisable within 60 days of April 18, 2022.</w:t>
      </w:r>
    </w:p>
    <w:p>
      <w:pPr>
        <w:spacing w:after="0" w:line="62" w:lineRule="exact"/>
        <w:rPr>
          <w:rFonts w:ascii="Arial" w:cs="Arial" w:eastAsia="Arial" w:hAnsi="Arial"/>
          <w:sz w:val="18"/>
          <w:szCs w:val="18"/>
          <w:color w:val="auto"/>
        </w:rPr>
      </w:pPr>
    </w:p>
    <w:p>
      <w:pPr>
        <w:ind w:left="500" w:right="600" w:hanging="492"/>
        <w:spacing w:after="0" w:line="263" w:lineRule="auto"/>
        <w:tabs>
          <w:tab w:leader="none" w:pos="4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(i) 38,246,650 shares of Common Stock owned directly or beneficially by our executive officers or members of our Board and (ii) 11,632,485 shares of Common Stock underlying outstanding stock options, restricted stock units, and warrants exercisable within 60 days of April 18, 2022.</w:t>
      </w:r>
    </w:p>
    <w:p>
      <w:pPr>
        <w:sectPr>
          <w:pgSz w:w="11900" w:h="16838" w:orient="portrait"/>
          <w:cols w:equalWidth="0" w:num="1">
            <w:col w:w="11220"/>
          </w:cols>
          <w:pgMar w:left="320" w:top="125" w:right="35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right="4640"/>
        <w:spacing w:after="0" w:line="378"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Policies And Procedures For Related Person Transactions</w:t>
      </w:r>
    </w:p>
    <w:p>
      <w:pPr>
        <w:ind w:firstLine="324"/>
        <w:spacing w:after="0" w:line="268" w:lineRule="auto"/>
        <w:rPr>
          <w:sz w:val="20"/>
          <w:szCs w:val="20"/>
          <w:color w:val="auto"/>
        </w:rPr>
      </w:pPr>
      <w:r>
        <w:rPr>
          <w:rFonts w:ascii="Arial" w:cs="Arial" w:eastAsia="Arial" w:hAnsi="Arial"/>
          <w:sz w:val="17"/>
          <w:szCs w:val="17"/>
          <w:color w:val="auto"/>
        </w:rPr>
        <w:t>Our Board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7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are certain transactions, arrangements and relationships with our directors, executive officers and stockholders owning 5% or more of our outstanding Common Stock since January 1,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2022 Offering</w:t>
      </w:r>
    </w:p>
    <w:p>
      <w:pPr>
        <w:spacing w:after="0" w:line="121"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April 2022, we completed an SEC-registered securities offering pursuant to which we issued and sold an aggregate of 27,428,572 shares of our Common Stock and accompanying warrants to purchase 20,571,429 shares of our Common Stock, at a combined purchase price of $1.41, for aggregate gross proceeds to us of approximately $36.0 million. The following table sets forth the number of shares of Common Stock purchased in our private placement offering by executive officers, as of the time of the offering, directors and related parties thereto:</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Shares of Common Stock</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7080" w:type="dxa"/>
            <w:vAlign w:val="bottom"/>
            <w:gridSpan w:val="2"/>
            <w:vMerge w:val="continue"/>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Purchased</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84"/>
        </w:trPr>
        <w:tc>
          <w:tcPr>
            <w:tcW w:w="698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4"/>
                <w:szCs w:val="14"/>
                <w:b w:val="1"/>
                <w:bCs w:val="1"/>
                <w:i w:val="1"/>
                <w:iCs w:val="1"/>
                <w:color w:val="auto"/>
              </w:rPr>
              <w:t>5% Stockholders</w:t>
            </w:r>
            <w:r>
              <w:rPr>
                <w:rFonts w:ascii="Arial" w:cs="Arial" w:eastAsia="Arial" w:hAnsi="Arial"/>
                <w:sz w:val="18"/>
                <w:szCs w:val="18"/>
                <w:b w:val="1"/>
                <w:bCs w:val="1"/>
                <w:i w:val="1"/>
                <w:iCs w:val="1"/>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TAS Partners, LLC (affiliate of Timothy A. Springer, Ph.D.)</w:t>
            </w:r>
          </w:p>
        </w:tc>
        <w:tc>
          <w:tcPr>
            <w:tcW w:w="2000" w:type="dxa"/>
            <w:vAlign w:val="bottom"/>
          </w:tcPr>
          <w:p>
            <w:pPr>
              <w:jc w:val="right"/>
              <w:spacing w:after="0"/>
              <w:rPr>
                <w:sz w:val="20"/>
                <w:szCs w:val="20"/>
                <w:color w:val="auto"/>
              </w:rPr>
            </w:pPr>
            <w:r>
              <w:rPr>
                <w:rFonts w:ascii="Arial" w:cs="Arial" w:eastAsia="Arial" w:hAnsi="Arial"/>
                <w:sz w:val="14"/>
                <w:szCs w:val="14"/>
                <w:color w:val="auto"/>
              </w:rPr>
              <w:t>6,681,600</w:t>
            </w:r>
          </w:p>
        </w:tc>
        <w:tc>
          <w:tcPr>
            <w:tcW w:w="1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$9,421,056.00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40" w:right="420" w:hanging="332"/>
        <w:spacing w:after="0" w:line="277" w:lineRule="auto"/>
        <w:tabs>
          <w:tab w:leader="none" w:pos="3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details regarding certain of these stockholders and their equity holdings are provided in this Form 10-K/A under the caption “Item 12. Security Ownership of Certain Beneficial Owners and Management and Related Stockholder Matters.”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have entered into employment agreements with our Named Executive Officers. For more information regarding these agreements, see the section in this Form 10-K/A entitled “Executive and Director Compensation Employment Agreements.”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included under Item 10 above in this Part III is incorporated herein by reference.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services, tax services and for all other services: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gridSpan w:val="2"/>
          </w:tcPr>
          <w:p>
            <w:pPr>
              <w:ind w:left="20"/>
              <w:spacing w:after="0"/>
              <w:rPr>
                <w:sz w:val="20"/>
                <w:szCs w:val="20"/>
                <w:color w:val="auto"/>
              </w:rPr>
            </w:pPr>
            <w:r>
              <w:rPr>
                <w:rFonts w:ascii="Arial" w:cs="Arial" w:eastAsia="Arial" w:hAnsi="Arial"/>
                <w:sz w:val="14"/>
                <w:szCs w:val="14"/>
                <w:b w:val="1"/>
                <w:bCs w:val="1"/>
                <w:color w:val="auto"/>
              </w:rPr>
              <w:t>Fee Category</w:t>
            </w:r>
          </w:p>
        </w:tc>
        <w:tc>
          <w:tcPr>
            <w:tcW w:w="500" w:type="dxa"/>
            <w:vAlign w:val="bottom"/>
          </w:tcPr>
          <w:p>
            <w:pPr>
              <w:spacing w:after="0"/>
              <w:rPr>
                <w:sz w:val="16"/>
                <w:szCs w:val="16"/>
                <w:color w:val="auto"/>
              </w:rPr>
            </w:pPr>
          </w:p>
        </w:tc>
        <w:tc>
          <w:tcPr>
            <w:tcW w:w="1640" w:type="dxa"/>
            <w:vAlign w:val="bottom"/>
          </w:tcPr>
          <w:p>
            <w:pPr>
              <w:jc w:val="right"/>
              <w:ind w:right="8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ind w:right="868"/>
              <w:spacing w:after="0"/>
              <w:rPr>
                <w:sz w:val="20"/>
                <w:szCs w:val="20"/>
                <w:color w:val="auto"/>
              </w:rPr>
            </w:pPr>
            <w:r>
              <w:rPr>
                <w:rFonts w:ascii="Arial" w:cs="Arial" w:eastAsia="Arial" w:hAnsi="Arial"/>
                <w:sz w:val="14"/>
                <w:szCs w:val="14"/>
                <w:b w:val="1"/>
                <w:bCs w:val="1"/>
                <w:color w:val="auto"/>
              </w:rPr>
              <w:t>2020</w:t>
            </w:r>
          </w:p>
        </w:tc>
      </w:tr>
      <w:tr>
        <w:trPr>
          <w:trHeight w:val="189"/>
        </w:trPr>
        <w:tc>
          <w:tcPr>
            <w:tcW w:w="670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(1)</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1,005,344</w:t>
            </w: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1,067,199</w:t>
            </w:r>
          </w:p>
        </w:tc>
      </w:tr>
      <w:tr>
        <w:trPr>
          <w:trHeight w:val="189"/>
        </w:trPr>
        <w:tc>
          <w:tcPr>
            <w:tcW w:w="680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Tax Fees</w:t>
            </w:r>
            <w:r>
              <w:rPr>
                <w:rFonts w:ascii="Arial" w:cs="Arial" w:eastAsia="Arial" w:hAnsi="Arial"/>
                <w:sz w:val="18"/>
                <w:szCs w:val="18"/>
                <w:color w:val="auto"/>
                <w:vertAlign w:val="superscript"/>
              </w:rPr>
              <w:t>(2)</w:t>
            </w:r>
          </w:p>
        </w:tc>
        <w:tc>
          <w:tcPr>
            <w:tcW w:w="5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27,500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88,200</w:t>
            </w:r>
          </w:p>
        </w:tc>
      </w:tr>
      <w:tr>
        <w:trPr>
          <w:trHeight w:val="189"/>
        </w:trPr>
        <w:tc>
          <w:tcPr>
            <w:tcW w:w="68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All Other Fees</w:t>
            </w:r>
            <w:r>
              <w:rPr>
                <w:rFonts w:ascii="Arial" w:cs="Arial" w:eastAsia="Arial" w:hAnsi="Arial"/>
                <w:sz w:val="18"/>
                <w:szCs w:val="18"/>
                <w:color w:val="auto"/>
                <w:vertAlign w:val="superscript"/>
              </w:rPr>
              <w:t>(3)</w:t>
            </w:r>
          </w:p>
        </w:tc>
        <w:tc>
          <w:tcPr>
            <w:tcW w:w="5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4,870</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w:t>
            </w:r>
          </w:p>
        </w:tc>
      </w:tr>
      <w:tr>
        <w:trPr>
          <w:trHeight w:val="179"/>
        </w:trPr>
        <w:tc>
          <w:tcPr>
            <w:tcW w:w="6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Total Fees</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1,037,714</w:t>
            </w:r>
          </w:p>
        </w:tc>
        <w:tc>
          <w:tcPr>
            <w:tcW w:w="12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1,157,384</w:t>
            </w:r>
          </w:p>
        </w:tc>
      </w:tr>
      <w:tr>
        <w:trPr>
          <w:trHeight w:val="24"/>
        </w:trPr>
        <w:tc>
          <w:tcPr>
            <w:tcW w:w="6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ind w:left="340" w:right="20" w:hanging="332"/>
        <w:spacing w:after="0" w:line="263" w:lineRule="auto"/>
        <w:tabs>
          <w:tab w:leader="none" w:pos="3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 For 2020, audit fees also include services related to the Swedish Orphan Biovitrum AB agreement and debt restructuring.</w:t>
      </w:r>
    </w:p>
    <w:p>
      <w:pPr>
        <w:spacing w:after="0" w:line="75" w:lineRule="exact"/>
        <w:rPr>
          <w:rFonts w:ascii="Arial" w:cs="Arial" w:eastAsia="Arial" w:hAnsi="Arial"/>
          <w:sz w:val="18"/>
          <w:szCs w:val="18"/>
          <w:color w:val="auto"/>
        </w:rPr>
      </w:pPr>
    </w:p>
    <w:p>
      <w:pPr>
        <w:ind w:left="340" w:right="200" w:hanging="332"/>
        <w:spacing w:after="0" w:line="277" w:lineRule="auto"/>
        <w:tabs>
          <w:tab w:leader="none" w:pos="3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 fees consist of fees for professional services, including tax consulting and compliance performed by Ernst &amp; Young LLP. For 2020, tax fees also include services related to the Swedish Orphan Biovitrum AB agreement and debt restructuring.</w:t>
      </w:r>
    </w:p>
    <w:p>
      <w:pPr>
        <w:spacing w:after="0" w:line="62" w:lineRule="exact"/>
        <w:rPr>
          <w:rFonts w:ascii="Arial" w:cs="Arial" w:eastAsia="Arial" w:hAnsi="Arial"/>
          <w:sz w:val="18"/>
          <w:szCs w:val="18"/>
          <w:color w:val="auto"/>
        </w:rPr>
      </w:pPr>
    </w:p>
    <w:p>
      <w:pPr>
        <w:ind w:left="340" w:right="260" w:hanging="332"/>
        <w:spacing w:after="0" w:line="277" w:lineRule="auto"/>
        <w:tabs>
          <w:tab w:leader="none" w:pos="3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fees are those associated with services not captured in the other categories, including the utilization of a research tool provided by Ernst &amp; Young LLP.</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2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 All of the services provided by Ernst &amp; Young LLP during 2021 and 2020 were pre-approved.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Report of the Audit Committee of the Board</w:t>
      </w:r>
    </w:p>
    <w:p>
      <w:pPr>
        <w:spacing w:after="0" w:line="200" w:lineRule="exact"/>
        <w:rPr>
          <w:sz w:val="20"/>
          <w:szCs w:val="20"/>
          <w:color w:val="auto"/>
        </w:rPr>
      </w:pPr>
    </w:p>
    <w:p>
      <w:pPr>
        <w:spacing w:after="0" w:line="272"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The Audit Committee has reviewed the Company’s audited financial statements for the fiscal year ended December 31, 2021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6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Company’s independent registered public accounting firm also provided the Audit Committee with a formal written statement required by PCAOB Rule 3526 (</w:t>
      </w:r>
      <w:r>
        <w:rPr>
          <w:rFonts w:ascii="Arial" w:cs="Arial" w:eastAsia="Arial" w:hAnsi="Arial"/>
          <w:sz w:val="16"/>
          <w:szCs w:val="16"/>
          <w:i w:val="1"/>
          <w:iCs w:val="1"/>
          <w:color w:val="auto"/>
        </w:rPr>
        <w:t>Communications with Audit Committees Concerning Independence</w:t>
      </w:r>
      <w:r>
        <w:rPr>
          <w:rFonts w:ascii="Arial" w:cs="Arial" w:eastAsia="Arial" w:hAnsi="Arial"/>
          <w:sz w:val="16"/>
          <w:szCs w:val="16"/>
          <w:color w:val="auto"/>
        </w:rPr>
        <w:t>) describing all relationships between the independent registered public accounting firm and the Company, including the disclosures required by the applicable PCAOB requirements regarding the independent registered public accounting firm’s communications with the Audit Committee concerning independence. In addition, the Audit Committee discussed with the independent registered public accounting firm its independence from Selecta Biosciences, Inc. The Audit Committee also considered whether the independent registered public accounting firm’s provision of certain other non-audit related services to the Company is compatible with maintaining such firm’s independence.</w:t>
      </w:r>
    </w:p>
    <w:p>
      <w:pPr>
        <w:spacing w:after="0" w:line="5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2021.</w:t>
      </w:r>
    </w:p>
    <w:p>
      <w:pPr>
        <w:spacing w:after="0" w:line="200" w:lineRule="exact"/>
        <w:rPr>
          <w:sz w:val="20"/>
          <w:szCs w:val="20"/>
          <w:color w:val="auto"/>
        </w:rPr>
      </w:pPr>
    </w:p>
    <w:p>
      <w:pPr>
        <w:spacing w:after="0" w:line="23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THE AUDIT COMMITTEE OF THE BOARD OF</w:t>
      </w:r>
    </w:p>
    <w:p>
      <w:pPr>
        <w:ind w:left="6340"/>
        <w:spacing w:after="0"/>
        <w:rPr>
          <w:sz w:val="20"/>
          <w:szCs w:val="20"/>
          <w:color w:val="auto"/>
        </w:rPr>
      </w:pPr>
      <w:r>
        <w:rPr>
          <w:rFonts w:ascii="Arial" w:cs="Arial" w:eastAsia="Arial" w:hAnsi="Arial"/>
          <w:sz w:val="18"/>
          <w:szCs w:val="18"/>
          <w:color w:val="auto"/>
        </w:rPr>
        <w:t>DIRECTORS OF SELECTA BIOSCIENCES, INC.</w:t>
      </w:r>
    </w:p>
    <w:p>
      <w:pPr>
        <w:spacing w:after="0" w:line="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Timothy C. Barabe (Chair)</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Carrie S. Cox</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Nishan de Silva, M.D., M.B.A.</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Patrick Zenner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Exhibits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60" w:type="dxa"/>
            <w:vAlign w:val="bottom"/>
            <w:gridSpan w:val="8"/>
            <w:vMerge w:val="restart"/>
          </w:tcPr>
          <w:p>
            <w:pPr>
              <w:ind w:left="2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6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820" w:type="dxa"/>
            <w:vAlign w:val="bottom"/>
            <w:tcBorders>
              <w:top w:val="single" w:sz="8" w:color="auto"/>
            </w:tcBorders>
            <w:gridSpan w:val="4"/>
          </w:tcPr>
          <w:p>
            <w:pPr>
              <w:jc w:val="center"/>
              <w:ind w:left="333"/>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4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20" w:type="dxa"/>
            <w:vAlign w:val="bottom"/>
            <w:tcBorders>
              <w:top w:val="single" w:sz="8" w:color="auto"/>
            </w:tcBorders>
            <w:gridSpan w:val="10"/>
          </w:tcPr>
          <w:p>
            <w:pPr>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Certification of Principal Executive Officer pursuant to Rule 13a-14(a) or Rule 15d-14(a) of the Securities Exchange Act of 1934,</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8"/>
          </w:tcPr>
          <w:p>
            <w:pPr>
              <w:spacing w:after="0" w:line="15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as adopted pursuant to Section 302 of the Sarbanes-Oxley Act of 2002 (incorporated herein by reference to Exhibit 31.1 to the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Original Form 10-K).</w:t>
              </w:r>
            </w:hyperlink>
          </w:p>
        </w:tc>
        <w:tc>
          <w:tcPr>
            <w:tcW w:w="2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4"/>
          </w:tcPr>
          <w:p>
            <w:pPr>
              <w:jc w:val="center"/>
              <w:ind w:left="333"/>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20" w:type="dxa"/>
            <w:vAlign w:val="bottom"/>
            <w:gridSpan w:val="10"/>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Certification of Principal Executive Officer pursuant to Rule 13a-14(a) or Rule 15d-14(a) of the Securities Exchange Act of 1934,</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8"/>
          </w:tcPr>
          <w:p>
            <w:pPr>
              <w:spacing w:after="0" w:line="15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as adopted pursuant to Section 302 of the Sarbanes-Oxley Act of 2002 (incorporated herein by reference to Exhibit 31.2 to the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Original Form 10-K).</w:t>
              </w:r>
            </w:hyperlink>
          </w:p>
        </w:tc>
        <w:tc>
          <w:tcPr>
            <w:tcW w:w="2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95"/>
              </w:rPr>
            </w:pPr>
            <w:hyperlink w:anchor="page45">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3*</w:t>
              </w:r>
            </w:hyperlink>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6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Certification of Principal Executive Officer pursuant to Rule 13a-14(a) or Rule 15d-14(a) of the Securities</w:t>
              </w:r>
            </w:hyperlink>
          </w:p>
        </w:tc>
        <w:tc>
          <w:tcPr>
            <w:tcW w:w="17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gridSpan w:val="4"/>
          </w:tcPr>
          <w:p>
            <w:pPr>
              <w:jc w:val="center"/>
              <w:ind w:left="333"/>
              <w:spacing w:after="0"/>
              <w:rPr>
                <w:rFonts w:ascii="Arial" w:cs="Arial" w:eastAsia="Arial" w:hAnsi="Arial"/>
                <w:sz w:val="18"/>
                <w:szCs w:val="18"/>
                <w:color w:val="0000FF"/>
                <w:w w:val="95"/>
              </w:rPr>
            </w:pPr>
            <w:hyperlink w:anchor="page46">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4*</w:t>
              </w:r>
            </w:hyperlink>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20" w:type="dxa"/>
            <w:vAlign w:val="bottom"/>
            <w:gridSpan w:val="10"/>
          </w:tcPr>
          <w:p>
            <w:pPr>
              <w:spacing w:after="0"/>
              <w:rPr>
                <w:rFonts w:ascii="Arial" w:cs="Arial" w:eastAsia="Arial" w:hAnsi="Arial"/>
                <w:sz w:val="18"/>
                <w:szCs w:val="18"/>
                <w:color w:val="0000FF"/>
                <w:w w:val="93"/>
              </w:rPr>
            </w:pPr>
            <w:hyperlink w:anchor="page46">
              <w:r>
                <w:rPr>
                  <w:rFonts w:ascii="Arial" w:cs="Arial" w:eastAsia="Arial" w:hAnsi="Arial"/>
                  <w:sz w:val="18"/>
                  <w:szCs w:val="18"/>
                  <w:color w:val="0000FF"/>
                  <w:w w:val="93"/>
                </w:rPr>
                <w:t>Certification of Principal Financial Officer pursuant to Rule 13a-14(a) or Rule 15d-14(a) of the Securities Exchange Act of 1934,</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as adopted pursuant to Section 302 of the Sarbanes-Oxley Act of 2002</w:t>
              </w:r>
            </w:hyperlink>
          </w:p>
        </w:tc>
        <w:tc>
          <w:tcPr>
            <w:tcW w:w="4240" w:type="dxa"/>
            <w:vAlign w:val="bottom"/>
            <w:tcBorders>
              <w:top w:val="single" w:sz="8" w:color="0000FF"/>
            </w:tcBorders>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0" w:type="dxa"/>
            <w:vAlign w:val="bottom"/>
            <w:gridSpan w:val="4"/>
          </w:tcPr>
          <w:p>
            <w:pPr>
              <w:jc w:val="center"/>
              <w:ind w:left="333"/>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20" w:type="dxa"/>
            <w:vAlign w:val="bottom"/>
            <w:gridSpan w:val="10"/>
          </w:tcPr>
          <w:p>
            <w:pPr>
              <w:spacing w:after="0"/>
              <w:rPr>
                <w:rFonts w:ascii="Arial" w:cs="Arial" w:eastAsia="Arial" w:hAnsi="Arial"/>
                <w:sz w:val="18"/>
                <w:szCs w:val="18"/>
                <w:color w:val="0000FF"/>
                <w:w w:val="97"/>
              </w:rPr>
            </w:pPr>
            <w:hyperlink r:id="rId58">
              <w:r>
                <w:rPr>
                  <w:rFonts w:ascii="Arial" w:cs="Arial" w:eastAsia="Arial" w:hAnsi="Arial"/>
                  <w:sz w:val="18"/>
                  <w:szCs w:val="18"/>
                  <w:color w:val="0000FF"/>
                  <w:w w:val="97"/>
                </w:rPr>
                <w:t>Certification of Principal Executive Officer and Principal Financial Officer pursuant to 18 U.S.C. Section 1350, as adopted</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5"/>
          </w:tcPr>
          <w:p>
            <w:pPr>
              <w:spacing w:after="0" w:line="15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pursuant to Section 906 of the Sarbanes-Oxley Act of 2002 (incorporated herein by reference to Exhibit 32.1 to the Original</w:t>
              </w:r>
            </w:hyperlink>
          </w:p>
        </w:tc>
        <w:tc>
          <w:tcPr>
            <w:tcW w:w="560" w:type="dxa"/>
            <w:vAlign w:val="bottom"/>
            <w:gridSpan w:val="5"/>
          </w:tcPr>
          <w:p>
            <w:pPr>
              <w:ind w:left="120"/>
              <w:spacing w:after="0" w:line="156"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Form</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10-K).</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9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3"/>
          </w:tcPr>
          <w:p>
            <w:pPr>
              <w:jc w:val="center"/>
              <w:ind w:left="373"/>
              <w:spacing w:after="0"/>
              <w:rPr>
                <w:sz w:val="20"/>
                <w:szCs w:val="20"/>
                <w:color w:val="auto"/>
              </w:rPr>
            </w:pPr>
            <w:r>
              <w:rPr>
                <w:rFonts w:ascii="Arial" w:cs="Arial" w:eastAsia="Arial" w:hAnsi="Arial"/>
                <w:sz w:val="18"/>
                <w:szCs w:val="18"/>
                <w:color w:val="auto"/>
                <w:w w:val="93"/>
              </w:rPr>
              <w:t>104</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20" w:type="dxa"/>
            <w:vAlign w:val="bottom"/>
            <w:gridSpan w:val="1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ind w:left="1800" w:hanging="1202"/>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6900" w:type="dxa"/>
            <w:vAlign w:val="bottom"/>
            <w:gridSpan w:val="2"/>
          </w:tcPr>
          <w:p>
            <w:pPr>
              <w:ind w:left="2820"/>
              <w:spacing w:after="0"/>
              <w:rPr>
                <w:sz w:val="20"/>
                <w:szCs w:val="20"/>
                <w:color w:val="auto"/>
              </w:rPr>
            </w:pPr>
            <w:r>
              <w:rPr>
                <w:rFonts w:ascii="Arial" w:cs="Arial" w:eastAsia="Arial" w:hAnsi="Arial"/>
                <w:sz w:val="18"/>
                <w:szCs w:val="18"/>
                <w:b w:val="1"/>
                <w:bCs w:val="1"/>
                <w:color w:val="auto"/>
              </w:rPr>
              <w:t>SELECTA BIOSCIENCES, INC.</w:t>
            </w:r>
          </w:p>
        </w:tc>
      </w:tr>
      <w:tr>
        <w:trPr>
          <w:trHeight w:val="459"/>
        </w:trPr>
        <w:tc>
          <w:tcPr>
            <w:tcW w:w="4300" w:type="dxa"/>
            <w:vAlign w:val="bottom"/>
          </w:tcPr>
          <w:p>
            <w:pPr>
              <w:spacing w:after="0"/>
              <w:rPr>
                <w:sz w:val="20"/>
                <w:szCs w:val="20"/>
                <w:color w:val="auto"/>
              </w:rPr>
            </w:pPr>
            <w:r>
              <w:rPr>
                <w:rFonts w:ascii="Arial" w:cs="Arial" w:eastAsia="Arial" w:hAnsi="Arial"/>
                <w:sz w:val="18"/>
                <w:szCs w:val="18"/>
                <w:color w:val="auto"/>
              </w:rPr>
              <w:t>Date: April 28, 2022</w:t>
            </w:r>
          </w:p>
        </w:tc>
        <w:tc>
          <w:tcPr>
            <w:tcW w:w="3280" w:type="dxa"/>
            <w:vAlign w:val="bottom"/>
          </w:tcPr>
          <w:p>
            <w:pPr>
              <w:ind w:left="2820"/>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Carsten Brunn, Ph.D.</w:t>
            </w:r>
          </w:p>
        </w:tc>
      </w:tr>
      <w:tr>
        <w:trPr>
          <w:trHeight w:val="224"/>
        </w:trPr>
        <w:tc>
          <w:tcPr>
            <w:tcW w:w="4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r>
    </w:tbl>
    <w:p>
      <w:pPr>
        <w:ind w:left="80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4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7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Carsten Brunn, Ph.D.</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President and Chief Executive Officer, and 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April 28,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c>
          <w:tcPr>
            <w:tcW w:w="120" w:type="dxa"/>
            <w:vAlign w:val="bottom"/>
          </w:tcPr>
          <w:p>
            <w:pPr>
              <w:spacing w:after="0"/>
              <w:rPr>
                <w:sz w:val="19"/>
                <w:szCs w:val="19"/>
                <w:color w:val="auto"/>
              </w:rPr>
            </w:pPr>
          </w:p>
        </w:tc>
        <w:tc>
          <w:tcPr>
            <w:tcW w:w="59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(Principal Executive Officer)</w:t>
            </w: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Kevin Tan</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April 28,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1"/>
              </w:rPr>
              <w:t>Kevin Tan</w:t>
            </w:r>
          </w:p>
        </w:tc>
        <w:tc>
          <w:tcPr>
            <w:tcW w:w="120" w:type="dxa"/>
            <w:vAlign w:val="bottom"/>
          </w:tcPr>
          <w:p>
            <w:pPr>
              <w:spacing w:after="0"/>
              <w:rPr>
                <w:sz w:val="19"/>
                <w:szCs w:val="19"/>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Financial and Accounting Officer)</w:t>
            </w: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Carrie S. Cox</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April 28,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0"/>
              </w:rPr>
              <w:t>Carrie S. Cox</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Göran A. Ando, M.D.</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April 28,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4"/>
              </w:rPr>
              <w:t>Göran A. Ando, M.D.</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Timothy C. Barabe</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April 28,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1"/>
              </w:rPr>
              <w:t>Timothy C. Barabe</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Nishan de Silva, M.D.</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April 28,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3"/>
              </w:rPr>
              <w:t>Nishan de Silva, M.D.</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Scott D. Myers</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April 28,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3"/>
              </w:rPr>
              <w:t>Scott D. Myers</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Aymeric Sallin</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April 28,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2"/>
              </w:rPr>
              <w:t>Aymeric Sallin</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Timothy Springer, Ph.D.</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April 28,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2"/>
              </w:rPr>
              <w:t>Timothy Springer, Ph.D.</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Patrick Zenner</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April 28,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0"/>
              </w:rPr>
              <w:t>Patrick Zenner</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31.3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Principal Executive Officer</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I, Carsten Brunn, certify that:</w:t>
      </w:r>
    </w:p>
    <w:p>
      <w:pPr>
        <w:spacing w:after="0" w:line="175" w:lineRule="exact"/>
        <w:rPr>
          <w:sz w:val="20"/>
          <w:szCs w:val="20"/>
          <w:color w:val="auto"/>
        </w:rPr>
      </w:pPr>
    </w:p>
    <w:p>
      <w:pPr>
        <w:ind w:left="680" w:hanging="348"/>
        <w:spacing w:after="0"/>
        <w:tabs>
          <w:tab w:leader="none" w:pos="6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 have reviewed this Form 10-K/A of Selecta Biosciences, Inc.; and</w:t>
      </w:r>
    </w:p>
    <w:p>
      <w:pPr>
        <w:spacing w:after="0" w:line="188" w:lineRule="exact"/>
        <w:rPr>
          <w:rFonts w:ascii="Arial" w:cs="Arial" w:eastAsia="Arial" w:hAnsi="Arial"/>
          <w:sz w:val="20"/>
          <w:szCs w:val="20"/>
          <w:color w:val="auto"/>
        </w:rPr>
      </w:pPr>
    </w:p>
    <w:p>
      <w:pPr>
        <w:ind w:left="660" w:right="20" w:hanging="328"/>
        <w:spacing w:after="0" w:line="250" w:lineRule="auto"/>
        <w:tabs>
          <w:tab w:leader="none" w:pos="682" w:val="left"/>
        </w:tabs>
        <w:numPr>
          <w:ilvl w:val="0"/>
          <w:numId w:val="4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6280" w:type="dxa"/>
            <w:vAlign w:val="bottom"/>
          </w:tcPr>
          <w:p>
            <w:pPr>
              <w:spacing w:after="0"/>
              <w:rPr>
                <w:sz w:val="20"/>
                <w:szCs w:val="20"/>
                <w:color w:val="auto"/>
              </w:rPr>
            </w:pPr>
            <w:r>
              <w:rPr>
                <w:rFonts w:ascii="Arial" w:cs="Arial" w:eastAsia="Arial" w:hAnsi="Arial"/>
                <w:sz w:val="20"/>
                <w:szCs w:val="20"/>
                <w:color w:val="2C2C2C"/>
              </w:rPr>
              <w:t>April 28, 2022</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/s/ Carsten Brunn, Ph.D.</w:t>
            </w:r>
          </w:p>
        </w:tc>
      </w:tr>
      <w:tr>
        <w:trPr>
          <w:trHeight w:val="233"/>
        </w:trPr>
        <w:tc>
          <w:tcPr>
            <w:tcW w:w="62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20"/>
                <w:szCs w:val="20"/>
                <w:color w:val="auto"/>
                <w:w w:val="89"/>
              </w:rPr>
              <w:t>Carsten Brunn, Ph.D.</w:t>
            </w:r>
          </w:p>
        </w:tc>
      </w:tr>
      <w:tr>
        <w:trPr>
          <w:trHeight w:val="243"/>
        </w:trPr>
        <w:tc>
          <w:tcPr>
            <w:tcW w:w="6280" w:type="dxa"/>
            <w:vAlign w:val="bottom"/>
          </w:tcPr>
          <w:p>
            <w:pPr>
              <w:spacing w:after="0"/>
              <w:rPr>
                <w:sz w:val="21"/>
                <w:szCs w:val="21"/>
                <w:color w:val="auto"/>
              </w:rPr>
            </w:pPr>
          </w:p>
        </w:tc>
        <w:tc>
          <w:tcPr>
            <w:tcW w:w="4920" w:type="dxa"/>
            <w:vAlign w:val="bottom"/>
          </w:tcPr>
          <w:p>
            <w:pPr>
              <w:jc w:val="center"/>
              <w:spacing w:after="0"/>
              <w:rPr>
                <w:sz w:val="20"/>
                <w:szCs w:val="20"/>
                <w:color w:val="auto"/>
              </w:rPr>
            </w:pPr>
            <w:r>
              <w:rPr>
                <w:rFonts w:ascii="Arial" w:cs="Arial" w:eastAsia="Arial" w:hAnsi="Arial"/>
                <w:sz w:val="20"/>
                <w:szCs w:val="20"/>
                <w:i w:val="1"/>
                <w:iCs w:val="1"/>
                <w:color w:val="auto"/>
                <w:w w:val="90"/>
              </w:rPr>
              <w:t>President and Chief Executive Officer, and Director</w:t>
            </w:r>
          </w:p>
        </w:tc>
      </w:tr>
      <w:tr>
        <w:trPr>
          <w:trHeight w:val="250"/>
        </w:trPr>
        <w:tc>
          <w:tcPr>
            <w:tcW w:w="6280" w:type="dxa"/>
            <w:vAlign w:val="bottom"/>
          </w:tcPr>
          <w:p>
            <w:pPr>
              <w:spacing w:after="0"/>
              <w:rPr>
                <w:sz w:val="21"/>
                <w:szCs w:val="21"/>
                <w:color w:val="auto"/>
              </w:rPr>
            </w:pPr>
          </w:p>
        </w:tc>
        <w:tc>
          <w:tcPr>
            <w:tcW w:w="4920" w:type="dxa"/>
            <w:vAlign w:val="bottom"/>
          </w:tcPr>
          <w:p>
            <w:pPr>
              <w:jc w:val="center"/>
              <w:spacing w:after="0"/>
              <w:rPr>
                <w:sz w:val="20"/>
                <w:szCs w:val="20"/>
                <w:color w:val="auto"/>
              </w:rPr>
            </w:pPr>
            <w:r>
              <w:rPr>
                <w:rFonts w:ascii="Arial" w:cs="Arial" w:eastAsia="Arial" w:hAnsi="Arial"/>
                <w:sz w:val="20"/>
                <w:szCs w:val="20"/>
                <w:i w:val="1"/>
                <w:iCs w:val="1"/>
                <w:color w:val="auto"/>
                <w:w w:val="93"/>
              </w:rPr>
              <w:t>(Principal Executive Officer)</w:t>
            </w:r>
          </w:p>
        </w:tc>
      </w:tr>
    </w:tbl>
    <w:p>
      <w:pPr>
        <w:sectPr>
          <w:pgSz w:w="11900" w:h="16838" w:orient="portrait"/>
          <w:cols w:equalWidth="0" w:num="1">
            <w:col w:w="11240"/>
          </w:cols>
          <w:pgMar w:left="320" w:top="76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31.4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Principal Financial Officer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Kevin Tan, certify that:</w:t>
      </w:r>
    </w:p>
    <w:p>
      <w:pPr>
        <w:spacing w:after="0" w:line="216" w:lineRule="exact"/>
        <w:rPr>
          <w:sz w:val="20"/>
          <w:szCs w:val="20"/>
          <w:color w:val="auto"/>
        </w:rPr>
      </w:pPr>
    </w:p>
    <w:p>
      <w:pPr>
        <w:ind w:left="680" w:hanging="348"/>
        <w:spacing w:after="0"/>
        <w:tabs>
          <w:tab w:leader="none" w:pos="6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 have reviewed this Form 10-K/A of Selecta Biosciences, Inc.; and</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82" w:val="left"/>
        </w:tabs>
        <w:numPr>
          <w:ilvl w:val="0"/>
          <w:numId w:val="4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920" w:type="dxa"/>
            <w:vAlign w:val="bottom"/>
          </w:tcPr>
          <w:p>
            <w:pPr>
              <w:spacing w:after="0"/>
              <w:rPr>
                <w:sz w:val="20"/>
                <w:szCs w:val="20"/>
                <w:color w:val="auto"/>
              </w:rPr>
            </w:pPr>
            <w:r>
              <w:rPr>
                <w:rFonts w:ascii="Arial" w:cs="Arial" w:eastAsia="Arial" w:hAnsi="Arial"/>
                <w:sz w:val="20"/>
                <w:szCs w:val="20"/>
                <w:color w:val="2C2C2C"/>
              </w:rPr>
              <w:t>April 28, 2022</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/s/ Kevin Tan</w:t>
            </w:r>
          </w:p>
        </w:tc>
      </w:tr>
      <w:tr>
        <w:trPr>
          <w:trHeight w:val="233"/>
        </w:trPr>
        <w:tc>
          <w:tcPr>
            <w:tcW w:w="59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20"/>
                <w:szCs w:val="20"/>
                <w:color w:val="auto"/>
                <w:w w:val="91"/>
              </w:rPr>
              <w:t>Kevin Tan</w:t>
            </w:r>
          </w:p>
        </w:tc>
      </w:tr>
      <w:tr>
        <w:trPr>
          <w:trHeight w:val="243"/>
        </w:trPr>
        <w:tc>
          <w:tcPr>
            <w:tcW w:w="592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Arial" w:cs="Arial" w:eastAsia="Arial" w:hAnsi="Arial"/>
                <w:sz w:val="20"/>
                <w:szCs w:val="20"/>
                <w:i w:val="1"/>
                <w:iCs w:val="1"/>
                <w:color w:val="auto"/>
                <w:w w:val="94"/>
              </w:rPr>
              <w:t>Chief Financial Officer</w:t>
            </w:r>
          </w:p>
        </w:tc>
      </w:tr>
      <w:tr>
        <w:trPr>
          <w:trHeight w:val="250"/>
        </w:trPr>
        <w:tc>
          <w:tcPr>
            <w:tcW w:w="592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Arial" w:cs="Arial" w:eastAsia="Arial" w:hAnsi="Arial"/>
                <w:sz w:val="20"/>
                <w:szCs w:val="20"/>
                <w:i w:val="1"/>
                <w:iCs w:val="1"/>
                <w:color w:val="auto"/>
                <w:w w:val="95"/>
              </w:rPr>
              <w:t>(Principal Financial Officer)</w:t>
            </w: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bullet"/>
      <w:start w:val="1"/>
    </w:lvl>
  </w:abstractNum>
  <w:abstractNum w:abstractNumId="3">
    <w:nsid w:val="2443A858"/>
    <w:multiLevelType w:val="hybridMultilevel"/>
    <w:lvl w:ilvl="0">
      <w:lvlJc w:val="left"/>
      <w:lvlText w:val="2"/>
      <w:numFmt w:val="bullet"/>
      <w:start w:val="1"/>
    </w:lvl>
  </w:abstractNum>
  <w:abstractNum w:abstractNumId="4">
    <w:nsid w:val="2D1D5AE9"/>
    <w:multiLevelType w:val="hybridMultilevel"/>
    <w:lvl w:ilvl="0">
      <w:lvlJc w:val="left"/>
      <w:lvlText w:val="3"/>
      <w:numFmt w:val="bullet"/>
      <w:start w:val="1"/>
    </w:lvl>
  </w:abstractNum>
  <w:abstractNum w:abstractNumId="5">
    <w:nsid w:val="6763845E"/>
    <w:multiLevelType w:val="hybridMultilevel"/>
    <w:lvl w:ilvl="0">
      <w:lvlJc w:val="left"/>
      <w:lvlText w:val="4"/>
      <w:numFmt w:val="bullet"/>
      <w:start w:val="1"/>
    </w:lvl>
  </w:abstractNum>
  <w:abstractNum w:abstractNumId="6">
    <w:nsid w:val="75A2A8D4"/>
    <w:multiLevelType w:val="hybridMultilevel"/>
    <w:lvl w:ilvl="0">
      <w:lvlJc w:val="left"/>
      <w:lvlText w:val="5"/>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ü"/>
      <w:numFmt w:val="bullet"/>
      <w:start w:val="1"/>
    </w:lvl>
  </w:abstractNum>
  <w:abstractNum w:abstractNumId="16">
    <w:nsid w:val="2901D82"/>
    <w:multiLevelType w:val="hybridMultilevel"/>
    <w:lvl w:ilvl="0">
      <w:lvlJc w:val="left"/>
      <w:lvlText w:val="X"/>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2"/>
    </w:lvl>
  </w:abstractNum>
  <w:abstractNum w:abstractNumId="26">
    <w:nsid w:val="614FD4A1"/>
    <w:multiLevelType w:val="hybridMultilevel"/>
    <w:lvl w:ilvl="0">
      <w:lvlJc w:val="left"/>
      <w:lvlText w:val="(%1)"/>
      <w:numFmt w:val="lowerRoman"/>
      <w:start w:val="5"/>
    </w:lvl>
  </w:abstractNum>
  <w:abstractNum w:abstractNumId="27">
    <w:nsid w:val="419AC241"/>
    <w:multiLevelType w:val="hybridMultilevel"/>
    <w:lvl w:ilvl="0">
      <w:lvlJc w:val="left"/>
      <w:lvlText w:val="(%1)"/>
      <w:numFmt w:val="lowerRoman"/>
      <w:start w:val="1"/>
    </w:lvl>
  </w:abstractNum>
  <w:abstractNum w:abstractNumId="28">
    <w:nsid w:val="5577F8E1"/>
    <w:multiLevelType w:val="hybridMultilevel"/>
    <w:lvl w:ilvl="0">
      <w:lvlJc w:val="left"/>
      <w:lvlText w:val="(%1)"/>
      <w:numFmt w:val="lowerRoman"/>
      <w:start w:val="3"/>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3"/>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2"/>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56" Type="http://schemas.openxmlformats.org/officeDocument/2006/relationships/hyperlink" Target="http://www.sec.gov/Archives/edgar/data/1453687/000145368722000051/exhibit311_12312021.htm" TargetMode="External"/><Relationship Id="rId57" Type="http://schemas.openxmlformats.org/officeDocument/2006/relationships/hyperlink" Target="http://www.sec.gov/Archives/edgar/data/1453687/000145368722000051/exhibit312_12312021.htm" TargetMode="External"/><Relationship Id="rId58" Type="http://schemas.openxmlformats.org/officeDocument/2006/relationships/hyperlink" Target="http://www.sec.gov/Archives/edgar/data/1453687/000145368722000051/exhibit321_1231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2022-04-28T06:51:20Z</dcterms:created>
  <dcterms:modified xsi:type="dcterms:W3CDTF">2022-04-28T06:51:20Z</dcterms:modified>
</cp:coreProperties>
</file>