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Cartesian Therapeutics,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816212104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William R. Kolb</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Daniel S. Clevenger</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Foley Hoag LLP</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155 Seaport Boulevard</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Boston, MA 02210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Tel: (617) 832-1000</w:t>
      </w:r>
    </w:p>
    <w:p>
      <w:pPr>
        <w:jc w:val="center"/>
        <w:ind w:right="-63"/>
        <w:spacing w:after="0" w:line="224" w:lineRule="auto"/>
        <w:rPr>
          <w:sz w:val="20"/>
          <w:szCs w:val="20"/>
          <w:color w:val="auto"/>
        </w:rPr>
      </w:pPr>
      <w:r>
        <w:rPr>
          <w:rFonts w:ascii="Times New Roman" w:cs="Times New Roman" w:eastAsia="Times New Roman" w:hAnsi="Times New Roman"/>
          <w:sz w:val="14"/>
          <w:szCs w:val="14"/>
          <w:b w:val="1"/>
          <w:bCs w:val="1"/>
          <w:color w:val="auto"/>
        </w:rPr>
        <w:t>Fax: (617) 832-7000</w:t>
      </w:r>
    </w:p>
    <w:p>
      <w:pPr>
        <w:spacing w:after="0" w:line="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April 8,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4"/>
          <w:szCs w:val="24"/>
          <w:color w:val="auto"/>
        </w:rPr>
      </w:pPr>
    </w:p>
    <w:p>
      <w:pPr>
        <w:ind w:left="4"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4"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Murat Kalayoglu</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838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838190"/>
                    </a:xfrm>
                    <a:prstGeom prst="rect">
                      <a:avLst/>
                    </a:prstGeom>
                    <a:noFill/>
                  </pic:spPr>
                </pic:pic>
              </a:graphicData>
            </a:graphic>
          </wp:anchor>
        </w:drawing>
      </w:r>
    </w:p>
    <w:p>
      <w:pPr>
        <w:spacing w:after="0" w:line="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(a)        (b)</w:t>
      </w:r>
    </w:p>
    <w:p>
      <w:pPr>
        <w:spacing w:after="0" w:line="261" w:lineRule="exact"/>
        <w:rPr>
          <w:sz w:val="20"/>
          <w:szCs w:val="20"/>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PF, OO</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36" w:lineRule="exact"/>
        <w:rPr>
          <w:rFonts w:ascii="Times New Roman" w:cs="Times New Roman" w:eastAsia="Times New Roman" w:hAnsi="Times New Roman"/>
          <w:sz w:val="18"/>
          <w:szCs w:val="18"/>
          <w:color w:val="auto"/>
        </w:rPr>
      </w:pPr>
    </w:p>
    <w:p>
      <w:pPr>
        <w:ind w:left="1240" w:hanging="83"/>
        <w:spacing w:after="0"/>
        <w:tabs>
          <w:tab w:leader="none" w:pos="1240" w:val="left"/>
        </w:tabs>
        <w:numPr>
          <w:ilvl w:val="2"/>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Pr>
          <w:p>
            <w:pPr>
              <w:spacing w:after="0"/>
              <w:rPr>
                <w:sz w:val="19"/>
                <w:szCs w:val="19"/>
                <w:color w:val="auto"/>
              </w:rPr>
            </w:pP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3,538,386</w:t>
            </w:r>
          </w:p>
        </w:tc>
        <w:tc>
          <w:tcPr>
            <w:tcW w:w="0" w:type="dxa"/>
            <w:vAlign w:val="bottom"/>
          </w:tcPr>
          <w:p>
            <w:pPr>
              <w:spacing w:after="0"/>
              <w:rPr>
                <w:sz w:val="1"/>
                <w:szCs w:val="1"/>
                <w:color w:val="auto"/>
              </w:rPr>
            </w:pPr>
          </w:p>
        </w:tc>
      </w:tr>
      <w:tr>
        <w:trPr>
          <w:trHeight w:val="21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86"/>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13"/>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940" w:type="dxa"/>
            <w:vAlign w:val="bottom"/>
            <w:vMerge w:val="continue"/>
          </w:tcPr>
          <w:p>
            <w:pPr>
              <w:spacing w:after="0"/>
              <w:rPr>
                <w:sz w:val="8"/>
                <w:szCs w:val="8"/>
                <w:color w:val="auto"/>
              </w:rPr>
            </w:pP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40"/>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2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9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3,538,386</w:t>
            </w:r>
          </w:p>
        </w:tc>
        <w:tc>
          <w:tcPr>
            <w:tcW w:w="0" w:type="dxa"/>
            <w:vAlign w:val="bottom"/>
          </w:tcPr>
          <w:p>
            <w:pPr>
              <w:spacing w:after="0"/>
              <w:rPr>
                <w:sz w:val="1"/>
                <w:szCs w:val="1"/>
                <w:color w:val="auto"/>
              </w:rPr>
            </w:pPr>
          </w:p>
        </w:tc>
      </w:tr>
      <w:tr>
        <w:trPr>
          <w:trHeight w:val="167"/>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8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40" w:type="dxa"/>
            <w:vAlign w:val="bottom"/>
            <w:vMerge w:val="continue"/>
          </w:tcPr>
          <w:p>
            <w:pPr>
              <w:spacing w:after="0"/>
              <w:rPr>
                <w:sz w:val="5"/>
                <w:szCs w:val="5"/>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6"/>
              </w:rPr>
              <w:t>  Shared Dispositive Power</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  0</w:t>
      </w:r>
    </w:p>
    <w:p>
      <w:pPr>
        <w:spacing w:after="0" w:line="36" w:lineRule="exact"/>
        <w:rPr>
          <w:sz w:val="20"/>
          <w:szCs w:val="20"/>
          <w:color w:val="auto"/>
        </w:rPr>
      </w:pPr>
    </w:p>
    <w:p>
      <w:pPr>
        <w:ind w:left="160"/>
        <w:spacing w:after="0"/>
        <w:tabs>
          <w:tab w:leader="none" w:pos="540" w:val="left"/>
        </w:tabs>
        <w:rPr>
          <w:sz w:val="20"/>
          <w:szCs w:val="20"/>
          <w:color w:val="auto"/>
        </w:rPr>
      </w:pPr>
      <w:r>
        <w:rPr>
          <w:rFonts w:ascii="Times New Roman" w:cs="Times New Roman" w:eastAsia="Times New Roman" w:hAnsi="Times New Roman"/>
          <w:sz w:val="18"/>
          <w:szCs w:val="18"/>
          <w:color w:val="auto"/>
        </w:rPr>
        <w:t>11. </w:t>
      </w:r>
      <w:r>
        <w:rPr>
          <w:sz w:val="20"/>
          <w:szCs w:val="20"/>
          <w:color w:val="auto"/>
        </w:rPr>
        <w:tab/>
      </w:r>
      <w:r>
        <w:rPr>
          <w:rFonts w:ascii="Times New Roman" w:cs="Times New Roman" w:eastAsia="Times New Roman" w:hAnsi="Times New Roman"/>
          <w:sz w:val="17"/>
          <w:szCs w:val="17"/>
          <w:color w:val="auto"/>
        </w:rPr>
        <w:t>  Aggregate Amount Beneficially Owned by Each Reporting Person</w:t>
      </w:r>
    </w:p>
    <w:p>
      <w:pPr>
        <w:spacing w:after="0" w:line="252" w:lineRule="exact"/>
        <w:rPr>
          <w:sz w:val="20"/>
          <w:szCs w:val="20"/>
          <w:color w:val="auto"/>
        </w:rPr>
      </w:pPr>
    </w:p>
    <w:p>
      <w:pPr>
        <w:ind w:left="660" w:hanging="97"/>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3,538,386</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Check if the Aggregate Amount in Row (11) Excludes Certain Shares (See Instructions)</w:t>
      </w:r>
    </w:p>
    <w:p>
      <w:pPr>
        <w:spacing w:after="0" w:line="290" w:lineRule="exact"/>
        <w:rPr>
          <w:rFonts w:ascii="Times New Roman" w:cs="Times New Roman" w:eastAsia="Times New Roman" w:hAnsi="Times New Roman"/>
          <w:sz w:val="17"/>
          <w:szCs w:val="17"/>
          <w:color w:val="auto"/>
        </w:rPr>
      </w:pPr>
    </w:p>
    <w:p>
      <w:pPr>
        <w:ind w:left="560" w:hanging="407"/>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Page 2 of 10 Pages</w:t>
      </w:r>
    </w:p>
    <w:p>
      <w:pPr>
        <w:sectPr>
          <w:pgSz w:w="11900" w:h="16838" w:orient="portrait"/>
          <w:cols w:equalWidth="0" w:num="2">
            <w:col w:w="8880" w:space="720"/>
            <w:col w:w="1420"/>
          </w:cols>
          <w:pgMar w:left="440" w:top="266"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One Eight Three Four Irrevocable Trust</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837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837555"/>
                    </a:xfrm>
                    <a:prstGeom prst="rect">
                      <a:avLst/>
                    </a:prstGeom>
                    <a:noFill/>
                  </pic:spPr>
                </pic:pic>
              </a:graphicData>
            </a:graphic>
          </wp:anchor>
        </w:drawing>
      </w:r>
    </w:p>
    <w:p>
      <w:pPr>
        <w:spacing w:after="0" w:line="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(a)        (b)</w:t>
      </w:r>
    </w:p>
    <w:p>
      <w:pPr>
        <w:spacing w:after="0" w:line="261" w:lineRule="exact"/>
        <w:rPr>
          <w:sz w:val="20"/>
          <w:szCs w:val="20"/>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40" w:hanging="77"/>
        <w:spacing w:after="0"/>
        <w:tabs>
          <w:tab w:leader="none" w:pos="64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 OO</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36" w:lineRule="exact"/>
        <w:rPr>
          <w:rFonts w:ascii="Times New Roman" w:cs="Times New Roman" w:eastAsia="Times New Roman" w:hAnsi="Times New Roman"/>
          <w:sz w:val="18"/>
          <w:szCs w:val="18"/>
          <w:color w:val="auto"/>
        </w:rPr>
      </w:pPr>
    </w:p>
    <w:p>
      <w:pPr>
        <w:ind w:left="1240" w:hanging="83"/>
        <w:spacing w:after="0"/>
        <w:tabs>
          <w:tab w:leader="none" w:pos="1240" w:val="left"/>
        </w:tabs>
        <w:numPr>
          <w:ilvl w:val="2"/>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Pr>
          <w:p>
            <w:pPr>
              <w:spacing w:after="0"/>
              <w:rPr>
                <w:sz w:val="19"/>
                <w:szCs w:val="19"/>
                <w:color w:val="auto"/>
              </w:rPr>
            </w:pP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3,036,887</w:t>
            </w:r>
          </w:p>
        </w:tc>
        <w:tc>
          <w:tcPr>
            <w:tcW w:w="0" w:type="dxa"/>
            <w:vAlign w:val="bottom"/>
          </w:tcPr>
          <w:p>
            <w:pPr>
              <w:spacing w:after="0"/>
              <w:rPr>
                <w:sz w:val="1"/>
                <w:szCs w:val="1"/>
                <w:color w:val="auto"/>
              </w:rPr>
            </w:pPr>
          </w:p>
        </w:tc>
      </w:tr>
      <w:tr>
        <w:trPr>
          <w:trHeight w:val="21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86"/>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13"/>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940" w:type="dxa"/>
            <w:vAlign w:val="bottom"/>
            <w:vMerge w:val="continue"/>
          </w:tcPr>
          <w:p>
            <w:pPr>
              <w:spacing w:after="0"/>
              <w:rPr>
                <w:sz w:val="8"/>
                <w:szCs w:val="8"/>
                <w:color w:val="auto"/>
              </w:rPr>
            </w:pP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40"/>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2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9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3,036,887</w:t>
            </w:r>
          </w:p>
        </w:tc>
        <w:tc>
          <w:tcPr>
            <w:tcW w:w="0" w:type="dxa"/>
            <w:vAlign w:val="bottom"/>
          </w:tcPr>
          <w:p>
            <w:pPr>
              <w:spacing w:after="0"/>
              <w:rPr>
                <w:sz w:val="1"/>
                <w:szCs w:val="1"/>
                <w:color w:val="auto"/>
              </w:rPr>
            </w:pPr>
          </w:p>
        </w:tc>
      </w:tr>
      <w:tr>
        <w:trPr>
          <w:trHeight w:val="167"/>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8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40" w:type="dxa"/>
            <w:vAlign w:val="bottom"/>
            <w:vMerge w:val="continue"/>
          </w:tcPr>
          <w:p>
            <w:pPr>
              <w:spacing w:after="0"/>
              <w:rPr>
                <w:sz w:val="5"/>
                <w:szCs w:val="5"/>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6"/>
              </w:rPr>
              <w:t>  Shared Dispositive Power</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  0</w:t>
      </w:r>
    </w:p>
    <w:p>
      <w:pPr>
        <w:spacing w:after="0" w:line="36" w:lineRule="exact"/>
        <w:rPr>
          <w:sz w:val="20"/>
          <w:szCs w:val="20"/>
          <w:color w:val="auto"/>
        </w:rPr>
      </w:pPr>
    </w:p>
    <w:p>
      <w:pPr>
        <w:ind w:left="160"/>
        <w:spacing w:after="0"/>
        <w:tabs>
          <w:tab w:leader="none" w:pos="540" w:val="left"/>
        </w:tabs>
        <w:rPr>
          <w:sz w:val="20"/>
          <w:szCs w:val="20"/>
          <w:color w:val="auto"/>
        </w:rPr>
      </w:pPr>
      <w:r>
        <w:rPr>
          <w:rFonts w:ascii="Times New Roman" w:cs="Times New Roman" w:eastAsia="Times New Roman" w:hAnsi="Times New Roman"/>
          <w:sz w:val="18"/>
          <w:szCs w:val="18"/>
          <w:color w:val="auto"/>
        </w:rPr>
        <w:t>11. </w:t>
      </w:r>
      <w:r>
        <w:rPr>
          <w:sz w:val="20"/>
          <w:szCs w:val="20"/>
          <w:color w:val="auto"/>
        </w:rPr>
        <w:tab/>
      </w:r>
      <w:r>
        <w:rPr>
          <w:rFonts w:ascii="Times New Roman" w:cs="Times New Roman" w:eastAsia="Times New Roman" w:hAnsi="Times New Roman"/>
          <w:sz w:val="17"/>
          <w:szCs w:val="17"/>
          <w:color w:val="auto"/>
        </w:rPr>
        <w:t>  Aggregate Amount Beneficially Owned by Each Reporting Person</w:t>
      </w:r>
    </w:p>
    <w:p>
      <w:pPr>
        <w:spacing w:after="0" w:line="252" w:lineRule="exact"/>
        <w:rPr>
          <w:sz w:val="20"/>
          <w:szCs w:val="20"/>
          <w:color w:val="auto"/>
        </w:rPr>
      </w:pPr>
    </w:p>
    <w:p>
      <w:pPr>
        <w:ind w:left="660" w:hanging="9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3,036,887</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Check if the Aggregate Amount in Row (11) Excludes Certain Shares (See Instructions)</w:t>
      </w:r>
    </w:p>
    <w:p>
      <w:pPr>
        <w:spacing w:after="0" w:line="290" w:lineRule="exact"/>
        <w:rPr>
          <w:rFonts w:ascii="Times New Roman" w:cs="Times New Roman" w:eastAsia="Times New Roman" w:hAnsi="Times New Roman"/>
          <w:sz w:val="17"/>
          <w:szCs w:val="17"/>
          <w:color w:val="auto"/>
        </w:rPr>
      </w:pPr>
    </w:p>
    <w:p>
      <w:pPr>
        <w:ind w:left="560" w:hanging="407"/>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Page 3 of 10 Pages</w:t>
      </w:r>
    </w:p>
    <w:p>
      <w:pPr>
        <w:sectPr>
          <w:pgSz w:w="11900" w:h="16838" w:orient="portrait"/>
          <w:cols w:equalWidth="0" w:num="2">
            <w:col w:w="8880" w:space="720"/>
            <w:col w:w="1420"/>
          </w:cols>
          <w:pgMar w:left="440" w:top="266"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Elizabeth Hoge</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838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838190"/>
                    </a:xfrm>
                    <a:prstGeom prst="rect">
                      <a:avLst/>
                    </a:prstGeom>
                    <a:noFill/>
                  </pic:spPr>
                </pic:pic>
              </a:graphicData>
            </a:graphic>
          </wp:anchor>
        </w:drawing>
      </w:r>
    </w:p>
    <w:p>
      <w:pPr>
        <w:spacing w:after="0" w:line="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(a)        (b)</w:t>
      </w:r>
    </w:p>
    <w:p>
      <w:pPr>
        <w:spacing w:after="0" w:line="261" w:lineRule="exact"/>
        <w:rPr>
          <w:sz w:val="20"/>
          <w:szCs w:val="20"/>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40" w:hanging="77"/>
        <w:spacing w:after="0"/>
        <w:tabs>
          <w:tab w:leader="none" w:pos="640" w:val="left"/>
        </w:tabs>
        <w:numPr>
          <w:ilvl w:val="1"/>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 OO</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36" w:lineRule="exact"/>
        <w:rPr>
          <w:rFonts w:ascii="Times New Roman" w:cs="Times New Roman" w:eastAsia="Times New Roman" w:hAnsi="Times New Roman"/>
          <w:sz w:val="18"/>
          <w:szCs w:val="18"/>
          <w:color w:val="auto"/>
        </w:rPr>
      </w:pPr>
    </w:p>
    <w:p>
      <w:pPr>
        <w:ind w:left="1240" w:hanging="83"/>
        <w:spacing w:after="0"/>
        <w:tabs>
          <w:tab w:leader="none" w:pos="1240" w:val="left"/>
        </w:tabs>
        <w:numPr>
          <w:ilvl w:val="2"/>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Pr>
          <w:p>
            <w:pPr>
              <w:spacing w:after="0"/>
              <w:rPr>
                <w:sz w:val="19"/>
                <w:szCs w:val="19"/>
                <w:color w:val="auto"/>
              </w:rPr>
            </w:pP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1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86"/>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3,036,887</w:t>
            </w:r>
          </w:p>
        </w:tc>
        <w:tc>
          <w:tcPr>
            <w:tcW w:w="0" w:type="dxa"/>
            <w:vAlign w:val="bottom"/>
          </w:tcPr>
          <w:p>
            <w:pPr>
              <w:spacing w:after="0"/>
              <w:rPr>
                <w:sz w:val="1"/>
                <w:szCs w:val="1"/>
                <w:color w:val="auto"/>
              </w:rPr>
            </w:pPr>
          </w:p>
        </w:tc>
      </w:tr>
      <w:tr>
        <w:trPr>
          <w:trHeight w:val="113"/>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940" w:type="dxa"/>
            <w:vAlign w:val="bottom"/>
            <w:vMerge w:val="continue"/>
          </w:tcPr>
          <w:p>
            <w:pPr>
              <w:spacing w:after="0"/>
              <w:rPr>
                <w:sz w:val="8"/>
                <w:szCs w:val="8"/>
                <w:color w:val="auto"/>
              </w:rPr>
            </w:pP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40"/>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2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9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67"/>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8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40" w:type="dxa"/>
            <w:vAlign w:val="bottom"/>
            <w:vMerge w:val="continue"/>
          </w:tcPr>
          <w:p>
            <w:pPr>
              <w:spacing w:after="0"/>
              <w:rPr>
                <w:sz w:val="5"/>
                <w:szCs w:val="5"/>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6"/>
              </w:rPr>
              <w:t>  Shared Dispositive Power</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  3,036,887</w:t>
      </w:r>
    </w:p>
    <w:p>
      <w:pPr>
        <w:spacing w:after="0" w:line="36" w:lineRule="exact"/>
        <w:rPr>
          <w:sz w:val="20"/>
          <w:szCs w:val="20"/>
          <w:color w:val="auto"/>
        </w:rPr>
      </w:pPr>
    </w:p>
    <w:p>
      <w:pPr>
        <w:ind w:left="160"/>
        <w:spacing w:after="0"/>
        <w:tabs>
          <w:tab w:leader="none" w:pos="540" w:val="left"/>
        </w:tabs>
        <w:rPr>
          <w:sz w:val="20"/>
          <w:szCs w:val="20"/>
          <w:color w:val="auto"/>
        </w:rPr>
      </w:pPr>
      <w:r>
        <w:rPr>
          <w:rFonts w:ascii="Times New Roman" w:cs="Times New Roman" w:eastAsia="Times New Roman" w:hAnsi="Times New Roman"/>
          <w:sz w:val="18"/>
          <w:szCs w:val="18"/>
          <w:color w:val="auto"/>
        </w:rPr>
        <w:t>11. </w:t>
      </w:r>
      <w:r>
        <w:rPr>
          <w:sz w:val="20"/>
          <w:szCs w:val="20"/>
          <w:color w:val="auto"/>
        </w:rPr>
        <w:tab/>
      </w:r>
      <w:r>
        <w:rPr>
          <w:rFonts w:ascii="Times New Roman" w:cs="Times New Roman" w:eastAsia="Times New Roman" w:hAnsi="Times New Roman"/>
          <w:sz w:val="17"/>
          <w:szCs w:val="17"/>
          <w:color w:val="auto"/>
        </w:rPr>
        <w:t>  Aggregate Amount Beneficially Owned by Each Reporting Person</w:t>
      </w:r>
    </w:p>
    <w:p>
      <w:pPr>
        <w:spacing w:after="0" w:line="252" w:lineRule="exact"/>
        <w:rPr>
          <w:sz w:val="20"/>
          <w:szCs w:val="20"/>
          <w:color w:val="auto"/>
        </w:rPr>
      </w:pPr>
    </w:p>
    <w:p>
      <w:pPr>
        <w:ind w:left="660" w:hanging="97"/>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3,036,887</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Check if the Aggregate Amount in Row (11) Excludes Certain Shares (See Instructions)</w:t>
      </w:r>
    </w:p>
    <w:p>
      <w:pPr>
        <w:spacing w:after="0" w:line="290" w:lineRule="exact"/>
        <w:rPr>
          <w:rFonts w:ascii="Times New Roman" w:cs="Times New Roman" w:eastAsia="Times New Roman" w:hAnsi="Times New Roman"/>
          <w:sz w:val="17"/>
          <w:szCs w:val="17"/>
          <w:color w:val="auto"/>
        </w:rPr>
      </w:pPr>
    </w:p>
    <w:p>
      <w:pPr>
        <w:ind w:left="560" w:hanging="40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 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Page 4 of 10 Pages</w:t>
      </w:r>
    </w:p>
    <w:p>
      <w:pPr>
        <w:sectPr>
          <w:pgSz w:w="11900" w:h="16838" w:orient="portrait"/>
          <w:cols w:equalWidth="0" w:num="2">
            <w:col w:w="8880" w:space="720"/>
            <w:col w:w="1420"/>
          </w:cols>
          <w:pgMar w:left="440" w:top="266"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Sinan Kalayoglu</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837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837555"/>
                    </a:xfrm>
                    <a:prstGeom prst="rect">
                      <a:avLst/>
                    </a:prstGeom>
                    <a:noFill/>
                  </pic:spPr>
                </pic:pic>
              </a:graphicData>
            </a:graphic>
          </wp:anchor>
        </w:drawing>
      </w:r>
    </w:p>
    <w:p>
      <w:pPr>
        <w:spacing w:after="0" w:line="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(a)        (b)</w:t>
      </w:r>
    </w:p>
    <w:p>
      <w:pPr>
        <w:spacing w:after="0" w:line="261" w:lineRule="exact"/>
        <w:rPr>
          <w:sz w:val="20"/>
          <w:szCs w:val="20"/>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40" w:hanging="77"/>
        <w:spacing w:after="0"/>
        <w:tabs>
          <w:tab w:leader="none" w:pos="640" w:val="left"/>
        </w:tabs>
        <w:numPr>
          <w:ilvl w:val="1"/>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 OO</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36" w:lineRule="exact"/>
        <w:rPr>
          <w:rFonts w:ascii="Times New Roman" w:cs="Times New Roman" w:eastAsia="Times New Roman" w:hAnsi="Times New Roman"/>
          <w:sz w:val="18"/>
          <w:szCs w:val="18"/>
          <w:color w:val="auto"/>
        </w:rPr>
      </w:pPr>
    </w:p>
    <w:p>
      <w:pPr>
        <w:ind w:left="1240" w:hanging="83"/>
        <w:spacing w:after="0"/>
        <w:tabs>
          <w:tab w:leader="none" w:pos="1240" w:val="left"/>
        </w:tabs>
        <w:numPr>
          <w:ilvl w:val="2"/>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Pr>
          <w:p>
            <w:pPr>
              <w:spacing w:after="0"/>
              <w:rPr>
                <w:sz w:val="19"/>
                <w:szCs w:val="19"/>
                <w:color w:val="auto"/>
              </w:rPr>
            </w:pP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1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86"/>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3,036,887</w:t>
            </w:r>
          </w:p>
        </w:tc>
        <w:tc>
          <w:tcPr>
            <w:tcW w:w="0" w:type="dxa"/>
            <w:vAlign w:val="bottom"/>
          </w:tcPr>
          <w:p>
            <w:pPr>
              <w:spacing w:after="0"/>
              <w:rPr>
                <w:sz w:val="1"/>
                <w:szCs w:val="1"/>
                <w:color w:val="auto"/>
              </w:rPr>
            </w:pPr>
          </w:p>
        </w:tc>
      </w:tr>
      <w:tr>
        <w:trPr>
          <w:trHeight w:val="113"/>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940" w:type="dxa"/>
            <w:vAlign w:val="bottom"/>
            <w:vMerge w:val="continue"/>
          </w:tcPr>
          <w:p>
            <w:pPr>
              <w:spacing w:after="0"/>
              <w:rPr>
                <w:sz w:val="8"/>
                <w:szCs w:val="8"/>
                <w:color w:val="auto"/>
              </w:rPr>
            </w:pP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40"/>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2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9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67"/>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8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40" w:type="dxa"/>
            <w:vAlign w:val="bottom"/>
            <w:vMerge w:val="continue"/>
          </w:tcPr>
          <w:p>
            <w:pPr>
              <w:spacing w:after="0"/>
              <w:rPr>
                <w:sz w:val="5"/>
                <w:szCs w:val="5"/>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6"/>
              </w:rPr>
              <w:t>  Shared Dispositive Power</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  3,036,887</w:t>
      </w:r>
    </w:p>
    <w:p>
      <w:pPr>
        <w:spacing w:after="0" w:line="36" w:lineRule="exact"/>
        <w:rPr>
          <w:sz w:val="20"/>
          <w:szCs w:val="20"/>
          <w:color w:val="auto"/>
        </w:rPr>
      </w:pPr>
    </w:p>
    <w:p>
      <w:pPr>
        <w:ind w:left="160"/>
        <w:spacing w:after="0"/>
        <w:tabs>
          <w:tab w:leader="none" w:pos="540" w:val="left"/>
        </w:tabs>
        <w:rPr>
          <w:sz w:val="20"/>
          <w:szCs w:val="20"/>
          <w:color w:val="auto"/>
        </w:rPr>
      </w:pPr>
      <w:r>
        <w:rPr>
          <w:rFonts w:ascii="Times New Roman" w:cs="Times New Roman" w:eastAsia="Times New Roman" w:hAnsi="Times New Roman"/>
          <w:sz w:val="18"/>
          <w:szCs w:val="18"/>
          <w:color w:val="auto"/>
        </w:rPr>
        <w:t>11. </w:t>
      </w:r>
      <w:r>
        <w:rPr>
          <w:sz w:val="20"/>
          <w:szCs w:val="20"/>
          <w:color w:val="auto"/>
        </w:rPr>
        <w:tab/>
      </w:r>
      <w:r>
        <w:rPr>
          <w:rFonts w:ascii="Times New Roman" w:cs="Times New Roman" w:eastAsia="Times New Roman" w:hAnsi="Times New Roman"/>
          <w:sz w:val="17"/>
          <w:szCs w:val="17"/>
          <w:color w:val="auto"/>
        </w:rPr>
        <w:t>  Aggregate Amount Beneficially Owned by Each Reporting Person</w:t>
      </w:r>
    </w:p>
    <w:p>
      <w:pPr>
        <w:spacing w:after="0" w:line="252" w:lineRule="exact"/>
        <w:rPr>
          <w:sz w:val="20"/>
          <w:szCs w:val="20"/>
          <w:color w:val="auto"/>
        </w:rPr>
      </w:pPr>
    </w:p>
    <w:p>
      <w:pPr>
        <w:ind w:left="660" w:hanging="97"/>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3,036,887</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Check if the Aggregate Amount in Row (11) Excludes Certain Shares (See Instructions)</w:t>
      </w:r>
    </w:p>
    <w:p>
      <w:pPr>
        <w:spacing w:after="0" w:line="290" w:lineRule="exact"/>
        <w:rPr>
          <w:rFonts w:ascii="Times New Roman" w:cs="Times New Roman" w:eastAsia="Times New Roman" w:hAnsi="Times New Roman"/>
          <w:sz w:val="17"/>
          <w:szCs w:val="17"/>
          <w:color w:val="auto"/>
        </w:rPr>
      </w:pPr>
    </w:p>
    <w:p>
      <w:pPr>
        <w:ind w:left="560" w:hanging="407"/>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 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Page 5 of 10 Pages</w:t>
      </w:r>
    </w:p>
    <w:p>
      <w:pPr>
        <w:sectPr>
          <w:pgSz w:w="11900" w:h="16838" w:orient="portrait"/>
          <w:cols w:equalWidth="0" w:num="2">
            <w:col w:w="8880" w:space="720"/>
            <w:col w:w="1420"/>
          </w:cols>
          <w:pgMar w:left="440" w:top="266" w:right="439" w:bottom="1440" w:gutter="0" w:footer="0" w:header="0"/>
        </w:sectPr>
      </w:pPr>
    </w:p>
    <w:bookmarkStart w:id="5" w:name="page6"/>
    <w:bookmarkEnd w:id="5"/>
    <w:p>
      <w:pPr>
        <w:spacing w:after="0"/>
        <w:tabs>
          <w:tab w:leader="none" w:pos="95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8"/>
          <w:szCs w:val="18"/>
          <w:b w:val="1"/>
          <w:bCs w:val="1"/>
          <w:color w:val="auto"/>
        </w:rPr>
        <w:t>Page 6 of 10 Pages</w:t>
      </w:r>
    </w:p>
    <w:p>
      <w:pPr>
        <w:spacing w:after="0" w:line="158"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18"/>
          <w:szCs w:val="18"/>
          <w:color w:val="auto"/>
        </w:rPr>
        <w:t>This Amendment No. 1 to the joint statement on Schedule 13D with respect to the common stock, par value $0.0001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Cartesian Therapeutics, Inc., a Delaware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filed by Murat Kalayoglu, Seven One Eight Three Four Irrevocable Trust (the “</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Elizabeth Hoge and Sinan Kalayoglu (collectively, the “</w:t>
      </w:r>
      <w:r>
        <w:rPr>
          <w:rFonts w:ascii="Times New Roman" w:cs="Times New Roman" w:eastAsia="Times New Roman" w:hAnsi="Times New Roman"/>
          <w:sz w:val="18"/>
          <w:szCs w:val="18"/>
          <w:b w:val="1"/>
          <w:bCs w:val="1"/>
          <w:color w:val="auto"/>
        </w:rPr>
        <w:t>Reporting Persons</w:t>
      </w:r>
      <w:r>
        <w:rPr>
          <w:rFonts w:ascii="Times New Roman" w:cs="Times New Roman" w:eastAsia="Times New Roman" w:hAnsi="Times New Roman"/>
          <w:sz w:val="18"/>
          <w:szCs w:val="18"/>
          <w:color w:val="auto"/>
        </w:rPr>
        <w:t>”) on November 22, 2023 (such joint statement, as amended herein, the “</w:t>
      </w:r>
      <w:r>
        <w:rPr>
          <w:rFonts w:ascii="Times New Roman" w:cs="Times New Roman" w:eastAsia="Times New Roman" w:hAnsi="Times New Roman"/>
          <w:sz w:val="18"/>
          <w:szCs w:val="18"/>
          <w:b w:val="1"/>
          <w:bCs w:val="1"/>
          <w:color w:val="auto"/>
        </w:rPr>
        <w:t>Schedule 13D</w:t>
      </w:r>
      <w:r>
        <w:rPr>
          <w:rFonts w:ascii="Times New Roman" w:cs="Times New Roman" w:eastAsia="Times New Roman" w:hAnsi="Times New Roman"/>
          <w:sz w:val="18"/>
          <w:szCs w:val="18"/>
          <w:color w:val="auto"/>
        </w:rPr>
        <w:t>”), amends the Schedule 13D as follows:</w:t>
      </w:r>
    </w:p>
    <w:p>
      <w:pPr>
        <w:spacing w:after="0" w:line="86" w:lineRule="exact"/>
        <w:rPr>
          <w:sz w:val="20"/>
          <w:szCs w:val="20"/>
          <w:color w:val="auto"/>
        </w:rPr>
      </w:pPr>
    </w:p>
    <w:p>
      <w:pPr>
        <w:ind w:left="960" w:hanging="532"/>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3 of the Schedule 13D is hereby amended and restated in full as follows:</w:t>
      </w:r>
    </w:p>
    <w:p>
      <w:pPr>
        <w:spacing w:after="0" w:line="127"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Source and Amount of Funds or Other Consideration</w:t>
      </w:r>
    </w:p>
    <w:p>
      <w:pPr>
        <w:spacing w:after="0" w:line="121" w:lineRule="exact"/>
        <w:rPr>
          <w:sz w:val="20"/>
          <w:szCs w:val="20"/>
          <w:color w:val="auto"/>
        </w:rPr>
      </w:pPr>
    </w:p>
    <w:p>
      <w:pPr>
        <w:ind w:left="980" w:right="280"/>
        <w:spacing w:after="0" w:line="266" w:lineRule="auto"/>
        <w:rPr>
          <w:sz w:val="20"/>
          <w:szCs w:val="20"/>
          <w:color w:val="auto"/>
        </w:rPr>
      </w:pPr>
      <w:r>
        <w:rPr>
          <w:rFonts w:ascii="Times New Roman" w:cs="Times New Roman" w:eastAsia="Times New Roman" w:hAnsi="Times New Roman"/>
          <w:sz w:val="18"/>
          <w:szCs w:val="18"/>
          <w:color w:val="auto"/>
        </w:rPr>
        <w:t>The Reporting Persons acquired the right to receive an aggregate 118,714 shares of Common Stock and 203,892.376 shares of Series A Non-Voting Convertible Preferred Stock of the Issuer, par value $0.0001 per share (the “</w:t>
      </w:r>
      <w:r>
        <w:rPr>
          <w:rFonts w:ascii="Times New Roman" w:cs="Times New Roman" w:eastAsia="Times New Roman" w:hAnsi="Times New Roman"/>
          <w:sz w:val="18"/>
          <w:szCs w:val="18"/>
          <w:b w:val="1"/>
          <w:bCs w:val="1"/>
          <w:color w:val="auto"/>
        </w:rPr>
        <w:t>Series A Preferred Stock</w:t>
      </w:r>
      <w:r>
        <w:rPr>
          <w:rFonts w:ascii="Times New Roman" w:cs="Times New Roman" w:eastAsia="Times New Roman" w:hAnsi="Times New Roman"/>
          <w:sz w:val="18"/>
          <w:szCs w:val="18"/>
          <w:color w:val="auto"/>
        </w:rPr>
        <w:t>”) pursuant to the Merger described in Item 4 below.</w:t>
      </w:r>
    </w:p>
    <w:p>
      <w:pPr>
        <w:spacing w:after="0" w:line="68" w:lineRule="exact"/>
        <w:rPr>
          <w:sz w:val="20"/>
          <w:szCs w:val="20"/>
          <w:color w:val="auto"/>
        </w:rPr>
      </w:pPr>
    </w:p>
    <w:p>
      <w:pPr>
        <w:ind w:left="980" w:right="300"/>
        <w:spacing w:after="0" w:line="266" w:lineRule="auto"/>
        <w:rPr>
          <w:sz w:val="20"/>
          <w:szCs w:val="20"/>
          <w:color w:val="auto"/>
        </w:rPr>
      </w:pPr>
      <w:r>
        <w:rPr>
          <w:rFonts w:ascii="Times New Roman" w:cs="Times New Roman" w:eastAsia="Times New Roman" w:hAnsi="Times New Roman"/>
          <w:sz w:val="18"/>
          <w:szCs w:val="18"/>
          <w:color w:val="auto"/>
        </w:rPr>
        <w:t>The Reporting Persons acquired an aggregate 619.627 shares of Series A Preferred Stock pursuant to the Financing described in Item 4 below for an aggregate purchase price of $249,999.98. The funds used by the Trust to purchase shares in the Financing consisted of personal funds transferred to the Trust by Murat Kalayoglu.</w:t>
      </w:r>
    </w:p>
    <w:p>
      <w:pPr>
        <w:spacing w:after="0" w:line="68" w:lineRule="exact"/>
        <w:rPr>
          <w:sz w:val="20"/>
          <w:szCs w:val="20"/>
          <w:color w:val="auto"/>
        </w:rPr>
      </w:pPr>
    </w:p>
    <w:p>
      <w:pPr>
        <w:ind w:left="980" w:right="80"/>
        <w:spacing w:after="0" w:line="282" w:lineRule="auto"/>
        <w:rPr>
          <w:sz w:val="20"/>
          <w:szCs w:val="20"/>
          <w:color w:val="auto"/>
        </w:rPr>
      </w:pPr>
      <w:r>
        <w:rPr>
          <w:rFonts w:ascii="Times New Roman" w:cs="Times New Roman" w:eastAsia="Times New Roman" w:hAnsi="Times New Roman"/>
          <w:sz w:val="18"/>
          <w:szCs w:val="18"/>
          <w:color w:val="auto"/>
        </w:rPr>
        <w:t>On January 2, 2024, Murat Kalayoglu acquired an option to purchase up to 7,600 shares of Common Stock at an exercise price of $19.656 per share in consideration of his service on the Issuer’s board of directors.</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information set forth under Item 4 of this Schedule 13D is incorporated by reference into this Item 3.</w:t>
      </w:r>
    </w:p>
    <w:p>
      <w:pPr>
        <w:spacing w:after="0" w:line="131" w:lineRule="exact"/>
        <w:rPr>
          <w:sz w:val="20"/>
          <w:szCs w:val="20"/>
          <w:color w:val="auto"/>
        </w:rPr>
      </w:pPr>
    </w:p>
    <w:p>
      <w:pPr>
        <w:ind w:left="960" w:hanging="532"/>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4 of the Schedule 13D is hereby amended by inserting the following at the end of such section:</w:t>
      </w:r>
    </w:p>
    <w:p>
      <w:pPr>
        <w:spacing w:after="0" w:line="32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to Certificate of Designation</w:t>
      </w:r>
    </w:p>
    <w:p>
      <w:pPr>
        <w:spacing w:after="0" w:line="121" w:lineRule="exact"/>
        <w:rPr>
          <w:rFonts w:ascii="Times New Roman" w:cs="Times New Roman" w:eastAsia="Times New Roman" w:hAnsi="Times New Roman"/>
          <w:sz w:val="18"/>
          <w:szCs w:val="18"/>
          <w:color w:val="auto"/>
        </w:rPr>
      </w:pPr>
    </w:p>
    <w:p>
      <w:pPr>
        <w:ind w:left="980"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26, 2024, the Company, with the consent of the holders of Series A Preferred Stock required thereby, amended the Certificate of Designation (such amendment, the “</w:t>
      </w:r>
      <w:r>
        <w:rPr>
          <w:rFonts w:ascii="Times New Roman" w:cs="Times New Roman" w:eastAsia="Times New Roman" w:hAnsi="Times New Roman"/>
          <w:sz w:val="18"/>
          <w:szCs w:val="18"/>
          <w:b w:val="1"/>
          <w:bCs w:val="1"/>
          <w:color w:val="auto"/>
        </w:rPr>
        <w:t>Amendment to the Certificate of Designation</w:t>
      </w:r>
      <w:r>
        <w:rPr>
          <w:rFonts w:ascii="Times New Roman" w:cs="Times New Roman" w:eastAsia="Times New Roman" w:hAnsi="Times New Roman"/>
          <w:sz w:val="18"/>
          <w:szCs w:val="18"/>
          <w:color w:val="auto"/>
        </w:rPr>
        <w:t>”) such that the Automatic Conversion (as defined in the Certificate of Designation) will occur at 5:00 p.m. eight business days following stockholder approval of the Conversion Proposal.</w:t>
      </w:r>
    </w:p>
    <w:p>
      <w:pPr>
        <w:spacing w:after="0" w:line="27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Reverse Stock Split</w:t>
      </w:r>
    </w:p>
    <w:p>
      <w:pPr>
        <w:spacing w:after="0" w:line="121" w:lineRule="exact"/>
        <w:rPr>
          <w:rFonts w:ascii="Times New Roman" w:cs="Times New Roman" w:eastAsia="Times New Roman" w:hAnsi="Times New Roman"/>
          <w:sz w:val="18"/>
          <w:szCs w:val="18"/>
          <w:color w:val="auto"/>
        </w:rPr>
      </w:pPr>
    </w:p>
    <w:p>
      <w:pPr>
        <w:ind w:left="980"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4, 2024, the Company effected a reverse stock split of the Common Stock at a ratio of 1-for-30, whereby every 30 shares of Common Stock outstanding were combined, automatically and without any action on the part of the Company or its stockholders, into one new share of Common Stock. Proportionate adjustments were made to the conversion ratio of the Series A Preferred Stock in accordance with the Certificate of Designations. All share amounts in this Amendment No. 1 are presented on a split-adjusted basis.</w:t>
      </w:r>
    </w:p>
    <w:p>
      <w:pPr>
        <w:sectPr>
          <w:pgSz w:w="11900" w:h="16838" w:orient="portrait"/>
          <w:cols w:equalWidth="0" w:num="1">
            <w:col w:w="11020"/>
          </w:cols>
          <w:pgMar w:left="440" w:top="266" w:right="439" w:bottom="1440" w:gutter="0" w:footer="0" w:header="0"/>
        </w:sectPr>
      </w:pPr>
    </w:p>
    <w:bookmarkStart w:id="6" w:name="page7"/>
    <w:bookmarkEnd w:id="6"/>
    <w:p>
      <w:pPr>
        <w:spacing w:after="0"/>
        <w:tabs>
          <w:tab w:leader="none" w:pos="95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8"/>
          <w:szCs w:val="18"/>
          <w:b w:val="1"/>
          <w:bCs w:val="1"/>
          <w:color w:val="auto"/>
        </w:rPr>
        <w:t>Page 7 of 10 Pages</w:t>
      </w:r>
    </w:p>
    <w:p>
      <w:pPr>
        <w:sectPr>
          <w:pgSz w:w="11900" w:h="16838" w:orient="portrait"/>
          <w:cols w:equalWidth="0" w:num="1">
            <w:col w:w="11020"/>
          </w:cols>
          <w:pgMar w:left="440" w:top="266" w:right="439" w:bottom="1440" w:gutter="0" w:footer="0" w:header="0"/>
        </w:sectPr>
      </w:pP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Conversion of Series A Preferred Stock</w:t>
      </w:r>
    </w:p>
    <w:p>
      <w:pPr>
        <w:spacing w:after="0" w:line="121" w:lineRule="exact"/>
        <w:rPr>
          <w:sz w:val="20"/>
          <w:szCs w:val="20"/>
          <w:color w:val="auto"/>
        </w:rPr>
      </w:pPr>
    </w:p>
    <w:p>
      <w:pPr>
        <w:jc w:val="both"/>
        <w:ind w:left="980" w:right="40"/>
        <w:spacing w:after="0" w:line="266" w:lineRule="auto"/>
        <w:rPr>
          <w:sz w:val="20"/>
          <w:szCs w:val="20"/>
          <w:color w:val="auto"/>
        </w:rPr>
      </w:pPr>
      <w:r>
        <w:rPr>
          <w:rFonts w:ascii="Times New Roman" w:cs="Times New Roman" w:eastAsia="Times New Roman" w:hAnsi="Times New Roman"/>
          <w:sz w:val="18"/>
          <w:szCs w:val="18"/>
          <w:color w:val="auto"/>
        </w:rPr>
        <w:t>Pursuant to the terms of the Certificate of Designation, as amended by the Amendment to the Certificate of Designation, on April 8, 2024, following stockholder approval of the issuance of shares of Common Stock upon conversion of the Series A Preferred Stock, each share of Series A Preferred Stock automatically converted into 33-1/3 shares of Common Stock, subject to beneficial ownership limitations.</w:t>
      </w:r>
    </w:p>
    <w:p>
      <w:pPr>
        <w:spacing w:after="0" w:line="81" w:lineRule="exact"/>
        <w:rPr>
          <w:sz w:val="20"/>
          <w:szCs w:val="20"/>
          <w:color w:val="auto"/>
        </w:rPr>
      </w:pPr>
    </w:p>
    <w:p>
      <w:pPr>
        <w:ind w:left="960" w:hanging="53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5 of the Schedule 13D is hereby amended and restated in full as follows:</w:t>
      </w:r>
    </w:p>
    <w:p>
      <w:pPr>
        <w:spacing w:after="0" w:line="127"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 in Securities of the Issuer</w:t>
      </w:r>
    </w:p>
    <w:p>
      <w:pPr>
        <w:spacing w:after="0" w:line="121" w:lineRule="exact"/>
        <w:rPr>
          <w:sz w:val="20"/>
          <w:szCs w:val="20"/>
          <w:color w:val="auto"/>
        </w:rPr>
      </w:pPr>
    </w:p>
    <w:p>
      <w:pPr>
        <w:ind w:left="980" w:right="240" w:firstLine="401"/>
        <w:spacing w:after="0" w:line="258" w:lineRule="auto"/>
        <w:rPr>
          <w:sz w:val="20"/>
          <w:szCs w:val="20"/>
          <w:color w:val="auto"/>
        </w:rPr>
      </w:pPr>
      <w:r>
        <w:rPr>
          <w:rFonts w:ascii="Times New Roman" w:cs="Times New Roman" w:eastAsia="Times New Roman" w:hAnsi="Times New Roman"/>
          <w:sz w:val="18"/>
          <w:szCs w:val="18"/>
          <w:color w:val="auto"/>
        </w:rPr>
        <w:t>(a, b) The percentages of beneficial ownership reported in this Item 5, and on each Reporting Person’s cover page to this Schedule 13D, are based on a total of 17,779,787 shares of Common Stock issued and outstanding as of April 8, 2024, as reported in the Issuer’s Current Report on Form 8-K filed with the Securities and Exchange Commission on April 8, 2024. All of the share numbers reported herein are as of April 10, 2024, unless otherwise indicated. Each Reporting Person’s cover page to this Schedule 13D is incorporated by reference into this Item 5(a, b).</w:t>
      </w:r>
    </w:p>
    <w:p>
      <w:pPr>
        <w:spacing w:after="0" w:line="75" w:lineRule="exact"/>
        <w:rPr>
          <w:sz w:val="20"/>
          <w:szCs w:val="20"/>
          <w:color w:val="auto"/>
        </w:rPr>
      </w:pPr>
    </w:p>
    <w:p>
      <w:pPr>
        <w:ind w:left="980" w:right="180"/>
        <w:spacing w:after="0" w:line="256" w:lineRule="auto"/>
        <w:rPr>
          <w:sz w:val="20"/>
          <w:szCs w:val="20"/>
          <w:color w:val="auto"/>
        </w:rPr>
      </w:pPr>
      <w:r>
        <w:rPr>
          <w:rFonts w:ascii="Times New Roman" w:cs="Times New Roman" w:eastAsia="Times New Roman" w:hAnsi="Times New Roman"/>
          <w:sz w:val="18"/>
          <w:szCs w:val="18"/>
          <w:color w:val="auto"/>
        </w:rPr>
        <w:t>In aggregate, the Reporting Persons have voting and dispositive power over 3,538,386 shares of Common Stock, representing approximately 19.9% of such class of securities. The securities reported herein exclude (a) 3,398,448 shares of Common Stock issuable upon conversion of shares of Series A Preferred Stock held by the Trust, but which would exceed the Conversion Limit, (b) 6,545 shares of Common Stock underlying stock options held by Murat Kalayoglu that are not exercisable within 60 days of the date hereof and (c) 5,933 shares of Common Stock underlying restricted stock units held by Murat Kalayoglu that will vest more than 60 days after the date hereof.</w:t>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beneficial ownership of each Reporting Person is as follows:</w:t>
      </w:r>
    </w:p>
    <w:p>
      <w:pPr>
        <w:spacing w:after="0" w:line="131" w:lineRule="exact"/>
        <w:rPr>
          <w:sz w:val="20"/>
          <w:szCs w:val="20"/>
          <w:color w:val="auto"/>
        </w:rPr>
      </w:pPr>
    </w:p>
    <w:p>
      <w:pPr>
        <w:ind w:left="1960" w:hanging="533"/>
        <w:spacing w:after="0"/>
        <w:tabs>
          <w:tab w:leader="none" w:pos="1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Murat Kalayoglu beneficially owns 3,538,386 shares of Common Stock representing approximately 19.9% of the class;</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beneficially owns 3,036,887 shares of Common Stock representing approximately 17.1% of the class;</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Elizabeth Hoge beneficially owns 3,036,887 shares of Common Stock representing approximately 17.1% of the class; and</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Sinan Kalayoglu beneficially owns 3,036,887 shares of Common Stock representing approximately 17.1% of the class.</w:t>
      </w:r>
    </w:p>
    <w:p>
      <w:pPr>
        <w:spacing w:after="0" w:line="117" w:lineRule="exact"/>
        <w:rPr>
          <w:sz w:val="20"/>
          <w:szCs w:val="20"/>
          <w:color w:val="auto"/>
        </w:rPr>
      </w:pPr>
    </w:p>
    <w:p>
      <w:pPr>
        <w:jc w:val="both"/>
        <w:ind w:left="980" w:right="360"/>
        <w:spacing w:after="0" w:line="261" w:lineRule="auto"/>
        <w:rPr>
          <w:sz w:val="20"/>
          <w:szCs w:val="20"/>
          <w:color w:val="auto"/>
        </w:rPr>
      </w:pPr>
      <w:r>
        <w:rPr>
          <w:rFonts w:ascii="Times New Roman" w:cs="Times New Roman" w:eastAsia="Times New Roman" w:hAnsi="Times New Roman"/>
          <w:sz w:val="18"/>
          <w:szCs w:val="18"/>
          <w:color w:val="auto"/>
        </w:rPr>
        <w:t>Pursuant to a right of substitution, Murat Kalayoglu has the right to acquire from the Trust the shares of Common Stock and Series A Preferred Stock held by the Trust in exchange for assets with an equal value to such shares. Accordingly, the shares of Common Stock beneficially owned by the Trust are included in his holdings. Murat Kalayoglu has the sole power to vote and dispose of the shares of Common Stock</w:t>
      </w:r>
    </w:p>
    <w:p>
      <w:pPr>
        <w:sectPr>
          <w:pgSz w:w="11900" w:h="16838" w:orient="portrait"/>
          <w:cols w:equalWidth="0" w:num="1">
            <w:col w:w="11020"/>
          </w:cols>
          <w:pgMar w:left="440" w:top="266" w:right="439" w:bottom="1440" w:gutter="0" w:footer="0" w:header="0"/>
          <w:type w:val="continuous"/>
        </w:sectPr>
      </w:pPr>
    </w:p>
    <w:bookmarkStart w:id="7" w:name="page8"/>
    <w:bookmarkEnd w:id="7"/>
    <w:p>
      <w:pPr>
        <w:spacing w:after="0"/>
        <w:tabs>
          <w:tab w:leader="none" w:pos="95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8"/>
          <w:szCs w:val="18"/>
          <w:b w:val="1"/>
          <w:bCs w:val="1"/>
          <w:color w:val="auto"/>
        </w:rPr>
        <w:t>Page 8 of 10 Pages</w:t>
      </w:r>
    </w:p>
    <w:p>
      <w:pPr>
        <w:sectPr>
          <w:pgSz w:w="11900" w:h="16838" w:orient="portrait"/>
          <w:cols w:equalWidth="0" w:num="1">
            <w:col w:w="11020"/>
          </w:cols>
          <w:pgMar w:left="440" w:top="266" w:right="439" w:bottom="1440" w:gutter="0" w:footer="0" w:header="0"/>
        </w:sectPr>
      </w:pPr>
    </w:p>
    <w:p>
      <w:pPr>
        <w:spacing w:after="0" w:line="162" w:lineRule="exact"/>
        <w:rPr>
          <w:sz w:val="20"/>
          <w:szCs w:val="20"/>
          <w:color w:val="auto"/>
        </w:rPr>
      </w:pPr>
    </w:p>
    <w:p>
      <w:pPr>
        <w:ind w:left="980" w:right="220"/>
        <w:spacing w:after="0" w:line="266" w:lineRule="auto"/>
        <w:rPr>
          <w:sz w:val="20"/>
          <w:szCs w:val="20"/>
          <w:color w:val="auto"/>
        </w:rPr>
      </w:pPr>
      <w:r>
        <w:rPr>
          <w:rFonts w:ascii="Times New Roman" w:cs="Times New Roman" w:eastAsia="Times New Roman" w:hAnsi="Times New Roman"/>
          <w:sz w:val="18"/>
          <w:szCs w:val="18"/>
          <w:color w:val="auto"/>
        </w:rPr>
        <w:t>beneficially owned by him (as described above). The Trust has the sole power to vote and dispose of the shares of Common Stock beneficially owned by it (as described above). Each of Elizabeth Hoge and Sinan Kalayoglu has the shared power to vote and dispose of the shares of Common Stock beneficially owned by such person (as described above).</w:t>
      </w:r>
    </w:p>
    <w:p>
      <w:pPr>
        <w:spacing w:after="0" w:line="68" w:lineRule="exact"/>
        <w:rPr>
          <w:sz w:val="20"/>
          <w:szCs w:val="20"/>
          <w:color w:val="auto"/>
        </w:rPr>
      </w:pPr>
    </w:p>
    <w:p>
      <w:pPr>
        <w:ind w:left="980" w:right="180" w:firstLine="408"/>
        <w:spacing w:after="0" w:line="282" w:lineRule="auto"/>
        <w:tabs>
          <w:tab w:leader="none" w:pos="162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Reporting Person effected any transaction in the Common Stock from February 10, 2024 (the date 60 days prior to the filing of this Schedule 13D) to April 10, 2024.</w:t>
      </w:r>
    </w:p>
    <w:p>
      <w:pPr>
        <w:spacing w:after="0" w:line="53" w:lineRule="exact"/>
        <w:rPr>
          <w:rFonts w:ascii="Times New Roman" w:cs="Times New Roman" w:eastAsia="Times New Roman" w:hAnsi="Times New Roman"/>
          <w:sz w:val="18"/>
          <w:szCs w:val="18"/>
          <w:color w:val="auto"/>
        </w:rPr>
      </w:pPr>
    </w:p>
    <w:p>
      <w:pPr>
        <w:ind w:left="980" w:right="220" w:firstLine="408"/>
        <w:spacing w:after="0" w:line="282" w:lineRule="auto"/>
        <w:tabs>
          <w:tab w:leader="none" w:pos="163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Reporting Persons is known to have the right to receive or the power to direct the receipt of dividends from or the proceeds from the sale of shares of the Common Stock.</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7 of the Schedule 13D is hereby amended and restated in full as follows:</w:t>
      </w:r>
    </w:p>
    <w:p>
      <w:pPr>
        <w:spacing w:after="0" w:line="127" w:lineRule="exact"/>
        <w:rPr>
          <w:sz w:val="20"/>
          <w:szCs w:val="20"/>
          <w:color w:val="auto"/>
        </w:rPr>
      </w:pPr>
    </w:p>
    <w:p>
      <w:pPr>
        <w:ind w:left="92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Material to be Filed as Exhibits</w:t>
      </w:r>
    </w:p>
    <w:p>
      <w:pPr>
        <w:spacing w:after="0" w:line="121" w:lineRule="exact"/>
        <w:rPr>
          <w:sz w:val="20"/>
          <w:szCs w:val="20"/>
          <w:color w:val="auto"/>
        </w:rPr>
      </w:pPr>
    </w:p>
    <w:p>
      <w:pPr>
        <w:jc w:val="both"/>
        <w:ind w:left="1880" w:right="180" w:hanging="944"/>
        <w:spacing w:after="0" w:line="266" w:lineRule="auto"/>
        <w:tabs>
          <w:tab w:leader="none" w:pos="1860" w:val="left"/>
        </w:tabs>
        <w:rPr>
          <w:sz w:val="20"/>
          <w:szCs w:val="20"/>
          <w:color w:val="auto"/>
        </w:rPr>
      </w:pPr>
      <w:r>
        <w:rPr>
          <w:rFonts w:ascii="Times New Roman" w:cs="Times New Roman" w:eastAsia="Times New Roman" w:hAnsi="Times New Roman"/>
          <w:sz w:val="18"/>
          <w:szCs w:val="18"/>
          <w:u w:val="single" w:color="auto"/>
          <w:color w:val="auto"/>
        </w:rPr>
        <w:t>Exhibit 1</w:t>
      </w:r>
      <w:r>
        <w:rPr>
          <w:sz w:val="20"/>
          <w:szCs w:val="20"/>
          <w:color w:val="auto"/>
        </w:rPr>
        <w:tab/>
      </w:r>
      <w:r>
        <w:rPr>
          <w:rFonts w:ascii="Times New Roman" w:cs="Times New Roman" w:eastAsia="Times New Roman" w:hAnsi="Times New Roman"/>
          <w:sz w:val="18"/>
          <w:szCs w:val="18"/>
          <w:color w:val="auto"/>
        </w:rPr>
        <w:t>Joint Filing Agreement by and among Murat Kalayoglu, Seven One Eight Three Four Irrevocable Trust, Elizabeth Hoge and Sinan Kalayoglu dated November 22, 2023 (incorporated by reference to Exhibit 1 of the Reporting Persons’ Schedule 13D filed with the SEC on November 22, 2023).</w:t>
      </w:r>
    </w:p>
    <w:p>
      <w:pPr>
        <w:spacing w:after="0" w:line="68" w:lineRule="exact"/>
        <w:rPr>
          <w:sz w:val="20"/>
          <w:szCs w:val="20"/>
          <w:color w:val="auto"/>
        </w:rPr>
      </w:pPr>
    </w:p>
    <w:p>
      <w:pPr>
        <w:ind w:left="1880" w:right="140" w:hanging="944"/>
        <w:spacing w:after="0" w:line="282" w:lineRule="auto"/>
        <w:tabs>
          <w:tab w:leader="none" w:pos="1860" w:val="left"/>
        </w:tabs>
        <w:rPr>
          <w:sz w:val="20"/>
          <w:szCs w:val="20"/>
          <w:color w:val="auto"/>
        </w:rPr>
      </w:pPr>
      <w:r>
        <w:rPr>
          <w:rFonts w:ascii="Times New Roman" w:cs="Times New Roman" w:eastAsia="Times New Roman" w:hAnsi="Times New Roman"/>
          <w:sz w:val="18"/>
          <w:szCs w:val="18"/>
          <w:u w:val="single" w:color="auto"/>
          <w:color w:val="auto"/>
        </w:rPr>
        <w:t>Exhibit 2</w:t>
      </w:r>
      <w:r>
        <w:rPr>
          <w:sz w:val="20"/>
          <w:szCs w:val="20"/>
          <w:color w:val="auto"/>
        </w:rPr>
        <w:tab/>
      </w:r>
      <w:r>
        <w:rPr>
          <w:rFonts w:ascii="Times New Roman" w:cs="Times New Roman" w:eastAsia="Times New Roman" w:hAnsi="Times New Roman"/>
          <w:sz w:val="18"/>
          <w:szCs w:val="18"/>
          <w:color w:val="auto"/>
        </w:rPr>
        <w:t>Confirming Statement of Seven One Eight Three Four Irrevocable Trust dated November 22, 2023(incorporated by reference to Exhibit 2 of the Reporting Persons’ Schedule 13D filed with the SEC on November 22, 2023).</w:t>
      </w:r>
    </w:p>
    <w:p>
      <w:pPr>
        <w:spacing w:after="0" w:line="54" w:lineRule="exact"/>
        <w:rPr>
          <w:sz w:val="20"/>
          <w:szCs w:val="20"/>
          <w:color w:val="auto"/>
        </w:rPr>
      </w:pPr>
    </w:p>
    <w:p>
      <w:pPr>
        <w:ind w:left="1880" w:right="200" w:hanging="944"/>
        <w:spacing w:after="0" w:line="282" w:lineRule="auto"/>
        <w:tabs>
          <w:tab w:leader="none" w:pos="1860" w:val="left"/>
        </w:tabs>
        <w:rPr>
          <w:sz w:val="20"/>
          <w:szCs w:val="20"/>
          <w:color w:val="auto"/>
        </w:rPr>
      </w:pPr>
      <w:r>
        <w:rPr>
          <w:rFonts w:ascii="Times New Roman" w:cs="Times New Roman" w:eastAsia="Times New Roman" w:hAnsi="Times New Roman"/>
          <w:sz w:val="18"/>
          <w:szCs w:val="18"/>
          <w:u w:val="single" w:color="auto"/>
          <w:color w:val="auto"/>
        </w:rPr>
        <w:t>Exhibit 3</w:t>
      </w:r>
      <w:r>
        <w:rPr>
          <w:sz w:val="20"/>
          <w:szCs w:val="20"/>
          <w:color w:val="auto"/>
        </w:rPr>
        <w:tab/>
      </w:r>
      <w:r>
        <w:rPr>
          <w:rFonts w:ascii="Times New Roman" w:cs="Times New Roman" w:eastAsia="Times New Roman" w:hAnsi="Times New Roman"/>
          <w:sz w:val="18"/>
          <w:szCs w:val="18"/>
          <w:color w:val="auto"/>
        </w:rPr>
        <w:t>Confirming Statement of Elizabeth Hoge dated November 22, 2023 (incorporated by reference to Exhibit 3 of the Reporting Persons’ Schedule 13D filed with the SEC on November 22, 2023).</w:t>
      </w:r>
    </w:p>
    <w:p>
      <w:pPr>
        <w:spacing w:after="0" w:line="54" w:lineRule="exact"/>
        <w:rPr>
          <w:sz w:val="20"/>
          <w:szCs w:val="20"/>
          <w:color w:val="auto"/>
        </w:rPr>
      </w:pPr>
    </w:p>
    <w:p>
      <w:pPr>
        <w:ind w:left="1880" w:right="120" w:hanging="944"/>
        <w:spacing w:after="0" w:line="282" w:lineRule="auto"/>
        <w:tabs>
          <w:tab w:leader="none" w:pos="1860" w:val="left"/>
        </w:tabs>
        <w:rPr>
          <w:sz w:val="20"/>
          <w:szCs w:val="20"/>
          <w:color w:val="auto"/>
        </w:rPr>
      </w:pPr>
      <w:r>
        <w:rPr>
          <w:rFonts w:ascii="Times New Roman" w:cs="Times New Roman" w:eastAsia="Times New Roman" w:hAnsi="Times New Roman"/>
          <w:sz w:val="18"/>
          <w:szCs w:val="18"/>
          <w:u w:val="single" w:color="auto"/>
          <w:color w:val="auto"/>
        </w:rPr>
        <w:t>Exhibit 4</w:t>
      </w:r>
      <w:r>
        <w:rPr>
          <w:sz w:val="20"/>
          <w:szCs w:val="20"/>
          <w:color w:val="auto"/>
        </w:rPr>
        <w:tab/>
      </w:r>
      <w:r>
        <w:rPr>
          <w:rFonts w:ascii="Times New Roman" w:cs="Times New Roman" w:eastAsia="Times New Roman" w:hAnsi="Times New Roman"/>
          <w:sz w:val="18"/>
          <w:szCs w:val="18"/>
          <w:color w:val="auto"/>
        </w:rPr>
        <w:t>Confirming Statement of Sinan Kalayoglu dated November 22, 2023 (incorporated by reference to Exhibit 4 of the Reporting Persons’ Schedule 13D filed with the SEC on November 22, 2023).</w:t>
      </w:r>
    </w:p>
    <w:p>
      <w:pPr>
        <w:spacing w:after="0" w:line="54" w:lineRule="exact"/>
        <w:rPr>
          <w:sz w:val="20"/>
          <w:szCs w:val="20"/>
          <w:color w:val="auto"/>
        </w:rPr>
      </w:pPr>
    </w:p>
    <w:p>
      <w:pPr>
        <w:ind w:left="1880" w:right="60" w:hanging="944"/>
        <w:spacing w:after="0" w:line="266" w:lineRule="auto"/>
        <w:tabs>
          <w:tab w:leader="none" w:pos="1860" w:val="left"/>
        </w:tabs>
        <w:rPr>
          <w:sz w:val="20"/>
          <w:szCs w:val="20"/>
          <w:color w:val="auto"/>
        </w:rPr>
      </w:pPr>
      <w:r>
        <w:rPr>
          <w:rFonts w:ascii="Times New Roman" w:cs="Times New Roman" w:eastAsia="Times New Roman" w:hAnsi="Times New Roman"/>
          <w:sz w:val="18"/>
          <w:szCs w:val="18"/>
          <w:u w:val="single" w:color="auto"/>
          <w:color w:val="auto"/>
        </w:rPr>
        <w:t>Exhibit 5</w:t>
      </w:r>
      <w:r>
        <w:rPr>
          <w:sz w:val="20"/>
          <w:szCs w:val="20"/>
          <w:color w:val="auto"/>
        </w:rPr>
        <w:tab/>
      </w:r>
      <w:r>
        <w:rPr>
          <w:rFonts w:ascii="Times New Roman" w:cs="Times New Roman" w:eastAsia="Times New Roman" w:hAnsi="Times New Roman"/>
          <w:sz w:val="18"/>
          <w:szCs w:val="18"/>
          <w:color w:val="auto"/>
        </w:rPr>
        <w:t>Agreement and Plan of Merger, dated November 13, 2023, by and among Selecta Biosciences, Inc. Sakura Merger Sub I, Inc., Sakura Merger Sub II, LLC and Cartesian Therapeutics, Inc. (incorporated by reference to Exhibit 2.1 to the Current Report on Form 8-K filed by the Issuer with the Securities and Exchange Commission on November 13, 2023).</w:t>
      </w:r>
    </w:p>
    <w:p>
      <w:pPr>
        <w:spacing w:after="0" w:line="68" w:lineRule="exact"/>
        <w:rPr>
          <w:sz w:val="20"/>
          <w:szCs w:val="20"/>
          <w:color w:val="auto"/>
        </w:rPr>
      </w:pPr>
    </w:p>
    <w:p>
      <w:pPr>
        <w:ind w:left="1880" w:right="40" w:hanging="944"/>
        <w:spacing w:after="0" w:line="282" w:lineRule="auto"/>
        <w:tabs>
          <w:tab w:leader="none" w:pos="1860" w:val="left"/>
        </w:tabs>
        <w:rPr>
          <w:sz w:val="20"/>
          <w:szCs w:val="20"/>
          <w:color w:val="auto"/>
        </w:rPr>
      </w:pPr>
      <w:r>
        <w:rPr>
          <w:rFonts w:ascii="Times New Roman" w:cs="Times New Roman" w:eastAsia="Times New Roman" w:hAnsi="Times New Roman"/>
          <w:sz w:val="18"/>
          <w:szCs w:val="18"/>
          <w:u w:val="single" w:color="auto"/>
          <w:color w:val="auto"/>
        </w:rPr>
        <w:t>Exhibit 6</w:t>
      </w:r>
      <w:r>
        <w:rPr>
          <w:sz w:val="20"/>
          <w:szCs w:val="20"/>
          <w:color w:val="auto"/>
        </w:rPr>
        <w:tab/>
      </w:r>
      <w:r>
        <w:rPr>
          <w:rFonts w:ascii="Times New Roman" w:cs="Times New Roman" w:eastAsia="Times New Roman" w:hAnsi="Times New Roman"/>
          <w:sz w:val="18"/>
          <w:szCs w:val="18"/>
          <w:color w:val="auto"/>
        </w:rPr>
        <w:t>Certificate of Designation of Series A Non-Voting Convertible Preferred Stock (incorporated by reference to Exhibit 3.4 to the Current Report on Form 8-K filed by the Issuer with the Securities and Exchange Commission on November 13, 2023).</w:t>
      </w:r>
    </w:p>
    <w:p>
      <w:pPr>
        <w:sectPr>
          <w:pgSz w:w="11900" w:h="16838" w:orient="portrait"/>
          <w:cols w:equalWidth="0" w:num="1">
            <w:col w:w="11020"/>
          </w:cols>
          <w:pgMar w:left="440" w:top="266" w:right="439" w:bottom="1440" w:gutter="0" w:footer="0" w:header="0"/>
          <w:type w:val="continuous"/>
        </w:sectPr>
      </w:pPr>
    </w:p>
    <w:bookmarkStart w:id="8" w:name="page9"/>
    <w:bookmarkEnd w:id="8"/>
    <w:p>
      <w:pPr>
        <w:spacing w:after="0"/>
        <w:tabs>
          <w:tab w:leader="none" w:pos="95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8"/>
          <w:szCs w:val="18"/>
          <w:b w:val="1"/>
          <w:bCs w:val="1"/>
          <w:color w:val="auto"/>
        </w:rPr>
        <w:t>Page 9 of 10 Pages</w:t>
      </w:r>
    </w:p>
    <w:p>
      <w:pPr>
        <w:spacing w:after="0" w:line="162" w:lineRule="exact"/>
        <w:rPr>
          <w:sz w:val="20"/>
          <w:szCs w:val="20"/>
          <w:color w:val="auto"/>
        </w:rPr>
      </w:pPr>
    </w:p>
    <w:p>
      <w:pPr>
        <w:ind w:left="1100" w:right="300" w:hanging="1106"/>
        <w:spacing w:after="0" w:line="266" w:lineRule="auto"/>
        <w:tabs>
          <w:tab w:leader="none" w:pos="1080" w:val="left"/>
        </w:tabs>
        <w:rPr>
          <w:sz w:val="20"/>
          <w:szCs w:val="20"/>
          <w:color w:val="auto"/>
        </w:rPr>
      </w:pPr>
      <w:r>
        <w:rPr>
          <w:rFonts w:ascii="Times New Roman" w:cs="Times New Roman" w:eastAsia="Times New Roman" w:hAnsi="Times New Roman"/>
          <w:sz w:val="18"/>
          <w:szCs w:val="18"/>
          <w:u w:val="single" w:color="auto"/>
          <w:color w:val="auto"/>
        </w:rPr>
        <w:t>Exhibit 7</w:t>
      </w:r>
      <w:r>
        <w:rPr>
          <w:sz w:val="20"/>
          <w:szCs w:val="20"/>
          <w:color w:val="auto"/>
        </w:rPr>
        <w:tab/>
      </w:r>
      <w:r>
        <w:rPr>
          <w:rFonts w:ascii="Times New Roman" w:cs="Times New Roman" w:eastAsia="Times New Roman" w:hAnsi="Times New Roman"/>
          <w:sz w:val="18"/>
          <w:szCs w:val="18"/>
          <w:color w:val="auto"/>
        </w:rPr>
        <w:t>Securities Purchase Agreement, dated November 13, 2023, by and among Selecta Biosciences, Inc. and the Purchasers named therein (incorporated by reference to Exhibit 10.1 to the Current Report on Form 8-K filed by the Issuer with the Securities and Exchange Commission on November 13, 2023).</w:t>
      </w:r>
    </w:p>
    <w:p>
      <w:pPr>
        <w:spacing w:after="0" w:line="68" w:lineRule="exact"/>
        <w:rPr>
          <w:sz w:val="20"/>
          <w:szCs w:val="20"/>
          <w:color w:val="auto"/>
        </w:rPr>
      </w:pPr>
    </w:p>
    <w:p>
      <w:pPr>
        <w:ind w:left="1100" w:right="320" w:hanging="1106"/>
        <w:spacing w:after="0" w:line="266" w:lineRule="auto"/>
        <w:tabs>
          <w:tab w:leader="none" w:pos="1080" w:val="left"/>
        </w:tabs>
        <w:rPr>
          <w:sz w:val="20"/>
          <w:szCs w:val="20"/>
          <w:color w:val="auto"/>
        </w:rPr>
      </w:pPr>
      <w:r>
        <w:rPr>
          <w:rFonts w:ascii="Times New Roman" w:cs="Times New Roman" w:eastAsia="Times New Roman" w:hAnsi="Times New Roman"/>
          <w:sz w:val="18"/>
          <w:szCs w:val="18"/>
          <w:u w:val="single" w:color="auto"/>
          <w:color w:val="auto"/>
        </w:rPr>
        <w:t>Exhibit 8</w:t>
      </w:r>
      <w:r>
        <w:rPr>
          <w:sz w:val="20"/>
          <w:szCs w:val="20"/>
          <w:color w:val="auto"/>
        </w:rPr>
        <w:tab/>
      </w:r>
      <w:r>
        <w:rPr>
          <w:rFonts w:ascii="Times New Roman" w:cs="Times New Roman" w:eastAsia="Times New Roman" w:hAnsi="Times New Roman"/>
          <w:sz w:val="18"/>
          <w:szCs w:val="18"/>
          <w:color w:val="auto"/>
        </w:rPr>
        <w:t>Registration Rights Agreement, dated November 13, 2023, by and among Selecta Biosciences, Inc. and the Purchasers named therein (incorporated by reference to Exhibit 10.2 to the Current Report on Form 8-K filed by the Issuer with the Securities and Exchange Commission on November 13, 2023)</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020"/>
          </w:cols>
          <w:pgMar w:left="440" w:top="266" w:right="439" w:bottom="1440" w:gutter="0" w:footer="0" w:header="0"/>
        </w:sectPr>
      </w:pPr>
    </w:p>
    <w:bookmarkStart w:id="9" w:name="page10"/>
    <w:bookmarkEnd w:id="9"/>
    <w:p>
      <w:pPr>
        <w:spacing w:after="0"/>
        <w:tabs>
          <w:tab w:leader="none" w:pos="95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7"/>
          <w:szCs w:val="17"/>
          <w:b w:val="1"/>
          <w:bCs w:val="1"/>
          <w:color w:val="auto"/>
        </w:rPr>
        <w:t>Page 10 of 10 Pages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2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DATE:  April 10, 2024</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Murat Kalayoglu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Murat Kalayoglu</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SEVEN ONE EIGHT THREE FOUR IRREVOCABLE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TRUST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Murat Kalayoglu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Murat Kalayoglu, Authorized Person</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ELIZABETH HOGE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Murat Kalayoglu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Murat Kalayoglu, Authorized Person</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SINAN KALAYOGLU</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Murat Kalayoglu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Murat Kalayoglu, Authorized Person</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
      <w:numFmt w:val="bullet"/>
      <w:start w:val="1"/>
    </w:lvl>
    <w:lvl w:ilvl="1">
      <w:lvlJc w:val="left"/>
      <w:lvlText w:val=" "/>
      <w:numFmt w:val="bullet"/>
      <w:start w:val="1"/>
    </w:lvl>
  </w:abstractNum>
  <w:abstractNum w:abstractNumId="2">
    <w:nsid w:val="1F16E9E8"/>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
    <w:nsid w:val="1190CDE7"/>
    <w:multiLevelType w:val="hybridMultilevel"/>
    <w:lvl w:ilvl="0">
      <w:lvlJc w:val="left"/>
      <w:lvlText w:val="%1."/>
      <w:numFmt w:val="decimal"/>
      <w:start w:val="11"/>
    </w:lvl>
    <w:lvl w:ilvl="1">
      <w:lvlJc w:val="left"/>
      <w:lvlText w:val=" "/>
      <w:numFmt w:val="bullet"/>
      <w:start w:val="1"/>
    </w:lvl>
  </w:abstractNum>
  <w:abstractNum w:abstractNumId="4">
    <w:nsid w:val="66EF438D"/>
    <w:multiLevelType w:val="hybridMultilevel"/>
    <w:lvl w:ilvl="0">
      <w:lvlJc w:val="left"/>
      <w:lvlText w:val=" "/>
      <w:numFmt w:val="bullet"/>
      <w:start w:val="1"/>
    </w:lvl>
    <w:lvl w:ilvl="1">
      <w:lvlJc w:val="left"/>
      <w:lvlText w:val=" "/>
      <w:numFmt w:val="bullet"/>
      <w:start w:val="1"/>
    </w:lvl>
  </w:abstractNum>
  <w:abstractNum w:abstractNumId="5">
    <w:nsid w:val="140E0F76"/>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
    <w:nsid w:val="3352255A"/>
    <w:multiLevelType w:val="hybridMultilevel"/>
    <w:lvl w:ilvl="0">
      <w:lvlJc w:val="left"/>
      <w:lvlText w:val="%1."/>
      <w:numFmt w:val="decimal"/>
      <w:start w:val="11"/>
    </w:lvl>
    <w:lvl w:ilvl="1">
      <w:lvlJc w:val="left"/>
      <w:lvlText w:val=" "/>
      <w:numFmt w:val="bullet"/>
      <w:start w:val="1"/>
    </w:lvl>
  </w:abstractNum>
  <w:abstractNum w:abstractNumId="7">
    <w:nsid w:val="109CF92E"/>
    <w:multiLevelType w:val="hybridMultilevel"/>
    <w:lvl w:ilvl="0">
      <w:lvlJc w:val="left"/>
      <w:lvlText w:val=" "/>
      <w:numFmt w:val="bullet"/>
      <w:start w:val="1"/>
    </w:lvl>
    <w:lvl w:ilvl="1">
      <w:lvlJc w:val="left"/>
      <w:lvlText w:val=" "/>
      <w:numFmt w:val="bullet"/>
      <w:start w:val="1"/>
    </w:lvl>
  </w:abstractNum>
  <w:abstractNum w:abstractNumId="8">
    <w:nsid w:val="DED7263"/>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9">
    <w:nsid w:val="7FDCC233"/>
    <w:multiLevelType w:val="hybridMultilevel"/>
    <w:lvl w:ilvl="0">
      <w:lvlJc w:val="left"/>
      <w:lvlText w:val="%1."/>
      <w:numFmt w:val="decimal"/>
      <w:start w:val="11"/>
    </w:lvl>
    <w:lvl w:ilvl="1">
      <w:lvlJc w:val="left"/>
      <w:lvlText w:val=" "/>
      <w:numFmt w:val="bullet"/>
      <w:start w:val="1"/>
    </w:lvl>
  </w:abstractNum>
  <w:abstractNum w:abstractNumId="10">
    <w:nsid w:val="1BEFD79F"/>
    <w:multiLevelType w:val="hybridMultilevel"/>
    <w:lvl w:ilvl="0">
      <w:lvlJc w:val="left"/>
      <w:lvlText w:val=" "/>
      <w:numFmt w:val="bullet"/>
      <w:start w:val="1"/>
    </w:lvl>
    <w:lvl w:ilvl="1">
      <w:lvlJc w:val="left"/>
      <w:lvlText w:val=" "/>
      <w:numFmt w:val="bullet"/>
      <w:start w:val="1"/>
    </w:lvl>
  </w:abstractNum>
  <w:abstractNum w:abstractNumId="11">
    <w:nsid w:val="41A7C4C9"/>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2">
    <w:nsid w:val="6B68079A"/>
    <w:multiLevelType w:val="hybridMultilevel"/>
    <w:lvl w:ilvl="0">
      <w:lvlJc w:val="left"/>
      <w:lvlText w:val="%1."/>
      <w:numFmt w:val="decimal"/>
      <w:start w:val="11"/>
    </w:lvl>
    <w:lvl w:ilvl="1">
      <w:lvlJc w:val="left"/>
      <w:lvlText w:val=" "/>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2"/>
    </w:lvl>
  </w:abstractNum>
  <w:abstractNum w:abstractNumId="15">
    <w:nsid w:val="519B500D"/>
    <w:multiLevelType w:val="hybridMultilevel"/>
    <w:lvl w:ilvl="0">
      <w:lvlJc w:val="left"/>
      <w:lvlText w:val="%1."/>
      <w:numFmt w:val="decimal"/>
      <w:start w:val="3"/>
    </w:lvl>
  </w:abstractNum>
  <w:abstractNum w:abstractNumId="16">
    <w:nsid w:val="431BD7B7"/>
    <w:multiLevelType w:val="hybridMultilevel"/>
    <w:lvl w:ilvl="0">
      <w:lvlJc w:val="left"/>
      <w:lvlText w:val="(%1)"/>
      <w:numFmt w:val="lowerRoman"/>
      <w:start w:val="1"/>
    </w:lvl>
  </w:abstractNum>
  <w:abstractNum w:abstractNumId="17">
    <w:nsid w:val="3F2DBA31"/>
    <w:multiLevelType w:val="hybridMultilevel"/>
    <w:lvl w:ilvl="0">
      <w:lvlJc w:val="left"/>
      <w:lvlText w:val="%1"/>
      <w:numFmt w:val="decimal"/>
      <w:start w:val="1"/>
    </w:lvl>
    <w:lvl w:ilvl="1">
      <w:lvlJc w:val="left"/>
      <w:lvlText w:val="(%2)"/>
      <w:numFmt w:val="lowerLetter"/>
      <w:start w:val="3"/>
    </w:lvl>
  </w:abstractNum>
  <w:abstractNum w:abstractNumId="18">
    <w:nsid w:val="7C83E458"/>
    <w:multiLevelType w:val="hybridMultilevel"/>
    <w:lvl w:ilvl="0">
      <w:lvlJc w:val="left"/>
      <w:lvlText w:val="%1."/>
      <w:numFmt w:val="decimal"/>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2024-04-10T15:37:02Z</dcterms:created>
  <dcterms:modified xsi:type="dcterms:W3CDTF">2024-04-10T15:37:02Z</dcterms:modified>
</cp:coreProperties>
</file>