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11,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001-37798</w:t>
            </w:r>
          </w:p>
        </w:tc>
        <w:tc>
          <w:tcPr>
            <w:tcW w:w="176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26-1622110</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480 Arsenal Way</w:t>
            </w:r>
          </w:p>
        </w:tc>
        <w:tc>
          <w:tcPr>
            <w:tcW w:w="176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Watertown, MA 02472</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628"/>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960" w:hanging="628"/>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960" w:hanging="628"/>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960" w:hanging="628"/>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20"/>
        <w:spacing w:after="0" w:line="276" w:lineRule="auto"/>
        <w:rPr>
          <w:sz w:val="20"/>
          <w:szCs w:val="20"/>
          <w:color w:val="auto"/>
        </w:rPr>
      </w:pPr>
      <w:r>
        <w:rPr>
          <w:rFonts w:ascii="Arial" w:cs="Arial" w:eastAsia="Arial" w:hAnsi="Arial"/>
          <w:sz w:val="17"/>
          <w:szCs w:val="17"/>
          <w:color w:val="auto"/>
        </w:rPr>
        <w:t>On August 11, 2017, Selecta Biosciences, Inc. (the “Company”) entered into an open market sale agreement (the “Sale Agreement”) with Jefferies LLC (“Jefferies”) to sell shares of the Company’s common stock, par value $0.0001 per share (the “Common Stock”), with aggregate gross sales proceeds of up to $50,000,000, from time to time, through an “at the market offering” program under which Jefferies will act as sales agent. The shares of Common Stock sold pursuant to the Sale Agreement will be issued pursuant to the Company’s shelf registration statement on Form S-3 (File No. 333-219900) and related prospectus supplement, each filed on August 11, 2017 with the Securities and Exchange Commission.</w:t>
      </w:r>
    </w:p>
    <w:p>
      <w:pPr>
        <w:spacing w:after="0" w:line="173" w:lineRule="exact"/>
        <w:rPr>
          <w:sz w:val="24"/>
          <w:szCs w:val="24"/>
          <w:color w:val="auto"/>
        </w:rPr>
      </w:pPr>
    </w:p>
    <w:p>
      <w:pPr>
        <w:spacing w:after="0" w:line="288" w:lineRule="auto"/>
        <w:rPr>
          <w:sz w:val="20"/>
          <w:szCs w:val="20"/>
          <w:color w:val="auto"/>
        </w:rPr>
      </w:pPr>
      <w:r>
        <w:rPr>
          <w:rFonts w:ascii="Arial" w:cs="Arial" w:eastAsia="Arial" w:hAnsi="Arial"/>
          <w:sz w:val="16"/>
          <w:szCs w:val="16"/>
          <w:color w:val="auto"/>
        </w:rPr>
        <w:t>Under the Sale Agreement, the Company will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and conditions of the Sale Agreement, Jefferies may sell the shares by methods deemed to be an “at the market offering” as defined in Rule 415(a)(4) promulgated under the Securities Act of 1933, as amended (the “Securities Act”), including sales made directly on or through the NASDAQ Global Market or any other existing trading market for the Common Stock, in negotiated transactions at market prices prevailing at the time of sale or at prices related to such prevailing market prices and/or any other method permitted by law. If the Company and Jefferies so agree, Jefferies may act as principal in connection with the sale of shares under the Sale Agreement. The Company will pay Jefferies a commission of up to 3.00% of the gross sales proceeds of any shares of Common Stock sold through Jefferies under the Sale Agreement, and also has provided Jefferies with customary indemnification rights. The Sale Agreement may be terminated by the Company upon prior notice to Jefferies or by Jefferies upon prior notice to the Company, or at any time under certain circumstances, including but not limited to the occurrence of a material adverse change in the Company.</w:t>
      </w:r>
    </w:p>
    <w:p>
      <w:pPr>
        <w:sectPr>
          <w:pgSz w:w="11900" w:h="16838" w:orient="portrait"/>
          <w:cols w:equalWidth="0" w:num="1">
            <w:col w:w="11380"/>
          </w:cols>
          <w:pgMar w:left="240" w:top="544" w:right="279" w:bottom="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t>The foregoing description of the material terms of the Sale Agreement is qualified in its entirety by reference to the full agreement, a copy of which is filed as Exhibit 1.1 to this Current Report on Form 8-K and is incorporated herein by reference.</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Current Report on Form 8-K shall not constitute an offer to sell or the solicitation of any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4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342"/>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vMerge w:val="restart"/>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Open Market Sale Agreement, dated as of August 11, 2017, by and between Selecta Biosciences, Inc. and Jefferies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40" w:hanging="332"/>
        <w:spacing w:after="0" w:line="257" w:lineRule="auto"/>
        <w:tabs>
          <w:tab w:leader="none" w:pos="33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contained in this agreement were made only for purposes of the transactions contemplated by the agreement as of specific dates and may have been qualified by certain disclosures between the parties and a contractual standard of materiality different from those generally applicable under securities laws, among other limitations. The representations and warranties were made for purposes of allocating contractual risk between the parties to the agreement and should not be relied upon as a disclosure of factual information relating to the Company, Jefferies or the transactions described in this Current Report on Form 8-K.</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SELECTA BIOSCIENCES,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320" w:type="dxa"/>
            <w:vAlign w:val="bottom"/>
            <w:gridSpan w:val="4"/>
          </w:tcPr>
          <w:p>
            <w:pPr>
              <w:spacing w:after="0"/>
              <w:rPr>
                <w:sz w:val="20"/>
                <w:szCs w:val="20"/>
                <w:color w:val="auto"/>
              </w:rPr>
            </w:pPr>
            <w:r>
              <w:rPr>
                <w:rFonts w:ascii="Arial" w:cs="Arial" w:eastAsia="Arial" w:hAnsi="Arial"/>
                <w:sz w:val="18"/>
                <w:szCs w:val="18"/>
                <w:color w:val="auto"/>
              </w:rPr>
              <w:t>Date: August 11, 2017</w:t>
            </w: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By:  /s/ Werner Cautreels, Ph.D.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Werner Cautreels, Ph.D.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60" w:type="dxa"/>
            <w:vAlign w:val="bottom"/>
          </w:tcPr>
          <w:p>
            <w:pPr>
              <w:jc w:val="center"/>
              <w:ind w:left="1834"/>
              <w:spacing w:after="0"/>
              <w:rPr>
                <w:sz w:val="20"/>
                <w:szCs w:val="20"/>
                <w:color w:val="auto"/>
              </w:rPr>
            </w:pPr>
            <w:r>
              <w:rPr>
                <w:rFonts w:ascii="Arial" w:cs="Arial" w:eastAsia="Arial" w:hAnsi="Arial"/>
                <w:sz w:val="18"/>
                <w:szCs w:val="18"/>
                <w:color w:val="auto"/>
                <w:w w:val="99"/>
              </w:rPr>
              <w:t>3</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810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10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940" w:type="dxa"/>
            <w:vAlign w:val="bottom"/>
          </w:tcPr>
          <w:p>
            <w:pPr>
              <w:spacing w:after="0"/>
              <w:rPr>
                <w:sz w:val="24"/>
                <w:szCs w:val="24"/>
                <w:color w:val="auto"/>
              </w:rPr>
            </w:pPr>
          </w:p>
        </w:tc>
        <w:tc>
          <w:tcPr>
            <w:tcW w:w="8100" w:type="dxa"/>
            <w:vAlign w:val="bottom"/>
            <w:gridSpan w:val="2"/>
            <w:vMerge w:val="restart"/>
          </w:tcPr>
          <w:p>
            <w:pPr>
              <w:ind w:left="2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940" w:type="dxa"/>
            <w:vAlign w:val="bottom"/>
          </w:tcPr>
          <w:p>
            <w:pPr>
              <w:spacing w:after="0"/>
              <w:rPr>
                <w:sz w:val="14"/>
                <w:szCs w:val="14"/>
                <w:color w:val="auto"/>
              </w:rPr>
            </w:pPr>
          </w:p>
        </w:tc>
        <w:tc>
          <w:tcPr>
            <w:tcW w:w="81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10040" w:type="dxa"/>
            <w:vAlign w:val="bottom"/>
            <w:tcBorders>
              <w:top w:val="single" w:sz="8" w:color="auto"/>
            </w:tcBorders>
            <w:gridSpan w:val="3"/>
          </w:tcPr>
          <w:p>
            <w:pPr>
              <w:jc w:val="center"/>
              <w:ind w:right="1250"/>
              <w:spacing w:after="0"/>
              <w:rPr>
                <w:sz w:val="20"/>
                <w:szCs w:val="20"/>
                <w:color w:val="auto"/>
              </w:rPr>
            </w:pPr>
            <w:r>
              <w:rPr>
                <w:rFonts w:ascii="Arial" w:cs="Arial" w:eastAsia="Arial" w:hAnsi="Arial"/>
                <w:sz w:val="18"/>
                <w:szCs w:val="18"/>
                <w:color w:val="auto"/>
                <w:w w:val="90"/>
              </w:rPr>
              <w:t>Open Market Sale Agreement, dated as of August 11, 2017, by and between Selecta Biosciences, Inc. and Jefferies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-1005205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-1005205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40" w:hanging="332"/>
        <w:spacing w:after="0" w:line="257"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contained in this agreement were made only for purposes of the transactions contemplated by the agreement as of specific dates and may have been qualified by certain disclosures between the parties and a contractual standard of materiality different from those generally applicable under securities laws, among other limitations. The representations and warranties were made for purposes of allocating contractual risk between the parties to the agreement and should not be relied upon as a disclosure of factual information relating to the Company, Jefferies or the transactions described in this Current Report on Form 8-K.</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23"/>
          <w:szCs w:val="23"/>
          <w:b w:val="1"/>
          <w:bCs w:val="1"/>
          <w:color w:val="auto"/>
          <w:vertAlign w:val="superscript"/>
        </w:rPr>
        <w:t>SM</w:t>
      </w:r>
    </w:p>
    <w:p>
      <w:pPr>
        <w:spacing w:after="0" w:line="172"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August 11,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Selecta Biosciences,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the Maximum Program Amount (as defined herein)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229" w:lineRule="exact"/>
        <w:rPr>
          <w:sz w:val="20"/>
          <w:szCs w:val="20"/>
          <w:color w:val="auto"/>
        </w:rPr>
      </w:pPr>
    </w:p>
    <w:p>
      <w:pPr>
        <w:ind w:right="440" w:firstLine="656"/>
        <w:spacing w:after="0" w:line="277" w:lineRule="auto"/>
        <w:tabs>
          <w:tab w:leader="none" w:pos="129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first-mentioned Person. The term “</w:t>
      </w:r>
      <w:r>
        <w:rPr>
          <w:rFonts w:ascii="Arial" w:cs="Arial" w:eastAsia="Arial" w:hAnsi="Arial"/>
          <w:sz w:val="18"/>
          <w:szCs w:val="18"/>
          <w:b w:val="1"/>
          <w:b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color w:val="auto"/>
        </w:rPr>
        <w:t>controlling</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means the possession, direct or indirect, of the power to direct or cause the direction of the management and policies of a Person, whether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voting securities, by contract or otherwise.</w:t>
      </w:r>
    </w:p>
    <w:p>
      <w:pPr>
        <w:spacing w:after="0" w:line="180" w:lineRule="exact"/>
        <w:rPr>
          <w:sz w:val="20"/>
          <w:szCs w:val="20"/>
          <w:color w:val="auto"/>
        </w:rPr>
      </w:pPr>
    </w:p>
    <w:p>
      <w:pPr>
        <w:jc w:val="both"/>
        <w:ind w:right="3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Agency Period</w:t>
      </w:r>
      <w:r>
        <w:rPr>
          <w:rFonts w:ascii="Arial" w:cs="Arial" w:eastAsia="Arial" w:hAnsi="Arial"/>
          <w:sz w:val="18"/>
          <w:szCs w:val="18"/>
          <w:color w:val="auto"/>
        </w:rPr>
        <w:t xml:space="preserve">” means the period commencing on the date of this Agreement and expiring on the earliest to occur of (x) the date on which the Agent shall have placed the Maximum Program Amount pursuant to this Agreement, (y) the date this Agreement is terminated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(z) the third anniversary of the date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has the meaning set forth in the introductory paragraph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SM</w:t>
      </w:r>
      <w:r>
        <w:rPr>
          <w:rFonts w:ascii="Arial" w:cs="Arial" w:eastAsia="Arial" w:hAnsi="Arial"/>
          <w:sz w:val="18"/>
          <w:szCs w:val="18"/>
          <w:color w:val="auto"/>
        </w:rPr>
        <w:t xml:space="preserve"> “Open Market Sale Agreement” is a service mark of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has the meaning set forth in Section 2(dd).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has the meaning set forth in Section 2(qq).</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FINRA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2(s)</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Floor Price</w:t>
      </w:r>
      <w:r>
        <w:rPr>
          <w:rFonts w:ascii="Arial" w:cs="Arial" w:eastAsia="Arial" w:hAnsi="Arial"/>
          <w:sz w:val="16"/>
          <w:szCs w:val="16"/>
          <w:color w:val="auto"/>
        </w:rPr>
        <w:t>” means the minimum price set by the Company in the Issuance Notice below which the Agent shall not sell Shares during the applicable Selling Period, which may be adjusted by the Company at any time during the Selling Period by delivering written notice of such change to the Agent and which in no event shall be less than $1.00 without the prior written consent of the Agent, which may be withheld in the Agent’s sole discretion.</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Writing 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has the meaning set forth in Section 2(dd).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 Care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2(pp)</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2(pp)</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IDEA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ectPr>
          <w:pgSz w:w="11900" w:h="16838" w:orient="portrait"/>
          <w:cols w:equalWidth="0" w:num="1">
            <w:col w:w="11420"/>
          </w:cols>
          <w:pgMar w:left="240" w:top="121" w:right="239" w:bottom="0" w:gutter="0" w:footer="0" w:header="0"/>
        </w:sectPr>
      </w:pPr>
    </w:p>
    <w:bookmarkStart w:id="3" w:name="page4"/>
    <w:bookmarkEnd w:id="3"/>
    <w:p>
      <w:pPr>
        <w:spacing w:after="0" w:line="3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Chief Executive Officer, President or Chief Financial Officer.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set forth in Section 2(bb).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Company Act</w:t>
      </w:r>
      <w:r>
        <w:rPr>
          <w:rFonts w:ascii="Arial" w:cs="Arial" w:eastAsia="Arial" w:hAnsi="Arial"/>
          <w:sz w:val="18"/>
          <w:szCs w:val="18"/>
          <w:color w:val="auto"/>
        </w:rPr>
        <w:t>” has the meaning set forth in Section 2(z).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2(o)</w:t>
      </w:r>
      <w:r>
        <w:rPr>
          <w:rFonts w:ascii="Arial" w:cs="Arial" w:eastAsia="Arial" w:hAnsi="Arial"/>
          <w:sz w:val="18"/>
          <w:szCs w:val="18"/>
          <w:color w:val="auto"/>
        </w:rPr>
        <w: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$50,000,000.00.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Laundering Laws</w:t>
      </w:r>
      <w:r>
        <w:rPr>
          <w:rFonts w:ascii="Arial" w:cs="Arial" w:eastAsia="Arial" w:hAnsi="Arial"/>
          <w:sz w:val="18"/>
          <w:szCs w:val="18"/>
          <w:color w:val="auto"/>
        </w:rPr>
        <w:t>” has the meaning set forth in Section 2(ll).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Offering Amendment</w:t>
      </w:r>
      <w:r>
        <w:rPr>
          <w:rFonts w:ascii="Arial" w:cs="Arial" w:eastAsia="Arial" w:hAnsi="Arial"/>
          <w:sz w:val="18"/>
          <w:szCs w:val="18"/>
          <w:color w:val="auto"/>
        </w:rPr>
        <w:t>” means an amendment or supplement to the Registration Statement or Prospectus relating solely to the issuance or offering of securities other than the Common Shares.</w:t>
      </w:r>
    </w:p>
    <w:p>
      <w:pPr>
        <w:spacing w:after="0" w:line="162"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has the meaning set forth in Section 2(qq).</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such other national securities exchange on which the Common Shares, including any Shares, are then listed.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2(ss)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Agencies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2(oo)</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Judgment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Proceedings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Representation Date</w:t>
      </w:r>
      <w:r>
        <w:rPr>
          <w:rFonts w:ascii="Arial" w:cs="Arial" w:eastAsia="Arial" w:hAnsi="Arial"/>
          <w:sz w:val="18"/>
          <w:szCs w:val="18"/>
          <w:color w:val="auto"/>
        </w:rPr>
        <w:t xml:space="preserve">” has the meaning set forth in the introductory paragraph of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102</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4(u)</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462(b) Registration Statement</w:t>
      </w:r>
      <w:r>
        <w:rPr>
          <w:rFonts w:ascii="Arial" w:cs="Arial" w:eastAsia="Arial" w:hAnsi="Arial"/>
          <w:sz w:val="18"/>
          <w:szCs w:val="18"/>
          <w:color w:val="auto"/>
        </w:rPr>
        <w:t>” means any registration statement filed by the Company pursuant to Rule 462(b) under the Securities Act in connection with the offer and sale of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up to three percent (3.0%) of the gross proceeds from the sale of any Shares.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Period</w:t>
      </w:r>
      <w:r>
        <w:rPr>
          <w:rFonts w:ascii="Arial" w:cs="Arial" w:eastAsia="Arial" w:hAnsi="Arial"/>
          <w:sz w:val="18"/>
          <w:szCs w:val="18"/>
          <w:color w:val="auto"/>
        </w:rPr>
        <w:t xml:space="preserve">” means the period of one (1) to twenty (20) consecutive Trading Days (as determined by the Company in the Company’s sole discretion and specified in the applicable Issuance Notice) including the Trading Day on which an Issuance Notice is delivered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 xml:space="preserve">, if such notice is delivered prior to 3:00 p.m. (New York City time) and otherwise, following the Trading Day on which an Issuance Notice is delivered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180" w:lineRule="exact"/>
        <w:rPr>
          <w:sz w:val="20"/>
          <w:szCs w:val="20"/>
          <w:color w:val="auto"/>
        </w:rPr>
      </w:pPr>
    </w:p>
    <w:p>
      <w:pPr>
        <w:ind w:right="2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Settlement Date</w:t>
      </w:r>
      <w:r>
        <w:rPr>
          <w:rFonts w:ascii="Arial" w:cs="Arial" w:eastAsia="Arial" w:hAnsi="Arial"/>
          <w:sz w:val="17"/>
          <w:szCs w:val="17"/>
          <w:color w:val="auto"/>
        </w:rPr>
        <w:t>” means the third business day, or, for each Trading Day on or after September 5, 2017, the second business day, following each Trading Day during the Selling Period on which Shares are sold pursuant to this Agreement, when the Company shall deliver to the Agent the amount of Shares sold on such Trading Day and the Agent shall deliver to the Company the Issuance Price received on such sales.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Common Shares issued or issuable pursuant to this Agreement.</w:t>
      </w:r>
    </w:p>
    <w:p>
      <w:pPr>
        <w:sectPr>
          <w:pgSz w:w="11900" w:h="16870" w:orient="portrait"/>
          <w:cols w:equalWidth="0" w:num="1">
            <w:col w:w="11360"/>
          </w:cols>
          <w:pgMar w:left="240" w:top="337" w:right="299" w:bottom="0" w:gutter="0" w:footer="0" w:header="0"/>
        </w:sectPr>
      </w:pPr>
    </w:p>
    <w:bookmarkStart w:id="4" w:name="page5"/>
    <w:bookmarkEnd w:id="4"/>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Courts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2(p)</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Time of 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3(b)(v)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Triggering Event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each Settlement Date, (4)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and</w:t>
      </w:r>
    </w:p>
    <w:p>
      <w:pPr>
        <w:spacing w:after="0" w:line="32" w:lineRule="exact"/>
        <w:rPr>
          <w:rFonts w:ascii="Arial" w:cs="Arial" w:eastAsia="Arial" w:hAnsi="Arial"/>
          <w:sz w:val="16"/>
          <w:szCs w:val="16"/>
          <w:color w:val="auto"/>
        </w:rPr>
      </w:pPr>
    </w:p>
    <w:p>
      <w:pPr>
        <w:ind w:firstLine="8"/>
        <w:spacing w:after="0" w:line="323"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Time of Sale (each of the times referenced above is referred to herein as a “</w:t>
      </w:r>
      <w:r>
        <w:rPr>
          <w:rFonts w:ascii="Arial" w:cs="Arial" w:eastAsia="Arial" w:hAnsi="Arial"/>
          <w:sz w:val="16"/>
          <w:szCs w:val="16"/>
          <w:b w:val="1"/>
          <w:bCs w:val="1"/>
          <w:color w:val="auto"/>
        </w:rPr>
        <w:t>Representation Date</w:t>
      </w:r>
      <w:r>
        <w:rPr>
          <w:rFonts w:ascii="Arial" w:cs="Arial" w:eastAsia="Arial" w:hAnsi="Arial"/>
          <w:sz w:val="16"/>
          <w:szCs w:val="16"/>
          <w:color w:val="auto"/>
        </w:rPr>
        <w:t>”), except as may be disclosed in the Time of Sale Information (including the Prospectus and any documents incorporated by reference therein and any supplements thereto) on or before a Representation Date:</w:t>
      </w:r>
    </w:p>
    <w:p>
      <w:pPr>
        <w:spacing w:after="0" w:line="138" w:lineRule="exact"/>
        <w:rPr>
          <w:rFonts w:ascii="Arial" w:cs="Arial" w:eastAsia="Arial" w:hAnsi="Arial"/>
          <w:sz w:val="16"/>
          <w:szCs w:val="16"/>
          <w:color w:val="auto"/>
        </w:rPr>
      </w:pPr>
    </w:p>
    <w:p>
      <w:pPr>
        <w:ind w:right="20" w:firstLine="656"/>
        <w:spacing w:after="0" w:line="291" w:lineRule="auto"/>
        <w:tabs>
          <w:tab w:leader="none" w:pos="1294"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or will prepare and file with the Commission a shelf registration statement on Form S-3 (or a successor registration statement on such form pertaining to the Shares to be sold pursuant to this Agreement) that contains a base prospectus relating to the issuance and sale of Shares under this Agreement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Such registration statement,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Base Prospectus, together with any prospectus supplement filed with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7"/>
          <w:szCs w:val="17"/>
          <w:b w:val="1"/>
          <w:bCs w:val="1"/>
          <w:color w:val="auto"/>
        </w:rPr>
        <w:t>Prospectus</w:t>
      </w:r>
      <w:r>
        <w:rPr>
          <w:rFonts w:ascii="Arial" w:cs="Arial" w:eastAsia="Arial" w:hAnsi="Arial"/>
          <w:sz w:val="17"/>
          <w:szCs w:val="17"/>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7"/>
          <w:szCs w:val="17"/>
          <w:b w:val="1"/>
          <w:bCs w:val="1"/>
          <w:color w:val="auto"/>
        </w:rPr>
        <w:t>Prospectus</w:t>
      </w:r>
      <w:r>
        <w:rPr>
          <w:rFonts w:ascii="Arial" w:cs="Arial" w:eastAsia="Arial" w:hAnsi="Arial"/>
          <w:sz w:val="17"/>
          <w:szCs w:val="17"/>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7"/>
          <w:szCs w:val="17"/>
          <w:b w:val="1"/>
          <w:bCs w:val="1"/>
          <w:color w:val="auto"/>
        </w:rPr>
        <w:t>Original Registration Statement</w:t>
      </w:r>
      <w:r>
        <w:rPr>
          <w:rFonts w:ascii="Arial" w:cs="Arial" w:eastAsia="Arial" w:hAnsi="Arial"/>
          <w:sz w:val="17"/>
          <w:szCs w:val="17"/>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IDEA.</w:t>
      </w:r>
    </w:p>
    <w:p>
      <w:pPr>
        <w:spacing w:after="0" w:line="18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At the time the Registration Statement was or will be originally declared effective, the Company met or will meet the then-applicable requirements for use of Form S-3 under the Securities Act. During the Agency Period, each time the Company has filed or files an annual report on Form 10-K the Company will meet the then-applicable requirements for use of Form S-3 under the Securities Act, including, but not limited to, General Instruction I.B.1 thereto.</w:t>
      </w:r>
    </w:p>
    <w:p>
      <w:pPr>
        <w:spacing w:after="0" w:line="187" w:lineRule="exact"/>
        <w:rPr>
          <w:sz w:val="20"/>
          <w:szCs w:val="20"/>
          <w:color w:val="auto"/>
        </w:rPr>
      </w:pPr>
    </w:p>
    <w:p>
      <w:pPr>
        <w:ind w:right="200" w:firstLine="656"/>
        <w:spacing w:after="0" w:line="276"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Compliance with Registration Requirements</w:t>
      </w:r>
      <w:r>
        <w:rPr>
          <w:rFonts w:ascii="Arial" w:cs="Arial" w:eastAsia="Arial" w:hAnsi="Arial"/>
          <w:sz w:val="17"/>
          <w:szCs w:val="17"/>
          <w:color w:val="auto"/>
        </w:rPr>
        <w:t>. The Original Registration Statement has been and any Rule 462(b) Registration Statement will have been or will be declared effective by the Commission under the Securities Act. The Company has complied or will comply to the Commission’s satisfaction with all requests of the Commission for additional or supplemental information with respect to the Registration Statement.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73"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Prospectus when filed complied in all material respects with the Securities Act and, if filed by electronic transmission pursuant to Interactive Data Electronic Applications (“</w:t>
      </w:r>
      <w:r>
        <w:rPr>
          <w:rFonts w:ascii="Arial" w:cs="Arial" w:eastAsia="Arial" w:hAnsi="Arial"/>
          <w:sz w:val="17"/>
          <w:szCs w:val="17"/>
          <w:b w:val="1"/>
          <w:bCs w:val="1"/>
          <w:color w:val="auto"/>
        </w:rPr>
        <w:t>IDEA</w:t>
      </w:r>
      <w:r>
        <w:rPr>
          <w:rFonts w:ascii="Arial" w:cs="Arial" w:eastAsia="Arial" w:hAnsi="Arial"/>
          <w:sz w:val="17"/>
          <w:szCs w:val="17"/>
          <w:color w:val="auto"/>
        </w:rPr>
        <w:t>”) (except as may be permitted by Regulation S-T under the Securities Act), was identical to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copy thereof delivered to the Agent for use in connection with the issuance and sale of the Shares. Each of the Registration Statement, any</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Rule 462(b) Registration Statement and any post-effective amendment thereto, at the time it became effective and at each Representation Date, complied and will comply, as the case may be, in all material respects with the Securities Act and did not and will not, as the case may be, contain any untrue statement of a material fact or omit to state a material fact required to be stated therein or necessary to make the statements therein not misleading (except that the foregoing shall not apply to those parts of the Registration Statement that constitute the Statement of Eligibility (Form T-1) under the Trust Indenture Act of 1939). As of the date of this Agreement, the Prospectus and any Free Writing Prospectus considered together do not contain any untrue statement of a material fact or omit to state a material fact necessary to make the statements therein, in the light of the circumstances under which they were made, not misleading. The</w:t>
      </w:r>
    </w:p>
    <w:p>
      <w:pPr>
        <w:sectPr>
          <w:pgSz w:w="11900" w:h="16935" w:orient="portrait"/>
          <w:cols w:equalWidth="0" w:num="1">
            <w:col w:w="11380"/>
          </w:cols>
          <w:pgMar w:left="240" w:top="337" w:right="279" w:bottom="0" w:gutter="0" w:footer="0" w:header="0"/>
        </w:sectPr>
      </w:pPr>
    </w:p>
    <w:bookmarkStart w:id="5" w:name="page6"/>
    <w:bookmarkEnd w:id="5"/>
    <w:p>
      <w:pPr>
        <w:ind w:right="80"/>
        <w:spacing w:after="0" w:line="271" w:lineRule="auto"/>
        <w:rPr>
          <w:sz w:val="20"/>
          <w:szCs w:val="20"/>
          <w:color w:val="auto"/>
        </w:rPr>
      </w:pPr>
      <w:r>
        <w:rPr>
          <w:rFonts w:ascii="Arial" w:cs="Arial" w:eastAsia="Arial" w:hAnsi="Arial"/>
          <w:sz w:val="17"/>
          <w:szCs w:val="17"/>
          <w:color w:val="auto"/>
        </w:rPr>
        <w:t xml:space="preserve">Prospectus as of its date and at each Representation Date, does not and will not, as the case may be,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Free Writing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below. The Registration Statement and the offer and sale of the Shares as contemplated hereby meet the requirements of Rule 415 under the Securities Act and comply in all material respects with said Rule.</w:t>
      </w:r>
    </w:p>
    <w:p>
      <w:pPr>
        <w:spacing w:after="0" w:line="179" w:lineRule="exact"/>
        <w:rPr>
          <w:sz w:val="20"/>
          <w:szCs w:val="20"/>
          <w:color w:val="auto"/>
        </w:rPr>
      </w:pPr>
    </w:p>
    <w:p>
      <w:pPr>
        <w:ind w:firstLine="656"/>
        <w:spacing w:after="0" w:line="288" w:lineRule="auto"/>
        <w:tabs>
          <w:tab w:leader="none" w:pos="1307"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as the case may be, in all material respects with the requirements of Rule 433 under the Securities Act, including timely filing with the Commission or retention where required and legending pursuant to Rule 433 under the Securities Act,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as then amended and supplemented. Except for the Free Writing Prospectuses, if any, and electronic road shows related to the offering of Shares, if any, in each case, furnished to you before first use, the Company has not prepared, used or referred to, and will not, without your prior consent, prepare, use or refer to, any Free Writing Prospectus.</w:t>
      </w:r>
    </w:p>
    <w:p>
      <w:pPr>
        <w:spacing w:after="0" w:line="169" w:lineRule="exact"/>
        <w:rPr>
          <w:rFonts w:ascii="Arial" w:cs="Arial" w:eastAsia="Arial" w:hAnsi="Arial"/>
          <w:sz w:val="16"/>
          <w:szCs w:val="16"/>
          <w:color w:val="auto"/>
        </w:rPr>
      </w:pPr>
    </w:p>
    <w:p>
      <w:pPr>
        <w:ind w:right="80" w:firstLine="656"/>
        <w:spacing w:after="0" w:line="264" w:lineRule="auto"/>
        <w:tabs>
          <w:tab w:leader="none" w:pos="130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Incorporated Documents</w:t>
      </w:r>
      <w:r>
        <w:rPr>
          <w:rFonts w:ascii="Arial" w:cs="Arial" w:eastAsia="Arial" w:hAnsi="Arial"/>
          <w:sz w:val="18"/>
          <w:szCs w:val="18"/>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70" w:lineRule="exact"/>
        <w:rPr>
          <w:sz w:val="20"/>
          <w:szCs w:val="20"/>
          <w:color w:val="auto"/>
        </w:rPr>
      </w:pPr>
    </w:p>
    <w:p>
      <w:pPr>
        <w:ind w:firstLine="656"/>
        <w:spacing w:after="0" w:line="255" w:lineRule="auto"/>
        <w:tabs>
          <w:tab w:leader="none" w:pos="1307"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The documents incorporated or deemed to be incorporated by reference in the Prospectus, at the time they were or hereafter are filed with the Commission or became effective under the Exchange Act, as the case may be, and any Free Writing Prospectus or amendment or supplement related thereto complied or will comply, at the time of such filing or effectiveness, in all material respects with the requirements of the Exchange Act, and, when read together with the other information in the Prospectus, at the time the Registration Statement and any amendments thereto become effective and at each Representation Date,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89"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EGC Status</w:t>
      </w:r>
      <w:r>
        <w:rPr>
          <w:rFonts w:ascii="Arial" w:cs="Arial" w:eastAsia="Arial" w:hAnsi="Arial"/>
          <w:sz w:val="18"/>
          <w:szCs w:val="18"/>
          <w:color w:val="auto"/>
        </w:rPr>
        <w:t>. The Company qualifies as an emerging growth company, as defined in Section 2(a)(19) of the Securities Act.</w:t>
      </w:r>
    </w:p>
    <w:p>
      <w:pPr>
        <w:spacing w:after="0" w:line="225" w:lineRule="exact"/>
        <w:rPr>
          <w:rFonts w:ascii="Arial" w:cs="Arial" w:eastAsia="Arial" w:hAnsi="Arial"/>
          <w:sz w:val="18"/>
          <w:szCs w:val="18"/>
          <w:color w:val="auto"/>
        </w:rPr>
      </w:pPr>
    </w:p>
    <w:p>
      <w:pPr>
        <w:ind w:right="80" w:firstLine="656"/>
        <w:spacing w:after="0" w:line="264" w:lineRule="auto"/>
        <w:tabs>
          <w:tab w:leader="none" w:pos="1317"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The statistical and market-related data included in the Registration Statement and the Prospectus are based on or derived from sources that the Company believes to be reliable and accurate or represent the Company’s good faith estimates that are made on the basis of data derived from such sources.</w:t>
      </w:r>
    </w:p>
    <w:p>
      <w:pPr>
        <w:spacing w:after="0" w:line="181" w:lineRule="exact"/>
        <w:rPr>
          <w:rFonts w:ascii="Arial" w:cs="Arial" w:eastAsia="Arial" w:hAnsi="Arial"/>
          <w:sz w:val="18"/>
          <w:szCs w:val="18"/>
          <w:color w:val="auto"/>
        </w:rPr>
      </w:pPr>
    </w:p>
    <w:p>
      <w:pPr>
        <w:ind w:right="20" w:firstLine="656"/>
        <w:spacing w:after="0" w:line="286" w:lineRule="auto"/>
        <w:tabs>
          <w:tab w:leader="none" w:pos="1304"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 Deficiencies in or Changes to Internal Control Over Financial Reporting</w:t>
      </w:r>
      <w:r>
        <w:rPr>
          <w:rFonts w:ascii="Arial" w:cs="Arial" w:eastAsia="Arial" w:hAnsi="Arial"/>
          <w:sz w:val="16"/>
          <w:szCs w:val="16"/>
          <w:color w:val="auto"/>
        </w:rPr>
        <w:t>. The Company has established and maintains “disclosure controls and procedures” (as defined in Exchange Act Rules 13a-15(e) and 15d-15(e)), that (i) are designed to ensure that material information relating to the Company, including its consolidated subsidiaries, is made known to the Company’s principal executive officer and its principal financial officer by others within those entities; (ii) have been evaluated by management of the Company as required under the Exchange Act; and</w:t>
      </w:r>
    </w:p>
    <w:p>
      <w:pPr>
        <w:spacing w:after="0" w:line="1" w:lineRule="exact"/>
        <w:rPr>
          <w:rFonts w:ascii="Arial" w:cs="Arial" w:eastAsia="Arial" w:hAnsi="Arial"/>
          <w:sz w:val="16"/>
          <w:szCs w:val="16"/>
          <w:color w:val="auto"/>
        </w:rPr>
      </w:pPr>
    </w:p>
    <w:p>
      <w:pPr>
        <w:ind w:right="20" w:firstLine="8"/>
        <w:spacing w:after="0" w:line="288"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are effective in all material respects to perform the functions for which they were established. Based on the most recent evaluation of its disclosure controls and procedures, except as disclosed to the Agent prior to the applicable Representation Date, the Company is not aware of (i) any significant deficiencies or material weaknesses in the design or operation of internal control over financial reporting that are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 Except as disclosed to the Agent prior to the applicable Representation Date, the Company is not aware of any significant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68" w:lineRule="exact"/>
        <w:rPr>
          <w:rFonts w:ascii="Arial" w:cs="Arial" w:eastAsia="Arial" w:hAnsi="Arial"/>
          <w:sz w:val="16"/>
          <w:szCs w:val="16"/>
          <w:color w:val="auto"/>
        </w:rPr>
      </w:pPr>
    </w:p>
    <w:p>
      <w:pPr>
        <w:ind w:right="640" w:firstLine="656"/>
        <w:spacing w:after="0" w:line="308" w:lineRule="auto"/>
        <w:tabs>
          <w:tab w:leader="none" w:pos="1318"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The Agreement</w:t>
      </w:r>
      <w:r>
        <w:rPr>
          <w:rFonts w:ascii="Arial" w:cs="Arial" w:eastAsia="Arial" w:hAnsi="Arial"/>
          <w:sz w:val="17"/>
          <w:szCs w:val="17"/>
          <w:color w:val="auto"/>
        </w:rPr>
        <w:t>. This Agreement has been duly authorized, executed and delivered by, and is a valid and binding agreement of, the Company, enforceable in accordance with its terms, except as rights to indemnification hereunder may be limited by applicable law</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except as the enforcement hereof may be limited by bankruptcy, insolvency, reorganization, moratorium or other similar laws relating to or affecting the rights and remedies of creditors or by general equitable principles.</w:t>
      </w:r>
    </w:p>
    <w:p>
      <w:pPr>
        <w:spacing w:after="0" w:line="170" w:lineRule="exact"/>
        <w:rPr>
          <w:sz w:val="20"/>
          <w:szCs w:val="20"/>
          <w:color w:val="auto"/>
        </w:rPr>
      </w:pPr>
    </w:p>
    <w:p>
      <w:pPr>
        <w:ind w:right="20" w:firstLine="656"/>
        <w:spacing w:after="0" w:line="259" w:lineRule="auto"/>
        <w:tabs>
          <w:tab w:leader="none" w:pos="130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Authorization of the Shares</w:t>
      </w:r>
      <w:r>
        <w:rPr>
          <w:rFonts w:ascii="Arial" w:cs="Arial" w:eastAsia="Arial" w:hAnsi="Arial"/>
          <w:sz w:val="18"/>
          <w:szCs w:val="18"/>
          <w:color w:val="auto"/>
        </w:rPr>
        <w:t>. The Shares have been duly authorized for issuance and sale pursuant to this Agreement and, when issued and delivered by the Company pursuant to this Agreement against payment of the consideration therefor specified hereunder, will be validly issued, fully paid and nonassessable, and the issuance and sale of the Shares is not subject to any preemptive rights, rights of first refusal or other similar rights to subscribe for or purchase the Shares.</w:t>
      </w:r>
    </w:p>
    <w:p>
      <w:pPr>
        <w:spacing w:after="0" w:line="186" w:lineRule="exact"/>
        <w:rPr>
          <w:rFonts w:ascii="Arial" w:cs="Arial" w:eastAsia="Arial" w:hAnsi="Arial"/>
          <w:sz w:val="18"/>
          <w:szCs w:val="18"/>
          <w:color w:val="auto"/>
        </w:rPr>
      </w:pPr>
    </w:p>
    <w:p>
      <w:pPr>
        <w:jc w:val="both"/>
        <w:ind w:right="280" w:firstLine="656"/>
        <w:spacing w:after="0" w:line="264" w:lineRule="auto"/>
        <w:tabs>
          <w:tab w:leader="none" w:pos="130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of the Company registered for sale under the Registration Statement or included in the offering contemplated by this Agreement, except for such rights as have been duly waived.</w:t>
      </w:r>
    </w:p>
    <w:p>
      <w:pPr>
        <w:sectPr>
          <w:pgSz w:w="11900" w:h="16838" w:orient="portrait"/>
          <w:cols w:equalWidth="0" w:num="1">
            <w:col w:w="11400"/>
          </w:cols>
          <w:pgMar w:left="240" w:top="125" w:right="259" w:bottom="0" w:gutter="0" w:footer="0" w:header="0"/>
        </w:sectPr>
      </w:pPr>
    </w:p>
    <w:bookmarkStart w:id="6" w:name="page7"/>
    <w:bookmarkEnd w:id="6"/>
    <w:p>
      <w:pPr>
        <w:spacing w:after="0" w:line="92" w:lineRule="exact"/>
        <w:rPr>
          <w:sz w:val="20"/>
          <w:szCs w:val="20"/>
          <w:color w:val="auto"/>
        </w:rPr>
      </w:pPr>
    </w:p>
    <w:p>
      <w:pPr>
        <w:ind w:right="80" w:firstLine="656"/>
        <w:spacing w:after="0" w:line="264" w:lineRule="auto"/>
        <w:tabs>
          <w:tab w:leader="none" w:pos="131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Ernst &amp; Young LLP, whose report on the consolidated financial statements of the Company and the Subsidiaries is included in the Registration Statement and the Prospectus, are independent registered public accountants as required by the Securities Act and the rules of the Public Company Accounting Oversight Board.</w:t>
      </w:r>
    </w:p>
    <w:p>
      <w:pPr>
        <w:spacing w:after="0" w:line="181" w:lineRule="exact"/>
        <w:rPr>
          <w:rFonts w:ascii="Arial" w:cs="Arial" w:eastAsia="Arial" w:hAnsi="Arial"/>
          <w:sz w:val="18"/>
          <w:szCs w:val="18"/>
          <w:color w:val="auto"/>
        </w:rPr>
      </w:pPr>
    </w:p>
    <w:p>
      <w:pPr>
        <w:ind w:firstLine="656"/>
        <w:spacing w:after="0" w:line="273"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Company has an authorized and outstanding capitalization as set forth in the sections of the Registration Statement and the Prospectus entitled “Capitalization” and “Description of Capital Stock” (subject to the issuance of Common Shares upon exercise of stock options and warrants disclosed as outstanding in the Registration Statement and the Prospectus and the grant of options under existing stock option plans described in the Registration Statement and the Prospectus); all of the issued and outstanding shares of capital stock of the Company, including the Common Shares, have been duly authorized and validly issued and are fully paid and non-assessable, have been issued in compliance with all applicable securities laws and were not issued in violation of any preemptive right, resale right, right of first refusal or similar right.</w:t>
      </w:r>
    </w:p>
    <w:p>
      <w:pPr>
        <w:spacing w:after="0" w:line="178" w:lineRule="exact"/>
        <w:rPr>
          <w:rFonts w:ascii="Arial" w:cs="Arial" w:eastAsia="Arial" w:hAnsi="Arial"/>
          <w:sz w:val="17"/>
          <w:szCs w:val="17"/>
          <w:color w:val="auto"/>
        </w:rPr>
      </w:pPr>
    </w:p>
    <w:p>
      <w:pPr>
        <w:ind w:right="180" w:firstLine="656"/>
        <w:spacing w:after="0" w:line="312" w:lineRule="auto"/>
        <w:tabs>
          <w:tab w:leader="none" w:pos="130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Good Standing of Company</w:t>
      </w:r>
      <w:r>
        <w:rPr>
          <w:rFonts w:ascii="Arial" w:cs="Arial" w:eastAsia="Arial" w:hAnsi="Arial"/>
          <w:sz w:val="16"/>
          <w:szCs w:val="16"/>
          <w:color w:val="auto"/>
        </w:rPr>
        <w:t>. The Company has been duly incorporated and is validly existing as a corporation in good standing under the laws of the State of Delaware, with full corporate power and authority to own, lease and operate its properties and conduct its business as described in the Registration Statement and the Prospectus, and to execute and deliver this Agreement and to issue, sell and deliver the Shares as contemplated herein.</w:t>
      </w:r>
    </w:p>
    <w:p>
      <w:pPr>
        <w:spacing w:after="0" w:line="146" w:lineRule="exact"/>
        <w:rPr>
          <w:rFonts w:ascii="Arial" w:cs="Arial" w:eastAsia="Arial" w:hAnsi="Arial"/>
          <w:sz w:val="16"/>
          <w:szCs w:val="16"/>
          <w:color w:val="auto"/>
        </w:rPr>
      </w:pPr>
    </w:p>
    <w:p>
      <w:pPr>
        <w:ind w:right="140" w:firstLine="656"/>
        <w:spacing w:after="0" w:line="273" w:lineRule="auto"/>
        <w:tabs>
          <w:tab w:leader="none" w:pos="1304"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Foreign Qualification of Company</w:t>
      </w:r>
      <w:r>
        <w:rPr>
          <w:rFonts w:ascii="Arial" w:cs="Arial" w:eastAsia="Arial" w:hAnsi="Arial"/>
          <w:sz w:val="17"/>
          <w:szCs w:val="17"/>
          <w:color w:val="auto"/>
        </w:rPr>
        <w:t>. 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either (i) have a material adverse effect on the business, properties, financial condition, results of operations or prospects related thereto of the Company and the Subsidiaries taken as a whole, (ii) prevent or materially interfere with consummation of the transactions contemplated hereby or (iii) result in the delisting of the Common Shares from the Nasdaq Global Market (the occurrence of any such effect or any such prevention or interference or any such result described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in the foregoing clauses (i), (ii) and (iii) being herein referred to as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85" w:lineRule="auto"/>
        <w:tabs>
          <w:tab w:leader="none" w:pos="130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Good Standing and Foreign Qualification of Subsidiaries</w:t>
      </w:r>
      <w:r>
        <w:rPr>
          <w:rFonts w:ascii="Arial" w:cs="Arial" w:eastAsia="Arial" w:hAnsi="Arial"/>
          <w:sz w:val="16"/>
          <w:szCs w:val="16"/>
          <w:color w:val="auto"/>
        </w:rPr>
        <w:t>. The Company has no subsidiaries (as defined under the Securities Act) other than Selecta (RUS) Limited Liability Company and Selecta Biosciences Security Corporation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the Company owns all of the issued and outstanding membership interests or capital stock of each of the Subsidiaries; other than the membership interests or capital stock of the Subsidiaries, the Company does not own, directly or indirectly, any shares of stock or any other equity interests or long-term debt securities of any corporation, firm, partnership, joint venture, association or other entity; complete and correct copies of the charters and the bylaws of the Company and each Subsidiary and all amendments thereto have been delivered to you (including by being made available through IDEA); each Subsidiary has been duly incorporated and is validly existing as a corporation in good standing under the laws of the jurisdiction of its incorporation, with full limited liability company or corporate power and authority to own, lease and operate its properties and to conduct its business as described in the Registration Statement and the Prospectus; each Subsidiary is duly qualified to do business as a foreign limited liability company or corporation and is in good standing in each jurisdiction where the ownership or leasing of its properties or the conduct of its business requires such qualification, except where the failure to be so qualified and in good standing would not, individually or in the aggregate, reasonably be expected to have a Material Adverse Effect; all of the outstanding membership interests or shares of capital stock of each of the Subsidiaries have been duly authorized and validly issued, are fully paid and non-assessable, have been issued in compliance with all applicable securities laws, were not issued in violation of any preemptive right, resale right, right of first refusal or similar right and are owned by the Company subject to no security interest, other encumbrance or adverse claims; no options, warrants or other rights to purchase, agreements or other obligations to issue or other rights to convert any obligation into shares of capital stock or ownership interests in the Subsidiaries are outstanding; each “significant subsidiary” of the Company, as that term is defined in Rule 1-02(w) of Regulation S-X under the Securities Act, is listed in Exhibit 21.1 to the Company’s registration statement on Form S-1 (or otherwise in a subsequent filing available on IDEA).</w:t>
      </w:r>
    </w:p>
    <w:p>
      <w:pPr>
        <w:spacing w:after="0" w:line="175" w:lineRule="exact"/>
        <w:rPr>
          <w:rFonts w:ascii="Arial" w:cs="Arial" w:eastAsia="Arial" w:hAnsi="Arial"/>
          <w:sz w:val="16"/>
          <w:szCs w:val="16"/>
          <w:color w:val="auto"/>
        </w:rPr>
      </w:pPr>
    </w:p>
    <w:p>
      <w:pPr>
        <w:ind w:right="80" w:firstLine="656"/>
        <w:spacing w:after="0" w:line="277" w:lineRule="auto"/>
        <w:tabs>
          <w:tab w:leader="none" w:pos="130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Description of Capital Stock</w:t>
      </w:r>
      <w:r>
        <w:rPr>
          <w:rFonts w:ascii="Arial" w:cs="Arial" w:eastAsia="Arial" w:hAnsi="Arial"/>
          <w:sz w:val="18"/>
          <w:szCs w:val="18"/>
          <w:color w:val="auto"/>
        </w:rPr>
        <w:t>. The capital stock of the Company, including the Shares, conforms in all material respects to each description thereof, if any, contained in the Registration Statement and the Prospectus.</w:t>
      </w:r>
    </w:p>
    <w:p>
      <w:pPr>
        <w:spacing w:after="0" w:line="170" w:lineRule="exact"/>
        <w:rPr>
          <w:rFonts w:ascii="Arial" w:cs="Arial" w:eastAsia="Arial" w:hAnsi="Arial"/>
          <w:sz w:val="18"/>
          <w:szCs w:val="18"/>
          <w:color w:val="auto"/>
        </w:rPr>
      </w:pPr>
    </w:p>
    <w:p>
      <w:pPr>
        <w:ind w:firstLine="656"/>
        <w:spacing w:after="0" w:line="272" w:lineRule="auto"/>
        <w:tabs>
          <w:tab w:leader="none" w:pos="1314"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Non-Contravention</w:t>
      </w:r>
      <w:r>
        <w:rPr>
          <w:rFonts w:ascii="Arial" w:cs="Arial" w:eastAsia="Arial" w:hAnsi="Arial"/>
          <w:sz w:val="17"/>
          <w:szCs w:val="17"/>
          <w:color w:val="auto"/>
        </w:rPr>
        <w:t>. Neither the Company nor any of the Subsidiaries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(A) its charter or bylaws or similar governing documents, or (B) any indenture, mortgage, deed of trust, bank loan or credit agreement or other evidence of indebtedness, or any material license, lease, contract or other agreement or instrument to which it is a party or by which it or any of its properties may be bound or effected, or (C) any U.S. or Russian federal, state, local or foreign law, regulation or rule, or (D) any rule or regulation of any self-regulatory organization or other non-governmental regulatory authority having jurisdiction over the Company or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Subsidiaries (including, without limitation, the rules and regulations of the Nasdaq Global Market), or (E) any decree, judgment or order applicable to it or any of its properties, except in the case of the foregoing clauses (B), (C), (D) and (E), for any such breaches, violations, defaults or events that would not, individually or in the aggregate, reasonably be expected to have a Material Adverse Effect; The execution, delivery and performance of this Agreement, the issuance and sale of the Shares and the consummation of the transactions contemplated hereby will not conflict with, result in any breach or violation of or constitute a default under (nor constitute any event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 indebtedness under) (or result in the creation or imposition of a lien, charge or encumbrance on any property or assets of the Company or any Subsidiary pursuant to) (A) the charter or bylaws of the Company or similar organizational documents of any of the Subsidiaries, or (B) any indenture, mortgage, deed of trust, bank loan or credit agreement or other evidence of indebtedness, or any license, lease, contract or other agreement or instrument to which the Company or any of the Subsidiaries is a party or by which any of them or any of their respective properties is subject, or (C) any U.S. or Russian federal, state, local or foreign law, regulation or rule, or (D) any rule or regulation of any self-regulatory organization or other non-governmental regulatory authority having jurisdiction over the Company or the Shares (including, without limitation, the rules and regulations of the Nasdaq Global Market), or (E) any decree, judgment or order applicable to the Company or any of the Subsidiaries or any of their respective properties, except in the case of the foregoing clauses (B), (C), (D) and (E), for any such breaches, violations, defaults, repurchases, redemptions, repayments or events that would not, individually or in the aggregate, reasonably be expected to have a Material Adverse Effect.</w:t>
      </w:r>
    </w:p>
    <w:p>
      <w:pPr>
        <w:sectPr>
          <w:pgSz w:w="11900" w:h="16931" w:orient="portrait"/>
          <w:cols w:equalWidth="0" w:num="1">
            <w:col w:w="11400"/>
          </w:cols>
          <w:pgMar w:left="240" w:top="125" w:right="259" w:bottom="0" w:gutter="0" w:footer="0" w:header="0"/>
        </w:sectPr>
      </w:pPr>
    </w:p>
    <w:bookmarkStart w:id="7" w:name="page8"/>
    <w:bookmarkEnd w:id="7"/>
    <w:p>
      <w:pPr>
        <w:spacing w:after="0" w:line="105" w:lineRule="exact"/>
        <w:rPr>
          <w:sz w:val="20"/>
          <w:szCs w:val="20"/>
          <w:color w:val="auto"/>
        </w:rPr>
      </w:pPr>
    </w:p>
    <w:p>
      <w:pPr>
        <w:ind w:right="20" w:firstLine="656"/>
        <w:spacing w:after="0" w:line="269" w:lineRule="auto"/>
        <w:tabs>
          <w:tab w:leader="none" w:pos="1311"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No Further Authorizations or Approvals Required</w:t>
      </w:r>
      <w:r>
        <w:rPr>
          <w:rFonts w:ascii="Arial" w:cs="Arial" w:eastAsia="Arial" w:hAnsi="Arial"/>
          <w:sz w:val="17"/>
          <w:szCs w:val="17"/>
          <w:color w:val="auto"/>
        </w:rPr>
        <w:t>. No approval, authorization, consent or order of or filing with any federal, state, local or foreign governmental or regulatory commission, board, body, authority or agency, or of or with any self-regulatory organization or other non-governmental regulatory authority (including, without limitation, the Nasdaq Global Market), or approval of the stockholders of the Company is required in connection with the issuance and sale of the Shares or the consummation by the Company of the transactions contemplated hereby, other than (i) the registration of the Shares under the Securities Act , which has been effected (or, with respect to any registration statement to be filed hereunder pursuant to Rule 462(b) under the Act, will be effected in accordance herewith), (ii) any necessary qualification under the securities or blue sky laws of the various jurisdictions in which the Shares are being offered by the Agent, (iii) under the Conduct Rules of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(iv) any listing applications and related consents or any notices required by the Nasdaq Global Market in the ordinary course of the offering of the Shares or (v) filings with the Commission pursuant to Rule 424(b) under the Securities Act, except as have already been made, obtained or waived or where the failure to obtain any such approval, authorization, consent, order or filing would not impair the ability of the Company to issue and sell the Shares or to consummate the transactions contemplated by this Agreement.</w:t>
      </w:r>
    </w:p>
    <w:p>
      <w:pPr>
        <w:spacing w:after="0" w:line="182" w:lineRule="exact"/>
        <w:rPr>
          <w:rFonts w:ascii="Arial" w:cs="Arial" w:eastAsia="Arial" w:hAnsi="Arial"/>
          <w:sz w:val="17"/>
          <w:szCs w:val="17"/>
          <w:color w:val="auto"/>
        </w:rPr>
      </w:pPr>
    </w:p>
    <w:p>
      <w:pPr>
        <w:ind w:left="1320" w:hanging="664"/>
        <w:spacing w:after="0"/>
        <w:tabs>
          <w:tab w:leader="none" w:pos="132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No Preemptive or Similar Rights</w:t>
      </w:r>
      <w:r>
        <w:rPr>
          <w:rFonts w:ascii="Arial" w:cs="Arial" w:eastAsia="Arial" w:hAnsi="Arial"/>
          <w:sz w:val="16"/>
          <w:szCs w:val="16"/>
          <w:color w:val="auto"/>
        </w:rPr>
        <w:t>. Except as described in the Registration Statement and the Prospectus or as otherwise have been waived</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person has the right, contractual or otherwise, to cause the Company to issue or sell to it any Common Shares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shares of any other capital stock or other equity interests of the Company, (ii) no person has any preemptive rights, resale rights, rights of first refusal or other rights to purchase any Common Shares or shares of any other capital stock of or other equity interests in the Company and (iii) no person has the right to act as an underwriter or as a financial advisor to the Company in connection with the offer and sale of the Shares; no person has the right, contractual or otherwise, to cause the Company to register under the Securities Act any Common Shares or shares of any other capital stock of or other equity interests in the Company or to include any such shares or interests in the Registration Statement or the offering contemplated thereby other than those that have been otherwise waived.</w:t>
      </w:r>
    </w:p>
    <w:p>
      <w:pPr>
        <w:spacing w:after="0" w:line="193" w:lineRule="exact"/>
        <w:rPr>
          <w:sz w:val="20"/>
          <w:szCs w:val="20"/>
          <w:color w:val="auto"/>
        </w:rPr>
      </w:pPr>
    </w:p>
    <w:p>
      <w:pPr>
        <w:ind w:right="100" w:firstLine="656"/>
        <w:spacing w:after="0" w:line="290" w:lineRule="auto"/>
        <w:tabs>
          <w:tab w:leader="none" w:pos="1304"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Regulatory Compliance</w:t>
      </w:r>
      <w:r>
        <w:rPr>
          <w:rFonts w:ascii="Arial" w:cs="Arial" w:eastAsia="Arial" w:hAnsi="Arial"/>
          <w:sz w:val="16"/>
          <w:szCs w:val="16"/>
          <w:color w:val="auto"/>
        </w:rPr>
        <w:t>. Except for licenses, authorizations, consents and approvals required to be obtained from the Food and Drug Administration of the U.S. Department of Health and Human Services, each of the Company and the Subsidiaries has obtained all necessary licenses, authorizations, consents and approvals from all applicable authorities, in each case, as required to conduct their respective businesses as currently conducted, except where the failure to obtain such license, authorization, consent or approval or make such filing would not, individually or in the aggregate, reasonably be expected to have a Material Adverse Effect; neither the Company nor any of the Subsidiaries is in violation of, or in default under, or has received written notice of any proceedings from any applicable governmental or regulatory authority relating to the revocation or adverse modification of, any such license, authorization, consent or approval, except as described in the Registration Statement and the Prospectus or where such violation, default, revocation or adverse modification would not, individually or in the aggregate, reasonably be expected to have a Material Adverse Effect.</w:t>
      </w:r>
    </w:p>
    <w:p>
      <w:pPr>
        <w:spacing w:after="0" w:line="166" w:lineRule="exact"/>
        <w:rPr>
          <w:rFonts w:ascii="Arial" w:cs="Arial" w:eastAsia="Arial" w:hAnsi="Arial"/>
          <w:sz w:val="16"/>
          <w:szCs w:val="16"/>
          <w:color w:val="auto"/>
        </w:rPr>
      </w:pPr>
    </w:p>
    <w:p>
      <w:pPr>
        <w:ind w:right="300" w:firstLine="656"/>
        <w:spacing w:after="0" w:line="255" w:lineRule="auto"/>
        <w:tabs>
          <w:tab w:leader="none" w:pos="130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Disclosure of Proceedings</w:t>
      </w:r>
      <w:r>
        <w:rPr>
          <w:rFonts w:ascii="Arial" w:cs="Arial" w:eastAsia="Arial" w:hAnsi="Arial"/>
          <w:sz w:val="18"/>
          <w:szCs w:val="18"/>
          <w:color w:val="auto"/>
        </w:rPr>
        <w:t>. Except as described in the Registration Statement and the Prospectus, there is no legal, governmental, administrative or regulatory investigation, action, suit, claim or proceeding pending or, to the Company’s knowledge, threatened to which the Company or any of its Subsidiaries or any of their respective officers or directors is a party (in their respective capacities as such), or to which any property of the Company or the Subsidiaries is or would reasonably be expected to be subject, before any court, board, body, regulatory or non-regulatory administrative agency or competent authority, which if determined adversely to the Company or any of the Subsidiaries would, individually or in the aggregate, have a Material Adverse Effect.</w:t>
      </w:r>
    </w:p>
    <w:p>
      <w:pPr>
        <w:spacing w:after="0" w:line="193" w:lineRule="exact"/>
        <w:rPr>
          <w:rFonts w:ascii="Arial" w:cs="Arial" w:eastAsia="Arial" w:hAnsi="Arial"/>
          <w:sz w:val="18"/>
          <w:szCs w:val="18"/>
          <w:color w:val="auto"/>
        </w:rPr>
      </w:pPr>
    </w:p>
    <w:p>
      <w:pPr>
        <w:ind w:firstLine="656"/>
        <w:spacing w:after="0" w:line="254" w:lineRule="auto"/>
        <w:tabs>
          <w:tab w:leader="none" w:pos="131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included in the Registration Statement and the Prospectus,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material compliance with the requirements of the Securities Act and the Exchange Act and in conformity with United States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applied on a consistent basis during the periods involved, and all adjustments necessary for a fair presentation of results for such periods have been made; all pro forma financial information included in the Registration Statement and the Prospectus presents fairly in all material respects the information shown therein, has been prepared in accordance with the provisions of the Securities Act and the Rules and Regulations with respect to pro forma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financial information, has been properly compiled on the pro forma bases described therein in accordance with the provisions of the Securities Act and the Rules and Regulations, and the assumptions used in the preparation thereof are reasonable and the adjustments therein are appropriate to give effect to the transactions or circumstances referred to therein; the summary and selected combined financial and operating data included in the Registration Statement and the Prospectus present fairly in all material respects the information shown therein and such data have been compiled on a basis consistent with the financial statements presented therein and the books and records of the Company; there are no financial statements (historical or pro forma) that are required to be included in the Registration Statement or the Prospectus that are not included as required; the Company and the Subsidiaries do not have any material liabilities or obligations, direct or contingent (including any off-balance sheet obligations), that are not described in the Registration Statement and the Prospectus; and any disclosures contained in the Registration Statement and the Prospectus that constitute “non-GAAP financial measures” (as such term is defined by the rules and regulations of the Commission) comply with Regulation G of the Exchange Act and Item 10 of Regulation S-K under the Securities Act, to the extent applicable. The interactive data in eXtensible Business Reporting Language included or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69" w:lineRule="exact"/>
        <w:rPr>
          <w:sz w:val="20"/>
          <w:szCs w:val="20"/>
          <w:color w:val="auto"/>
        </w:rPr>
      </w:pPr>
    </w:p>
    <w:p>
      <w:pPr>
        <w:jc w:val="both"/>
        <w:ind w:firstLine="656"/>
        <w:spacing w:after="0" w:line="286" w:lineRule="auto"/>
        <w:tabs>
          <w:tab w:leader="none" w:pos="130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Stock Option Grants</w:t>
      </w:r>
      <w:r>
        <w:rPr>
          <w:rFonts w:ascii="Arial" w:cs="Arial" w:eastAsia="Arial" w:hAnsi="Arial"/>
          <w:sz w:val="16"/>
          <w:szCs w:val="16"/>
          <w:color w:val="auto"/>
        </w:rPr>
        <w:t>. Except as disclosed in the Registration Statement and the Prospectus, each stock option granted under any stock option plan of the Company or any Subsidiary (each, a “</w:t>
      </w:r>
      <w:r>
        <w:rPr>
          <w:rFonts w:ascii="Arial" w:cs="Arial" w:eastAsia="Arial" w:hAnsi="Arial"/>
          <w:sz w:val="16"/>
          <w:szCs w:val="16"/>
          <w:b w:val="1"/>
          <w:bCs w:val="1"/>
          <w:color w:val="auto"/>
        </w:rPr>
        <w:t>Stock Plan</w:t>
      </w:r>
      <w:r>
        <w:rPr>
          <w:rFonts w:ascii="Arial" w:cs="Arial" w:eastAsia="Arial" w:hAnsi="Arial"/>
          <w:sz w:val="16"/>
          <w:szCs w:val="16"/>
          <w:color w:val="auto"/>
        </w:rPr>
        <w:t>”) was granted with a per share exercise price no less than the fair market value per Common Share, or, with respect to incentive stock options granted to an employee who on the date of grant was the owner of stock possessing more than 10% of the total combined voting power of all classes of stock of the Company (after taking into account the attribution of stock ownership rules of</w:t>
      </w:r>
    </w:p>
    <w:p>
      <w:pPr>
        <w:spacing w:after="0" w:line="1" w:lineRule="exact"/>
        <w:rPr>
          <w:rFonts w:ascii="Arial" w:cs="Arial" w:eastAsia="Arial" w:hAnsi="Arial"/>
          <w:sz w:val="16"/>
          <w:szCs w:val="16"/>
          <w:color w:val="auto"/>
        </w:rPr>
      </w:pPr>
    </w:p>
    <w:p>
      <w:pPr>
        <w:jc w:val="both"/>
        <w:ind w:right="140"/>
        <w:spacing w:after="0" w:line="302" w:lineRule="auto"/>
        <w:rPr>
          <w:rFonts w:ascii="Arial" w:cs="Arial" w:eastAsia="Arial" w:hAnsi="Arial"/>
          <w:sz w:val="16"/>
          <w:szCs w:val="16"/>
          <w:color w:val="auto"/>
        </w:rPr>
      </w:pPr>
      <w:r>
        <w:rPr>
          <w:rFonts w:ascii="Arial" w:cs="Arial" w:eastAsia="Arial" w:hAnsi="Arial"/>
          <w:sz w:val="16"/>
          <w:szCs w:val="16"/>
          <w:color w:val="auto"/>
        </w:rPr>
        <w:t>Section 424(d)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no less than 110% of the fair market value per Common Share, on the grant date of such option, as determined by the Company’s board of directors, and no such grant involved any “back-dating,” “forward-dating” or similar practice with respect to the effective date of such grant; except as would not, individually or in the aggregate, reasonably be expected to have a Material Adverse</w:t>
      </w:r>
    </w:p>
    <w:p>
      <w:pPr>
        <w:sectPr>
          <w:pgSz w:w="11900" w:h="16944" w:orient="portrait"/>
          <w:cols w:equalWidth="0" w:num="1">
            <w:col w:w="11420"/>
          </w:cols>
          <w:pgMar w:left="240" w:top="341" w:right="239" w:bottom="0" w:gutter="0" w:footer="0" w:header="0"/>
        </w:sectPr>
      </w:pPr>
    </w:p>
    <w:bookmarkStart w:id="8" w:name="page9"/>
    <w:bookmarkEnd w:id="8"/>
    <w:p>
      <w:pPr>
        <w:spacing w:after="0" w:line="1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Effect, each such option (i) was granted in compliance with applicable law and with the applicable Stock Plan(s), (ii) was duly approved by the board of directors (or a duly authorized committee thereof or an officer of the Company duly authorized by the board of directors or authorized committee thereof to make such grants) of the Company or such Subsidiary, as applicable, and (iii) has been properly accounted for in the Company’s financial statements in accordance with GAAP.</w:t>
      </w:r>
    </w:p>
    <w:p>
      <w:pPr>
        <w:spacing w:after="0" w:line="187" w:lineRule="exact"/>
        <w:rPr>
          <w:sz w:val="20"/>
          <w:szCs w:val="20"/>
          <w:color w:val="auto"/>
        </w:rPr>
      </w:pPr>
    </w:p>
    <w:p>
      <w:pPr>
        <w:ind w:right="120" w:firstLine="656"/>
        <w:spacing w:after="0" w:line="286" w:lineRule="auto"/>
        <w:tabs>
          <w:tab w:leader="none" w:pos="1304"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Except as otherwise set forth or contemplated in, or subsequently incorporated by reference into, the Registration Statement or the Prospectus, subsequent to the respective dates as of which information is given in the Registration Statement and the Prospectus, there has not been (i) any material adverse change, or any development involving a prospective material adverse change, in the business, properties, management, financial condition or results of operations of the Company and the Subsidiaries taken as a whole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0" w:firstLine="8"/>
        <w:spacing w:after="0" w:line="261" w:lineRule="auto"/>
        <w:tabs>
          <w:tab w:leader="none" w:pos="2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transaction which is material to the Company and the Subsidiaries taken as a whole, (iii) any obligation or liability, direct or contingent (including any off-balance sheet obligations), incurred by the Company or any Subsidiary, which is material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Company and the Subsidiaries taken as a whole, (iv) any change in the capital stock or outstanding indebtedness of the Company or any Subsidiaries (other than borrowings in the ordinary course of business under the Company’s Loan and Security Agreement, as amended on December 31, 2015 (as the same may be amended, restated or replaced), and as described in the Registration Statement and the Prospectus, the issuance of Common Shares upon exercise of stock options and warrants described as outstanding in the Registration Statement and the Prospectus, the grant in the ordinary course of business of awards under equity incentive plans described in the Registration Statement and the Prospectus and the repurchase by the Company or forfeiture of shares of common stock by the holder thereof pursuant to the terms of equity awards described as outstanding in the Registration Statement and the Prospectus) or</w:t>
      </w:r>
    </w:p>
    <w:p>
      <w:pPr>
        <w:spacing w:after="0" w:line="5"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dividend or distribution of any kind declared, paid or made on the capital stock of the Company or any Subsidiary.</w:t>
      </w:r>
    </w:p>
    <w:p>
      <w:pPr>
        <w:spacing w:after="0" w:line="210" w:lineRule="exact"/>
        <w:rPr>
          <w:rFonts w:ascii="Arial" w:cs="Arial" w:eastAsia="Arial" w:hAnsi="Arial"/>
          <w:sz w:val="18"/>
          <w:szCs w:val="18"/>
          <w:color w:val="auto"/>
        </w:rPr>
      </w:pPr>
    </w:p>
    <w:p>
      <w:pPr>
        <w:ind w:right="60" w:firstLine="656"/>
        <w:spacing w:after="0" w:line="259" w:lineRule="auto"/>
        <w:tabs>
          <w:tab w:leader="none" w:pos="1307"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any Subsidiary is and, after giving effect to the offering and sale of the Shares and the application of the proceeds thereof, neither the Company nor any Subsidiary will be, an “investment company” or an entity “controlled” by an “investment company,” as such terms are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or a “passive foreign investment company” or a “controlled foreign corporation,” as such terms are defined in the Code.</w:t>
      </w:r>
    </w:p>
    <w:p>
      <w:pPr>
        <w:spacing w:after="0" w:line="187" w:lineRule="exact"/>
        <w:rPr>
          <w:sz w:val="20"/>
          <w:szCs w:val="20"/>
          <w:color w:val="auto"/>
        </w:rPr>
      </w:pPr>
    </w:p>
    <w:p>
      <w:pPr>
        <w:ind w:right="100" w:firstLine="656"/>
        <w:spacing w:after="0" w:line="270" w:lineRule="auto"/>
        <w:tabs>
          <w:tab w:leader="none" w:pos="127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Real Property</w:t>
      </w:r>
      <w:r>
        <w:rPr>
          <w:rFonts w:ascii="Arial" w:cs="Arial" w:eastAsia="Arial" w:hAnsi="Arial"/>
          <w:sz w:val="17"/>
          <w:szCs w:val="17"/>
          <w:color w:val="auto"/>
        </w:rPr>
        <w:t>. Neither the Company nor the Subsidiaries own any real property; the Company and each of the Subsidiaries have good and marketable title to all tangible personal property described in the Registration Statement and the Prospectus as being owned by any of them, free and clear of all liens, claims, security interests or other encumbrances, except those that do not materially interfere with the use or proposed use of such property by the Company or the Subsidiary, respectively, or as would not materially or adversely affect the value of such property; all the property described in the Registration Statement and the Prospectus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181" w:lineRule="exact"/>
        <w:rPr>
          <w:rFonts w:ascii="Arial" w:cs="Arial" w:eastAsia="Arial" w:hAnsi="Arial"/>
          <w:sz w:val="17"/>
          <w:szCs w:val="17"/>
          <w:color w:val="auto"/>
        </w:rPr>
      </w:pPr>
    </w:p>
    <w:p>
      <w:pPr>
        <w:ind w:right="60" w:firstLine="656"/>
        <w:spacing w:after="0" w:line="271" w:lineRule="auto"/>
        <w:tabs>
          <w:tab w:leader="none" w:pos="1299"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except as disclosed in the Registration Statement and the Prospectus, the Company and the Subsidiaries own, or have obtained valid and enforceable licenses for, or other rights to use, the patent applications, patents, trademarks, trademark registrations, tradenames, service marks, copyrights, trade secrets and other unpatented and/or unpatentable proprietary information necessary for, or used in the conduct, or the proposed conduct, of the business of the Company and its Subsidiaries taken as a whole in the manner described in the Registration Statement and the Prospectus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except as such failure to own or obtain rights would not result in a Material Adverse Effect; except as disclosed in the Registration Statement and the Prospectus (i) to the knowledge of the Company, there are no third parties who have any ownership rights in or to any Intellectual Property that is owned by the Company, and, to the knowledge of the Company, no third party has any ownership right in or to any Intellectual Property in any field of use that 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Registration Statement and the Prospectus, in the current or proposed conduct of the businesses of the Company in the manner and to the extent described in the Registration Statement and the Prospectus,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Arial" w:cs="Arial" w:eastAsia="Arial" w:hAnsi="Arial"/>
          <w:sz w:val="16"/>
          <w:szCs w:val="16"/>
          <w:b w:val="1"/>
          <w:bCs w:val="1"/>
          <w:color w:val="auto"/>
        </w:rPr>
        <w:t>USPTO</w:t>
      </w:r>
      <w:r>
        <w:rPr>
          <w:rFonts w:ascii="Arial" w:cs="Arial" w:eastAsia="Arial" w:hAnsi="Arial"/>
          <w:sz w:val="16"/>
          <w:szCs w:val="16"/>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 Patent and Trademark Office or of which the Company is otherwise aware; (ix) the product candidates described in the Registration Statement and the Prospectus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w:t>
      </w:r>
    </w:p>
    <w:p>
      <w:pPr>
        <w:spacing w:after="0" w:line="168" w:lineRule="exact"/>
        <w:rPr>
          <w:sz w:val="20"/>
          <w:szCs w:val="20"/>
          <w:color w:val="auto"/>
        </w:rPr>
      </w:pPr>
    </w:p>
    <w:p>
      <w:pPr>
        <w:jc w:val="both"/>
        <w:ind w:right="80" w:firstLine="656"/>
        <w:spacing w:after="0" w:line="312" w:lineRule="auto"/>
        <w:tabs>
          <w:tab w:leader="none" w:pos="1306"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Labor Matters</w:t>
      </w:r>
      <w:r>
        <w:rPr>
          <w:rFonts w:ascii="Arial" w:cs="Arial" w:eastAsia="Arial" w:hAnsi="Arial"/>
          <w:sz w:val="16"/>
          <w:szCs w:val="16"/>
          <w:color w:val="auto"/>
        </w:rPr>
        <w:t>. Except for matters which would not, individually or in the aggregate, reasonably be expected to have a Material Adverse Effect, there is (A) no unfair labor practice complaint pending or, to the Company’s knowledge, threatened against the Company or any of the Subsidiaries before the National Labor Relations Board, and no grievance or arbitration proceeding arising out of or under collective bargaining agreements is pending, or</w:t>
      </w:r>
    </w:p>
    <w:p>
      <w:pPr>
        <w:sectPr>
          <w:pgSz w:w="11900" w:h="16952" w:orient="portrait"/>
          <w:cols w:equalWidth="0" w:num="1">
            <w:col w:w="11420"/>
          </w:cols>
          <w:pgMar w:left="240" w:top="125" w:right="239" w:bottom="0" w:gutter="0" w:footer="0" w:header="0"/>
        </w:sectPr>
      </w:pPr>
    </w:p>
    <w:bookmarkStart w:id="9" w:name="page10"/>
    <w:bookmarkEnd w:id="9"/>
    <w:p>
      <w:pPr>
        <w:ind w:right="60"/>
        <w:spacing w:after="0" w:line="342" w:lineRule="auto"/>
        <w:rPr>
          <w:sz w:val="20"/>
          <w:szCs w:val="20"/>
          <w:color w:val="auto"/>
        </w:rPr>
      </w:pPr>
      <w:r>
        <w:rPr>
          <w:rFonts w:ascii="Arial" w:cs="Arial" w:eastAsia="Arial" w:hAnsi="Arial"/>
          <w:sz w:val="16"/>
          <w:szCs w:val="16"/>
          <w:color w:val="auto"/>
        </w:rPr>
        <w:t>to the Company’s knowledge, threatened and (B) no strike, labor dispute, slowdown or stoppage pending or, to the Company’s knowledge, threatened against the Company or any of the Subsidiaries or against any of the principal suppliers, contractors or customers of the Company or any of its Subsidiaries.</w:t>
      </w:r>
    </w:p>
    <w:p>
      <w:pPr>
        <w:spacing w:after="0" w:line="124" w:lineRule="exact"/>
        <w:rPr>
          <w:sz w:val="20"/>
          <w:szCs w:val="20"/>
          <w:color w:val="auto"/>
        </w:rPr>
      </w:pPr>
    </w:p>
    <w:p>
      <w:pPr>
        <w:ind w:right="440" w:firstLine="656"/>
        <w:spacing w:after="0" w:line="308" w:lineRule="auto"/>
        <w:tabs>
          <w:tab w:leader="none" w:pos="1299"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Environmental Matters</w:t>
      </w:r>
      <w:r>
        <w:rPr>
          <w:rFonts w:ascii="Arial" w:cs="Arial" w:eastAsia="Arial" w:hAnsi="Arial"/>
          <w:sz w:val="17"/>
          <w:szCs w:val="17"/>
          <w:color w:val="auto"/>
        </w:rPr>
        <w:t>. The Company and the Subsidiaries are in compliance with, and hold all permits, authorizations and approvals required under, Environmental Laws (as defined below), except to the extent that failure to so comply or to hold such permits,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“Hazardous Materials” means any material (including, without limitation, pollutants, contaminants, hazardous or toxic substances or wastes) that is regulated by or may give rise to liability under any Environmental Law).</w:t>
      </w:r>
    </w:p>
    <w:p>
      <w:pPr>
        <w:spacing w:after="0" w:line="169" w:lineRule="exact"/>
        <w:rPr>
          <w:sz w:val="20"/>
          <w:szCs w:val="20"/>
          <w:color w:val="auto"/>
        </w:rPr>
      </w:pPr>
    </w:p>
    <w:p>
      <w:pPr>
        <w:ind w:right="260" w:firstLine="656"/>
        <w:spacing w:after="0" w:line="302" w:lineRule="auto"/>
        <w:tabs>
          <w:tab w:leader="none" w:pos="130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Except as described in the Registration Statement and the Prospectus, all material tax returns required to be filed by the Company or any of the 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154" w:lineRule="exact"/>
        <w:rPr>
          <w:rFonts w:ascii="Arial" w:cs="Arial" w:eastAsia="Arial" w:hAnsi="Arial"/>
          <w:sz w:val="16"/>
          <w:szCs w:val="16"/>
          <w:color w:val="auto"/>
        </w:rPr>
      </w:pPr>
    </w:p>
    <w:p>
      <w:pPr>
        <w:ind w:firstLine="656"/>
        <w:spacing w:after="0" w:line="255" w:lineRule="auto"/>
        <w:tabs>
          <w:tab w:leader="none" w:pos="129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Insurance Matters</w:t>
      </w:r>
      <w:r>
        <w:rPr>
          <w:rFonts w:ascii="Arial" w:cs="Arial" w:eastAsia="Arial" w:hAnsi="Arial"/>
          <w:sz w:val="18"/>
          <w:szCs w:val="18"/>
          <w:color w:val="auto"/>
        </w:rPr>
        <w:t>. The Company and each of the Subsidiaries maintain insurance covering their respective properties, operations, personnel and 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its business; to the Company’s knowledge, all such insurance is fully in force on the date hereof;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89" w:lineRule="exact"/>
        <w:rPr>
          <w:rFonts w:ascii="Arial" w:cs="Arial" w:eastAsia="Arial" w:hAnsi="Arial"/>
          <w:sz w:val="18"/>
          <w:szCs w:val="18"/>
          <w:color w:val="auto"/>
        </w:rPr>
      </w:pPr>
    </w:p>
    <w:p>
      <w:pPr>
        <w:ind w:right="60" w:firstLine="656"/>
        <w:spacing w:after="0" w:line="259" w:lineRule="auto"/>
        <w:tabs>
          <w:tab w:leader="none" w:pos="132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Notices</w:t>
      </w:r>
      <w:r>
        <w:rPr>
          <w:rFonts w:ascii="Arial" w:cs="Arial" w:eastAsia="Arial" w:hAnsi="Arial"/>
          <w:sz w:val="18"/>
          <w:szCs w:val="18"/>
          <w:color w:val="auto"/>
        </w:rPr>
        <w:t>. Except as referred to or described in the Registration Statement or the Prospectus, neither the Company nor any Subsidiary has sent or received any communication regarding termination of, or intent not to renew, any of the contracts or agreements referred to or described in the Registration Statement or the Prospectus, and no such termination or non-renewal has been threatened by the Company or any Subsidiary or, to the Company’s knowledge, any counterparty to any such contract or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70" w:lineRule="auto"/>
        <w:tabs>
          <w:tab w:leader="none" w:pos="1299"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Internal Controls</w:t>
      </w:r>
      <w:r>
        <w:rPr>
          <w:rFonts w:ascii="Arial" w:cs="Arial" w:eastAsia="Arial" w:hAnsi="Arial"/>
          <w:sz w:val="17"/>
          <w:szCs w:val="17"/>
          <w:color w:val="auto"/>
        </w:rPr>
        <w:t>. The Company and the Subsidiaries maintain a system of “internal controls over financial reporting” (as defined in Rule 13a-15(f) of the Exchange Act) that has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any unauthorized access that could have a material effect on the Company’s financial statements is timely detected; and (iv) the recorded accountability for assets is compared with existing assets at reasonable intervals and appropriate action is taken with respect to any differences. Except as disclosed in the Registration Statement and the Prospectus, there are no material weaknesses in the Company’s internal controls.</w:t>
      </w:r>
    </w:p>
    <w:p>
      <w:pPr>
        <w:spacing w:after="0" w:line="177" w:lineRule="exact"/>
        <w:rPr>
          <w:rFonts w:ascii="Arial" w:cs="Arial" w:eastAsia="Arial" w:hAnsi="Arial"/>
          <w:sz w:val="17"/>
          <w:szCs w:val="17"/>
          <w:color w:val="auto"/>
        </w:rPr>
      </w:pPr>
    </w:p>
    <w:p>
      <w:pPr>
        <w:ind w:right="80" w:firstLine="656"/>
        <w:spacing w:after="0" w:line="264" w:lineRule="auto"/>
        <w:tabs>
          <w:tab w:leader="none" w:pos="132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Sarbanes-Oxley Compliance</w:t>
      </w:r>
      <w:r>
        <w:rPr>
          <w:rFonts w:ascii="Arial" w:cs="Arial" w:eastAsia="Arial" w:hAnsi="Arial"/>
          <w:sz w:val="18"/>
          <w:szCs w:val="18"/>
          <w:color w:val="auto"/>
        </w:rPr>
        <w:t>. The Company and the Subsidiaries and their respective officers and directors, in their capacities as such, are in compliance in all material respects with the applicable provisions of the Sarbanes-Oxley Act and the rules and regulations promulgated in connection therewith.</w:t>
      </w:r>
    </w:p>
    <w:p>
      <w:pPr>
        <w:spacing w:after="0" w:line="181" w:lineRule="exact"/>
        <w:rPr>
          <w:rFonts w:ascii="Arial" w:cs="Arial" w:eastAsia="Arial" w:hAnsi="Arial"/>
          <w:sz w:val="18"/>
          <w:szCs w:val="18"/>
          <w:color w:val="auto"/>
        </w:rPr>
      </w:pPr>
    </w:p>
    <w:p>
      <w:pPr>
        <w:ind w:right="100" w:firstLine="656"/>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Forward-Looking Statements</w:t>
      </w:r>
      <w:r>
        <w:rPr>
          <w:rFonts w:ascii="Arial" w:cs="Arial" w:eastAsia="Arial" w:hAnsi="Arial"/>
          <w:sz w:val="16"/>
          <w:szCs w:val="16"/>
          <w:color w:val="auto"/>
        </w:rPr>
        <w:t>. Each “forward-looking statement” (within the meaning of Section 27A of the Securities Act or Section 21E of the Exchange Act) contained in the Registration Statement and the Prospectus has been made or reaffirmed with a reasonable basis and in good faith.</w:t>
      </w:r>
    </w:p>
    <w:p>
      <w:pPr>
        <w:spacing w:after="0" w:line="123" w:lineRule="exact"/>
        <w:rPr>
          <w:rFonts w:ascii="Arial" w:cs="Arial" w:eastAsia="Arial" w:hAnsi="Arial"/>
          <w:sz w:val="16"/>
          <w:szCs w:val="16"/>
          <w:color w:val="auto"/>
        </w:rPr>
      </w:pPr>
    </w:p>
    <w:p>
      <w:pPr>
        <w:ind w:right="20" w:firstLine="656"/>
        <w:spacing w:after="0" w:line="297" w:lineRule="auto"/>
        <w:tabs>
          <w:tab w:leader="none" w:pos="129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FCPA, etc</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is aware of or has taken any action, directly or indirectly, that would result in a violation by such persons of the Foreign Corrupt Practices Act of 1977, as amended, and the rules and regulations thereunder, or the OECD Convention on Bribery of Foreign Public Officials in International Business Transactions; the Company, the Subsidiaries and, to the knowledge of the Company, its controlled affiliates have instituted and maintain policies and procedures designed to ensure continued compliance therewith.</w:t>
      </w:r>
    </w:p>
    <w:p>
      <w:pPr>
        <w:spacing w:after="0" w:line="158" w:lineRule="exact"/>
        <w:rPr>
          <w:rFonts w:ascii="Arial" w:cs="Arial" w:eastAsia="Arial" w:hAnsi="Arial"/>
          <w:sz w:val="16"/>
          <w:szCs w:val="16"/>
          <w:color w:val="auto"/>
        </w:rPr>
      </w:pPr>
    </w:p>
    <w:p>
      <w:pPr>
        <w:ind w:right="100" w:firstLine="656"/>
        <w:spacing w:after="0" w:line="273" w:lineRule="auto"/>
        <w:tabs>
          <w:tab w:leader="none" w:pos="1327"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the Subsidiaries are and have been conducted at all times in 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ectPr>
          <w:pgSz w:w="11900" w:h="16838" w:orient="portrait"/>
          <w:cols w:equalWidth="0" w:num="1">
            <w:col w:w="11400"/>
          </w:cols>
          <w:pgMar w:left="240" w:top="125" w:right="259" w:bottom="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56"/>
        <w:spacing w:after="0" w:line="291" w:lineRule="auto"/>
        <w:tabs>
          <w:tab w:leader="none" w:pos="1291"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None of the Company, any of the Subsidiaries or any of their respective officers or directors or, to the knowledge of the Company, any agent, employee or controlled affiliate of the Company or any of the Subsidiaries is currently subject to or has been subject in the last three</w:t>
      </w:r>
    </w:p>
    <w:p>
      <w:pPr>
        <w:ind w:right="160" w:firstLine="8"/>
        <w:spacing w:after="0" w:line="253"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years to any sanctions administered or enforced by the Office of Foreign Assets Control of the U.S. Treasury Department, the United Nations Security Council, the European Union, Her Majesty’s Treasury or any other relevant sanctions authority and the Company will not directly or indirectly use the proceeds of the offering of the Shares contemplated hereby, or lend, contribute or otherwise make available such proceeds to any Subsidiary, joint venture partner or other person or entity for the purpose of financing the activities of any person currently subject to any sanctions administered or enforced by such authorities.</w:t>
      </w:r>
    </w:p>
    <w:p>
      <w:pPr>
        <w:spacing w:after="0" w:line="191" w:lineRule="exact"/>
        <w:rPr>
          <w:rFonts w:ascii="Arial" w:cs="Arial" w:eastAsia="Arial" w:hAnsi="Arial"/>
          <w:sz w:val="18"/>
          <w:szCs w:val="18"/>
          <w:color w:val="auto"/>
        </w:rPr>
      </w:pPr>
    </w:p>
    <w:p>
      <w:pPr>
        <w:ind w:right="60" w:firstLine="656"/>
        <w:spacing w:after="0" w:line="259" w:lineRule="auto"/>
        <w:tabs>
          <w:tab w:leader="none" w:pos="1299"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No Dividend Restrictions</w:t>
      </w:r>
      <w:r>
        <w:rPr>
          <w:rFonts w:ascii="Arial" w:cs="Arial" w:eastAsia="Arial" w:hAnsi="Arial"/>
          <w:sz w:val="18"/>
          <w:szCs w:val="18"/>
          <w:color w:val="auto"/>
        </w:rPr>
        <w:t>.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the Registration Statement and the Prospectus.</w:t>
      </w:r>
    </w:p>
    <w:p>
      <w:pPr>
        <w:spacing w:after="0" w:line="186" w:lineRule="exact"/>
        <w:rPr>
          <w:rFonts w:ascii="Arial" w:cs="Arial" w:eastAsia="Arial" w:hAnsi="Arial"/>
          <w:sz w:val="18"/>
          <w:szCs w:val="18"/>
          <w:color w:val="auto"/>
        </w:rPr>
      </w:pPr>
    </w:p>
    <w:p>
      <w:pPr>
        <w:ind w:right="40" w:firstLine="656"/>
        <w:spacing w:after="0" w:line="268" w:lineRule="auto"/>
        <w:tabs>
          <w:tab w:leader="none" w:pos="1299"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Health Regulatory Compliance</w:t>
      </w:r>
      <w:r>
        <w:rPr>
          <w:rFonts w:ascii="Arial" w:cs="Arial" w:eastAsia="Arial" w:hAnsi="Arial"/>
          <w:sz w:val="17"/>
          <w:szCs w:val="17"/>
          <w:color w:val="auto"/>
        </w:rPr>
        <w:t>. The preclinical and clinical studies conducted by or, to the Company’s knowledge, on behalf of the Company that are described in, or the results of which are referred to in, the Registration Statement and the Prospectus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Registration Statement and the Prospectus is accurate in all material respects and fairly presents the data derived from such studies, and the Company is not aware of any other studies the results of which the Company believes reasonably call into question the study results described or referred to in the Registration Statement and the Prospectus; and except as disclosed in the Registration Statement and the Prospectus,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Arial" w:cs="Arial" w:eastAsia="Arial" w:hAnsi="Arial"/>
          <w:sz w:val="17"/>
          <w:szCs w:val="17"/>
          <w:b w:val="1"/>
          <w:bCs w:val="1"/>
          <w:color w:val="auto"/>
        </w:rPr>
        <w:t>Regulatory Agencies</w:t>
      </w:r>
      <w:r>
        <w:rPr>
          <w:rFonts w:ascii="Arial" w:cs="Arial" w:eastAsia="Arial" w:hAnsi="Arial"/>
          <w:sz w:val="17"/>
          <w:szCs w:val="17"/>
          <w:color w:val="auto"/>
        </w:rPr>
        <w:t>”) requiring the termination, suspension or material adverse modification of any clinical trials that are described or referred to in the Registration Statement and the Prospectus;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87" w:lineRule="exact"/>
        <w:rPr>
          <w:rFonts w:ascii="Arial" w:cs="Arial" w:eastAsia="Arial" w:hAnsi="Arial"/>
          <w:sz w:val="17"/>
          <w:szCs w:val="17"/>
          <w:color w:val="auto"/>
        </w:rPr>
      </w:pPr>
    </w:p>
    <w:p>
      <w:pPr>
        <w:ind w:right="100" w:firstLine="656"/>
        <w:spacing w:after="0" w:line="279" w:lineRule="auto"/>
        <w:tabs>
          <w:tab w:leader="none" w:pos="1299"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Compliance with Health Care Laws.</w:t>
      </w:r>
      <w:r>
        <w:rPr>
          <w:rFonts w:ascii="Arial" w:cs="Arial" w:eastAsia="Arial" w:hAnsi="Arial"/>
          <w:sz w:val="17"/>
          <w:szCs w:val="17"/>
          <w:color w:val="auto"/>
        </w:rPr>
        <w:t xml:space="preserve"> The Company and the Subsidiaries are, and since January 1, 2013 have been, in compliance with all applicable Health Care Laws except where failure to be in compliance would not be expected reasonably to have a Material Adverse Effect. For purposes of this Agreement, “</w:t>
      </w:r>
      <w:r>
        <w:rPr>
          <w:rFonts w:ascii="Arial" w:cs="Arial" w:eastAsia="Arial" w:hAnsi="Arial"/>
          <w:sz w:val="17"/>
          <w:szCs w:val="17"/>
          <w:b w:val="1"/>
          <w:bCs w:val="1"/>
          <w:color w:val="auto"/>
        </w:rPr>
        <w:t>Health Care Laws</w:t>
      </w:r>
      <w:r>
        <w:rPr>
          <w:rFonts w:ascii="Arial" w:cs="Arial" w:eastAsia="Arial" w:hAnsi="Arial"/>
          <w:sz w:val="17"/>
          <w:szCs w:val="17"/>
          <w:color w:val="auto"/>
        </w:rPr>
        <w:t>” means: (i) the Federal Food, Drug, and Cosmetic Act (21 U.S.C. §§ 301 et seq.), and the regulations promulgated thereunder; (ii) all applicable federal, state, local and foreign health care related fraud and abuse laws,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including, without limitation, the U.S. Anti-Kickback Statute (42 U.S.C. § 1320a-7b(b)), the U.S. Civil False Claims Act (31 U.S.C. §§ 3729 et seq.), the Federal False Statements Law (42 U.S.C. § 1320a-7b(a)), all criminal laws relating to health care fraud and abuse, including but not limited to 18 U.S.C. §§ 286 and 287, and the health care fraud criminal provisions under the U.S. Health Insurance Portability and Accountability Act of 1996 (“</w:t>
      </w:r>
      <w:r>
        <w:rPr>
          <w:rFonts w:ascii="Arial" w:cs="Arial" w:eastAsia="Arial" w:hAnsi="Arial"/>
          <w:sz w:val="16"/>
          <w:szCs w:val="16"/>
          <w:b w:val="1"/>
          <w:bCs w:val="1"/>
          <w:color w:val="auto"/>
        </w:rPr>
        <w:t>HIPAA</w:t>
      </w:r>
      <w:r>
        <w:rPr>
          <w:rFonts w:ascii="Arial" w:cs="Arial" w:eastAsia="Arial" w:hAnsi="Arial"/>
          <w:sz w:val="16"/>
          <w:szCs w:val="16"/>
          <w:color w:val="auto"/>
        </w:rPr>
        <w:t>”) (42 U.S.C.</w:t>
      </w:r>
    </w:p>
    <w:p>
      <w:pPr>
        <w:ind w:right="180" w:firstLine="8"/>
        <w:spacing w:after="0" w:line="281" w:lineRule="auto"/>
        <w:tabs>
          <w:tab w:leader="none" w:pos="225" w:val="left"/>
        </w:tabs>
        <w:numPr>
          <w:ilvl w:val="0"/>
          <w:numId w:val="28"/>
        </w:numPr>
        <w:rPr>
          <w:rFonts w:ascii="Arial" w:cs="Arial" w:eastAsia="Arial" w:hAnsi="Arial"/>
          <w:sz w:val="16"/>
          <w:szCs w:val="16"/>
          <w:color w:val="auto"/>
        </w:rPr>
      </w:pPr>
      <w:r>
        <w:rPr>
          <w:rFonts w:ascii="Arial" w:cs="Arial" w:eastAsia="Arial" w:hAnsi="Arial"/>
          <w:sz w:val="16"/>
          <w:szCs w:val="16"/>
          <w:color w:val="auto"/>
        </w:rPr>
        <w:t>1320d et seq.), the Civil Monetary Penalties Law (42 U.S.C. § 1320a-7a), the exclusion laws (42 U.S.C. § 1320a-7), the Medicare statute (Title XVIII of the Social Security Act), and the Medicaid statute (Title XIX of the Social Security Act) and the regulations promulgated pursuant to such statutes;</w:t>
      </w:r>
    </w:p>
    <w:p>
      <w:pPr>
        <w:spacing w:after="0" w:line="1" w:lineRule="exact"/>
        <w:rPr>
          <w:rFonts w:ascii="Arial" w:cs="Arial" w:eastAsia="Arial" w:hAnsi="Arial"/>
          <w:sz w:val="16"/>
          <w:szCs w:val="16"/>
          <w:color w:val="auto"/>
        </w:rPr>
      </w:pPr>
    </w:p>
    <w:p>
      <w:pPr>
        <w:spacing w:after="0" w:line="284" w:lineRule="auto"/>
        <w:rPr>
          <w:rFonts w:ascii="Arial" w:cs="Arial" w:eastAsia="Arial" w:hAnsi="Arial"/>
          <w:sz w:val="16"/>
          <w:szCs w:val="16"/>
          <w:color w:val="auto"/>
        </w:rPr>
      </w:pPr>
      <w:r>
        <w:rPr>
          <w:rFonts w:ascii="Arial" w:cs="Arial" w:eastAsia="Arial" w:hAnsi="Arial"/>
          <w:sz w:val="16"/>
          <w:szCs w:val="16"/>
          <w:color w:val="auto"/>
        </w:rPr>
        <w:t>(iii) HIPAA, as amended by the Health Information Technology for Economic and Clinical Health Act (42 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 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 maintained or submitted all reports, documents, forms, notices, applications, records, claims, submissions 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 except in each case, as would not reasonably be expected to have a Material Adverse Effect.</w:t>
      </w:r>
    </w:p>
    <w:p>
      <w:pPr>
        <w:spacing w:after="0" w:line="175" w:lineRule="exact"/>
        <w:rPr>
          <w:rFonts w:ascii="Arial" w:cs="Arial" w:eastAsia="Arial" w:hAnsi="Arial"/>
          <w:sz w:val="16"/>
          <w:szCs w:val="16"/>
          <w:color w:val="auto"/>
        </w:rPr>
      </w:pPr>
    </w:p>
    <w:p>
      <w:pPr>
        <w:ind w:right="140" w:firstLine="656"/>
        <w:spacing w:after="0" w:line="272" w:lineRule="auto"/>
        <w:tabs>
          <w:tab w:leader="none" w:pos="1299"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ERISA Matters</w:t>
      </w:r>
      <w:r>
        <w:rPr>
          <w:rFonts w:ascii="Arial" w:cs="Arial" w:eastAsia="Arial" w:hAnsi="Arial"/>
          <w:sz w:val="17"/>
          <w:szCs w:val="17"/>
          <w:color w:val="auto"/>
        </w:rPr>
        <w:t>. Except for matters which would not, individually or in the aggregate, reasonably be expected to have a Material Adverse Effect, each “employee benefit plan” (within the meaning of Section 3(3) of the Employee Retirement Income Security Act of 1974, as amended, including the regulations and published interpretations thereunder (“</w:t>
      </w:r>
      <w:r>
        <w:rPr>
          <w:rFonts w:ascii="Arial" w:cs="Arial" w:eastAsia="Arial" w:hAnsi="Arial"/>
          <w:sz w:val="17"/>
          <w:szCs w:val="17"/>
          <w:b w:val="1"/>
          <w:bCs w:val="1"/>
          <w:color w:val="auto"/>
        </w:rPr>
        <w:t>ERISA</w:t>
      </w:r>
      <w:r>
        <w:rPr>
          <w:rFonts w:ascii="Arial" w:cs="Arial" w:eastAsia="Arial" w:hAnsi="Arial"/>
          <w:sz w:val="17"/>
          <w:szCs w:val="17"/>
          <w:color w:val="auto"/>
        </w:rPr>
        <w:t>”)) for which the Company or any member of its “Controlled Group” (defined as any organization that is a member of a controlled group of corporations within the meaning of Section 414 of the Code, including its subsidiaries, would have liability (each a “</w:t>
      </w:r>
      <w:r>
        <w:rPr>
          <w:rFonts w:ascii="Arial" w:cs="Arial" w:eastAsia="Arial" w:hAnsi="Arial"/>
          <w:sz w:val="17"/>
          <w:szCs w:val="17"/>
          <w:b w:val="1"/>
          <w:bCs w:val="1"/>
          <w:color w:val="auto"/>
        </w:rPr>
        <w:t>Plan</w:t>
      </w:r>
      <w:r>
        <w:rPr>
          <w:rFonts w:ascii="Arial" w:cs="Arial" w:eastAsia="Arial" w:hAnsi="Arial"/>
          <w:sz w:val="17"/>
          <w:szCs w:val="17"/>
          <w:color w:val="auto"/>
        </w:rPr>
        <w:t>”) is in compliance in all material respects with all presently applicable statutes, rules and regulations, including ERISA and the Code; (ii) with respect to each Plan subject to Title IV of ERISA (a) no “reportable event” (as defined in Section 4043 of ERISA) has occurred for which the Company or any member of its Controlled Group would have any liability; and (b) neither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80" w:gutter="0" w:footer="0" w:header="0"/>
        </w:sectPr>
      </w:pPr>
    </w:p>
    <w:bookmarkStart w:id="11" w:name="page12"/>
    <w:bookmarkEnd w:id="11"/>
    <w:p>
      <w:pPr>
        <w:ind w:right="80"/>
        <w:spacing w:after="0" w:line="257" w:lineRule="auto"/>
        <w:rPr>
          <w:sz w:val="20"/>
          <w:szCs w:val="20"/>
          <w:color w:val="auto"/>
        </w:rPr>
      </w:pPr>
      <w:r>
        <w:rPr>
          <w:rFonts w:ascii="Arial" w:cs="Arial" w:eastAsia="Arial" w:hAnsi="Arial"/>
          <w:sz w:val="18"/>
          <w:szCs w:val="18"/>
          <w:color w:val="auto"/>
        </w:rPr>
        <w:t>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reasonably be expected to cause the loss of such qualification.</w:t>
      </w:r>
    </w:p>
    <w:p>
      <w:pPr>
        <w:spacing w:after="0" w:line="188" w:lineRule="exact"/>
        <w:rPr>
          <w:sz w:val="20"/>
          <w:szCs w:val="20"/>
          <w:color w:val="auto"/>
        </w:rPr>
      </w:pPr>
    </w:p>
    <w:p>
      <w:pPr>
        <w:ind w:right="40" w:firstLine="656"/>
        <w:spacing w:after="0" w:line="259" w:lineRule="auto"/>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Common Shares are registered pursuant to Section 12(b) of the Exchange Act and are listed on the Nasdaq Global Market, and the Company has taken no action designed to, or likely to have the effect of, terminating the registration of the Common Shares under the Exchange Act or delisting the Common Shares from the Nasdaq Global Market, nor has the Company received any notification that the Commission or the Nasdaq Global Market is contemplating terminating such registration or listing.</w:t>
      </w:r>
    </w:p>
    <w:p>
      <w:pPr>
        <w:spacing w:after="0" w:line="186" w:lineRule="exact"/>
        <w:rPr>
          <w:rFonts w:ascii="Arial" w:cs="Arial" w:eastAsia="Arial" w:hAnsi="Arial"/>
          <w:sz w:val="18"/>
          <w:szCs w:val="18"/>
          <w:color w:val="auto"/>
        </w:rPr>
      </w:pPr>
    </w:p>
    <w:p>
      <w:pPr>
        <w:ind w:right="20" w:firstLine="656"/>
        <w:spacing w:after="0" w:line="255" w:lineRule="auto"/>
        <w:tabs>
          <w:tab w:leader="none" w:pos="131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Price Stabilization or Manipulation; Compliance with Regulation M</w:t>
      </w:r>
      <w:r>
        <w:rPr>
          <w:rFonts w:ascii="Arial" w:cs="Arial" w:eastAsia="Arial" w:hAnsi="Arial"/>
          <w:sz w:val="18"/>
          <w:szCs w:val="18"/>
          <w:color w:val="auto"/>
        </w:rPr>
        <w:t>. The Company has not taken, directly or indirectly, any action designed to or that might be reasonably expected to cause or result in stabilization or manipulation of the price of the Common Shares or any other “reference security” (as defined in Rule 100 of Regulation M under the 1934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Shares, whether to facilitate the sale or resale of the Shares or otherwise, and has taken no action which would directly or indirectly violate Regulation M. The Company acknowledges that the Agent may engage in passive market making transactions in the Shares on the Nasdaq Global Market in accordance with Regulation M. The Common Shares are “actively traded securities” (as defined in Regulation M).</w:t>
      </w:r>
    </w:p>
    <w:p>
      <w:pPr>
        <w:spacing w:after="0" w:line="193" w:lineRule="exact"/>
        <w:rPr>
          <w:rFonts w:ascii="Arial" w:cs="Arial" w:eastAsia="Arial" w:hAnsi="Arial"/>
          <w:sz w:val="18"/>
          <w:szCs w:val="18"/>
          <w:color w:val="auto"/>
        </w:rPr>
      </w:pPr>
    </w:p>
    <w:p>
      <w:pPr>
        <w:ind w:right="100" w:firstLine="656"/>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To the Company’s knowledge, neither the Company nor, to the Company’s knowledge, any of its Affiliates directly, or indirectly through one or more intermediaries, controls, or is controlled by, or is under common control with, or is a person associated with any member firm of FINRA.</w:t>
      </w:r>
    </w:p>
    <w:p>
      <w:pPr>
        <w:spacing w:after="0" w:line="181" w:lineRule="exact"/>
        <w:rPr>
          <w:rFonts w:ascii="Arial" w:cs="Arial" w:eastAsia="Arial" w:hAnsi="Arial"/>
          <w:sz w:val="18"/>
          <w:szCs w:val="18"/>
          <w:color w:val="auto"/>
        </w:rPr>
      </w:pPr>
    </w:p>
    <w:p>
      <w:pPr>
        <w:ind w:right="320" w:firstLine="656"/>
        <w:spacing w:after="0" w:line="264" w:lineRule="auto"/>
        <w:tabs>
          <w:tab w:leader="none" w:pos="129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as otherwise disclosed in the Registration Statement and the Prospectus, there is no broker, finder or other party that is entitled to receive from the Company any brokerage or finder’s fee or other fee or commission as a result of any transactions contemplated by this Agreement.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1"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229" w:lineRule="exact"/>
        <w:rPr>
          <w:sz w:val="20"/>
          <w:szCs w:val="20"/>
          <w:color w:val="auto"/>
        </w:rPr>
      </w:pPr>
    </w:p>
    <w:p>
      <w:pPr>
        <w:ind w:right="120" w:firstLine="656"/>
        <w:spacing w:after="0" w:line="259" w:lineRule="auto"/>
        <w:tabs>
          <w:tab w:leader="none" w:pos="12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right="20" w:firstLine="645"/>
        <w:spacing w:after="0" w:line="288" w:lineRule="auto"/>
        <w:tabs>
          <w:tab w:leader="none" w:pos="1568"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shall have been satisfied, the Company may exercise its right to request an issuance of Shares by delivering to the Agent an Issuance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 (I) the sum of</w:t>
      </w:r>
    </w:p>
    <w:p>
      <w:pPr>
        <w:ind w:left="660" w:right="40" w:hanging="4"/>
        <w:spacing w:after="0" w:line="252" w:lineRule="auto"/>
        <w:tabs>
          <w:tab w:leader="none" w:pos="9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Sales Price of the requested Issuance Amount, plus (y) the aggregate Sales Price of all Shares issued under all previous Issuance Notices effected pursuant to this Agreement, would exceed the Maximum Program Amount; and (B) prior to delivery of any Issuance Notice, the Selling Period for any previous Issuance Notice shall have expired or been terminated. An Issuance Notice shall be considered delivered on the Trading Day that it is received by e-mail to the persons so identified in writing by the Agent and confirmed by the Company by telephone (including a voicemail message to the persons so identified), with the understanding that, with adequate prior written notice, the Agent may modify the list of such persons from time to time.</w:t>
      </w:r>
    </w:p>
    <w:p>
      <w:pPr>
        <w:spacing w:after="0" w:line="194" w:lineRule="exact"/>
        <w:rPr>
          <w:rFonts w:ascii="Arial" w:cs="Arial" w:eastAsia="Arial" w:hAnsi="Arial"/>
          <w:sz w:val="18"/>
          <w:szCs w:val="18"/>
          <w:color w:val="auto"/>
        </w:rPr>
      </w:pPr>
    </w:p>
    <w:p>
      <w:pPr>
        <w:ind w:left="660" w:right="20" w:firstLine="645"/>
        <w:spacing w:after="0" w:line="297" w:lineRule="auto"/>
        <w:tabs>
          <w:tab w:leader="none" w:pos="1987"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58" w:lineRule="exact"/>
        <w:rPr>
          <w:rFonts w:ascii="Arial" w:cs="Arial" w:eastAsia="Arial" w:hAnsi="Arial"/>
          <w:sz w:val="16"/>
          <w:szCs w:val="16"/>
          <w:color w:val="auto"/>
        </w:rPr>
      </w:pPr>
    </w:p>
    <w:p>
      <w:pPr>
        <w:ind w:left="660" w:right="80" w:firstLine="645"/>
        <w:spacing w:after="0" w:line="276" w:lineRule="auto"/>
        <w:tabs>
          <w:tab w:leader="none" w:pos="1997"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Method of Offer and Sale</w:t>
      </w:r>
      <w:r>
        <w:rPr>
          <w:rFonts w:ascii="Arial" w:cs="Arial" w:eastAsia="Arial" w:hAnsi="Arial"/>
          <w:sz w:val="17"/>
          <w:szCs w:val="17"/>
          <w:color w:val="auto"/>
        </w:rPr>
        <w:t>. The Shares may be offered and sold by any method or payment permitted by law deemed to be an “at the market” offering as defined in Rule 415(a)(4) under the Securities Act, including sales made directly on the Principal Market or any other existing trading market of the Common Shares. Nothing in this Agreement shall be deemed to require either party to agree to the method of offer and sale specified in the preceding sentence, and the method of placement of any Shares by the Agent shall be at the Agent’s discretion. If expressly authorized by the Company in an Issuance Notice, Agent may also sell Shares in negotiated transactions.</w:t>
      </w:r>
    </w:p>
    <w:p>
      <w:pPr>
        <w:spacing w:after="0" w:line="172" w:lineRule="exact"/>
        <w:rPr>
          <w:rFonts w:ascii="Arial" w:cs="Arial" w:eastAsia="Arial" w:hAnsi="Arial"/>
          <w:sz w:val="17"/>
          <w:szCs w:val="17"/>
          <w:color w:val="auto"/>
        </w:rPr>
      </w:pPr>
    </w:p>
    <w:p>
      <w:pPr>
        <w:ind w:left="660" w:right="80" w:firstLine="645"/>
        <w:spacing w:after="0" w:line="277" w:lineRule="auto"/>
        <w:tabs>
          <w:tab w:leader="none" w:pos="1973"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Confirmation to the Company</w:t>
      </w:r>
      <w:r>
        <w:rPr>
          <w:rFonts w:ascii="Arial" w:cs="Arial" w:eastAsia="Arial" w:hAnsi="Arial"/>
          <w:sz w:val="18"/>
          <w:szCs w:val="18"/>
          <w:color w:val="auto"/>
        </w:rPr>
        <w:t>. If acting as sales agent hereunder, the Agent will provide written confirmation to the Company no later than the opening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12" w:name="page13"/>
    <w:bookmarkEnd w:id="12"/>
    <w:p>
      <w:pPr>
        <w:spacing w:after="0" w:line="38"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Trading Day next following the Trading Day on which it has placed Shares hereunder setting forth the number of shares sold on such Trading Day, the corresponding Sales Price and the Issuance Price payable to the Company in respect thereof.</w:t>
      </w:r>
    </w:p>
    <w:p>
      <w:pPr>
        <w:spacing w:after="0" w:line="170" w:lineRule="exact"/>
        <w:rPr>
          <w:sz w:val="20"/>
          <w:szCs w:val="20"/>
          <w:color w:val="auto"/>
        </w:rPr>
      </w:pPr>
    </w:p>
    <w:p>
      <w:pPr>
        <w:ind w:left="660" w:firstLine="645"/>
        <w:spacing w:after="0" w:line="254" w:lineRule="auto"/>
        <w:tabs>
          <w:tab w:leader="none" w:pos="201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Each issuance of Shares will be settled on the applicable Settlement Date for such issuance of Shares and, subject to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8"/>
          <w:szCs w:val="18"/>
          <w:b w:val="1"/>
          <w:bCs w:val="1"/>
          <w:color w:val="auto"/>
        </w:rPr>
        <w:t>Time of</w:t>
      </w:r>
      <w:r>
        <w:rPr>
          <w:rFonts w:ascii="Arial" w:cs="Arial" w:eastAsia="Arial" w:hAnsi="Arial"/>
          <w:sz w:val="18"/>
          <w:szCs w:val="18"/>
          <w:color w:val="auto"/>
        </w:rPr>
        <w:t xml:space="preserve"> </w:t>
      </w:r>
      <w:r>
        <w:rPr>
          <w:rFonts w:ascii="Arial" w:cs="Arial" w:eastAsia="Arial" w:hAnsi="Arial"/>
          <w:sz w:val="18"/>
          <w:szCs w:val="18"/>
          <w:b w:val="1"/>
          <w:bCs w:val="1"/>
          <w:color w:val="auto"/>
        </w:rPr>
        <w:t>Sale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660" w:right="40" w:firstLine="645"/>
        <w:spacing w:after="0" w:line="287" w:lineRule="auto"/>
        <w:tabs>
          <w:tab w:leader="none" w:pos="2018"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Selling Period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660" w:right="160" w:firstLine="645"/>
        <w:spacing w:after="0" w:line="259" w:lineRule="auto"/>
        <w:tabs>
          <w:tab w:leader="none" w:pos="202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and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6" w:lineRule="exact"/>
        <w:rPr>
          <w:rFonts w:ascii="Arial" w:cs="Arial" w:eastAsia="Arial" w:hAnsi="Arial"/>
          <w:sz w:val="18"/>
          <w:szCs w:val="18"/>
          <w:color w:val="auto"/>
        </w:rPr>
      </w:pPr>
    </w:p>
    <w:p>
      <w:pPr>
        <w:ind w:left="660" w:right="400" w:hanging="4"/>
        <w:spacing w:after="0" w:line="308" w:lineRule="auto"/>
        <w:tabs>
          <w:tab w:leader="none" w:pos="138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Material Non-Public Information.</w:t>
      </w:r>
      <w:r>
        <w:rPr>
          <w:rFonts w:ascii="Arial" w:cs="Arial" w:eastAsia="Arial" w:hAnsi="Arial"/>
          <w:sz w:val="17"/>
          <w:szCs w:val="17"/>
          <w:color w:val="auto"/>
        </w:rPr>
        <w:t xml:space="preserve"> Notwithstanding any other provision of this Agreement, the Company and the Agent agree that the Company shall not deliver any Issuance Notice to the Agent, and the Agent shall not be obligated to place any Shares,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any period in which the Company believes it is in possession of material non-public information.</w:t>
      </w:r>
    </w:p>
    <w:p>
      <w:pPr>
        <w:spacing w:after="0" w:line="225" w:lineRule="exact"/>
        <w:rPr>
          <w:sz w:val="20"/>
          <w:szCs w:val="20"/>
          <w:color w:val="auto"/>
        </w:rPr>
      </w:pPr>
    </w:p>
    <w:p>
      <w:pPr>
        <w:ind w:right="500" w:firstLine="656"/>
        <w:spacing w:after="0" w:line="264" w:lineRule="auto"/>
        <w:tabs>
          <w:tab w:leader="none" w:pos="133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181" w:lineRule="exact"/>
        <w:rPr>
          <w:rFonts w:ascii="Arial" w:cs="Arial" w:eastAsia="Arial" w:hAnsi="Arial"/>
          <w:sz w:val="18"/>
          <w:szCs w:val="18"/>
          <w:color w:val="auto"/>
        </w:rPr>
      </w:pPr>
    </w:p>
    <w:p>
      <w:pPr>
        <w:ind w:firstLine="656"/>
        <w:spacing w:after="0" w:line="285" w:lineRule="auto"/>
        <w:tabs>
          <w:tab w:leader="none" w:pos="134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“Blue Sky Survey” or memorandum and a “Canadian wrapper,” and any supplements thereto, advising the Agent of such qualifications, registrations, determinations and exemptions, (vii) the reasonable fees and disbursements of the Agent’s counsel, including the filing fees incident to, and the reasonable and disbursement fees and expenses of counsel for the Agent in connection with, FINRA review, if any, and approval of the Agent’s participation in the offering and distribution of the Shares,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(ix) the fees and expenses associated with listing the Shares on the Nasdaq Global Market. The fees and disbursements of the Agent, including but not limited to the fees and disbursements of the Agent’s counsel pursuant to subsections (vi), (vii) and (viii), above shall not exceed $50,000, in the aggregate; </w:t>
      </w:r>
      <w:r>
        <w:rPr>
          <w:rFonts w:ascii="Arial" w:cs="Arial" w:eastAsia="Arial" w:hAnsi="Arial"/>
          <w:sz w:val="16"/>
          <w:szCs w:val="16"/>
          <w:i w:val="1"/>
          <w:iCs w:val="1"/>
          <w:color w:val="auto"/>
        </w:rPr>
        <w:t>provided</w:t>
      </w:r>
      <w:r>
        <w:rPr>
          <w:rFonts w:ascii="Arial" w:cs="Arial" w:eastAsia="Arial" w:hAnsi="Arial"/>
          <w:sz w:val="16"/>
          <w:szCs w:val="16"/>
          <w:color w:val="auto"/>
        </w:rPr>
        <w:t>, that the fees and disbursements of Agent pursuant to subsections (vi) and (vii) above shall not exceed $20,000, in the aggregate.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ADDITIONAL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firstLine="656"/>
        <w:spacing w:after="0" w:line="291" w:lineRule="auto"/>
        <w:tabs>
          <w:tab w:leader="none" w:pos="1331"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w:t>
      </w:r>
    </w:p>
    <w:p>
      <w:pPr>
        <w:ind w:left="280" w:hanging="272"/>
        <w:spacing w:after="0"/>
        <w:tabs>
          <w:tab w:leader="none" w:pos="2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either (A) include in its quarterly reports on Form 10-Q and its annual reports on Form 10-K, a summary detailing, for the relevant reporting period,</w:t>
      </w:r>
    </w:p>
    <w:p>
      <w:pPr>
        <w:sectPr>
          <w:pgSz w:w="11900" w:h="16877" w:orient="portrait"/>
          <w:cols w:equalWidth="0" w:num="1">
            <w:col w:w="11420"/>
          </w:cols>
          <w:pgMar w:left="240" w:top="125" w:right="239" w:bottom="0" w:gutter="0" w:footer="0" w:header="0"/>
        </w:sectPr>
      </w:pPr>
    </w:p>
    <w:bookmarkStart w:id="13" w:name="page14"/>
    <w:bookmarkEnd w:id="13"/>
    <w:p>
      <w:pPr>
        <w:spacing w:after="0" w:line="114" w:lineRule="exact"/>
        <w:rPr>
          <w:sz w:val="20"/>
          <w:szCs w:val="20"/>
          <w:color w:val="auto"/>
        </w:rPr>
      </w:pPr>
    </w:p>
    <w:p>
      <w:pPr>
        <w:ind w:right="40" w:firstLine="8"/>
        <w:spacing w:after="0" w:line="279"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number of Shares sold through the Agent pursuant to this Agreement and (2) the net proceeds received by the Company from such sales or (B) prepare a prospectus supplement or in such other filing permitted by the Securities Act or Exchange Act (each an “</w:t>
      </w:r>
      <w:r>
        <w:rPr>
          <w:rFonts w:ascii="Arial" w:cs="Arial" w:eastAsia="Arial" w:hAnsi="Arial"/>
          <w:sz w:val="17"/>
          <w:szCs w:val="17"/>
          <w:b w:val="1"/>
          <w:bCs w:val="1"/>
          <w:color w:val="auto"/>
        </w:rPr>
        <w:t>Interim Prospectus Supplement”)</w:t>
      </w:r>
      <w:r>
        <w:rPr>
          <w:rFonts w:ascii="Arial" w:cs="Arial" w:eastAsia="Arial" w:hAnsi="Arial"/>
          <w:sz w:val="17"/>
          <w:szCs w:val="17"/>
          <w:color w:val="auto"/>
        </w:rPr>
        <w:t xml:space="preserve"> with such summary information and, at least once a quarter and subject to this </w:t>
      </w:r>
      <w:r>
        <w:rPr>
          <w:rFonts w:ascii="Arial" w:cs="Arial" w:eastAsia="Arial" w:hAnsi="Arial"/>
          <w:sz w:val="17"/>
          <w:szCs w:val="17"/>
          <w:u w:val="single" w:color="auto"/>
          <w:color w:val="auto"/>
        </w:rPr>
        <w:t>Section 4</w:t>
      </w:r>
      <w:r>
        <w:rPr>
          <w:rFonts w:ascii="Arial" w:cs="Arial" w:eastAsia="Arial" w:hAnsi="Arial"/>
          <w:sz w:val="17"/>
          <w:szCs w:val="17"/>
          <w:color w:val="auto"/>
        </w:rPr>
        <w:t>, file such Interim Prospectus Supplement pursuant to Rule 424(b) under the Securities Act (and within the time periods required by Rule 424(b) and Rule 430B under the Securities Act)).</w:t>
      </w:r>
    </w:p>
    <w:p>
      <w:pPr>
        <w:spacing w:after="0" w:line="171" w:lineRule="exact"/>
        <w:rPr>
          <w:rFonts w:ascii="Arial" w:cs="Arial" w:eastAsia="Arial" w:hAnsi="Arial"/>
          <w:sz w:val="17"/>
          <w:szCs w:val="17"/>
          <w:color w:val="auto"/>
        </w:rPr>
      </w:pPr>
    </w:p>
    <w:p>
      <w:pPr>
        <w:ind w:firstLine="656"/>
        <w:spacing w:after="0" w:line="283" w:lineRule="auto"/>
        <w:tabs>
          <w:tab w:leader="none" w:pos="1341"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Securities Act Compliance</w:t>
      </w:r>
      <w:r>
        <w:rPr>
          <w:rFonts w:ascii="Arial" w:cs="Arial" w:eastAsia="Arial" w:hAnsi="Arial"/>
          <w:sz w:val="16"/>
          <w:szCs w:val="16"/>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433 were received in a timely manner by the Commission.</w:t>
      </w:r>
    </w:p>
    <w:p>
      <w:pPr>
        <w:spacing w:after="0" w:line="210" w:lineRule="exact"/>
        <w:rPr>
          <w:rFonts w:ascii="Arial" w:cs="Arial" w:eastAsia="Arial" w:hAnsi="Arial"/>
          <w:sz w:val="16"/>
          <w:szCs w:val="16"/>
          <w:color w:val="auto"/>
        </w:rPr>
      </w:pPr>
    </w:p>
    <w:p>
      <w:pPr>
        <w:ind w:right="40" w:firstLine="656"/>
        <w:spacing w:after="0" w:line="270" w:lineRule="auto"/>
        <w:tabs>
          <w:tab w:leader="none" w:pos="1331"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Amendments and Supplements to the Prospectus and Other Securities Act Matters</w:t>
      </w:r>
      <w:r>
        <w:rPr>
          <w:rFonts w:ascii="Arial" w:cs="Arial" w:eastAsia="Arial" w:hAnsi="Arial"/>
          <w:sz w:val="17"/>
          <w:szCs w:val="17"/>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 3(b) and 3(c))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such amendment or supplement shall constitute a waiver of any of the Company’s obligations under Sections 3(b) or (c).</w:t>
      </w:r>
    </w:p>
    <w:p>
      <w:pPr>
        <w:spacing w:after="0" w:line="225" w:lineRule="exact"/>
        <w:rPr>
          <w:sz w:val="20"/>
          <w:szCs w:val="20"/>
          <w:color w:val="auto"/>
        </w:rPr>
      </w:pPr>
    </w:p>
    <w:p>
      <w:pPr>
        <w:ind w:right="100" w:firstLine="656"/>
        <w:spacing w:after="0" w:line="285" w:lineRule="auto"/>
        <w:tabs>
          <w:tab w:leader="none" w:pos="134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Agent’s Review of Proposed Amendments and Supplements</w:t>
      </w:r>
      <w:r>
        <w:rPr>
          <w:rFonts w:ascii="Arial" w:cs="Arial" w:eastAsia="Arial" w:hAnsi="Arial"/>
          <w:sz w:val="16"/>
          <w:szCs w:val="16"/>
          <w:color w:val="auto"/>
        </w:rPr>
        <w:t>. During any period in which an Issuance Notice is pending, prior to effecting any amendment or supplement to the Registration Statement (including any registration statement filed under Rule 462(b) under the Securities Act) or the Prospectus (excluding any amendment or supplement through incorporation of any report filed under the Exchange Act) that affects the offer and sale of the Shares as contemplated by this Agreement, the Company shall furnish to the Agent for review, a reasonable amount of time prior to the proposed time of filing or use thereof, a copy of each such proposed amendment or supplement, and file with the Commission within the applicable period specified in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424(b) under the Securities Act any prospectus required to be filed pursuant to such Rule.</w:t>
      </w:r>
    </w:p>
    <w:p>
      <w:pPr>
        <w:spacing w:after="0" w:line="210" w:lineRule="exact"/>
        <w:rPr>
          <w:rFonts w:ascii="Arial" w:cs="Arial" w:eastAsia="Arial" w:hAnsi="Arial"/>
          <w:sz w:val="16"/>
          <w:szCs w:val="16"/>
          <w:color w:val="auto"/>
        </w:rPr>
      </w:pPr>
    </w:p>
    <w:p>
      <w:pPr>
        <w:ind w:firstLine="656"/>
        <w:spacing w:after="0" w:line="259" w:lineRule="auto"/>
        <w:tabs>
          <w:tab w:leader="none" w:pos="133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656"/>
        <w:spacing w:after="0" w:line="268" w:lineRule="auto"/>
        <w:tabs>
          <w:tab w:leader="none" w:pos="135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Free Writing Prospectuses</w:t>
      </w:r>
      <w:r>
        <w:rPr>
          <w:rFonts w:ascii="Arial" w:cs="Arial" w:eastAsia="Arial" w:hAnsi="Arial"/>
          <w:sz w:val="17"/>
          <w:szCs w:val="17"/>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the Company shall furnish to the Agent for review, a reasonable amount of time prior to the proposed time of filing or use thereof, a copy of such proposed amended or supplemented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free writing prospectus and the Company shall not file, use or refer to any such amended or supplemented free writing prospectus without the Agent’s consent.</w:t>
      </w:r>
    </w:p>
    <w:p>
      <w:pPr>
        <w:spacing w:after="0" w:line="170" w:lineRule="exact"/>
        <w:rPr>
          <w:sz w:val="20"/>
          <w:szCs w:val="20"/>
          <w:color w:val="auto"/>
        </w:rPr>
      </w:pPr>
    </w:p>
    <w:p>
      <w:pPr>
        <w:jc w:val="both"/>
        <w:ind w:right="40" w:firstLine="656"/>
        <w:spacing w:after="0" w:line="264" w:lineRule="auto"/>
        <w:tabs>
          <w:tab w:leader="none" w:pos="134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to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1" w:lineRule="exact"/>
        <w:rPr>
          <w:rFonts w:ascii="Arial" w:cs="Arial" w:eastAsia="Arial" w:hAnsi="Arial"/>
          <w:sz w:val="18"/>
          <w:szCs w:val="18"/>
          <w:color w:val="auto"/>
        </w:rPr>
      </w:pPr>
    </w:p>
    <w:p>
      <w:pPr>
        <w:ind w:firstLine="656"/>
        <w:spacing w:after="0" w:line="312" w:lineRule="auto"/>
        <w:tabs>
          <w:tab w:leader="none" w:pos="134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w:t>
      </w:r>
    </w:p>
    <w:p>
      <w:pPr>
        <w:sectPr>
          <w:pgSz w:w="11900" w:h="16952" w:orient="portrait"/>
          <w:cols w:equalWidth="0" w:num="1">
            <w:col w:w="11420"/>
          </w:cols>
          <w:pgMar w:left="240" w:top="125" w:right="239" w:bottom="0" w:gutter="0" w:footer="0" w:header="0"/>
        </w:sectPr>
      </w:pPr>
    </w:p>
    <w:bookmarkStart w:id="14" w:name="page15"/>
    <w:bookmarkEnd w:id="14"/>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Selling Period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during such same period the Agent is required to deliver a prospectus in respect of transactions in the Shares, the Company shall promptly prepare and file with the Commission such an amendment or supplement.</w:t>
      </w:r>
    </w:p>
    <w:p>
      <w:pPr>
        <w:spacing w:after="0" w:line="175" w:lineRule="exact"/>
        <w:rPr>
          <w:sz w:val="20"/>
          <w:szCs w:val="20"/>
          <w:color w:val="auto"/>
        </w:rPr>
      </w:pPr>
    </w:p>
    <w:p>
      <w:pPr>
        <w:ind w:right="60" w:firstLine="656"/>
        <w:spacing w:after="0" w:line="272" w:lineRule="auto"/>
        <w:tabs>
          <w:tab w:leader="none" w:pos="134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of any order suspending such qualification, registration or exemption, the Company shall use its best efforts to obtain the withdrawal thereof as soon as practicable.</w:t>
      </w:r>
    </w:p>
    <w:p>
      <w:pPr>
        <w:spacing w:after="0" w:line="170" w:lineRule="exact"/>
        <w:rPr>
          <w:sz w:val="20"/>
          <w:szCs w:val="20"/>
          <w:color w:val="auto"/>
        </w:rPr>
      </w:pPr>
    </w:p>
    <w:p>
      <w:pPr>
        <w:jc w:val="both"/>
        <w:ind w:right="400" w:firstLine="656"/>
        <w:spacing w:after="0" w:line="312" w:lineRule="auto"/>
        <w:tabs>
          <w:tab w:leader="none" w:pos="134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(12) months beginning with the first fiscal quarter of the Company occurring after the date of this Agreement which shall satisfy the provisions of Section 11(a) of the Securities Act and Rule 158 under the Securities Act.</w:t>
      </w:r>
    </w:p>
    <w:p>
      <w:pPr>
        <w:spacing w:after="0" w:line="146" w:lineRule="exact"/>
        <w:rPr>
          <w:rFonts w:ascii="Arial" w:cs="Arial" w:eastAsia="Arial" w:hAnsi="Arial"/>
          <w:sz w:val="16"/>
          <w:szCs w:val="16"/>
          <w:color w:val="auto"/>
        </w:rPr>
      </w:pPr>
    </w:p>
    <w:p>
      <w:pPr>
        <w:ind w:right="400" w:firstLine="656"/>
        <w:spacing w:after="0" w:line="264" w:lineRule="auto"/>
        <w:tabs>
          <w:tab w:leader="none" w:pos="134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Nasdaq Global Market and (b) the Company will reserve and keep available at all times, free of preemptive rights, Shares for the purpose of enabling the Company to satisfy its obligations pursuant to an outstanding Issuance Notice under this Agreement.</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ind w:right="180" w:firstLine="656"/>
        <w:spacing w:after="0" w:line="259" w:lineRule="auto"/>
        <w:tabs>
          <w:tab w:leader="none" w:pos="134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ind w:firstLine="656"/>
        <w:spacing w:after="0" w:line="291" w:lineRule="auto"/>
        <w:tabs>
          <w:tab w:leader="none" w:pos="134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67" w:lineRule="exact"/>
        <w:rPr>
          <w:rFonts w:ascii="Arial" w:cs="Arial" w:eastAsia="Arial" w:hAnsi="Arial"/>
          <w:sz w:val="16"/>
          <w:szCs w:val="16"/>
          <w:color w:val="auto"/>
        </w:rPr>
      </w:pPr>
    </w:p>
    <w:p>
      <w:pPr>
        <w:ind w:right="460" w:firstLine="656"/>
        <w:spacing w:after="0" w:line="277" w:lineRule="auto"/>
        <w:tabs>
          <w:tab w:leader="none" w:pos="134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170" w:lineRule="exact"/>
        <w:rPr>
          <w:rFonts w:ascii="Arial" w:cs="Arial" w:eastAsia="Arial" w:hAnsi="Arial"/>
          <w:sz w:val="18"/>
          <w:szCs w:val="18"/>
          <w:color w:val="auto"/>
        </w:rPr>
      </w:pPr>
    </w:p>
    <w:p>
      <w:pPr>
        <w:jc w:val="both"/>
        <w:ind w:right="80" w:firstLine="1305"/>
        <w:spacing w:after="0" w:line="312" w:lineRule="auto"/>
        <w:tabs>
          <w:tab w:leader="none" w:pos="1996"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6"/>
          <w:szCs w:val="16"/>
          <w:u w:val="single" w:color="auto"/>
          <w:color w:val="auto"/>
        </w:rPr>
        <w:t>Section 4(a)(ii)(B)</w:t>
      </w:r>
      <w:r>
        <w:rPr>
          <w:rFonts w:ascii="Arial" w:cs="Arial" w:eastAsia="Arial" w:hAnsi="Arial"/>
          <w:sz w:val="16"/>
          <w:szCs w:val="16"/>
          <w:color w:val="auto"/>
        </w:rPr>
        <w:t>), by means of a post-effective amendment, sticker or supplement, but not by means of incorporation of documents by reference into the Registration Statement or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64" w:lineRule="auto"/>
        <w:tabs>
          <w:tab w:leader="none" w:pos="198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1" w:lineRule="exact"/>
        <w:rPr>
          <w:rFonts w:ascii="Arial" w:cs="Arial" w:eastAsia="Arial" w:hAnsi="Arial"/>
          <w:sz w:val="18"/>
          <w:szCs w:val="18"/>
          <w:color w:val="auto"/>
        </w:rPr>
      </w:pPr>
    </w:p>
    <w:p>
      <w:pPr>
        <w:ind w:right="20" w:firstLine="1305"/>
        <w:spacing w:after="0" w:line="289" w:lineRule="auto"/>
        <w:tabs>
          <w:tab w:leader="none" w:pos="198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 (any such event, a “</w:t>
      </w:r>
      <w:r>
        <w:rPr>
          <w:rFonts w:ascii="Arial" w:cs="Arial" w:eastAsia="Arial" w:hAnsi="Arial"/>
          <w:sz w:val="16"/>
          <w:szCs w:val="16"/>
          <w:b w:val="1"/>
          <w:bCs w:val="1"/>
          <w:color w:val="auto"/>
        </w:rPr>
        <w:t>Triggering Event Date</w:t>
      </w:r>
      <w:r>
        <w:rPr>
          <w:rFonts w:ascii="Arial" w:cs="Arial" w:eastAsia="Arial" w:hAnsi="Arial"/>
          <w:sz w:val="16"/>
          <w:szCs w:val="16"/>
          <w:color w:val="auto"/>
        </w:rPr>
        <w:t>”),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including those required to be performed pursuant to</w:t>
      </w:r>
    </w:p>
    <w:p>
      <w:pPr>
        <w:sectPr>
          <w:pgSz w:w="11900" w:h="16932" w:orient="portrait"/>
          <w:cols w:equalWidth="0" w:num="1">
            <w:col w:w="11420"/>
          </w:cols>
          <w:pgMar w:left="240" w:top="125" w:right="239" w:bottom="0" w:gutter="0" w:footer="0" w:header="0"/>
        </w:sectPr>
      </w:pPr>
    </w:p>
    <w:bookmarkStart w:id="15" w:name="page16"/>
    <w:bookmarkEnd w:id="15"/>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hereof, and (C) containing any other certification that the Agent shall reasonably request. The requirement to provide a certificate under this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shall be automatically waived with no further action of the Agent or Company for any Triggering Event Date occurring at a time when no Issuance Notice is pending or a suspension is in effect, which automatic waiver shall continue until the date the Company delivers instructions for the sale of Shares hereunder (which for such calendar quarter shall be considered a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dated as of the date that the instructions for the sale of Shares are issued.</w:t>
      </w:r>
    </w:p>
    <w:p>
      <w:pPr>
        <w:spacing w:after="0" w:line="192" w:lineRule="exact"/>
        <w:rPr>
          <w:sz w:val="20"/>
          <w:szCs w:val="20"/>
          <w:color w:val="auto"/>
        </w:rPr>
      </w:pPr>
    </w:p>
    <w:p>
      <w:pPr>
        <w:ind w:firstLine="656"/>
        <w:spacing w:after="0" w:line="270" w:lineRule="auto"/>
        <w:tabs>
          <w:tab w:leader="none" w:pos="1341"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Legal Opinions.</w:t>
      </w:r>
      <w:r>
        <w:rPr>
          <w:rFonts w:ascii="Arial" w:cs="Arial" w:eastAsia="Arial" w:hAnsi="Arial"/>
          <w:sz w:val="17"/>
          <w:szCs w:val="17"/>
          <w:color w:val="auto"/>
        </w:rPr>
        <w:t xml:space="preserve"> On or prior to the date of the first Issuance Notice and within five (5) Trading Days of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to be furnished, at the request of the Agent, a negative assurances letter and the written legal opinion of Latham &amp; Watkins LLP, counsel to the Company, or other counsel reasonably satisfactory to the Agent,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be required to furnish no more than one opinion hereunder per calendar quarter.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such prior opinion shall be deemed to relate to the Registration Statement and the Prospectus as amended or supplemented as of such Triggering Event Date).</w:t>
      </w:r>
    </w:p>
    <w:p>
      <w:pPr>
        <w:spacing w:after="0" w:line="176" w:lineRule="exact"/>
        <w:rPr>
          <w:sz w:val="20"/>
          <w:szCs w:val="20"/>
          <w:color w:val="auto"/>
        </w:rPr>
      </w:pPr>
    </w:p>
    <w:p>
      <w:pPr>
        <w:ind w:right="60" w:firstLine="656"/>
        <w:spacing w:after="0" w:line="289" w:lineRule="auto"/>
        <w:tabs>
          <w:tab w:leader="none" w:pos="1341"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Comfort Letter</w:t>
      </w:r>
      <w:r>
        <w:rPr>
          <w:rFonts w:ascii="Arial" w:cs="Arial" w:eastAsia="Arial" w:hAnsi="Arial"/>
          <w:sz w:val="16"/>
          <w:szCs w:val="16"/>
          <w:color w:val="auto"/>
        </w:rPr>
        <w:t xml:space="preserve">. On or prior to the date of the first Issuance Notice and within five (5) Trading Days of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customary for registered equity offerings and reasonably satisfactory to the Agent and substantially similar in form and scope to comfort letters previously provided by the Company’s auditors to underwriters in connection with registered equity offerings;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such comfort letter will only be required on the Triggering Event Date specified to the extent that it contains financial statements filed with the Commission under the Exchange Act and incorporated or deemed to be incorporated by reference into a Prospectus. The Company shall be required to furnish no more than one comfort letter hereunder per calendar quarter.</w:t>
      </w:r>
    </w:p>
    <w:p>
      <w:pPr>
        <w:spacing w:after="0" w:line="166" w:lineRule="exact"/>
        <w:rPr>
          <w:rFonts w:ascii="Arial" w:cs="Arial" w:eastAsia="Arial" w:hAnsi="Arial"/>
          <w:sz w:val="16"/>
          <w:szCs w:val="16"/>
          <w:color w:val="auto"/>
        </w:rPr>
      </w:pPr>
    </w:p>
    <w:p>
      <w:pPr>
        <w:ind w:right="100" w:firstLine="656"/>
        <w:spacing w:after="0" w:line="284" w:lineRule="auto"/>
        <w:tabs>
          <w:tab w:leader="none" w:pos="1368"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Secretary’s Certificate</w:t>
      </w:r>
      <w:r>
        <w:rPr>
          <w:rFonts w:ascii="Arial" w:cs="Arial" w:eastAsia="Arial" w:hAnsi="Arial"/>
          <w:sz w:val="16"/>
          <w:szCs w:val="16"/>
          <w:color w:val="auto"/>
        </w:rPr>
        <w:t>. (A) On or prior to the date of the first Issuance Notice,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4" w:lineRule="exact"/>
        <w:rPr>
          <w:rFonts w:ascii="Arial" w:cs="Arial" w:eastAsia="Arial" w:hAnsi="Arial"/>
          <w:sz w:val="16"/>
          <w:szCs w:val="16"/>
          <w:color w:val="auto"/>
        </w:rPr>
      </w:pPr>
    </w:p>
    <w:p>
      <w:pPr>
        <w:ind w:right="60" w:firstLine="8"/>
        <w:spacing w:after="0" w:line="271" w:lineRule="auto"/>
        <w:tabs>
          <w:tab w:leader="none" w:pos="2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On or prior to the date of the first Issuance Notice and within five (5) Trading Days of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furnish the Agent, at the request of the Agent, a certificate executed by the Secretary of the Company, signing in such capacity, dated the date of delivery certifying certain intellectual property matters in the form previously agreed between the Company and Agent;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Company shall be required to furnish no more than one such certificate hereunder in any twelve (12) month period.</w:t>
      </w:r>
    </w:p>
    <w:p>
      <w:pPr>
        <w:spacing w:after="0" w:line="178" w:lineRule="exact"/>
        <w:rPr>
          <w:rFonts w:ascii="Arial" w:cs="Arial" w:eastAsia="Arial" w:hAnsi="Arial"/>
          <w:sz w:val="17"/>
          <w:szCs w:val="17"/>
          <w:color w:val="auto"/>
        </w:rPr>
      </w:pPr>
    </w:p>
    <w:p>
      <w:pPr>
        <w:ind w:right="20" w:firstLine="656"/>
        <w:spacing w:after="0" w:line="342" w:lineRule="auto"/>
        <w:tabs>
          <w:tab w:leader="none" w:pos="1378"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Agent’s Own Account; Clients’ Account</w:t>
      </w:r>
      <w:r>
        <w:rPr>
          <w:rFonts w:ascii="Arial" w:cs="Arial" w:eastAsia="Arial" w:hAnsi="Arial"/>
          <w:sz w:val="16"/>
          <w:szCs w:val="16"/>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23" w:lineRule="exact"/>
        <w:rPr>
          <w:rFonts w:ascii="Arial" w:cs="Arial" w:eastAsia="Arial" w:hAnsi="Arial"/>
          <w:sz w:val="16"/>
          <w:szCs w:val="16"/>
          <w:color w:val="auto"/>
        </w:rPr>
      </w:pPr>
    </w:p>
    <w:p>
      <w:pPr>
        <w:ind w:right="100" w:firstLine="656"/>
        <w:spacing w:after="0" w:line="342" w:lineRule="auto"/>
        <w:tabs>
          <w:tab w:leader="none" w:pos="1358"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23" w:lineRule="exact"/>
        <w:rPr>
          <w:rFonts w:ascii="Arial" w:cs="Arial" w:eastAsia="Arial" w:hAnsi="Arial"/>
          <w:sz w:val="16"/>
          <w:szCs w:val="16"/>
          <w:color w:val="auto"/>
        </w:rPr>
      </w:pPr>
    </w:p>
    <w:p>
      <w:pPr>
        <w:ind w:right="80" w:firstLine="656"/>
        <w:spacing w:after="0" w:line="277" w:lineRule="auto"/>
        <w:tabs>
          <w:tab w:leader="none" w:pos="135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sale or resale of the Shares or otherwise, and the Company will, and shall use commercially reasonable efforts to cause each of its affiliates to, comply with all applicable provisions of Regulation M. If the limitations of Rule 102 of Regulation M (“</w:t>
      </w:r>
      <w:r>
        <w:rPr>
          <w:rFonts w:ascii="Arial" w:cs="Arial" w:eastAsia="Arial" w:hAnsi="Arial"/>
          <w:sz w:val="17"/>
          <w:szCs w:val="17"/>
          <w:b w:val="1"/>
          <w:bCs w:val="1"/>
          <w:color w:val="auto"/>
        </w:rPr>
        <w:t>Rule 102</w:t>
      </w:r>
      <w:r>
        <w:rPr>
          <w:rFonts w:ascii="Arial" w:cs="Arial" w:eastAsia="Arial" w:hAnsi="Arial"/>
          <w:sz w:val="17"/>
          <w:szCs w:val="17"/>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w:t>
      </w:r>
    </w:p>
    <w:p>
      <w:pPr>
        <w:spacing w:after="0" w:line="173" w:lineRule="exact"/>
        <w:rPr>
          <w:sz w:val="20"/>
          <w:szCs w:val="20"/>
          <w:color w:val="auto"/>
        </w:rPr>
      </w:pPr>
    </w:p>
    <w:p>
      <w:pPr>
        <w:ind w:firstLine="656"/>
        <w:spacing w:after="0" w:line="284" w:lineRule="auto"/>
        <w:tabs>
          <w:tab w:leader="none" w:pos="1353"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date on which any Issuance Notice is delivered to the Agent hereunder and ending on the earlier of (x) the Settlement Date with respect to Shares sold pursuant to such Issuance Notice and (y) the suspension by the Company of such Selling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restriction will not apply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whether now in effect or hereafter implemented,</w:t>
      </w:r>
    </w:p>
    <w:p>
      <w:pPr>
        <w:spacing w:after="0" w:line="1" w:lineRule="exact"/>
        <w:rPr>
          <w:rFonts w:ascii="Arial" w:cs="Arial" w:eastAsia="Arial" w:hAnsi="Arial"/>
          <w:sz w:val="16"/>
          <w:szCs w:val="16"/>
          <w:color w:val="auto"/>
        </w:rPr>
      </w:pPr>
    </w:p>
    <w:p>
      <w:pPr>
        <w:ind w:right="240" w:firstLine="8"/>
        <w:spacing w:after="0" w:line="323" w:lineRule="auto"/>
        <w:tabs>
          <w:tab w:leader="none" w:pos="26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issuance or sale of Common Shares pursuant to any dividend reinvestment plan that the Company may adopt from time to time, (iii) issuance or sale of Common Shares issuable upon exchange, conversion or redemption of securities or the exercise or vesting of warrants, options or other rights in effect or</w:t>
      </w:r>
    </w:p>
    <w:p>
      <w:pPr>
        <w:sectPr>
          <w:pgSz w:w="11900" w:h="16960" w:orient="portrait"/>
          <w:cols w:equalWidth="0" w:num="1">
            <w:col w:w="11400"/>
          </w:cols>
          <w:pgMar w:left="240" w:top="125" w:right="259" w:bottom="0" w:gutter="0" w:footer="0" w:header="0"/>
        </w:sectPr>
      </w:pPr>
    </w:p>
    <w:bookmarkStart w:id="16" w:name="page17"/>
    <w:bookmarkEnd w:id="16"/>
    <w:p>
      <w:pPr>
        <w:spacing w:after="0" w:line="10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outstanding or disclosed in filings by the Company available on IDEA or otherwise in writing to the Agent, (iv) issuance or sale of Common Shares or securities convertible into or exchangeable for Common Shares in connection with mergers, acquisitions, other business combinations, joint ventures, collaborations or strategic arrangements occurring after the date of this Agreement, (v) modification of any outstanding options, warrants of any rights to purchase or acquire Common Shares, (vi) issuance or sale of Common Shares, or securities convertible into or exercisable for Common Shares, offered and sold in a privately negotiated transaction to vendors, customers, strategic partners or potential strategic partners conducted in a manner so as not to be integrated with the offering of Common Shares hereby and (vii) for the avoidance of doubt, non-public discussions or negotiations with respect to any of the foregoing.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229" w:lineRule="exact"/>
        <w:rPr>
          <w:sz w:val="20"/>
          <w:szCs w:val="20"/>
          <w:color w:val="auto"/>
        </w:rPr>
      </w:pPr>
    </w:p>
    <w:p>
      <w:pPr>
        <w:ind w:right="80" w:firstLine="656"/>
        <w:spacing w:after="0" w:line="259" w:lineRule="auto"/>
        <w:tabs>
          <w:tab w:leader="none" w:pos="133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Conditions Precedent to the Right of the Company to Deliver an Issuance Notice and the Obligation of the Agent to Sell Shares During the Selling Period(s)</w:t>
      </w:r>
      <w:r>
        <w:rPr>
          <w:rFonts w:ascii="Arial" w:cs="Arial" w:eastAsia="Arial" w:hAnsi="Arial"/>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Selling Period is subject to the satisfaction, on each Trading Day during the Selling Period, of each of the following conditions:</w:t>
      </w:r>
    </w:p>
    <w:p>
      <w:pPr>
        <w:spacing w:after="0" w:line="186" w:lineRule="exact"/>
        <w:rPr>
          <w:rFonts w:ascii="Arial" w:cs="Arial" w:eastAsia="Arial" w:hAnsi="Arial"/>
          <w:sz w:val="18"/>
          <w:szCs w:val="18"/>
          <w:color w:val="auto"/>
        </w:rPr>
      </w:pPr>
    </w:p>
    <w:p>
      <w:pPr>
        <w:ind w:left="660" w:right="180" w:firstLine="645"/>
        <w:spacing w:after="0" w:line="264" w:lineRule="auto"/>
        <w:tabs>
          <w:tab w:leader="none" w:pos="201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Accuracy of the Company’s Representations and Warranties; Performance by the Company</w:t>
      </w:r>
      <w:r>
        <w:rPr>
          <w:rFonts w:ascii="Arial" w:cs="Arial" w:eastAsia="Arial" w:hAnsi="Arial"/>
          <w:sz w:val="18"/>
          <w:szCs w:val="18"/>
          <w:color w:val="auto"/>
        </w:rPr>
        <w:t xml:space="preserve">. The Company shall have 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The Company shall have performed,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308" w:lineRule="auto"/>
        <w:rPr>
          <w:sz w:val="20"/>
          <w:szCs w:val="20"/>
          <w:color w:val="auto"/>
        </w:rPr>
      </w:pPr>
      <w:r>
        <w:rPr>
          <w:rFonts w:ascii="Arial" w:cs="Arial" w:eastAsia="Arial" w:hAnsi="Arial"/>
          <w:sz w:val="17"/>
          <w:szCs w:val="17"/>
          <w:color w:val="auto"/>
        </w:rPr>
        <w:t xml:space="preserve">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7"/>
          <w:szCs w:val="17"/>
          <w:u w:val="single" w:color="auto"/>
          <w:color w:val="auto"/>
        </w:rPr>
        <w:t>Section 4(m)</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4(r)</w:t>
      </w:r>
      <w:r>
        <w:rPr>
          <w:rFonts w:ascii="Arial" w:cs="Arial" w:eastAsia="Arial" w:hAnsi="Arial"/>
          <w:sz w:val="17"/>
          <w:szCs w:val="17"/>
          <w:color w:val="auto"/>
        </w:rPr>
        <w:t>.</w:t>
      </w:r>
    </w:p>
    <w:p>
      <w:pPr>
        <w:spacing w:after="0" w:line="147" w:lineRule="exact"/>
        <w:rPr>
          <w:sz w:val="20"/>
          <w:szCs w:val="20"/>
          <w:color w:val="auto"/>
        </w:rPr>
      </w:pPr>
    </w:p>
    <w:p>
      <w:pPr>
        <w:ind w:left="660" w:right="100" w:firstLine="645"/>
        <w:spacing w:after="0" w:line="257" w:lineRule="auto"/>
        <w:tabs>
          <w:tab w:leader="none" w:pos="202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8" w:lineRule="exact"/>
        <w:rPr>
          <w:rFonts w:ascii="Arial" w:cs="Arial" w:eastAsia="Arial" w:hAnsi="Arial"/>
          <w:sz w:val="18"/>
          <w:szCs w:val="18"/>
          <w:color w:val="auto"/>
        </w:rPr>
      </w:pPr>
    </w:p>
    <w:p>
      <w:pPr>
        <w:ind w:left="660" w:firstLine="645"/>
        <w:spacing w:after="0" w:line="255" w:lineRule="auto"/>
        <w:tabs>
          <w:tab w:leader="none" w:pos="202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Material Adverse Changes</w:t>
      </w:r>
      <w:r>
        <w:rPr>
          <w:rFonts w:ascii="Arial" w:cs="Arial" w:eastAsia="Arial" w:hAnsi="Arial"/>
          <w:sz w:val="18"/>
          <w:szCs w:val="18"/>
          <w:color w:val="auto"/>
        </w:rPr>
        <w:t>. Except as disclosed in the Prospectus, (a) there shall not have occurred any Material Adverse Change that, in the judgment of the Agent, makes it impractical and inadvisable to market the Shares on the terms and in the manner contemplated in the Prospectus;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Rule 436(g)(2) under the Securities Act.</w:t>
      </w:r>
    </w:p>
    <w:p>
      <w:pPr>
        <w:spacing w:after="0" w:line="193" w:lineRule="exact"/>
        <w:rPr>
          <w:rFonts w:ascii="Arial" w:cs="Arial" w:eastAsia="Arial" w:hAnsi="Arial"/>
          <w:sz w:val="18"/>
          <w:szCs w:val="18"/>
          <w:color w:val="auto"/>
        </w:rPr>
      </w:pPr>
    </w:p>
    <w:p>
      <w:pPr>
        <w:ind w:left="660" w:firstLine="645"/>
        <w:spacing w:after="0" w:line="269" w:lineRule="auto"/>
        <w:tabs>
          <w:tab w:leader="none" w:pos="2018"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FINRA; (ii) a general banking moratorium shall have been declared by U.S.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any such case, in the judgment of the Agent is material and adverse and makes it impractical and inadvisable to market the Shares in the manner and on the terms described in the Prospectus or to enforce contracts for the sale of securities;</w:t>
      </w:r>
    </w:p>
    <w:p>
      <w:pPr>
        <w:spacing w:after="0" w:line="179" w:lineRule="exact"/>
        <w:rPr>
          <w:rFonts w:ascii="Arial" w:cs="Arial" w:eastAsia="Arial" w:hAnsi="Arial"/>
          <w:sz w:val="17"/>
          <w:szCs w:val="17"/>
          <w:color w:val="auto"/>
        </w:rPr>
      </w:pPr>
    </w:p>
    <w:p>
      <w:pPr>
        <w:ind w:left="660" w:right="220" w:firstLine="645"/>
        <w:spacing w:after="0" w:line="264" w:lineRule="auto"/>
        <w:tabs>
          <w:tab w:leader="none" w:pos="201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Documents Required to be Delivered on each Issuance Notice Date</w:t>
      </w:r>
      <w:r>
        <w:rPr>
          <w:rFonts w:ascii="Arial" w:cs="Arial" w:eastAsia="Arial" w:hAnsi="Arial"/>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1" w:lineRule="exact"/>
        <w:rPr>
          <w:sz w:val="20"/>
          <w:szCs w:val="20"/>
          <w:color w:val="auto"/>
        </w:rPr>
      </w:pPr>
    </w:p>
    <w:p>
      <w:pPr>
        <w:ind w:left="660" w:right="80" w:firstLine="645"/>
        <w:spacing w:after="0" w:line="259" w:lineRule="auto"/>
        <w:tabs>
          <w:tab w:leader="none" w:pos="201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INDEMNIFICATION AND CONTRIBUTION</w:t>
      </w:r>
    </w:p>
    <w:p>
      <w:pPr>
        <w:spacing w:after="0" w:line="229" w:lineRule="exact"/>
        <w:rPr>
          <w:sz w:val="20"/>
          <w:szCs w:val="20"/>
          <w:color w:val="auto"/>
        </w:rPr>
      </w:pPr>
    </w:p>
    <w:p>
      <w:pPr>
        <w:ind w:right="20" w:firstLine="656"/>
        <w:spacing w:after="0" w:line="297" w:lineRule="auto"/>
        <w:tabs>
          <w:tab w:leader="none" w:pos="1331"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w:t>
      </w:r>
    </w:p>
    <w:p>
      <w:pPr>
        <w:sectPr>
          <w:pgSz w:w="11900" w:h="16941" w:orient="portrait"/>
          <w:cols w:equalWidth="0" w:num="1">
            <w:col w:w="11420"/>
          </w:cols>
          <w:pgMar w:left="240" w:top="125" w:right="239" w:bottom="0" w:gutter="0" w:footer="0" w:header="0"/>
        </w:sectPr>
      </w:pPr>
    </w:p>
    <w:bookmarkStart w:id="17" w:name="page18"/>
    <w:bookmarkEnd w:id="17"/>
    <w:p>
      <w:pPr>
        <w:spacing w:after="0" w:line="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85" w:lineRule="auto"/>
        <w:tabs>
          <w:tab w:leader="none" w:pos="1341"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final paragraph under the caption “Plan of Distribution” in the Prospectus, and to reimburse the Company and each such director, officer and controlling person for any and all expenses (including the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 or the Company may otherwise have.</w:t>
      </w:r>
    </w:p>
    <w:p>
      <w:pPr>
        <w:spacing w:after="0" w:line="170" w:lineRule="exact"/>
        <w:rPr>
          <w:rFonts w:ascii="Arial" w:cs="Arial" w:eastAsia="Arial" w:hAnsi="Arial"/>
          <w:sz w:val="16"/>
          <w:szCs w:val="16"/>
          <w:color w:val="auto"/>
        </w:rPr>
      </w:pPr>
    </w:p>
    <w:p>
      <w:pPr>
        <w:ind w:right="20" w:firstLine="656"/>
        <w:spacing w:after="0" w:line="253" w:lineRule="auto"/>
        <w:tabs>
          <w:tab w:leader="none" w:pos="133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Notifications and Other Indemnification Procedures</w:t>
      </w:r>
      <w:r>
        <w:rPr>
          <w:rFonts w:ascii="Arial" w:cs="Arial" w:eastAsia="Arial" w:hAnsi="Arial"/>
          <w:sz w:val="18"/>
          <w:szCs w:val="18"/>
          <w:color w:val="auto"/>
        </w:rPr>
        <w:t xml:space="preserve">. Promptly after receipt by an indemnified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notice of the commencement of any action, such indemnified party will, if a claim in respect thereof is to be made against an indemnifying party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8"/>
          <w:szCs w:val="18"/>
          <w:i w:val="1"/>
          <w:iCs w:val="1"/>
          <w:color w:val="auto"/>
        </w:rPr>
        <w:t>provided, however</w:t>
      </w:r>
      <w:r>
        <w:rPr>
          <w:rFonts w:ascii="Arial" w:cs="Arial" w:eastAsia="Arial" w:hAnsi="Arial"/>
          <w:sz w:val="18"/>
          <w:szCs w:val="18"/>
          <w:color w:val="auto"/>
        </w:rPr>
        <w:t>, if the defendants in any such action include both the indemnified party and the indemnifying party and the indemnified party shall have reasonably concluded that a conflict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reasonable and documented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LLC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or the Company (in the case of counsel for the indemnified parties referred to in Section 6(b)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72" w:lineRule="exact"/>
        <w:rPr>
          <w:sz w:val="20"/>
          <w:szCs w:val="20"/>
          <w:color w:val="auto"/>
        </w:rPr>
      </w:pPr>
    </w:p>
    <w:p>
      <w:pPr>
        <w:ind w:right="80" w:firstLine="656"/>
        <w:spacing w:after="0" w:line="291" w:lineRule="auto"/>
        <w:tabs>
          <w:tab w:leader="none" w:pos="134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w:t>
      </w:r>
    </w:p>
    <w:p>
      <w:pPr>
        <w:sectPr>
          <w:pgSz w:w="11900" w:h="16932" w:orient="portrait"/>
          <w:cols w:equalWidth="0" w:num="1">
            <w:col w:w="11400"/>
          </w:cols>
          <w:pgMar w:left="240" w:top="125" w:right="259" w:bottom="0" w:gutter="0" w:footer="0" w:header="0"/>
        </w:sectPr>
      </w:pPr>
    </w:p>
    <w:bookmarkStart w:id="18" w:name="page19"/>
    <w:bookmarkEnd w:id="18"/>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7" w:lineRule="exact"/>
        <w:rPr>
          <w:sz w:val="20"/>
          <w:szCs w:val="20"/>
          <w:color w:val="auto"/>
        </w:rPr>
      </w:pPr>
    </w:p>
    <w:p>
      <w:pPr>
        <w:jc w:val="both"/>
        <w:ind w:right="240" w:firstLine="656"/>
        <w:spacing w:after="0" w:line="264" w:lineRule="auto"/>
        <w:tabs>
          <w:tab w:leader="none" w:pos="133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the indemnification provided for in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w:t>
      </w:r>
    </w:p>
    <w:p>
      <w:pPr>
        <w:ind w:firstLine="8"/>
        <w:spacing w:after="0" w:line="287" w:lineRule="auto"/>
        <w:tabs>
          <w:tab w:leader="none" w:pos="2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3"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 xml:space="preserve">The Company and the Agent agree that it would not be just and equitable if contribution pursuant to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Section 6(e)</w:t>
      </w:r>
      <w:r>
        <w:rPr>
          <w:rFonts w:ascii="Arial" w:cs="Arial" w:eastAsia="Arial" w:hAnsi="Arial"/>
          <w:sz w:val="17"/>
          <w:szCs w:val="17"/>
          <w:color w:val="auto"/>
        </w:rPr>
        <w:t>.</w:t>
      </w:r>
    </w:p>
    <w:p>
      <w:pPr>
        <w:spacing w:after="0" w:line="14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229" w:lineRule="exact"/>
        <w:rPr>
          <w:sz w:val="20"/>
          <w:szCs w:val="20"/>
          <w:color w:val="auto"/>
        </w:rPr>
      </w:pPr>
    </w:p>
    <w:p>
      <w:pPr>
        <w:ind w:right="180" w:firstLine="656"/>
        <w:spacing w:after="0" w:line="277" w:lineRule="auto"/>
        <w:tabs>
          <w:tab w:leader="none" w:pos="133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656"/>
        <w:spacing w:after="0" w:line="276" w:lineRule="auto"/>
        <w:tabs>
          <w:tab w:leader="none" w:pos="134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Termination; Survival Following Termination</w:t>
      </w:r>
      <w:r>
        <w:rPr>
          <w:rFonts w:ascii="Arial" w:cs="Arial" w:eastAsia="Arial" w:hAnsi="Arial"/>
          <w:sz w:val="17"/>
          <w:szCs w:val="17"/>
          <w:color w:val="auto"/>
        </w:rPr>
        <w:t xml:space="preserve">. (i) Either party may terminate this Agreement prior to the end of the Agency Period, by giving written notice as required by this Agreement, upon one Trading Day’s notice to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the Company terminates this Agreement after the Agent confirms to the Company any sale of Shares, the Company shall remain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(B)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8(g)</w:t>
      </w:r>
      <w:r>
        <w:rPr>
          <w:rFonts w:ascii="Arial" w:cs="Arial" w:eastAsia="Arial" w:hAnsi="Arial"/>
          <w:sz w:val="17"/>
          <w:szCs w:val="17"/>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72" w:lineRule="exact"/>
        <w:rPr>
          <w:rFonts w:ascii="Arial" w:cs="Arial" w:eastAsia="Arial" w:hAnsi="Arial"/>
          <w:sz w:val="17"/>
          <w:szCs w:val="17"/>
          <w:color w:val="auto"/>
        </w:rPr>
      </w:pPr>
    </w:p>
    <w:p>
      <w:pPr>
        <w:ind w:left="660" w:firstLine="645"/>
        <w:spacing w:after="0" w:line="257" w:lineRule="auto"/>
        <w:tabs>
          <w:tab w:leader="none" w:pos="2023"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229" w:lineRule="exact"/>
        <w:rPr>
          <w:sz w:val="20"/>
          <w:szCs w:val="20"/>
          <w:color w:val="auto"/>
        </w:rPr>
      </w:pPr>
    </w:p>
    <w:p>
      <w:pPr>
        <w:ind w:right="20" w:firstLine="656"/>
        <w:spacing w:after="0" w:line="287" w:lineRule="auto"/>
        <w:tabs>
          <w:tab w:leader="none" w:pos="133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Press Releases and Disclosure</w:t>
      </w:r>
      <w:r>
        <w:rPr>
          <w:rFonts w:ascii="Arial" w:cs="Arial" w:eastAsia="Arial" w:hAnsi="Arial"/>
          <w:sz w:val="16"/>
          <w:szCs w:val="16"/>
          <w:color w:val="auto"/>
        </w:rPr>
        <w:t xml:space="preserve">.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and except for the disclosure required pursuant to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of this Agreement in the Company’s quarterly reports on Form 10-Q or annual reports on Form 10-K.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ectPr>
          <w:pgSz w:w="11900" w:h="16926" w:orient="portrait"/>
          <w:cols w:equalWidth="0" w:num="1">
            <w:col w:w="11400"/>
          </w:cols>
          <w:pgMar w:left="240" w:top="125" w:right="259" w:bottom="0" w:gutter="0" w:footer="0" w:header="0"/>
        </w:sectPr>
      </w:pPr>
    </w:p>
    <w:bookmarkStart w:id="19" w:name="page20"/>
    <w:bookmarkEnd w:id="19"/>
    <w:p>
      <w:pPr>
        <w:spacing w:after="0" w:line="106" w:lineRule="exact"/>
        <w:rPr>
          <w:sz w:val="20"/>
          <w:szCs w:val="20"/>
          <w:color w:val="auto"/>
        </w:rPr>
      </w:pPr>
    </w:p>
    <w:p>
      <w:pPr>
        <w:ind w:right="80" w:firstLine="656"/>
        <w:spacing w:after="0" w:line="277" w:lineRule="auto"/>
        <w:tabs>
          <w:tab w:leader="none" w:pos="134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 Advisory or Fiduciary Relationship</w:t>
      </w:r>
      <w:r>
        <w:rPr>
          <w:rFonts w:ascii="Arial" w:cs="Arial" w:eastAsia="Arial" w:hAnsi="Arial"/>
          <w:sz w:val="18"/>
          <w:szCs w:val="18"/>
          <w:color w:val="auto"/>
        </w:rPr>
        <w:t>. The Company acknowledges and agrees that (i) the transactions contemplated by this Agreement, including the determination of any fees,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66" w:lineRule="exact"/>
        <w:rPr>
          <w:sz w:val="20"/>
          <w:szCs w:val="20"/>
          <w:color w:val="auto"/>
        </w:rPr>
      </w:pPr>
    </w:p>
    <w:p>
      <w:pPr>
        <w:ind w:firstLine="656"/>
        <w:spacing w:after="0" w:line="293" w:lineRule="auto"/>
        <w:tabs>
          <w:tab w:leader="none" w:pos="133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Research Analyst Independence</w:t>
      </w:r>
      <w:r>
        <w:rPr>
          <w:rFonts w:ascii="Arial" w:cs="Arial" w:eastAsia="Arial" w:hAnsi="Arial"/>
          <w:sz w:val="16"/>
          <w:szCs w:val="16"/>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64" w:lineRule="exact"/>
        <w:rPr>
          <w:rFonts w:ascii="Arial" w:cs="Arial" w:eastAsia="Arial" w:hAnsi="Arial"/>
          <w:sz w:val="16"/>
          <w:szCs w:val="16"/>
          <w:color w:val="auto"/>
        </w:rPr>
      </w:pPr>
    </w:p>
    <w:p>
      <w:pPr>
        <w:ind w:left="1340" w:hanging="684"/>
        <w:spacing w:after="0"/>
        <w:tabs>
          <w:tab w:leader="none" w:pos="134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shall be in writing and shall be mailed, hand delivered or telecopied and confirmed to the parties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 as follows: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1114 Avenue of the Americas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10036-7798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(212) 479-6275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Daniel I. Goldberg and Joshua A. Kaufman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Selecta Biosciences,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480 Arsenal Way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David Abraham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Peter N. Handrinos and Brandon J. Bortner.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ind w:firstLine="656"/>
        <w:spacing w:after="0" w:line="312" w:lineRule="auto"/>
        <w:tabs>
          <w:tab w:leader="none" w:pos="133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w:t>
      </w:r>
      <w:r>
        <w:rPr>
          <w:rFonts w:ascii="Arial" w:cs="Arial" w:eastAsia="Arial" w:hAnsi="Arial"/>
          <w:sz w:val="16"/>
          <w:szCs w:val="16"/>
          <w:b w:val="1"/>
          <w:bCs w:val="1"/>
          <w:color w:val="auto"/>
        </w:rPr>
        <w:t>successors</w:t>
      </w:r>
      <w:r>
        <w:rPr>
          <w:rFonts w:ascii="Arial" w:cs="Arial" w:eastAsia="Arial" w:hAnsi="Arial"/>
          <w:sz w:val="16"/>
          <w:szCs w:val="16"/>
          <w:color w:val="auto"/>
        </w:rPr>
        <w:t>” shall not include any purchaser of the Shares as such from the Agent merely by reason of such purchase.</w:t>
      </w:r>
    </w:p>
    <w:p>
      <w:pPr>
        <w:spacing w:after="0" w:line="146" w:lineRule="exact"/>
        <w:rPr>
          <w:rFonts w:ascii="Arial" w:cs="Arial" w:eastAsia="Arial" w:hAnsi="Arial"/>
          <w:sz w:val="16"/>
          <w:szCs w:val="16"/>
          <w:color w:val="auto"/>
        </w:rPr>
      </w:pPr>
    </w:p>
    <w:p>
      <w:pPr>
        <w:ind w:right="80" w:firstLine="656"/>
        <w:spacing w:after="0" w:line="259" w:lineRule="auto"/>
        <w:tabs>
          <w:tab w:leader="none" w:pos="135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ind w:right="60" w:firstLine="656"/>
        <w:spacing w:after="0" w:line="302" w:lineRule="auto"/>
        <w:tabs>
          <w:tab w:leader="none" w:pos="134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Governing Law Provisions</w:t>
      </w:r>
      <w:r>
        <w:rPr>
          <w:rFonts w:ascii="Arial" w:cs="Arial" w:eastAsia="Arial" w:hAnsi="Arial"/>
          <w:sz w:val="16"/>
          <w:szCs w:val="16"/>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w:t>
      </w:r>
    </w:p>
    <w:p>
      <w:pPr>
        <w:sectPr>
          <w:pgSz w:w="11900" w:h="16945" w:orient="portrait"/>
          <w:cols w:equalWidth="0" w:num="1">
            <w:col w:w="11420"/>
          </w:cols>
          <w:pgMar w:left="240" w:top="341" w:right="239" w:bottom="0" w:gutter="0" w:footer="0" w:header="0"/>
        </w:sectPr>
      </w:pPr>
    </w:p>
    <w:bookmarkStart w:id="20" w:name="page21"/>
    <w:bookmarkEnd w:id="20"/>
    <w:p>
      <w:pPr>
        <w:ind w:right="80"/>
        <w:spacing w:after="0" w:line="274" w:lineRule="auto"/>
        <w:rPr>
          <w:sz w:val="20"/>
          <w:szCs w:val="20"/>
          <w:color w:val="auto"/>
        </w:rPr>
      </w:pPr>
      <w:r>
        <w:rPr>
          <w:rFonts w:ascii="Arial" w:cs="Arial" w:eastAsia="Arial" w:hAnsi="Arial"/>
          <w:sz w:val="17"/>
          <w:szCs w:val="17"/>
          <w:color w:val="auto"/>
        </w:rPr>
        <w:t>(collectively,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 “</w:t>
      </w:r>
      <w:r>
        <w:rPr>
          <w:rFonts w:ascii="Arial" w:cs="Arial" w:eastAsia="Arial" w:hAnsi="Arial"/>
          <w:sz w:val="17"/>
          <w:szCs w:val="17"/>
          <w:b w:val="1"/>
          <w:bCs w:val="1"/>
          <w:color w:val="auto"/>
        </w:rPr>
        <w:t>Related Judgment</w:t>
      </w:r>
      <w:r>
        <w:rPr>
          <w:rFonts w:ascii="Arial" w:cs="Arial" w:eastAsia="Arial" w:hAnsi="Arial"/>
          <w:sz w:val="17"/>
          <w:szCs w:val="17"/>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8" w:lineRule="exact"/>
        <w:rPr>
          <w:sz w:val="20"/>
          <w:szCs w:val="20"/>
          <w:color w:val="auto"/>
        </w:rPr>
      </w:pPr>
    </w:p>
    <w:p>
      <w:pPr>
        <w:ind w:right="240" w:firstLine="656"/>
        <w:spacing w:after="0" w:line="277" w:lineRule="auto"/>
        <w:tabs>
          <w:tab w:leader="none" w:pos="134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Agreement constitutes the entire agreement of the parties to this Agreement and supersedes all prior written or oral and all contemporaneous oral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Immediately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SELECTA BIOSCIENCES, INC.</w:t>
      </w:r>
    </w:p>
    <w:p>
      <w:pPr>
        <w:spacing w:after="0" w:line="22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Werner Cautreels, Ph.D.</w:t>
      </w:r>
    </w:p>
    <w:p>
      <w:pPr>
        <w:spacing w:after="0" w:line="23" w:lineRule="exact"/>
        <w:rPr>
          <w:sz w:val="20"/>
          <w:szCs w:val="20"/>
          <w:color w:val="auto"/>
        </w:rPr>
      </w:pPr>
    </w:p>
    <w:tbl>
      <w:tblPr>
        <w:tblLayout w:type="fixed"/>
        <w:tblInd w:w="622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Werner Cautreels, Ph.D.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Dustin Tynes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7"/>
          <w:szCs w:val="17"/>
          <w:color w:val="auto"/>
        </w:rPr>
        <w:t>Dustin Tynes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Attn: [</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color w:val="auto"/>
        </w:rPr>
        <w:t>Reference is made to the Open Market Sale Agreement between Selecta Biosciences, Inc. (the “</w:t>
      </w:r>
      <w:r>
        <w:rPr>
          <w:rFonts w:ascii="Arial" w:cs="Arial" w:eastAsia="Arial" w:hAnsi="Arial"/>
          <w:sz w:val="17"/>
          <w:szCs w:val="17"/>
          <w:b w:val="1"/>
          <w:bCs w:val="1"/>
          <w:color w:val="auto"/>
        </w:rPr>
        <w:t>Company</w:t>
      </w:r>
      <w:r>
        <w:rPr>
          <w:rFonts w:ascii="Arial" w:cs="Arial" w:eastAsia="Arial" w:hAnsi="Arial"/>
          <w:sz w:val="17"/>
          <w:szCs w:val="17"/>
          <w:color w:val="auto"/>
        </w:rPr>
        <w:t>”) and Jefferies LLC (the “</w:t>
      </w:r>
      <w:r>
        <w:rPr>
          <w:rFonts w:ascii="Arial" w:cs="Arial" w:eastAsia="Arial" w:hAnsi="Arial"/>
          <w:sz w:val="17"/>
          <w:szCs w:val="17"/>
          <w:b w:val="1"/>
          <w:bCs w:val="1"/>
          <w:color w:val="auto"/>
        </w:rPr>
        <w:t>Agent</w:t>
      </w:r>
      <w:r>
        <w:rPr>
          <w:rFonts w:ascii="Arial" w:cs="Arial" w:eastAsia="Arial" w:hAnsi="Arial"/>
          <w:sz w:val="17"/>
          <w:szCs w:val="17"/>
          <w:color w:val="auto"/>
        </w:rPr>
        <w:t>”) dated as of August 11, 2017. The Company confirms that all conditions to the delivery of this Issuance Notice are satisfied as of the date hereof.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ectPr>
          <w:pgSz w:w="11900" w:h="16838" w:orient="portrait"/>
          <w:cols w:equalWidth="0" w:num="1">
            <w:col w:w="11420"/>
          </w:cols>
          <w:pgMar w:left="240" w:top="121"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Last Date of Selling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T+3 settlement (or, with respect to sales on or after September 5, 2017, T+2 settlement):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760"/>
      </w:cols>
      <w:pgMar w:left="240" w:top="34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o"/>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decimal"/>
      <w:start w:val="3"/>
    </w:lvl>
    <w:lvl w:ilvl="1">
      <w:lvlJc w:val="left"/>
      <w:lvlText w:val="%2"/>
      <w:numFmt w:val="lowerLetter"/>
      <w:start w:val="1"/>
    </w:lvl>
  </w:abstractNum>
  <w:abstractNum w:abstractNumId="5">
    <w:nsid w:val="3006C83E"/>
    <w:multiLevelType w:val="hybridMultilevel"/>
    <w:lvl w:ilvl="0">
      <w:lvlJc w:val="left"/>
      <w:lvlText w:val="(%1)"/>
      <w:numFmt w:val="decimal"/>
      <w:start w:val="5"/>
    </w:lvl>
    <w:lvl w:ilvl="1">
      <w:lvlJc w:val="left"/>
      <w:lvlText w:val="(%2)"/>
      <w:numFmt w:val="lowerLetter"/>
      <w:start w:val="1"/>
    </w:lvl>
  </w:abstractNum>
  <w:abstractNum w:abstractNumId="6">
    <w:nsid w:val="614FD4A1"/>
    <w:multiLevelType w:val="hybridMultilevel"/>
    <w:lvl w:ilvl="0">
      <w:lvlJc w:val="left"/>
      <w:lvlText w:val="(%1)"/>
      <w:numFmt w:val="lowerLetter"/>
      <w:start w:val="2"/>
    </w:lvl>
  </w:abstractNum>
  <w:abstractNum w:abstractNumId="7">
    <w:nsid w:val="419AC241"/>
    <w:multiLevelType w:val="hybridMultilevel"/>
    <w:lvl w:ilvl="0">
      <w:lvlJc w:val="left"/>
      <w:lvlText w:val="(%1)"/>
      <w:numFmt w:val="lowerLetter"/>
      <w:start w:val="3"/>
    </w:lvl>
  </w:abstractNum>
  <w:abstractNum w:abstractNumId="8">
    <w:nsid w:val="5577F8E1"/>
    <w:multiLevelType w:val="hybridMultilevel"/>
    <w:lvl w:ilvl="0">
      <w:lvlJc w:val="left"/>
      <w:lvlText w:val="%1"/>
      <w:numFmt w:val="lowerLetter"/>
      <w:start w:val="1"/>
    </w:lvl>
    <w:lvl w:ilvl="1">
      <w:lvlJc w:val="left"/>
      <w:lvlText w:val="(%2)"/>
      <w:numFmt w:val="lowerLetter"/>
      <w:start w:val="5"/>
    </w:lvl>
  </w:abstractNum>
  <w:abstractNum w:abstractNumId="9">
    <w:nsid w:val="440BADFC"/>
    <w:multiLevelType w:val="hybridMultilevel"/>
    <w:lvl w:ilvl="0">
      <w:lvlJc w:val="left"/>
      <w:lvlText w:val="(%1)"/>
      <w:numFmt w:val="lowerLetter"/>
      <w:start w:val="61"/>
    </w:lvl>
    <w:lvl w:ilvl="1">
      <w:lvlJc w:val="left"/>
      <w:lvlText w:val="(%2)"/>
      <w:numFmt w:val="lowerLetter"/>
      <w:start w:val="9"/>
    </w:lvl>
  </w:abstractNum>
  <w:abstractNum w:abstractNumId="10">
    <w:nsid w:val="5072367"/>
    <w:multiLevelType w:val="hybridMultilevel"/>
    <w:lvl w:ilvl="0">
      <w:lvlJc w:val="left"/>
      <w:lvlText w:val="(%1)"/>
      <w:numFmt w:val="lowerLetter"/>
      <w:start w:val="10"/>
    </w:lvl>
  </w:abstractNum>
  <w:abstractNum w:abstractNumId="11">
    <w:nsid w:val="3804823E"/>
    <w:multiLevelType w:val="hybridMultilevel"/>
    <w:lvl w:ilvl="0">
      <w:lvlJc w:val="left"/>
      <w:lvlText w:val="(%1)"/>
      <w:numFmt w:val="lowerLetter"/>
      <w:start w:val="12"/>
    </w:lvl>
  </w:abstractNum>
  <w:abstractNum w:abstractNumId="12">
    <w:nsid w:val="77465F01"/>
    <w:multiLevelType w:val="hybridMultilevel"/>
    <w:lvl w:ilvl="0">
      <w:lvlJc w:val="left"/>
      <w:lvlText w:val="(%1)"/>
      <w:numFmt w:val="lowerLetter"/>
      <w:start w:val="16"/>
    </w:lvl>
  </w:abstractNum>
  <w:abstractNum w:abstractNumId="13">
    <w:nsid w:val="7724C67E"/>
    <w:multiLevelType w:val="hybridMultilevel"/>
    <w:lvl w:ilvl="0">
      <w:lvlJc w:val="left"/>
      <w:lvlText w:val="%1"/>
      <w:numFmt w:val="lowerLetter"/>
      <w:start w:val="1"/>
    </w:lvl>
    <w:lvl w:ilvl="1">
      <w:lvlJc w:val="left"/>
      <w:lvlText w:val="(%2)"/>
      <w:numFmt w:val="lowerLetter"/>
      <w:start w:val="19"/>
    </w:lvl>
  </w:abstractNum>
  <w:abstractNum w:abstractNumId="14">
    <w:nsid w:val="5C482A97"/>
    <w:multiLevelType w:val="hybridMultilevel"/>
    <w:lvl w:ilvl="0">
      <w:lvlJc w:val="left"/>
      <w:lvlText w:val="(%1)"/>
      <w:numFmt w:val="lowerLetter"/>
      <w:start w:val="9"/>
    </w:lvl>
    <w:lvl w:ilvl="1">
      <w:lvlJc w:val="left"/>
      <w:lvlText w:val="%2"/>
      <w:numFmt w:val="lowerLetter"/>
      <w:start w:val="1"/>
    </w:lvl>
  </w:abstractNum>
  <w:abstractNum w:abstractNumId="15">
    <w:nsid w:val="2463B9EA"/>
    <w:multiLevelType w:val="hybridMultilevel"/>
    <w:lvl w:ilvl="0">
      <w:lvlJc w:val="left"/>
      <w:lvlText w:val="(%1)"/>
      <w:numFmt w:val="lowerLetter"/>
      <w:start w:val="21"/>
    </w:lvl>
  </w:abstractNum>
  <w:abstractNum w:abstractNumId="16">
    <w:nsid w:val="5E884ADC"/>
    <w:multiLevelType w:val="hybridMultilevel"/>
    <w:lvl w:ilvl="0">
      <w:lvlJc w:val="left"/>
      <w:lvlText w:val="(%1)"/>
      <w:numFmt w:val="lowerRoman"/>
      <w:start w:val="10"/>
    </w:lvl>
  </w:abstractNum>
  <w:abstractNum w:abstractNumId="17">
    <w:nsid w:val="51EAD36B"/>
    <w:multiLevelType w:val="hybridMultilevel"/>
    <w:lvl w:ilvl="0">
      <w:lvlJc w:val="left"/>
      <w:lvlText w:val="%1"/>
      <w:numFmt w:val="lowerLetter"/>
      <w:start w:val="1"/>
    </w:lvl>
    <w:lvl w:ilvl="1">
      <w:lvlJc w:val="left"/>
      <w:lvlText w:val="(%2)"/>
      <w:numFmt w:val="lowerLetter"/>
      <w:start w:val="25"/>
    </w:lvl>
  </w:abstractNum>
  <w:abstractNum w:abstractNumId="18">
    <w:nsid w:val="2D517796"/>
    <w:multiLevelType w:val="hybridMultilevel"/>
    <w:lvl w:ilvl="0">
      <w:lvlJc w:val="left"/>
      <w:lvlText w:val="(%1)"/>
      <w:numFmt w:val="lowerLetter"/>
      <w:start w:val="35"/>
    </w:lvl>
    <w:lvl w:ilvl="1">
      <w:lvlJc w:val="left"/>
      <w:lvlText w:val="%2"/>
      <w:numFmt w:val="lowerLetter"/>
      <w:start w:val="1"/>
    </w:lvl>
  </w:abstractNum>
  <w:abstractNum w:abstractNumId="19">
    <w:nsid w:val="580BD78F"/>
    <w:multiLevelType w:val="hybridMultilevel"/>
    <w:lvl w:ilvl="0">
      <w:lvlJc w:val="left"/>
      <w:lvlText w:val="(%1)"/>
      <w:numFmt w:val="lowerLetter"/>
      <w:start w:val="22"/>
    </w:lvl>
    <w:lvl w:ilvl="1">
      <w:lvlJc w:val="left"/>
      <w:lvlText w:val="(%2)"/>
      <w:numFmt w:val="lowerLetter"/>
      <w:start w:val="26"/>
    </w:lvl>
  </w:abstractNum>
  <w:abstractNum w:abstractNumId="20">
    <w:nsid w:val="153EA438"/>
    <w:multiLevelType w:val="hybridMultilevel"/>
    <w:lvl w:ilvl="0">
      <w:lvlJc w:val="left"/>
      <w:lvlText w:val="(%1)"/>
      <w:numFmt w:val="lowerLetter"/>
      <w:start w:val="27"/>
    </w:lvl>
  </w:abstractNum>
  <w:abstractNum w:abstractNumId="21">
    <w:nsid w:val="3855585C"/>
    <w:multiLevelType w:val="hybridMultilevel"/>
    <w:lvl w:ilvl="0">
      <w:lvlJc w:val="left"/>
      <w:lvlText w:val="(%1)"/>
      <w:numFmt w:val="lowerLetter"/>
      <w:start w:val="29"/>
    </w:lvl>
  </w:abstractNum>
  <w:abstractNum w:abstractNumId="22">
    <w:nsid w:val="70A64E2A"/>
    <w:multiLevelType w:val="hybridMultilevel"/>
    <w:lvl w:ilvl="0">
      <w:lvlJc w:val="left"/>
      <w:lvlText w:val="(%1)"/>
      <w:numFmt w:val="lowerLetter"/>
      <w:start w:val="30"/>
    </w:lvl>
  </w:abstractNum>
  <w:abstractNum w:abstractNumId="23">
    <w:nsid w:val="6A2342EC"/>
    <w:multiLevelType w:val="hybridMultilevel"/>
    <w:lvl w:ilvl="0">
      <w:lvlJc w:val="left"/>
      <w:lvlText w:val="(%1)"/>
      <w:numFmt w:val="lowerLetter"/>
      <w:start w:val="31"/>
    </w:lvl>
  </w:abstractNum>
  <w:abstractNum w:abstractNumId="24">
    <w:nsid w:val="2A487CB0"/>
    <w:multiLevelType w:val="hybridMultilevel"/>
    <w:lvl w:ilvl="0">
      <w:lvlJc w:val="left"/>
      <w:lvlText w:val="(%1)"/>
      <w:numFmt w:val="lowerLetter"/>
      <w:start w:val="34"/>
    </w:lvl>
  </w:abstractNum>
  <w:abstractNum w:abstractNumId="25">
    <w:nsid w:val="1D4ED43B"/>
    <w:multiLevelType w:val="hybridMultilevel"/>
    <w:lvl w:ilvl="0">
      <w:lvlJc w:val="left"/>
      <w:lvlText w:val="%1"/>
      <w:numFmt w:val="decimal"/>
      <w:start w:val="1"/>
    </w:lvl>
    <w:lvl w:ilvl="1">
      <w:lvlJc w:val="left"/>
      <w:lvlText w:val="(%2)"/>
      <w:numFmt w:val="lowerLetter"/>
      <w:start w:val="39"/>
    </w:lvl>
  </w:abstractNum>
  <w:abstractNum w:abstractNumId="26">
    <w:nsid w:val="725A06FB"/>
    <w:multiLevelType w:val="hybridMultilevel"/>
    <w:lvl w:ilvl="0">
      <w:lvlJc w:val="left"/>
      <w:lvlText w:val="(%1)"/>
      <w:numFmt w:val="decimal"/>
      <w:start w:val="3"/>
    </w:lvl>
    <w:lvl w:ilvl="1">
      <w:lvlJc w:val="left"/>
      <w:lvlText w:val="(%2)"/>
      <w:numFmt w:val="lowerLetter"/>
      <w:start w:val="40"/>
    </w:lvl>
  </w:abstractNum>
  <w:abstractNum w:abstractNumId="27">
    <w:nsid w:val="2CD89A32"/>
    <w:multiLevelType w:val="hybridMultilevel"/>
    <w:lvl w:ilvl="0">
      <w:lvlJc w:val="left"/>
      <w:lvlText w:val="§§"/>
      <w:numFmt w:val="bullet"/>
      <w:start w:val="1"/>
    </w:lvl>
    <w:lvl w:ilvl="1">
      <w:lvlJc w:val="left"/>
      <w:lvlText w:val="(%2)"/>
      <w:numFmt w:val="lowerLetter"/>
      <w:start w:val="43"/>
    </w:lvl>
  </w:abstractNum>
  <w:abstractNum w:abstractNumId="28">
    <w:nsid w:val="57E4CCAF"/>
    <w:multiLevelType w:val="hybridMultilevel"/>
    <w:lvl w:ilvl="0">
      <w:lvlJc w:val="left"/>
      <w:lvlText w:val="(%1)"/>
      <w:numFmt w:val="lowerLetter"/>
      <w:start w:val="44"/>
    </w:lvl>
  </w:abstractNum>
  <w:abstractNum w:abstractNumId="29">
    <w:nsid w:val="7A6D8D3C"/>
    <w:multiLevelType w:val="hybridMultilevel"/>
    <w:lvl w:ilvl="0">
      <w:lvlJc w:val="left"/>
      <w:lvlText w:val="(%1)"/>
      <w:numFmt w:val="lowerLetter"/>
      <w:start w:val="1"/>
    </w:lvl>
    <w:lvl w:ilvl="1">
      <w:lvlJc w:val="left"/>
      <w:lvlText w:val="(%2)"/>
      <w:numFmt w:val="lowerRoman"/>
      <w:start w:val="1"/>
    </w:lvl>
  </w:abstractNum>
  <w:abstractNum w:abstractNumId="30">
    <w:nsid w:val="4B588F54"/>
    <w:multiLevelType w:val="hybridMultilevel"/>
    <w:lvl w:ilvl="0">
      <w:lvlJc w:val="left"/>
      <w:lvlText w:val="(%1)"/>
      <w:numFmt w:val="lowerLetter"/>
      <w:start w:val="24"/>
    </w:lvl>
    <w:lvl w:ilvl="1">
      <w:lvlJc w:val="left"/>
      <w:lvlText w:val="(%2)"/>
      <w:numFmt w:val="lowerRoman"/>
      <w:start w:val="2"/>
    </w:lvl>
  </w:abstractNum>
  <w:abstractNum w:abstractNumId="31">
    <w:nsid w:val="542289EC"/>
    <w:multiLevelType w:val="hybridMultilevel"/>
    <w:lvl w:ilvl="0">
      <w:lvlJc w:val="left"/>
      <w:lvlText w:val="%1"/>
      <w:numFmt w:val="lowerRoman"/>
      <w:start w:val="1"/>
    </w:lvl>
    <w:lvl w:ilvl="1">
      <w:lvlJc w:val="left"/>
      <w:lvlText w:val="(%2)"/>
      <w:numFmt w:val="lowerRoman"/>
      <w:start w:val="5"/>
    </w:lvl>
  </w:abstractNum>
  <w:abstractNum w:abstractNumId="32">
    <w:nsid w:val="6DE91B18"/>
    <w:multiLevelType w:val="hybridMultilevel"/>
    <w:lvl w:ilvl="0">
      <w:lvlJc w:val="left"/>
      <w:lvlText w:val="(%1)"/>
      <w:numFmt w:val="lowerRoman"/>
      <w:start w:val="8"/>
    </w:lvl>
    <w:lvl w:ilvl="1">
      <w:lvlJc w:val="left"/>
      <w:lvlText w:val="%2"/>
      <w:numFmt w:val="lowerRoman"/>
      <w:start w:val="1"/>
    </w:lvl>
  </w:abstractNum>
  <w:abstractNum w:abstractNumId="33">
    <w:nsid w:val="38437FDB"/>
    <w:multiLevelType w:val="hybridMultilevel"/>
    <w:lvl w:ilvl="0">
      <w:lvlJc w:val="left"/>
      <w:lvlText w:val="(%1)"/>
      <w:numFmt w:val="lowerLetter"/>
      <w:start w:val="3"/>
    </w:lvl>
  </w:abstractNum>
  <w:abstractNum w:abstractNumId="34">
    <w:nsid w:val="7644A45C"/>
    <w:multiLevelType w:val="hybridMultilevel"/>
    <w:lvl w:ilvl="0">
      <w:lvlJc w:val="left"/>
      <w:lvlText w:val="%1"/>
      <w:numFmt w:val="lowerLetter"/>
      <w:start w:val="1"/>
    </w:lvl>
    <w:lvl w:ilvl="1">
      <w:lvlJc w:val="left"/>
      <w:lvlText w:val="(%2)"/>
      <w:numFmt w:val="lowerLetter"/>
      <w:start w:val="1"/>
    </w:lvl>
  </w:abstractNum>
  <w:abstractNum w:abstractNumId="35">
    <w:nsid w:val="32FFF902"/>
    <w:multiLevelType w:val="hybridMultilevel"/>
    <w:lvl w:ilvl="0">
      <w:lvlJc w:val="left"/>
      <w:lvlText w:val="(%1)"/>
      <w:numFmt w:val="lowerLetter"/>
      <w:start w:val="35"/>
    </w:lvl>
    <w:lvl w:ilvl="1">
      <w:lvlJc w:val="left"/>
      <w:lvlText w:val="%2"/>
      <w:numFmt w:val="lowerLetter"/>
      <w:start w:val="1"/>
    </w:lvl>
  </w:abstractNum>
  <w:abstractNum w:abstractNumId="36">
    <w:nsid w:val="684A481A"/>
    <w:multiLevelType w:val="hybridMultilevel"/>
    <w:lvl w:ilvl="0">
      <w:lvlJc w:val="left"/>
      <w:lvlText w:val="(%1)"/>
      <w:numFmt w:val="decimal"/>
      <w:start w:val="1"/>
    </w:lvl>
    <w:lvl w:ilvl="1">
      <w:lvlJc w:val="left"/>
      <w:lvlText w:val="(%2)"/>
      <w:numFmt w:val="lowerLetter"/>
      <w:start w:val="2"/>
    </w:lvl>
  </w:abstractNum>
  <w:abstractNum w:abstractNumId="37">
    <w:nsid w:val="579478FE"/>
    <w:multiLevelType w:val="hybridMultilevel"/>
    <w:lvl w:ilvl="0">
      <w:lvlJc w:val="left"/>
      <w:lvlText w:val="(%1)"/>
      <w:numFmt w:val="lowerLetter"/>
      <w:start w:val="4"/>
    </w:lvl>
  </w:abstractNum>
  <w:abstractNum w:abstractNumId="38">
    <w:nsid w:val="749ABB43"/>
    <w:multiLevelType w:val="hybridMultilevel"/>
    <w:lvl w:ilvl="0">
      <w:lvlJc w:val="left"/>
      <w:lvlText w:val="(%1)"/>
      <w:numFmt w:val="lowerLetter"/>
      <w:start w:val="7"/>
    </w:lvl>
  </w:abstractNum>
  <w:abstractNum w:abstractNumId="39">
    <w:nsid w:val="3DC240FB"/>
    <w:multiLevelType w:val="hybridMultilevel"/>
    <w:lvl w:ilvl="0">
      <w:lvlJc w:val="left"/>
      <w:lvlText w:val="(%1)"/>
      <w:numFmt w:val="lowerRoman"/>
      <w:start w:val="1"/>
    </w:lvl>
  </w:abstractNum>
  <w:abstractNum w:abstractNumId="40">
    <w:nsid w:val="1BA026FA"/>
    <w:multiLevelType w:val="hybridMultilevel"/>
    <w:lvl w:ilvl="0">
      <w:lvlJc w:val="left"/>
      <w:lvlText w:val="(%1)"/>
      <w:numFmt w:val="lowerLetter"/>
      <w:start w:val="10"/>
    </w:lvl>
    <w:lvl w:ilvl="1">
      <w:lvlJc w:val="left"/>
      <w:lvlText w:val="(%2)"/>
      <w:numFmt w:val="upperLetter"/>
      <w:start w:val="1"/>
    </w:lvl>
  </w:abstractNum>
  <w:abstractNum w:abstractNumId="41">
    <w:nsid w:val="79A1DEAA"/>
    <w:multiLevelType w:val="hybridMultilevel"/>
    <w:lvl w:ilvl="0">
      <w:lvlJc w:val="left"/>
      <w:lvlText w:val="(%1)"/>
      <w:numFmt w:val="upperLetter"/>
      <w:start w:val="2"/>
    </w:lvl>
  </w:abstractNum>
  <w:abstractNum w:abstractNumId="42">
    <w:nsid w:val="75C6C33A"/>
    <w:multiLevelType w:val="hybridMultilevel"/>
    <w:lvl w:ilvl="0">
      <w:lvlJc w:val="left"/>
      <w:lvlText w:val="(%1)"/>
      <w:numFmt w:val="lowerLetter"/>
      <w:start w:val="16"/>
    </w:lvl>
  </w:abstractNum>
  <w:abstractNum w:abstractNumId="43">
    <w:nsid w:val="12E685FB"/>
    <w:multiLevelType w:val="hybridMultilevel"/>
    <w:lvl w:ilvl="0">
      <w:lvlJc w:val="left"/>
      <w:lvlText w:val="%1"/>
      <w:numFmt w:val="upperLetter"/>
      <w:start w:val="1"/>
    </w:lvl>
    <w:lvl w:ilvl="1">
      <w:lvlJc w:val="left"/>
      <w:lvlText w:val="(%2)"/>
      <w:numFmt w:val="lowerLetter"/>
      <w:start w:val="17"/>
    </w:lvl>
  </w:abstractNum>
  <w:abstractNum w:abstractNumId="44">
    <w:nsid w:val="70C6A529"/>
    <w:multiLevelType w:val="hybridMultilevel"/>
    <w:lvl w:ilvl="0">
      <w:lvlJc w:val="left"/>
      <w:lvlText w:val="(%1)"/>
      <w:numFmt w:val="upperLetter"/>
      <w:start w:val="2"/>
    </w:lvl>
    <w:lvl w:ilvl="1">
      <w:lvlJc w:val="left"/>
      <w:lvlText w:val="(%2)"/>
      <w:numFmt w:val="lowerLetter"/>
      <w:start w:val="19"/>
    </w:lvl>
  </w:abstractNum>
  <w:abstractNum w:abstractNumId="45">
    <w:nsid w:val="520EEDD1"/>
    <w:multiLevelType w:val="hybridMultilevel"/>
    <w:lvl w:ilvl="0">
      <w:lvlJc w:val="left"/>
      <w:lvlText w:val="%1"/>
      <w:numFmt w:val="lowerRoman"/>
      <w:start w:val="1"/>
    </w:lvl>
    <w:lvl w:ilvl="1">
      <w:lvlJc w:val="left"/>
      <w:lvlText w:val="(%2)"/>
      <w:numFmt w:val="lowerRoman"/>
      <w:start w:val="5"/>
    </w:lvl>
  </w:abstractNum>
  <w:abstractNum w:abstractNumId="46">
    <w:nsid w:val="374A3FE6"/>
    <w:multiLevelType w:val="hybridMultilevel"/>
    <w:lvl w:ilvl="0">
      <w:lvlJc w:val="left"/>
      <w:lvlText w:val="(%1)"/>
      <w:numFmt w:val="lowerRoman"/>
      <w:start w:val="2"/>
    </w:lvl>
    <w:lvl w:ilvl="1">
      <w:lvlJc w:val="left"/>
      <w:lvlText w:val="%2"/>
      <w:numFmt w:val="lowerRoman"/>
      <w:start w:val="1"/>
    </w:lvl>
  </w:abstractNum>
  <w:abstractNum w:abstractNumId="47">
    <w:nsid w:val="4F4EF005"/>
    <w:multiLevelType w:val="hybridMultilevel"/>
    <w:lvl w:ilvl="0">
      <w:lvlJc w:val="left"/>
      <w:lvlText w:val="(%1)"/>
      <w:numFmt w:val="lowerLetter"/>
      <w:start w:val="1"/>
    </w:lvl>
    <w:lvl w:ilvl="1">
      <w:lvlJc w:val="left"/>
      <w:lvlText w:val="(%2)"/>
      <w:numFmt w:val="lowerLetter"/>
      <w:start w:val="9"/>
    </w:lvl>
  </w:abstractNum>
  <w:abstractNum w:abstractNumId="48">
    <w:nsid w:val="23F9C13C"/>
    <w:multiLevelType w:val="hybridMultilevel"/>
    <w:lvl w:ilvl="0">
      <w:lvlJc w:val="left"/>
      <w:lvlText w:val="(%1)"/>
      <w:numFmt w:val="lowerRoman"/>
      <w:start w:val="2"/>
    </w:lvl>
  </w:abstractNum>
  <w:abstractNum w:abstractNumId="49">
    <w:nsid w:val="649BB77C"/>
    <w:multiLevelType w:val="hybridMultilevel"/>
    <w:lvl w:ilvl="0">
      <w:lvlJc w:val="left"/>
      <w:lvlText w:val="(%1)"/>
      <w:numFmt w:val="lowerRoman"/>
      <w:start w:val="6"/>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2"/>
    </w:lvl>
  </w:abstractNum>
  <w:abstractNum w:abstractNumId="52">
    <w:nsid w:val="1CF10FD8"/>
    <w:multiLevelType w:val="hybridMultilevel"/>
    <w:lvl w:ilvl="0">
      <w:lvlJc w:val="left"/>
      <w:lvlText w:val="(%1)"/>
      <w:numFmt w:val="lowerLetter"/>
      <w:start w:val="4"/>
    </w:lvl>
  </w:abstractNum>
  <w:abstractNum w:abstractNumId="53">
    <w:nsid w:val="180115BE"/>
    <w:multiLevelType w:val="hybridMultilevel"/>
    <w:lvl w:ilvl="0">
      <w:lvlJc w:val="left"/>
      <w:lvlText w:val="(%1)"/>
      <w:numFmt w:val="lowerLetter"/>
      <w:start w:val="5"/>
    </w:lvl>
  </w:abstractNum>
  <w:abstractNum w:abstractNumId="54">
    <w:nsid w:val="235BA861"/>
    <w:multiLevelType w:val="hybridMultilevel"/>
    <w:lvl w:ilvl="0">
      <w:lvlJc w:val="left"/>
      <w:lvlText w:val="(%1)"/>
      <w:numFmt w:val="lowerRoman"/>
      <w:start w:val="2"/>
    </w:lvl>
  </w:abstractNum>
  <w:abstractNum w:abstractNumId="55">
    <w:nsid w:val="47398C89"/>
    <w:multiLevelType w:val="hybridMultilevel"/>
    <w:lvl w:ilvl="0">
      <w:lvlJc w:val="left"/>
      <w:lvlText w:val="(%1)"/>
      <w:numFmt w:val="lowerLetter"/>
      <w:start w:val="1"/>
    </w:lvl>
    <w:lvl w:ilvl="1">
      <w:lvlJc w:val="left"/>
      <w:lvlText w:val="(%2)"/>
      <w:numFmt w:val="lowerLetter"/>
      <w:start w:val="35"/>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2"/>
    </w:lvl>
  </w:abstractNum>
  <w:abstractNum w:abstractNumId="58">
    <w:nsid w:val="741226BB"/>
    <w:multiLevelType w:val="hybridMultilevel"/>
    <w:lvl w:ilvl="0">
      <w:lvlJc w:val="left"/>
      <w:lvlText w:val="(%1)"/>
      <w:numFmt w:val="lowerLetter"/>
      <w:start w:val="3"/>
    </w:lvl>
  </w:abstractNum>
  <w:abstractNum w:abstractNumId="59">
    <w:nsid w:val="D34B6A8"/>
    <w:multiLevelType w:val="hybridMultilevel"/>
    <w:lvl w:ilvl="0">
      <w:lvlJc w:val="left"/>
      <w:lvlText w:val="(%1)"/>
      <w:numFmt w:val="lowerLetter"/>
      <w:start w:val="5"/>
    </w:lvl>
  </w:abstractNum>
  <w:abstractNum w:abstractNumId="60">
    <w:nsid w:val="10233C99"/>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2019-12-07T09:45:02Z</dcterms:created>
  <dcterms:modified xsi:type="dcterms:W3CDTF">2019-12-07T09:45:02Z</dcterms:modified>
</cp:coreProperties>
</file>