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1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54" w:lineRule="exact"/>
        <w:rPr>
          <w:sz w:val="24"/>
          <w:szCs w:val="24"/>
          <w:color w:val="auto"/>
        </w:rPr>
      </w:pPr>
    </w:p>
    <w:p>
      <w:pPr>
        <w:ind w:left="20"/>
        <w:spacing w:after="0" w:line="207" w:lineRule="exact"/>
        <w:tabs>
          <w:tab w:leader="none" w:pos="2000" w:val="left"/>
          <w:tab w:leader="none" w:pos="4460" w:val="left"/>
          <w:tab w:leader="none" w:pos="778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327"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121920</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102870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36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r>
        <w:rPr>
          <w:rFonts w:ascii="Times New Roman" w:cs="Times New Roman" w:eastAsia="Times New Roman" w:hAnsi="Times New Roman"/>
          <w:sz w:val="13"/>
          <w:szCs w:val="13"/>
          <w:b w:val="1"/>
          <w:bCs w:val="1"/>
          <w:color w:val="auto"/>
        </w:rPr>
        <w:t>)</w:t>
      </w:r>
    </w:p>
    <w:p>
      <w:pPr>
        <w:spacing w:after="0" w:line="16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1140" w:hanging="1114"/>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1" w:lineRule="exact"/>
        <w:rPr>
          <w:sz w:val="24"/>
          <w:szCs w:val="24"/>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previously paid with preliminary materials</w:t>
      </w:r>
    </w:p>
    <w:p>
      <w:pPr>
        <w:spacing w:after="0" w:line="29" w:lineRule="exact"/>
        <w:rPr>
          <w:rFonts w:ascii="MS PGothic" w:cs="MS PGothic" w:eastAsia="MS PGothic" w:hAnsi="MS PGothic"/>
          <w:sz w:val="18"/>
          <w:szCs w:val="18"/>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637540</wp:posOffset>
            </wp:positionV>
            <wp:extent cx="329184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29184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7495 New Horizon Way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Frederick, Maryland 21703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(the “Annual Meeting”) of Cartesian Therapeutics, Inc. (the “Company”) to be held on Friday, June 12, 2026 at 10:00 a.m., Eastern Time. We are very pleased that our Annual Meeting will be a completely virtual meeting of stockholders,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www.virtualshareholdermeeting.com/RNAC2026</w:t>
      </w:r>
      <w:r>
        <w:rPr>
          <w:rFonts w:ascii="Times New Roman" w:cs="Times New Roman" w:eastAsia="Times New Roman" w:hAnsi="Times New Roman"/>
          <w:sz w:val="18"/>
          <w:szCs w:val="18"/>
          <w:color w:val="auto"/>
        </w:rPr>
        <w:t>. You will also be able to vote your shares electronically at the Annual Meeting.</w:t>
      </w:r>
    </w:p>
    <w:p>
      <w:pPr>
        <w:spacing w:after="0" w:line="7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2026 Annual Meeting?” on page </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auto"/>
        </w:rPr>
        <w:t xml:space="preserve"> of the Proxy Statement for more information.</w:t>
      </w:r>
    </w:p>
    <w:p>
      <w:pPr>
        <w:spacing w:after="0" w:line="7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Annual Meeting, you will be able to vote your shares electronically, even if you have previously submitted your proxy.</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behalf of the Board of Directors, thank you for your continued support and investment in Cartesian Therapeutics, Inc.</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proxy statement is dated April 28, 2026 and is first being mailed to stockholders on or about April 28,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09"/>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Notice of 2026 Annual Meeting of Stockholders</w:t>
            </w:r>
          </w:p>
        </w:tc>
        <w:tc>
          <w:tcPr>
            <w:tcW w:w="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7380" w:type="dxa"/>
            <w:vAlign w:val="bottom"/>
            <w:gridSpan w:val="6"/>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Questions and Answers About the 2026 Annual Meeting of Stockholders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Proposal No. 1 Election of Directors</w:t>
            </w:r>
          </w:p>
        </w:tc>
        <w:tc>
          <w:tcPr>
            <w:tcW w:w="2620" w:type="dxa"/>
            <w:vAlign w:val="bottom"/>
            <w:gridSpan w:val="7"/>
          </w:tcPr>
          <w:p>
            <w:pPr>
              <w:spacing w:after="0"/>
              <w:rPr>
                <w:sz w:val="18"/>
                <w:szCs w:val="18"/>
                <w:color w:val="auto"/>
              </w:rPr>
            </w:pPr>
          </w:p>
        </w:tc>
        <w:tc>
          <w:tcPr>
            <w:tcW w:w="5600" w:type="dxa"/>
            <w:vAlign w:val="bottom"/>
            <w:gridSpan w:val="3"/>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No. 2 Non-Binding, Advisory Approval of Compensation of Named Executive Officers</w:t>
            </w:r>
          </w:p>
        </w:tc>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9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Proposal No. 3 Ratification of Appointment of Independent Registered Public Accounting Firm</w:t>
            </w:r>
          </w:p>
        </w:tc>
        <w:tc>
          <w:tcPr>
            <w:tcW w:w="3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Report of the Audit Committee of the Board</w:t>
            </w:r>
          </w:p>
        </w:tc>
        <w:tc>
          <w:tcPr>
            <w:tcW w:w="7660" w:type="dxa"/>
            <w:vAlign w:val="bottom"/>
            <w:gridSpan w:val="7"/>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 and Other Matters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3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3900" w:type="dxa"/>
            <w:vAlign w:val="bottom"/>
            <w:tcBorders>
              <w:top w:val="single" w:sz="8" w:color="0000FF"/>
            </w:tcBorders>
            <w:gridSpan w:val="12"/>
          </w:tcPr>
          <w:p>
            <w:pPr>
              <w:spacing w:after="0"/>
              <w:rPr>
                <w:sz w:val="18"/>
                <w:szCs w:val="18"/>
                <w:color w:val="auto"/>
              </w:rPr>
            </w:pPr>
          </w:p>
        </w:tc>
        <w:tc>
          <w:tcPr>
            <w:tcW w:w="56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9220" w:type="dxa"/>
            <w:vAlign w:val="bottom"/>
            <w:gridSpan w:val="1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800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w:t>
            </w:r>
          </w:p>
        </w:tc>
        <w:tc>
          <w:tcPr>
            <w:tcW w:w="8100" w:type="dxa"/>
            <w:vAlign w:val="bottom"/>
            <w:gridSpan w:val="9"/>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Certain Relationships</w:t>
            </w:r>
          </w:p>
        </w:tc>
        <w:tc>
          <w:tcPr>
            <w:tcW w:w="3320" w:type="dxa"/>
            <w:vAlign w:val="bottom"/>
            <w:tcBorders>
              <w:top w:val="single" w:sz="8" w:color="0000FF"/>
            </w:tcBorders>
            <w:gridSpan w:val="10"/>
          </w:tcPr>
          <w:p>
            <w:pPr>
              <w:spacing w:after="0"/>
              <w:rPr>
                <w:sz w:val="18"/>
                <w:szCs w:val="18"/>
                <w:color w:val="auto"/>
              </w:rPr>
            </w:pPr>
          </w:p>
        </w:tc>
        <w:tc>
          <w:tcPr>
            <w:tcW w:w="598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Stockholders’ Proposals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720" w:type="dxa"/>
            <w:vAlign w:val="bottom"/>
            <w:tcBorders>
              <w:top w:val="single" w:sz="8" w:color="0000FF"/>
            </w:tcBorders>
            <w:gridSpan w:val="6"/>
          </w:tcPr>
          <w:p>
            <w:pPr>
              <w:spacing w:after="0"/>
              <w:rPr>
                <w:sz w:val="18"/>
                <w:szCs w:val="18"/>
                <w:color w:val="auto"/>
              </w:rPr>
            </w:pPr>
          </w:p>
        </w:tc>
        <w:tc>
          <w:tcPr>
            <w:tcW w:w="9120" w:type="dxa"/>
            <w:vAlign w:val="bottom"/>
            <w:gridSpan w:val="11"/>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Solicitation of Proxies</w:t>
            </w:r>
          </w:p>
        </w:tc>
        <w:tc>
          <w:tcPr>
            <w:tcW w:w="9240" w:type="dxa"/>
            <w:vAlign w:val="bottom"/>
            <w:gridSpan w:val="1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0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Cartesian Therapeutics, Inc.’s Annual Report on Form 10-K</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582930</wp:posOffset>
            </wp:positionV>
            <wp:extent cx="3291840" cy="822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184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7495 New Horizon Way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Frederick, Maryland 21703</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12, 2026</w:t>
      </w:r>
    </w:p>
    <w:p>
      <w:pPr>
        <w:spacing w:after="0" w:line="1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The Annual Meeting of Stockholders (the “Annual Meeting”) of Cartesian Therapeutics, Inc., a Delaware corporation (the “Company”), will be held at</w:t>
      </w:r>
    </w:p>
    <w:p>
      <w:pPr>
        <w:spacing w:after="0" w:line="39"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 xml:space="preserve">10:00 a.m., Eastern Time, on Friday, June 12, 2026, by virtual meeting online at </w:t>
      </w:r>
      <w:r>
        <w:rPr>
          <w:rFonts w:ascii="Times New Roman" w:cs="Times New Roman" w:eastAsia="Times New Roman" w:hAnsi="Times New Roman"/>
          <w:sz w:val="18"/>
          <w:szCs w:val="18"/>
          <w:i w:val="1"/>
          <w:iCs w:val="1"/>
          <w:color w:val="auto"/>
        </w:rPr>
        <w:t>www.virtualshareholdermeeting.com/RNAC2026</w:t>
      </w:r>
      <w:r>
        <w:rPr>
          <w:rFonts w:ascii="Times New Roman" w:cs="Times New Roman" w:eastAsia="Times New Roman" w:hAnsi="Times New Roman"/>
          <w:sz w:val="18"/>
          <w:szCs w:val="18"/>
          <w:color w:val="auto"/>
        </w:rPr>
        <w:t>, for the following purposes:</w:t>
      </w:r>
    </w:p>
    <w:p>
      <w:pPr>
        <w:spacing w:after="0" w:line="73" w:lineRule="exact"/>
        <w:rPr>
          <w:sz w:val="20"/>
          <w:szCs w:val="20"/>
          <w:color w:val="auto"/>
        </w:rPr>
      </w:pPr>
    </w:p>
    <w:p>
      <w:pPr>
        <w:ind w:left="660" w:right="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Michael Singer, M.D., Ph.D., Timothy A. Springer, Ph.D., and Patrick Zenner, M.B.A. as Class I Directors to serve until the 2029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Holders of record of our common stock as of the close of business on April 14, 2026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StockholderRequests@cartesiantx.com, stating the purpose of the request and providing proof of ownership of our common stock. The Annual Meeting may be continued or adjourned from time to time without notice other than by announcement at the Annual Meeting.</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We encourage stockholders to submit their proxies via telephone or over the Internet. Submitting your proxy now will not prevent you from voting your shares electronically at the Annual Meeting if you desire to do so, as your proxy is revocable at your option.</w:t>
      </w:r>
    </w:p>
    <w:p>
      <w:pPr>
        <w:spacing w:after="0" w:line="12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 Board</w:t>
      </w:r>
    </w:p>
    <w:p>
      <w:pPr>
        <w:spacing w:after="0" w:line="18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Frederick, Maryland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April 28, 2026</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582930</wp:posOffset>
            </wp:positionV>
            <wp:extent cx="205740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7495 New Horizon Way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Frederick, Maryland 21703</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0" w:lineRule="exact"/>
        <w:rPr>
          <w:sz w:val="20"/>
          <w:szCs w:val="20"/>
          <w:color w:val="auto"/>
        </w:rPr>
      </w:pPr>
    </w:p>
    <w:p>
      <w:pPr>
        <w:spacing w:after="0" w:line="27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(the “Board”) of Cartesian Therapeutics, Inc. (the “Company”) of proxies to be voted at our Annual Meeting of Stockholders (the “Annual Meeting”) to be held on Friday, June 12, 2026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 xml:space="preserve">www.virtualshareholdermeeting.com/RNAC2026 </w:t>
      </w:r>
      <w:r>
        <w:rPr>
          <w:rFonts w:ascii="Times New Roman" w:cs="Times New Roman" w:eastAsia="Times New Roman" w:hAnsi="Times New Roman"/>
          <w:sz w:val="18"/>
          <w:szCs w:val="18"/>
          <w:color w:val="auto"/>
        </w:rPr>
        <w:t>and entering your 16-digit control number included on your Notice of Internet Availability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“Internet Notice”), on your proxy card or on the instructions that accompanied your proxy materials. Holders of record of shares of common stock, $0.0001 par value (“Common Stock”), as of the close of business on April 14, 2026 (the “Record Date”), will be entitled to notice of and to vote at the Annual Meeting and any continuation, postponement, or adjournment of the Annual Meeting. As of the Record Date, there were 29,302,729 shares of Common Stock outstanding and entitled to vote at the Annual Meeting. Each share of Common Stock is entitled to one vote on any matter presented to stockholders at the Annual Meeting.</w:t>
      </w:r>
    </w:p>
    <w:p>
      <w:pPr>
        <w:spacing w:after="0" w:line="8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on Form 10-K for the year ended December 31, 2025 (the “2025 Annual Report”) will be released on or about April 28, 2026 to our stockholders on the Record Date.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proxy statement, “Cartesian”, “Company”, “we”, “us”, and “our” refer to Cartesian Therapeutics, Inc.</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FRIDAY, JUNE 12, 2026</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Proxy Statement and the 2025 Annual Report are available at http://www.proxyvote.com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Michael Singer, M.D., Ph.D., Timothy A. Springer, Ph.D., and Patrick Zenner, M.B.A. as Class I Directors to serve until the 2029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 and</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Stockholders at an annual meeting will only be able to consider proposals or nominations specified in the Notice of Annual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ectPr>
          <w:pgSz w:w="11900" w:h="16838" w:orient="portrait"/>
          <w:cols w:equalWidth="0" w:num="1">
            <w:col w:w="11180"/>
          </w:cols>
          <w:pgMar w:left="320" w:top="229" w:right="3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recommendations of the Board. The Board recommends that you vote:</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Michael Singer, M.D., Ph.D., Timothy A. Springer, Ph.D., and Patrick Zenner, M.B.A. as Class I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2026.</w:t>
      </w:r>
    </w:p>
    <w:p>
      <w:pPr>
        <w:spacing w:after="0" w:line="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any other matter properly comes before the stockholders for a vote at the Annual Meeting, the proxy holders named on our proxy card will vote your shares in accordance with their best judgment.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17"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Cartesian’s Board is soliciting your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6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r>
        <w:rPr>
          <w:rFonts w:ascii="Times New Roman" w:cs="Times New Roman" w:eastAsia="Times New Roman" w:hAnsi="Times New Roman"/>
          <w:sz w:val="18"/>
          <w:szCs w:val="18"/>
          <w:color w:val="auto"/>
        </w:rPr>
        <w:t>. As permitted by SEC rules, Cartesian is making this proxy statement and the 2025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its stockholders electronically via the Internet. On or about April 28, 2026, we mailed to our stockholders an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75"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Printed Copies of Our Proxy Materials. </w:t>
      </w:r>
      <w:r>
        <w:rPr>
          <w:rFonts w:ascii="Times New Roman" w:cs="Times New Roman" w:eastAsia="Times New Roman" w:hAnsi="Times New Roman"/>
          <w:sz w:val="18"/>
          <w:szCs w:val="18"/>
          <w:color w:val="auto"/>
        </w:rPr>
        <w:t>If you received printed copies of our proxy materials, then instructions regarding how you can vote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on the proxy card included in the materials.</w:t>
      </w:r>
    </w:p>
    <w:p>
      <w:pPr>
        <w:spacing w:after="0" w:line="47" w:lineRule="exact"/>
        <w:rPr>
          <w:sz w:val="20"/>
          <w:szCs w:val="20"/>
          <w:color w:val="auto"/>
        </w:rPr>
      </w:pPr>
    </w:p>
    <w:p>
      <w:pPr>
        <w:ind w:right="40" w:firstLine="324"/>
        <w:spacing w:after="0" w:line="275" w:lineRule="auto"/>
        <w:rPr>
          <w:sz w:val="20"/>
          <w:szCs w:val="20"/>
          <w:color w:val="auto"/>
        </w:rPr>
      </w:pPr>
      <w:r>
        <w:rPr>
          <w:rFonts w:ascii="Times New Roman" w:cs="Times New Roman" w:eastAsia="Times New Roman" w:hAnsi="Times New Roman"/>
          <w:sz w:val="17"/>
          <w:szCs w:val="17"/>
          <w:b w:val="1"/>
          <w:bCs w:val="1"/>
          <w:color w:val="auto"/>
        </w:rPr>
        <w:t>Householding</w:t>
      </w:r>
      <w:r>
        <w:rPr>
          <w:rFonts w:ascii="Times New Roman" w:cs="Times New Roman" w:eastAsia="Times New Roman" w:hAnsi="Times New Roman"/>
          <w:sz w:val="17"/>
          <w:szCs w:val="17"/>
          <w:color w:val="auto"/>
        </w:rPr>
        <w:t>. The SEC’s rules permit us to deliver a single set of proxy materials to one address shared by two or more of our stockholders.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6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the 2026 Annual Meeting of Stockholders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14, 2026.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29,302,729 shares of Common Stock outstanding and entitled to vote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the 2026 Annual Meeting?</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may attend the virtual Annual Meeting only if you are a Cartesian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www.virtualshareholdermeeting.com/RNAC2026</w:t>
      </w:r>
      <w:r>
        <w:rPr>
          <w:rFonts w:ascii="Times New Roman" w:cs="Times New Roman" w:eastAsia="Times New Roman" w:hAnsi="Times New Roman"/>
          <w:sz w:val="18"/>
          <w:szCs w:val="18"/>
          <w:color w:val="auto"/>
        </w:rPr>
        <w:t>. You also will be able to vote your shares electronically at the Annual Meeting.</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10:00 a.m., Eastern Time. We encourage you to access the meeting prior to the start time. Online check-in will begin at 9:55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accessing the virtual meeting website?</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Chairman of the Annual Meeting may adjourn the Annual Meeting until a quorum is present or represented.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We recommend that stockholders vote by proxy even if they plan to participate in the virtual Annual Meeting and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during the meeting. If you are a stockholder of record, you may vote:</w:t>
      </w:r>
    </w:p>
    <w:p>
      <w:pPr>
        <w:spacing w:after="0" w:line="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over the Internet at www.proxyvote.com by following the instructions on the proxy card or Internet Notice;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or</w:t>
      </w:r>
    </w:p>
    <w:p>
      <w:pPr>
        <w:spacing w:after="0" w:line="115"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Electronically at the Meeting - You can vote at the Annual Meeting by visiting </w:t>
      </w:r>
      <w:r>
        <w:rPr>
          <w:rFonts w:ascii="Times New Roman" w:cs="Times New Roman" w:eastAsia="Times New Roman" w:hAnsi="Times New Roman"/>
          <w:sz w:val="18"/>
          <w:szCs w:val="18"/>
          <w:i w:val="1"/>
          <w:iCs w:val="1"/>
          <w:color w:val="auto"/>
        </w:rPr>
        <w:t>www.virtualshareholdermeeting.com/RNAC2026</w:t>
      </w:r>
      <w:r>
        <w:rPr>
          <w:rFonts w:ascii="Times New Roman" w:cs="Times New Roman" w:eastAsia="Times New Roman" w:hAnsi="Times New Roman"/>
          <w:sz w:val="18"/>
          <w:szCs w:val="18"/>
          <w:color w:val="auto"/>
        </w:rPr>
        <w:t xml:space="preserve"> and entering the 16-digit control number included on your Internet Notice, on your proxy card or on the instructions that accompanied your proxy materials. The meeting webcast will begin promptly at 10:00 a.m., Eastern Time, on June 12, 2026.</w:t>
      </w:r>
    </w:p>
    <w:p>
      <w:pPr>
        <w:spacing w:after="0" w:line="6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June 11, 2026. To participate in the Annual Meeting, including to vote via the Internet or telephone, you will need the 16-digit control number included on your Internet Notice, on your proxy card or on the instructions that accompanied your proxy materials.</w:t>
      </w:r>
    </w:p>
    <w:p>
      <w:pPr>
        <w:spacing w:after="0" w:line="6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We encourage stockholders to submit their proxies via the Internet or telephone. If you submit your proxy, you may still decide to attend the Annual Meeting and vote your shares electronically.</w:t>
      </w:r>
    </w:p>
    <w:p>
      <w:pPr>
        <w:spacing w:after="0" w:line="6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If your shares are held in “street name” through a bank or broker, you will receive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Times New Roman" w:cs="Times New Roman" w:eastAsia="Times New Roman" w:hAnsi="Times New Roman"/>
          <w:sz w:val="18"/>
          <w:szCs w:val="18"/>
          <w:i w:val="1"/>
          <w:iCs w:val="1"/>
          <w:color w:val="auto"/>
        </w:rPr>
        <w:t>www.virtualshareholdermeeting.com/RNAC2026</w:t>
      </w:r>
      <w:r>
        <w:rPr>
          <w:rFonts w:ascii="Times New Roman" w:cs="Times New Roman" w:eastAsia="Times New Roman" w:hAnsi="Times New Roman"/>
          <w:sz w:val="18"/>
          <w:szCs w:val="18"/>
          <w:color w:val="auto"/>
        </w:rPr>
        <w:t xml:space="preserve"> 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the Company prior to the Annual Meeting;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electronically at the virtual Annual Meeting.</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Your most recent proxy card or telephone or Internet proxy is the one that is counted. Your participation in the virtual Annual Meeting by itself will not revoke your proxy unless you give written notice of revocation to the Secretary of the Company before your proxy is voted or you vote electronically at the virtual Annual Meeting.</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electronically at the virtual Annual Meeting by following the instructions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our inspector of election, will tabulate and certify the votes.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you submit a proxy but do not indicate any voting instructions, the persons named as proxies will vote in accordance with the recommendations of the Board. The Board’s recommendations are indicated on page </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xml:space="preserve"> of this proxy statement, as well as with the description of each proposal in this proxy statement.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5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Effect of Votes</w:t>
      </w:r>
    </w:p>
    <w:p>
      <w:pPr>
        <w:ind w:left="8300"/>
        <w:spacing w:after="0" w:line="219" w:lineRule="auto"/>
        <w:rPr>
          <w:sz w:val="20"/>
          <w:szCs w:val="20"/>
          <w:color w:val="auto"/>
        </w:rPr>
      </w:pPr>
      <w:r>
        <w:rPr>
          <w:rFonts w:ascii="Times New Roman" w:cs="Times New Roman" w:eastAsia="Times New Roman" w:hAnsi="Times New Roman"/>
          <w:sz w:val="18"/>
          <w:szCs w:val="18"/>
          <w:b w:val="1"/>
          <w:bCs w:val="1"/>
          <w:color w:val="auto"/>
        </w:rPr>
        <w:t>Withheld/Abstentions and</w:t>
      </w:r>
    </w:p>
    <w:p>
      <w:pPr>
        <w:ind w:left="20"/>
        <w:spacing w:after="0"/>
        <w:tabs>
          <w:tab w:leader="none" w:pos="3740" w:val="left"/>
          <w:tab w:leader="none" w:pos="8280" w:val="left"/>
        </w:tabs>
        <w:rPr>
          <w:sz w:val="20"/>
          <w:szCs w:val="20"/>
          <w:color w:val="auto"/>
        </w:rPr>
      </w:pPr>
      <w:r>
        <w:rPr>
          <w:rFonts w:ascii="Times New Roman" w:cs="Times New Roman" w:eastAsia="Times New Roman" w:hAnsi="Times New Roman"/>
          <w:sz w:val="18"/>
          <w:szCs w:val="18"/>
          <w:b w:val="1"/>
          <w:bCs w:val="1"/>
          <w:color w:val="auto"/>
        </w:rPr>
        <w:t>Proposal</w:t>
      </w:r>
      <w:r>
        <w:rPr>
          <w:sz w:val="20"/>
          <w:szCs w:val="20"/>
          <w:color w:val="auto"/>
        </w:rPr>
        <w:tab/>
      </w:r>
      <w:r>
        <w:rPr>
          <w:rFonts w:ascii="Times New Roman" w:cs="Times New Roman" w:eastAsia="Times New Roman" w:hAnsi="Times New Roman"/>
          <w:sz w:val="18"/>
          <w:szCs w:val="18"/>
          <w:b w:val="1"/>
          <w:bCs w:val="1"/>
          <w:color w:val="auto"/>
        </w:rPr>
        <w:t>Votes required</w:t>
      </w:r>
      <w:r>
        <w:rPr>
          <w:sz w:val="20"/>
          <w:szCs w:val="20"/>
          <w:color w:val="auto"/>
        </w:rPr>
        <w:tab/>
      </w:r>
      <w:r>
        <w:rPr>
          <w:rFonts w:ascii="Times New Roman" w:cs="Times New Roman" w:eastAsia="Times New Roman" w:hAnsi="Times New Roman"/>
          <w:sz w:val="17"/>
          <w:szCs w:val="17"/>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5"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1: Election of Directors</w:t>
      </w:r>
      <w:r>
        <w:rPr>
          <w:sz w:val="20"/>
          <w:szCs w:val="20"/>
          <w:color w:val="auto"/>
        </w:rPr>
        <w:tab/>
      </w:r>
      <w:r>
        <w:rPr>
          <w:rFonts w:ascii="Times New Roman" w:cs="Times New Roman" w:eastAsia="Times New Roman" w:hAnsi="Times New Roman"/>
          <w:sz w:val="17"/>
          <w:szCs w:val="17"/>
          <w:color w:val="auto"/>
        </w:rPr>
        <w:t>The plurality of the votes cast. This means that the three</w:t>
      </w:r>
    </w:p>
    <w:p>
      <w:pPr>
        <w:ind w:left="3760"/>
        <w:spacing w:after="0" w:line="219" w:lineRule="auto"/>
        <w:rPr>
          <w:sz w:val="20"/>
          <w:szCs w:val="20"/>
          <w:color w:val="auto"/>
        </w:rPr>
      </w:pPr>
      <w:r>
        <w:rPr>
          <w:rFonts w:ascii="Times New Roman" w:cs="Times New Roman" w:eastAsia="Times New Roman" w:hAnsi="Times New Roman"/>
          <w:sz w:val="18"/>
          <w:szCs w:val="18"/>
          <w:color w:val="auto"/>
        </w:rPr>
        <w:t>nominees receiving the</w:t>
      </w:r>
    </w:p>
    <w:p>
      <w:pPr>
        <w:jc w:val="right"/>
        <w:spacing w:after="0" w:line="203" w:lineRule="auto"/>
        <w:rPr>
          <w:sz w:val="20"/>
          <w:szCs w:val="20"/>
          <w:color w:val="auto"/>
        </w:rPr>
      </w:pPr>
      <w:r>
        <w:rPr>
          <w:rFonts w:ascii="Times New Roman" w:cs="Times New Roman" w:eastAsia="Times New Roman" w:hAnsi="Times New Roman"/>
          <w:sz w:val="18"/>
          <w:szCs w:val="18"/>
          <w:color w:val="auto"/>
        </w:rPr>
        <w:t>highest number of affirmative “FOR” votes will be elected as</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Class I Directors.</w:t>
      </w:r>
    </w:p>
    <w:p>
      <w:pPr>
        <w:spacing w:after="0" w:line="20" w:lineRule="exact"/>
        <w:rPr>
          <w:sz w:val="20"/>
          <w:szCs w:val="20"/>
          <w:color w:val="auto"/>
        </w:rPr>
      </w:pPr>
      <w:r>
        <w:rPr>
          <w:sz w:val="20"/>
          <w:szCs w:val="20"/>
          <w:color w:val="auto"/>
        </w:rPr>
        <w:br w:type="column"/>
      </w:r>
    </w:p>
    <w:p>
      <w:pPr>
        <w:ind w:right="300"/>
        <w:spacing w:after="0" w:line="237" w:lineRule="auto"/>
        <w:rPr>
          <w:sz w:val="20"/>
          <w:szCs w:val="20"/>
          <w:color w:val="auto"/>
        </w:rPr>
      </w:pPr>
      <w:r>
        <w:rPr>
          <w:rFonts w:ascii="Times New Roman" w:cs="Times New Roman" w:eastAsia="Times New Roman" w:hAnsi="Times New Roman"/>
          <w:sz w:val="18"/>
          <w:szCs w:val="18"/>
          <w:color w:val="auto"/>
        </w:rPr>
        <w:t>Votes withheld and broker non-votes will have no effect.</w:t>
      </w:r>
    </w:p>
    <w:p>
      <w:pPr>
        <w:spacing w:after="0" w:line="558" w:lineRule="exact"/>
        <w:rPr>
          <w:sz w:val="20"/>
          <w:szCs w:val="20"/>
          <w:color w:val="auto"/>
        </w:rPr>
      </w:pPr>
    </w:p>
    <w:p>
      <w:pPr>
        <w:sectPr>
          <w:pgSz w:w="11900" w:h="16838" w:orient="portrait"/>
          <w:cols w:equalWidth="0" w:num="2">
            <w:col w:w="8180" w:space="120"/>
            <w:col w:w="2940"/>
          </w:cols>
          <w:pgMar w:left="320" w:top="229"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2: Approval of Compensation of Named</w:t>
        <w:tab/>
        <w:t>The affirmative vote of the holders of a majority in voting</w:t>
      </w: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Executive Officers</w:t>
      </w:r>
      <w:r>
        <w:rPr>
          <w:sz w:val="20"/>
          <w:szCs w:val="20"/>
          <w:color w:val="auto"/>
        </w:rPr>
        <w:tab/>
      </w:r>
      <w:r>
        <w:rPr>
          <w:rFonts w:ascii="Times New Roman" w:cs="Times New Roman" w:eastAsia="Times New Roman" w:hAnsi="Times New Roman"/>
          <w:sz w:val="17"/>
          <w:szCs w:val="17"/>
          <w:color w:val="auto"/>
        </w:rPr>
        <w:t>power of the votes cast.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ectPr>
          <w:pgSz w:w="11900" w:h="16838" w:orient="portrait"/>
          <w:cols w:equalWidth="0" w:num="2">
            <w:col w:w="7940" w:space="360"/>
            <w:col w:w="2940"/>
          </w:cols>
          <w:pgMar w:left="320" w:top="229" w:right="339" w:bottom="1440" w:gutter="0" w:footer="0" w:header="0"/>
          <w:type w:val="continuous"/>
        </w:sectPr>
      </w:pPr>
    </w:p>
    <w:p>
      <w:pPr>
        <w:spacing w:after="0" w:line="228" w:lineRule="exact"/>
        <w:rPr>
          <w:sz w:val="20"/>
          <w:szCs w:val="20"/>
          <w:color w:val="auto"/>
        </w:rPr>
      </w:pPr>
    </w:p>
    <w:p>
      <w:pPr>
        <w:ind w:left="20" w:right="340"/>
        <w:spacing w:after="0" w:line="237" w:lineRule="auto"/>
        <w:rPr>
          <w:sz w:val="20"/>
          <w:szCs w:val="20"/>
          <w:color w:val="auto"/>
        </w:rPr>
      </w:pPr>
      <w:r>
        <w:rPr>
          <w:rFonts w:ascii="Times New Roman" w:cs="Times New Roman" w:eastAsia="Times New Roman" w:hAnsi="Times New Roman"/>
          <w:sz w:val="18"/>
          <w:szCs w:val="18"/>
          <w:color w:val="auto"/>
        </w:rPr>
        <w:t>Proposal 3: Ratification of Appointment The affirmative vote of the holders of a majority of Independent Registered Public Accounting Firm in voting power of the votes cast.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ectPr>
          <w:pgSz w:w="11900" w:h="16838" w:orient="portrait"/>
          <w:cols w:equalWidth="0" w:num="2">
            <w:col w:w="7580" w:space="720"/>
            <w:col w:w="2940"/>
          </w:cols>
          <w:pgMar w:left="320" w:top="229" w:right="33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121"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A “vote withheld,” in the case of the proposal regarding the election of directors, or an “abstention,” in the case of the second and third proposals,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second and third proposals.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and the non-binding, advisory vote on executive compensation. Broker non-votes count for purposes of determining whether a quorum is present.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At the Annual Meeting, three Class I Directors have been nominated to be elected to hold office until the Annual Meeting of Stockholders to be held in 2029 and until such director’s successor is elected and qualified or until such director’s earlier death, resignation or removal.</w:t>
      </w:r>
    </w:p>
    <w:p>
      <w:pPr>
        <w:spacing w:after="0" w:line="54"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We currently have eight directors on our Board, including three Class I Directors. Our current Class I Directors are Michael Singer, M.D., Ph.D., who has served on our Board since 2023, Timothy A. Springer, Ph.D., who has served on our Board since 2016, and Patrick Zenner, M.B.A., who has served on our Board since 2017. Michael Singer, M.D., Ph.D., Timothy A. Springer, Ph.D., and Patrick Zenner, M.B.A. were each nominated for election as a Class I Director at the Annual Meeting.</w:t>
      </w:r>
    </w:p>
    <w:p>
      <w:pPr>
        <w:spacing w:after="0" w:line="7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6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set forth in our restated certificate of incorporation, as amended (the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expires at the Annual Meeting and whose subsequent term will expire at the 2029 Annual Meeting of Stockholders; Class II, whose current term will expire at the 2027 Annual Meeting of Stockholders and whose subsequent term will expire at the 2030 Annual Meeting of Stockholders; and Class III, whose current term will expire at the 2028 Annual Meeting of Stockholders and whose subsequent term will expire at the 2031 Annual Meeting of Stockholders. The current Class I Directors are Michael Singer, M.D., Ph.D., Timothy A. Springer, Ph.D. and Patrick Zenner, M.B.A.; the current Class II Directors are Adrian Bot, M.D., Ph.D. and Kemal Malik, M.B.B.S.; and the current Class III Directors are Timothy C. Barabe, M.B.A., Carsten Brunn, Ph.D. and Nishan de Silva, M.D., M.B.A.</w:t>
      </w:r>
    </w:p>
    <w:p>
      <w:pPr>
        <w:spacing w:after="0" w:line="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Charter and amended and restated by-laws (the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1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the election of each of the below Class I Director nominees.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 Directors (</w:t>
      </w:r>
      <w:r>
        <w:rPr>
          <w:rFonts w:ascii="Times New Roman" w:cs="Times New Roman" w:eastAsia="Times New Roman" w:hAnsi="Times New Roman"/>
          <w:sz w:val="18"/>
          <w:szCs w:val="18"/>
          <w:b w:val="1"/>
          <w:bCs w:val="1"/>
          <w:i w:val="1"/>
          <w:iCs w:val="1"/>
          <w:color w:val="auto"/>
        </w:rPr>
        <w:t>Terms to Expire at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have been nominated by the Board for election as Class I Directors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 with Cartesian</w:t>
            </w: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Singer, M.D., Ph.D.</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A. Springer,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Zenner, M.B.A.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shd w:val="clear" w:color="auto" w:fill="CCEEFF"/>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8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8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MICHAEL SINGER, M.D., PH.D.</w:t>
      </w:r>
      <w:r>
        <w:rPr>
          <w:sz w:val="20"/>
          <w:szCs w:val="20"/>
          <w:color w:val="auto"/>
        </w:rPr>
        <w:tab/>
      </w:r>
      <w:r>
        <w:rPr>
          <w:rFonts w:ascii="Times New Roman" w:cs="Times New Roman" w:eastAsia="Times New Roman" w:hAnsi="Times New Roman"/>
          <w:sz w:val="17"/>
          <w:szCs w:val="17"/>
          <w:i w:val="1"/>
          <w:iCs w:val="1"/>
          <w:color w:val="auto"/>
        </w:rPr>
        <w:t>Age 52</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Michael Singer, M.D., Ph.D. co-founded and served as Chief Scientific Officer, later Chief Strategy Officer, and Chairman of the Board of the private company then known as Cartesian Therapeutics, Inc. (“Old Cartesian”) from 2016 until its acquisition by the Company in 2023. Prior to Old Cartesian, Dr. Singer co-founded and served as Chief Scientific Officer of Topokine Therapeutics, Inc. from 2012 to 2016. Prior to Topokine, he served as a medical director at Novartis from 2009 to 2012 and co-founded and served as Chief Scientific Officer of HealthHonors Corporation from 2006 to 2009. He has served as a member of the board of Bioporto A/S since 2019, Pykus Therapeutics from 2019 until 2025, Anodyne Nanotech since 2020 and Boston Cell Standards since 2024. Dr. Singer received his B.S. in biology, M.Phil and Ph.D. in neuroscience, and M.D. from Yale University and completed internship and residency at Harvard. He is a registered U.S. patent agent. Dr. Singer’s extensive knowledge of our business and our product candidates contributed to the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A. SPRINGER, PH.D.</w:t>
      </w:r>
      <w:r>
        <w:rPr>
          <w:sz w:val="20"/>
          <w:szCs w:val="20"/>
          <w:color w:val="auto"/>
        </w:rPr>
        <w:tab/>
      </w:r>
      <w:r>
        <w:rPr>
          <w:rFonts w:ascii="Times New Roman" w:cs="Times New Roman" w:eastAsia="Times New Roman" w:hAnsi="Times New Roman"/>
          <w:sz w:val="17"/>
          <w:szCs w:val="17"/>
          <w:i w:val="1"/>
          <w:iCs w:val="1"/>
          <w:color w:val="auto"/>
        </w:rPr>
        <w:t>Age 78</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Timothy A. Springer, Ph.D. has served as a member of our Board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was a founder, investor and board member of Morphic Therapeutic until its acquisition by Eli Lilly &amp; Co. in 2024, and a founder, investor and former director of Scholar Rock, where he served as a director until May 2019. Dr. Springer is currently a founder and director of Tectonic Therapeutic since 2020 and Seismic Therapeutic since 2020. He is a founder and board member of the Institute for Protein Innovation since 2016 and trustee of the Marine Biological Laboratory since 2019 (both non-profit organizations). Dr. Springer is an elected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also received the Albert Lasker Basic Medical Research Award in 2022, and the Robert Koch Prize in 2023. Dr. Springer received a B.A. from the University of California, Berkeley, and a Ph.D. from Harvard University. Dr. Springer’s extensive knowledge of our business and the nanomedicine field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057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09"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PATRICK ZENNER, M.B.A.</w:t>
      </w:r>
      <w:r>
        <w:rPr>
          <w:sz w:val="20"/>
          <w:szCs w:val="20"/>
          <w:color w:val="auto"/>
        </w:rPr>
        <w:tab/>
      </w:r>
      <w:r>
        <w:rPr>
          <w:rFonts w:ascii="Times New Roman" w:cs="Times New Roman" w:eastAsia="Times New Roman" w:hAnsi="Times New Roman"/>
          <w:sz w:val="17"/>
          <w:szCs w:val="17"/>
          <w:i w:val="1"/>
          <w:iCs w:val="1"/>
          <w:color w:val="auto"/>
        </w:rPr>
        <w:t>Age 79</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Patrick Zenner, M.B.A. has served as a member of our Board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recently retired as a member of the board of trustees of Creighton University and is Chairman Emeritus of the board of trustees of Fairleigh Dickinson University. In addition, Mr. Zenner served as Chairman of the board and a director of West Pharmaceutical Services, Inc. from 2002 until May 2022.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Board’s conclusion that he should serve as a director of our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II Directors </w:t>
      </w:r>
      <w:r>
        <w:rPr>
          <w:rFonts w:ascii="Times New Roman" w:cs="Times New Roman" w:eastAsia="Times New Roman" w:hAnsi="Times New Roman"/>
          <w:sz w:val="18"/>
          <w:szCs w:val="18"/>
          <w:b w:val="1"/>
          <w:bCs w:val="1"/>
          <w:i w:val="1"/>
          <w:iCs w:val="1"/>
          <w:color w:val="auto"/>
        </w:rPr>
        <w:t>(Terms Expire at 2027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 Directors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 with Cartesian</w:t>
            </w: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Adrian Bot, M.D., Ph.D.</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top w:val="single" w:sz="8" w:color="CCEEFF"/>
            </w:tcBorders>
            <w:shd w:val="clear" w:color="auto" w:fill="CCEEFF"/>
          </w:tcPr>
          <w:p>
            <w:pPr>
              <w:spacing w:after="0"/>
              <w:rPr>
                <w:sz w:val="19"/>
                <w:szCs w:val="19"/>
                <w:color w:val="auto"/>
              </w:rPr>
            </w:pPr>
          </w:p>
        </w:tc>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Kemal Malik, M.B.B.S.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ADRIAN BOT, M.D., PH.D.</w:t>
      </w:r>
      <w:r>
        <w:rPr>
          <w:sz w:val="20"/>
          <w:szCs w:val="20"/>
          <w:color w:val="auto"/>
        </w:rPr>
        <w:tab/>
      </w:r>
      <w:r>
        <w:rPr>
          <w:rFonts w:ascii="Times New Roman" w:cs="Times New Roman" w:eastAsia="Times New Roman" w:hAnsi="Times New Roman"/>
          <w:sz w:val="17"/>
          <w:szCs w:val="17"/>
          <w:i w:val="1"/>
          <w:iCs w:val="1"/>
          <w:color w:val="auto"/>
        </w:rPr>
        <w:t>Age 58</w:t>
      </w:r>
    </w:p>
    <w:p>
      <w:pPr>
        <w:spacing w:after="0" w:line="13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Adrian Bot, M.D., Ph.D. has served on our Board since December 2025. Dr. Bot is a biopharma executive with three decades of experience in research and development with a focus on immune, cell, gene therapy and nanomedicines. From December 2021 to January 2026, he served as the founding Chief Scientific Officer and Executive Vice President of R&amp;D at Capstan Therapeutics, a company developing next generation RNA-based precision medicines. Previously, from August 2013 until December 2021, Dr. Bot served as VP, Translational Medicine and Research Head at Kite Pharma and Kite, a Gilead Company, where he also served Chief Scientific Officer from 2011 to 2013. At Kite, he contributed to the development of first-in-class chimeric antigen receptor T-cell therapy products for cancer. Dr. Bot also served in various senior R&amp;D leadership positions at MannKind Corp and Alliance Pharmaceutical Corp, La Jolla, California. He obtained his M.D. in Romania in 1993, his Ph.D. in Biomedical Sciences at Mount Sinai School of Medicine in New York in 1998 and subsequently, he was a Guest Scientist at the Scripps Research Institute in La Jolla, California. The Company believes that Dr. Bot’s extensive knowledge and experience in the fields of cell therapy and biotechnology contributed to the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6"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KEMAL MALIK, M.B.B.S.</w:t>
      </w:r>
      <w:r>
        <w:rPr>
          <w:sz w:val="20"/>
          <w:szCs w:val="20"/>
          <w:color w:val="auto"/>
        </w:rPr>
        <w:tab/>
      </w:r>
      <w:r>
        <w:rPr>
          <w:rFonts w:ascii="Times New Roman" w:cs="Times New Roman" w:eastAsia="Times New Roman" w:hAnsi="Times New Roman"/>
          <w:sz w:val="17"/>
          <w:szCs w:val="17"/>
          <w:i w:val="1"/>
          <w:iCs w:val="1"/>
          <w:color w:val="auto"/>
        </w:rPr>
        <w:t>Age 63</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Kemal Malik, M.B.B.S. has served on our Board since July 2024. Dr. Malik has served on the board of directors of Syncona Ltd. since June 2020. Dr. Malik previously served on the board of directors of Acceleron Pharma Inc. until its acquisition by Merck Sharp &amp; Dohme Corp. in 2021. From February 2014 to December 2019, Dr. Malik served on the Board of Management of Bayer AG and was responsible for Innovation and the Asia/Pacific Regions. Dr. Malik joined Bayer in 1995 as Head of Metabolism and Oncology Europe in the then Pharmaceuticals Business Group. He subsequently served as Head of Global Medical Development before being appointed Head of Global Development and a member of the Executive Committee of Bayer Healthcare AG until his appointment to the Board of Management of Bayer AG. Dr. Malik received his Bachelor of Medicine, Bachelor of Surgery from the University of London. The Company believes Dr. Malik’s extensive experience in the biotechnology and pharmaceutical industries, as well as his knowledge of cell therapies and autoimmune therapies contributed to our Board’s conclusion that he should serve as a director of our Company.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III Directors </w:t>
      </w:r>
      <w:r>
        <w:rPr>
          <w:rFonts w:ascii="Times New Roman" w:cs="Times New Roman" w:eastAsia="Times New Roman" w:hAnsi="Times New Roman"/>
          <w:sz w:val="18"/>
          <w:szCs w:val="18"/>
          <w:b w:val="1"/>
          <w:bCs w:val="1"/>
          <w:i w:val="1"/>
          <w:iCs w:val="1"/>
          <w:color w:val="auto"/>
        </w:rPr>
        <w:t>(Terms Expire at 2028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III Directors are as follows: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 with Cartesian</w:t>
            </w:r>
          </w:p>
        </w:tc>
        <w:tc>
          <w:tcPr>
            <w:tcW w:w="20" w:type="dxa"/>
            <w:vAlign w:val="bottom"/>
          </w:tcPr>
          <w:p>
            <w:pPr>
              <w:spacing w:after="0"/>
              <w:rPr>
                <w:sz w:val="20"/>
                <w:szCs w:val="20"/>
                <w:color w:val="auto"/>
              </w:rPr>
            </w:pPr>
          </w:p>
        </w:tc>
      </w:tr>
      <w:tr>
        <w:trPr>
          <w:trHeight w:val="223"/>
        </w:trPr>
        <w:tc>
          <w:tcPr>
            <w:tcW w:w="3940" w:type="dxa"/>
            <w:vAlign w:val="bottom"/>
            <w:tcBorders>
              <w:top w:val="single" w:sz="8" w:color="auto"/>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C. Barabe, M.B.A.</w:t>
            </w: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top w:val="single" w:sz="8" w:color="CFF0FC"/>
            </w:tcBorders>
            <w:shd w:val="clear" w:color="auto" w:fill="CFF0FC"/>
          </w:tcPr>
          <w:p>
            <w:pPr>
              <w:spacing w:after="0"/>
              <w:rPr>
                <w:sz w:val="19"/>
                <w:szCs w:val="19"/>
                <w:color w:val="auto"/>
              </w:rPr>
            </w:pPr>
          </w:p>
        </w:tc>
        <w:tc>
          <w:tcPr>
            <w:tcW w:w="38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19"/>
                <w:szCs w:val="19"/>
                <w:color w:val="auto"/>
              </w:rPr>
            </w:pPr>
          </w:p>
        </w:tc>
      </w:tr>
      <w:tr>
        <w:trPr>
          <w:trHeight w:val="175"/>
        </w:trPr>
        <w:tc>
          <w:tcPr>
            <w:tcW w:w="3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Carsten Brunn, Ph.D.</w:t>
            </w:r>
          </w:p>
        </w:tc>
        <w:tc>
          <w:tcPr>
            <w:tcW w:w="10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15"/>
                <w:szCs w:val="15"/>
                <w:color w:val="auto"/>
              </w:rPr>
            </w:pPr>
          </w:p>
        </w:tc>
        <w:tc>
          <w:tcPr>
            <w:tcW w:w="2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15"/>
                <w:szCs w:val="15"/>
                <w:color w:val="auto"/>
              </w:rPr>
            </w:pPr>
          </w:p>
        </w:tc>
        <w:tc>
          <w:tcPr>
            <w:tcW w:w="3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Chief Executive Officer and Chairman of</w:t>
            </w:r>
          </w:p>
        </w:tc>
        <w:tc>
          <w:tcPr>
            <w:tcW w:w="20" w:type="dxa"/>
            <w:vAlign w:val="bottom"/>
          </w:tcPr>
          <w:p>
            <w:pPr>
              <w:spacing w:after="0"/>
              <w:rPr>
                <w:sz w:val="15"/>
                <w:szCs w:val="15"/>
                <w:color w:val="auto"/>
              </w:rPr>
            </w:pPr>
          </w:p>
        </w:tc>
      </w:tr>
      <w:tr>
        <w:trPr>
          <w:trHeight w:val="239"/>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Board</w:t>
            </w:r>
          </w:p>
        </w:tc>
        <w:tc>
          <w:tcPr>
            <w:tcW w:w="20" w:type="dxa"/>
            <w:vAlign w:val="bottom"/>
          </w:tcPr>
          <w:p>
            <w:pPr>
              <w:spacing w:after="0"/>
              <w:rPr>
                <w:sz w:val="20"/>
                <w:szCs w:val="20"/>
                <w:color w:val="auto"/>
              </w:rPr>
            </w:pPr>
          </w:p>
        </w:tc>
      </w:tr>
      <w:tr>
        <w:trPr>
          <w:trHeight w:val="234"/>
        </w:trPr>
        <w:tc>
          <w:tcPr>
            <w:tcW w:w="394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Nishan de Silva, M.D., M.B.A.</w:t>
            </w:r>
          </w:p>
        </w:tc>
        <w:tc>
          <w:tcPr>
            <w:tcW w:w="10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0"/>
                <w:szCs w:val="20"/>
                <w:color w:val="auto"/>
              </w:rPr>
            </w:pPr>
          </w:p>
        </w:tc>
      </w:tr>
      <w:tr>
        <w:trPr>
          <w:trHeight w:val="405"/>
        </w:trPr>
        <w:tc>
          <w:tcPr>
            <w:tcW w:w="1124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tc>
        <w:tc>
          <w:tcPr>
            <w:tcW w:w="20" w:type="dxa"/>
            <w:vAlign w:val="bottom"/>
          </w:tcPr>
          <w:p>
            <w:pPr>
              <w:spacing w:after="0"/>
              <w:rPr>
                <w:sz w:val="24"/>
                <w:szCs w:val="24"/>
                <w:color w:val="auto"/>
              </w:rPr>
            </w:pPr>
          </w:p>
        </w:tc>
      </w:tr>
      <w:tr>
        <w:trPr>
          <w:trHeight w:val="135"/>
        </w:trPr>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23"/>
        </w:trPr>
        <w:tc>
          <w:tcPr>
            <w:tcW w:w="3940" w:type="dxa"/>
            <w:vAlign w:val="bottom"/>
            <w:tcBorders>
              <w:left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TIMOTHY C. BARABE, M.B.A.</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8"/>
                <w:szCs w:val="18"/>
                <w:i w:val="1"/>
                <w:iCs w:val="1"/>
                <w:color w:val="auto"/>
              </w:rPr>
              <w:t>Age 73</w:t>
            </w:r>
          </w:p>
        </w:tc>
        <w:tc>
          <w:tcPr>
            <w:tcW w:w="20" w:type="dxa"/>
            <w:vAlign w:val="bottom"/>
            <w:tcBorders>
              <w:bottom w:val="single" w:sz="8" w:color="auto"/>
            </w:tcBorders>
            <w:shd w:val="clear" w:color="auto" w:fill="000000"/>
          </w:tcPr>
          <w:p>
            <w:pPr>
              <w:spacing w:after="0"/>
              <w:rPr>
                <w:sz w:val="19"/>
                <w:szCs w:val="19"/>
                <w:color w:val="auto"/>
              </w:rPr>
            </w:pPr>
          </w:p>
        </w:tc>
      </w:tr>
    </w:tbl>
    <w:p>
      <w:pPr>
        <w:spacing w:after="0" w:line="9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Timothy C. Barabe, M.B.A. has served as a member of our Board since July 2016. 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 2014 to 2017, Mr. Barabe served on the board of directors of Opexa Therapeutics,</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057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1"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CARSTEN BRUNN, PH.D.</w:t>
      </w:r>
      <w:r>
        <w:rPr>
          <w:sz w:val="20"/>
          <w:szCs w:val="20"/>
          <w:color w:val="auto"/>
        </w:rPr>
        <w:tab/>
      </w:r>
      <w:r>
        <w:rPr>
          <w:rFonts w:ascii="Times New Roman" w:cs="Times New Roman" w:eastAsia="Times New Roman" w:hAnsi="Times New Roman"/>
          <w:sz w:val="17"/>
          <w:szCs w:val="17"/>
          <w:i w:val="1"/>
          <w:iCs w:val="1"/>
          <w:color w:val="auto"/>
        </w:rPr>
        <w:t>Age 55</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Carsten Brunn, Ph.D. has served as our President, Chief Executive Officer and member of our Board since December 2018, and as Chairman of the Board of the Company since October 2025. Dr. Brunn previously served as a member of the Board of Directors of Surface Oncology, Inc., a public oncology company, from June 2022 until September 2023. Prior to joining Cartesian Therapeutics,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also currently serves on the board of directors of the Biotechnology Innovation Organization (BIO), a private organization.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05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2"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NISHAN DE SILVA, M.D., M.B.A.</w:t>
      </w:r>
      <w:r>
        <w:rPr>
          <w:sz w:val="20"/>
          <w:szCs w:val="20"/>
          <w:color w:val="auto"/>
        </w:rPr>
        <w:tab/>
      </w:r>
      <w:r>
        <w:rPr>
          <w:rFonts w:ascii="Times New Roman" w:cs="Times New Roman" w:eastAsia="Times New Roman" w:hAnsi="Times New Roman"/>
          <w:sz w:val="17"/>
          <w:szCs w:val="17"/>
          <w:i w:val="1"/>
          <w:iCs w:val="1"/>
          <w:color w:val="auto"/>
        </w:rPr>
        <w:t>Age 53</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Nishan de Silva, M.D., M.B.A. has served as a member of our Board since June 2021. Since 2026, Dr. de Silva has served as a member of the board of directors of Ichnos Glenmark Innovation, a private biotechnology company. Dr. de Silva most recently served as Chief Executive Officer of Radionetics Oncology, a private company, from March 2022 to July 2023.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Dr. de Silva also previously served on the board of directors at CONNECT, a private organization, until November 2019.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finance, autoimmune therapies and clinical development contributed to our Board’s conclusion that he should serve as a director of our Company.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 Non-Binding, Advisory Approval of Compensation of Named Executive Officers</w:t>
      </w:r>
    </w:p>
    <w:p>
      <w:pPr>
        <w:spacing w:after="0" w:line="200" w:lineRule="exact"/>
        <w:rPr>
          <w:sz w:val="20"/>
          <w:szCs w:val="20"/>
          <w:color w:val="auto"/>
        </w:rPr>
      </w:pPr>
    </w:p>
    <w:p>
      <w:pPr>
        <w:spacing w:after="0" w:line="272"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are providing our stockholders with the opportunity to cast a non-binding, advisory vote regarding the compensation of our named executive officers as required pursuant to Section 14A of the Securities Exchange Act of 1934, as amended (the “Exchange Act”). At the 2022 Annual Meeting of Shareholders, our stockholders voted to hold advisory votes on an annual basis, and the Board subsequently adopted a resolution providing for such an annual vote.</w:t>
      </w:r>
    </w:p>
    <w:p>
      <w:pPr>
        <w:spacing w:after="0" w:line="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more fully described in the sections of this proxy statement entitled “Executive and Director Compensation — Executive Compensation” and “Compensation Discussion and Analysis” and related compensation tables, our executive compensation program is designed to attract, retain, and motivate talented individuals with executive expertise in the biotechnology and life sciences industries and leadership skills necessary for us to fulfill our mission to develop cell therapies for the treatment of autoimmune diseases.</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endorse or not to endorse the compensation paid to our named executive officers. The vote is not intended to address any specific item of compensation or the compensation of any particular named executive officer, but rather the overall compensation of our named executive officers and our compensation philosophy, policies and practices as discussed in this proxy statement.</w:t>
      </w:r>
    </w:p>
    <w:p>
      <w:pPr>
        <w:spacing w:after="0" w:line="68" w:lineRule="exact"/>
        <w:rPr>
          <w:sz w:val="20"/>
          <w:szCs w:val="20"/>
          <w:color w:val="auto"/>
        </w:rPr>
      </w:pPr>
    </w:p>
    <w:p>
      <w:pPr>
        <w:jc w:val="both"/>
        <w:ind w:right="1000" w:firstLine="324"/>
        <w:spacing w:after="0" w:line="282" w:lineRule="auto"/>
        <w:rPr>
          <w:sz w:val="20"/>
          <w:szCs w:val="20"/>
          <w:color w:val="auto"/>
        </w:rPr>
      </w:pPr>
      <w:r>
        <w:rPr>
          <w:rFonts w:ascii="Times New Roman" w:cs="Times New Roman" w:eastAsia="Times New Roman" w:hAnsi="Times New Roman"/>
          <w:sz w:val="18"/>
          <w:szCs w:val="18"/>
          <w:color w:val="auto"/>
        </w:rPr>
        <w:t>Before voting, we recommend you read the sections of this proxy statement entitled “Executive and Director Compensation — Executive Compensation” and “Compensation Discussion and Analysis” for additional details on our executive compensation programs and philosophy.</w:t>
      </w:r>
    </w:p>
    <w:p>
      <w:pPr>
        <w:spacing w:after="0" w:line="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or the Compensation Committee of the Board (the “Compensation Committee”). However, our Board and Compensation Committee value the opinions of our stockholders and intend to take into account the outcome of the vote when considering future compensation decisions for our named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 Ratification of Appointment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(the “Audit Committee”) has appointed Ernst &amp; Young LLP as our independent registered public accounting firm for the fiscal year ending December 31, 2026.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2025. Neither Ernst &amp; Young LLP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spacing w:after="0" w:line="72"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In the event that the appointment of Ernst &amp; Young LLP is not ratified by the stockholders, the Audit Committee will consider this fact when it appoints the independent auditors for the fiscal year ending December 31, 2027. Even if the appointment of Ernst &amp; Young LLP is ratified, the Audit Committee retains the discretion to appoint a different independent auditor at any time if it determines that such a change is in the interest of the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a vote “FOR” the ratification of the appointment of Ernst &amp; Young LLP as our independent registered public accounting firm.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200" w:lineRule="exact"/>
        <w:rPr>
          <w:sz w:val="20"/>
          <w:szCs w:val="20"/>
          <w:color w:val="auto"/>
        </w:rPr>
      </w:pPr>
    </w:p>
    <w:p>
      <w:pPr>
        <w:spacing w:after="0" w:line="27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Committee with a formal written statement required by PCAOB Rule 3526 (</w:t>
      </w:r>
      <w:r>
        <w:rPr>
          <w:rFonts w:ascii="Times New Roman" w:cs="Times New Roman" w:eastAsia="Times New Roman" w:hAnsi="Times New Roman"/>
          <w:sz w:val="18"/>
          <w:szCs w:val="18"/>
          <w:i w:val="1"/>
          <w:iCs w:val="1"/>
          <w:color w:val="auto"/>
        </w:rPr>
        <w:t>Communications with Audit Committees Concerning Independence</w:t>
      </w:r>
      <w:r>
        <w:rPr>
          <w:rFonts w:ascii="Times New Roman" w:cs="Times New Roman" w:eastAsia="Times New Roman" w:hAnsi="Times New Roman"/>
          <w:sz w:val="18"/>
          <w:szCs w:val="18"/>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Cartesian Therapeutics, Inc. The Audit Committee also considered whether the independent registered public accounting firm’s provision of certain other non-audit related services to the Company is compatible with maintaining such firm’s independence.</w:t>
      </w:r>
    </w:p>
    <w:p>
      <w:pPr>
        <w:spacing w:after="0" w:line="8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2025.</w:t>
      </w:r>
    </w:p>
    <w:p>
      <w:pPr>
        <w:spacing w:after="0" w:line="200" w:lineRule="exact"/>
        <w:rPr>
          <w:sz w:val="20"/>
          <w:szCs w:val="20"/>
          <w:color w:val="auto"/>
        </w:rPr>
      </w:pPr>
    </w:p>
    <w:p>
      <w:pPr>
        <w:spacing w:after="0" w:line="24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THE AUDIT COMMITTEE OF THE BOARD OF</w:t>
      </w:r>
    </w:p>
    <w:p>
      <w:pPr>
        <w:ind w:left="5880"/>
        <w:spacing w:after="0"/>
        <w:rPr>
          <w:sz w:val="20"/>
          <w:szCs w:val="20"/>
          <w:color w:val="auto"/>
        </w:rPr>
      </w:pPr>
      <w:r>
        <w:rPr>
          <w:rFonts w:ascii="Times New Roman" w:cs="Times New Roman" w:eastAsia="Times New Roman" w:hAnsi="Times New Roman"/>
          <w:sz w:val="18"/>
          <w:szCs w:val="18"/>
          <w:color w:val="auto"/>
        </w:rPr>
        <w:t>DIRECTORS OF CARTESIAN THERAPEUTICS, INC.</w:t>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Timothy C. Barabe, M.B.A. (Chair)</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Nishan de Silva, M.D., M.B.A.</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Patrick Zenner, M.B.A.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200" w:lineRule="exact"/>
        <w:rPr>
          <w:sz w:val="20"/>
          <w:szCs w:val="20"/>
          <w:color w:val="auto"/>
        </w:rPr>
      </w:pPr>
    </w:p>
    <w:p>
      <w:pPr>
        <w:spacing w:after="0" w:line="27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tax services and for all other services: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50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903,280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6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173,000</w:t>
            </w:r>
          </w:p>
        </w:tc>
      </w:tr>
      <w:tr>
        <w:trPr>
          <w:trHeight w:val="229"/>
        </w:trPr>
        <w:tc>
          <w:tcPr>
            <w:tcW w:w="6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66,195</w:t>
            </w:r>
          </w:p>
        </w:tc>
      </w:tr>
      <w:tr>
        <w:trPr>
          <w:trHeight w:val="230"/>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Fees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1,056,510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989,195</w:t>
            </w:r>
          </w:p>
        </w:tc>
      </w:tr>
      <w:tr>
        <w:trPr>
          <w:trHeight w:val="20"/>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right="180" w:hanging="328"/>
        <w:spacing w:after="0" w:line="282"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audit of our annual consolidated financial statements and the review of the interim consolidated financial statements.</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audit-related services that are normally provided in connection with registration statements.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consulting and compliance performed by Ernst &amp; Young LLP.</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2025 and 2024 were pre-approved by the Audit Committee.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23"/>
        </w:trPr>
        <w:tc>
          <w:tcPr>
            <w:tcW w:w="3960" w:type="dxa"/>
            <w:vAlign w:val="bottom"/>
            <w:tcBorders>
              <w:top w:val="single" w:sz="8" w:color="auto"/>
            </w:tcBorders>
            <w:shd w:val="clear" w:color="auto" w:fill="CFF0FC"/>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Carsten Brunn, Ph.D.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top w:val="single" w:sz="8" w:color="CFF0FC"/>
            </w:tcBorders>
            <w:shd w:val="clear" w:color="auto" w:fill="CFF0FC"/>
          </w:tcPr>
          <w:p>
            <w:pPr>
              <w:spacing w:after="0"/>
              <w:rPr>
                <w:sz w:val="19"/>
                <w:szCs w:val="19"/>
                <w:color w:val="auto"/>
              </w:rPr>
            </w:pPr>
          </w:p>
        </w:tc>
        <w:tc>
          <w:tcPr>
            <w:tcW w:w="6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40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Blaine Davis </w:t>
            </w:r>
            <w:r>
              <w:rPr>
                <w:rFonts w:ascii="Times New Roman" w:cs="Times New Roman" w:eastAsia="Times New Roman" w:hAnsi="Times New Roman"/>
                <w:sz w:val="23"/>
                <w:szCs w:val="23"/>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4080" w:type="dxa"/>
            <w:vAlign w:val="bottom"/>
            <w:gridSpan w:val="2"/>
            <w:shd w:val="clear" w:color="auto" w:fill="CFF0FC"/>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Milos Miljkovic, M.D. </w:t>
            </w:r>
            <w:r>
              <w:rPr>
                <w:rFonts w:ascii="Times New Roman" w:cs="Times New Roman" w:eastAsia="Times New Roman" w:hAnsi="Times New Roman"/>
                <w:sz w:val="23"/>
                <w:szCs w:val="23"/>
                <w:color w:val="auto"/>
                <w:vertAlign w:val="superscript"/>
              </w:rPr>
              <w:t>(3)</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shd w:val="clear" w:color="auto" w:fill="CFF0FC"/>
          </w:tcPr>
          <w:p>
            <w:pPr>
              <w:spacing w:after="0"/>
              <w:rPr>
                <w:sz w:val="19"/>
                <w:szCs w:val="19"/>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0"/>
        </w:trPr>
        <w:tc>
          <w:tcPr>
            <w:tcW w:w="40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Emily English, Ph.D. </w:t>
            </w:r>
            <w:r>
              <w:rPr>
                <w:rFonts w:ascii="Times New Roman" w:cs="Times New Roman" w:eastAsia="Times New Roman" w:hAnsi="Times New Roman"/>
                <w:sz w:val="23"/>
                <w:szCs w:val="23"/>
                <w:color w:val="auto"/>
                <w:vertAlign w:val="superscript"/>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Operations Officer</w:t>
            </w:r>
          </w:p>
        </w:tc>
      </w:tr>
      <w:tr>
        <w:trPr>
          <w:trHeight w:val="229"/>
        </w:trPr>
        <w:tc>
          <w:tcPr>
            <w:tcW w:w="4080" w:type="dxa"/>
            <w:vAlign w:val="bottom"/>
            <w:gridSpan w:val="2"/>
            <w:shd w:val="clear" w:color="auto" w:fill="CFF0FC"/>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June Seymour </w:t>
            </w:r>
            <w:r>
              <w:rPr>
                <w:rFonts w:ascii="Times New Roman" w:cs="Times New Roman" w:eastAsia="Times New Roman" w:hAnsi="Times New Roman"/>
                <w:sz w:val="23"/>
                <w:szCs w:val="23"/>
                <w:color w:val="auto"/>
                <w:vertAlign w:val="superscript"/>
              </w:rPr>
              <w:t>(5)</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FF0FC"/>
          </w:tcPr>
          <w:p>
            <w:pPr>
              <w:spacing w:after="0"/>
              <w:rPr>
                <w:sz w:val="19"/>
                <w:szCs w:val="19"/>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11" w:lineRule="exact"/>
        <w:rPr>
          <w:sz w:val="20"/>
          <w:szCs w:val="20"/>
          <w:color w:val="auto"/>
        </w:rPr>
      </w:pPr>
    </w:p>
    <w:p>
      <w:pPr>
        <w:ind w:left="440" w:hanging="108"/>
        <w:spacing w:after="0"/>
        <w:tabs>
          <w:tab w:leader="none" w:pos="4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biography on page </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auto"/>
        </w:rPr>
        <w:t xml:space="preserve"> of this proxy statement.</w:t>
      </w:r>
    </w:p>
    <w:p>
      <w:pPr>
        <w:spacing w:after="0" w:line="90" w:lineRule="exact"/>
        <w:rPr>
          <w:sz w:val="20"/>
          <w:szCs w:val="20"/>
          <w:color w:val="auto"/>
        </w:rPr>
      </w:pPr>
    </w:p>
    <w:p>
      <w:pPr>
        <w:ind w:right="100" w:firstLine="332"/>
        <w:spacing w:after="0" w:line="244" w:lineRule="auto"/>
        <w:tabs>
          <w:tab w:leader="none" w:pos="42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Blaine Davis has served as our Chief Financial Officer since November 2022. Prior to joining the Company, Mr. Davis served as Chief Financial Officer at Protara Therapeutics, Inc., a publicly-traded biotechnology company, from February 2020 to September 2022. Before joining Protara Therapeutics, Inc., Mr. Davis served as Vice President, Head of Investor Relations &amp; Corporate Communications for Insmed Incorporated from July 2017 to January 2020. Previously, Mr. Davis held multiple executive leadership positions at Endo International plc, including Senior Vice President and General Manager, Specialty Pharmaceuticals; President of Endo Ventures; and Senior Vice President, Investor Relations and Corporate Communications. Prior to his tenure at Endo International plc, Mr. Davis held senior positions in corporate and business development and investor relations at Bristol-Myers Squibb Company. Mr. Davis holds a B.A. in Biology and Psychology with a minor in Economics from Middlebury College.</w:t>
      </w:r>
    </w:p>
    <w:p>
      <w:pPr>
        <w:spacing w:after="0" w:line="89" w:lineRule="exact"/>
        <w:rPr>
          <w:sz w:val="20"/>
          <w:szCs w:val="20"/>
          <w:color w:val="auto"/>
        </w:rPr>
      </w:pPr>
    </w:p>
    <w:p>
      <w:pPr>
        <w:ind w:right="100" w:firstLine="332"/>
        <w:spacing w:after="0" w:line="243" w:lineRule="auto"/>
        <w:tabs>
          <w:tab w:leader="none" w:pos="412"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Milos Miljkovic, M.D. has served as the Chief Medical Officer of the Company since November 2023. He is board-certified in hematology, medical oncology, and internal medicine. Prior to serving as Old Cartesian’s Chief Medical Officer from 2021 to November 2023, he served at the National Cancer Institute as an Assistant Research Physician from 2017 to 2021, Chief Fellow, Hematology/Oncology from 2016 to 2017 and as a Clinical Fellow, Hematology/Oncology from 2014 to 2017. While working at the National Cancer Institute, Dr. Miljkovic specialized in early-stage trials in immuno-oncology. He is currently a Special Volunteer at the National Cancer Institute’s Lymphoid Malignancies Branch. He also works as an Instructor at University of Maryland Baltimore County, where he co-leads an introductory course in clinical trials for the UMBC graduate program in bioengineering.</w:t>
      </w:r>
    </w:p>
    <w:p>
      <w:pPr>
        <w:spacing w:after="0" w:line="88" w:lineRule="exact"/>
        <w:rPr>
          <w:sz w:val="20"/>
          <w:szCs w:val="20"/>
          <w:color w:val="auto"/>
        </w:rPr>
      </w:pPr>
    </w:p>
    <w:p>
      <w:pPr>
        <w:ind w:right="60" w:firstLine="332"/>
        <w:spacing w:after="0" w:line="245" w:lineRule="auto"/>
        <w:tabs>
          <w:tab w:leader="none" w:pos="412"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Emily English, Ph.D. has served as the Chief Operations Officer since January 2025. Prior to serving in this role, she served as Senior Vice President, Head of Manufacturing Operations of the Company since April 2024, and as its Vice President, Quality from November 2023 to April 2024. Dr. English served as Vice President, Quality at Old Cartesian from December 2022 to November 2023, and had previously served as Old Cartesian’s Senior Director, Quality, from December 2021 to December 2022, and its Director, Quality from April 2021 to December 2021. Dr. English served as Venture Partner at Baltimore Venture Partners, a private investment firm, from August 2020 to April 2021. She also served as Chief Executive Officer of Gemstone Biotherapeutics, a private biotechnology company, from June 2018 to June 2020, and as Chief Operating Officer at Gemstone from June 2017 to May 2018. Dr. English also served on the Board of Directors of the BioTechnical Institute of Maryland, Inc. from December 2018 to June 2021, and served on the advisory board of the University of Maryland’s Department of Bioengineering from July 2019 to June 2021. Dr. English holds a bachelor’s of science degree in Chemistry from the University of Maryland, and a Ph.D. in Chemistry from the University of Wisconsin-Madison.</w:t>
      </w:r>
    </w:p>
    <w:p>
      <w:pPr>
        <w:spacing w:after="0" w:line="62" w:lineRule="exact"/>
        <w:rPr>
          <w:sz w:val="20"/>
          <w:szCs w:val="20"/>
          <w:color w:val="auto"/>
        </w:rPr>
      </w:pPr>
    </w:p>
    <w:p>
      <w:pPr>
        <w:ind w:left="420" w:hanging="88"/>
        <w:spacing w:after="0"/>
        <w:tabs>
          <w:tab w:leader="none" w:pos="4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June Seymour has served as the Chief Accounting Officer since October 2025. Prior to serving in this role, she served as Senior Vice President,</w:t>
      </w:r>
    </w:p>
    <w:p>
      <w:pPr>
        <w:spacing w:after="0" w:line="1" w:lineRule="exact"/>
        <w:rPr>
          <w:rFonts w:ascii="Times New Roman" w:cs="Times New Roman" w:eastAsia="Times New Roman" w:hAnsi="Times New Roman"/>
          <w:sz w:val="23"/>
          <w:szCs w:val="23"/>
          <w:color w:val="auto"/>
          <w:vertAlign w:val="superscript"/>
        </w:rPr>
      </w:pPr>
    </w:p>
    <w:p>
      <w:pPr>
        <w:ind w:right="60"/>
        <w:spacing w:after="0" w:line="25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Finance and Accounting at DNAnexus, Inc. since May 2024, and prior to that was Vice President, Finance at Neogene Therapeutics Inc., where she led her team through the company’s sale to AstraZeneca and post-acquisition integration between January 2022 and May 2024. From 2019 to 2022, Ms. Seymour held roles of increasing responsibility at Autolus Ltd., including Executive Director, Finance, and Senior Director, Financial Reporting. Earlier in her career, from 2003 to 2019, she was a Senior Manager at Ernst &amp; Young LLP in London, specializing in U.S. transactions involving European life sciences companies. Ms. Seymour holds a Bachelor of Science in Business Administration and Accountancy from Methodist University and is a Certified Public Accountant.</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executive officers are related to any other executive officer or to any of our directors.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Board has adopted Corporate Governance Guidelines, a Code of Business Conduct and Ethics and charters for the Nominating and Corporate Governance Committee of our Board (the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page of our website located at www.cartesiantherapeutics.com, or by writing to our Secretary at our offices at 7495 New Horizon Way, Frederick, Maryland 21703. The information contained on our website, and in all references to our website within this proxy statement, shall not be deemed incorporated by reference in this proxy statement or in any other filing we make under Exchange Act.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Board currently consists of eight members: Timothy C. Barabe, M.B.A., Adrian Bot, M.D., Ph.D., Carsten Brunn, Ph.D., Nishan de Silva, M.D., M.B.A., Kemal Malik, M.B.B.S., Michael Singer, M.D., Ph.D., Timothy A. Springer, Ph.D. and Patrick Zenner, M.B.A. As set forth in our Charter,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Charter and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signed on November 13, 2023 between the Company, Old Cartesian, Sakura Merger Sub I, Inc., and Sekura Merger Sub II, LLC (the “Merger Agreement”), an entity affiliated with Murat Kalayoglu, M.D., Ph.D., our former director, was granted a right to designate one individual (initially, Dr. Kalayoglu) to be appointed to the Board for so long as such entity, collectively with its affiliates, directly or indirectly, holds at least 15% of the then-outstanding shares of Common Stock (assuming for such purposes that the conversion of our Series A Non-Voting Convertible Preferred Stock, par value $0.0001 per share (“Series A Preferred Stock”) into Common Stock, without regard to the application of any beneficial ownership limitation on such conversion, has occurred). The automatic conversion of the majority of our Series A Preferred Stock into Common Stock (the “Automatic Conversion”) occurred on April 8,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08"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All of our directors , including our former directors Carrie Cox and Murat Kalayoglu, M.D., Ph.D., and Class I director nominees, other than Carsten Brunn, Ph.D., qualify as “independent” in accordance with the listing requirements of The Nasdaq Stock Market, LLC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Dr. Brunn is not independent because he is the President and Chief Executive Officer of Cartesian. There are no family relationships among any of our directors or executive officers.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All of our Class I director nominees were recommended by the Nominating and Corporate Governance Committee.</w:t>
      </w:r>
    </w:p>
    <w:p>
      <w:pPr>
        <w:spacing w:after="0" w:line="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Cartesian Therapeutics, Inc., 7495 New Horizon Way, Frederick, Maryland 21703.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Cartesian Therapeutics, Inc., 7495 New Horizon Way, Frederick, Maryland 21703.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combined with the role of Chief Executive Officer, with Carsten Brunn, Ph.D. serving as both Chairman of the Board and Chief Executive Officer, following Carrie Cox’s resignation from the Board in October 2025.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combining the positions of Chairman and Chief Executive Officer was appropriate for the Company at this time.</w:t>
      </w:r>
    </w:p>
    <w:p>
      <w:pPr>
        <w:spacing w:after="0" w:line="8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When the Chairman of the Board is a member of management or does not otherwise qualify as independent, our Corporate Governance Guidelines provide for the appointment by the independent directors of a lead director. The Company’s lead director is Patrick Zenner, M.B.A. The lead director’s responsibilities include, but are not be limited to, presiding over all meetings of the Board at which the Chairman of the Board is not present, including any executive sessions of the independent directors, approving the Board’s meeting schedules and agendas, and acting as liaison between the independent directors of the Board and the Chief Executive Officer and Chairman of the Board. Our Board is comprised of individuals with extensive experience in the biotechnology and pharmaceutical industries and, with the exception of Dr. Brunn, is comprised of directors who meet the independence standards of Nasdaq. For these reasons and because of the strong leadership of Dr. Brunn as President, Chief Executive Officer and Chairman of the Board, our Board has concluded that our current leadership structure is appropriate at this time. However, our Board will continue to periodically review our leadership structure and may make such changes in the future as it deems appropriate.</w:t>
      </w:r>
    </w:p>
    <w:p>
      <w:pPr>
        <w:spacing w:after="0" w:line="80"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including business continuity risks,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12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require the Nominating and Corporate Governance Committee to periodically oversee an assessment of the Board and its committees.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of Business Conduct and Ethics is posted on our website, www.cartesiantherapeutics.com. In addition, we intend to post on our website all disclosures that are required by law or the rules of Nasdaq concerning any amendments to, or waivers from, any provision of the Code of Business Conduct and Ethics.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Commitment</w:t>
      </w:r>
    </w:p>
    <w:p>
      <w:pPr>
        <w:spacing w:after="0" w:line="108"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Board diversity and inclusion is critical to the success of Cartesian. Our Board is committed to ensuring its membership has sufficient diversity of expertise, experience, background and perspective to support the long-term success of the Company. As presently constituted, the Board represents a deliberate mix of members who have a deep understanding of our business as well as members who have different skill sets and points of view on substantive matters pertaining to the Company’s business. Our nomination process and our Board’s approach to assessment and evaluation of our nominees support our commitment to diversity and inclusion.</w:t>
      </w:r>
    </w:p>
    <w:p>
      <w:pPr>
        <w:spacing w:after="0" w:line="9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The Board continually assesses the size and the mix of experiences and backgrounds of its members, including gender, ethnic, and racial composition. Cartesian evaluates the effectiveness of this policy through annual self-evaluations completed by the Board and each of its committees.</w:t>
      </w:r>
    </w:p>
    <w:p>
      <w:pPr>
        <w:spacing w:after="0" w:line="7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Board firmly believes that it plays a key role in the oversight of Cartesian’s culture and in holding management accountable for the creation and stewardship of that culture. The Board regularly receives updates from management related to the Company’s people and culture, including key statistics related to employee demographics and turnover, updates on key personnel additions or changes within the company’s individual departments, and substantive updates on the Company’s developing culture and company engagements. Additionally, the Board believes an engaged and empowered workforce contributes significantly to the creation of stockholder value.</w:t>
      </w:r>
    </w:p>
    <w:p>
      <w:pPr>
        <w:spacing w:after="0" w:line="75"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In evaluating the suitability of individual candidates for internal positions and to serve on our Board, Cartesian is proud to consider many factors, including diversity of expertise and experience in substantive matters pertaining to our company’s business, as well as diversity of background and perspective, including, but not limited to, with respect to age, gender, race, sexual orientation, religion, and relevant experience.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Board has adopted an Insider Trading Policy, which applies to all of our directors, officers and employees. The Insider Trading Policy prohibits our directors, officers and employees and any entities they control from engaging in all hedging or monetization transactions, such as zero-cost collars and forward sale contracts.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By Members Of The Board At Meetings</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There were thirteen meetings of the Board during the fiscal year ended December 31, 2025. Our independent directors also held regularly scheduled executive sessions. During the fiscal year ended December 31, 2025, each director attended at least 75% of the aggregate of (i) all meetings of the Board and (ii) all meetings of the committees on which the director served, in each case during the period in which he or she served as a director.</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our Corporate Governance Guidelines, which are available on the “Corporate Governance” section of the “Investors” page of our website at www.cartesiantherapeutics.com,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directors attended the 2025 Annual Meeting of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Board has established four standing committees—Audit, Compensation, Nominating and Corporate Governance, and Science and Technology.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each of the Board committees and committee Chairs are set forth in the following chart.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Science and</w:t>
            </w:r>
          </w:p>
        </w:tc>
        <w:tc>
          <w:tcPr>
            <w:tcW w:w="0" w:type="dxa"/>
            <w:vAlign w:val="bottom"/>
          </w:tcPr>
          <w:p>
            <w:pPr>
              <w:spacing w:after="0"/>
              <w:rPr>
                <w:sz w:val="1"/>
                <w:szCs w:val="1"/>
                <w:color w:val="auto"/>
              </w:rPr>
            </w:pPr>
          </w:p>
        </w:tc>
      </w:tr>
      <w:tr>
        <w:trPr>
          <w:trHeight w:val="175"/>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gridSpan w:val="2"/>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C. Barabe, M.B.A.</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Adrian Bot, M.D., Ph.D.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Nishan de Silva, M.D., M.B.A.</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Kemal Malik, M.B.B.S.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Singer, M.D., Ph.D.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A. Springer, Ph.D.</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Zenner, M.B.A.</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765"/>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03" w:lineRule="exact"/>
        <w:rPr>
          <w:rFonts w:ascii="Times New Roman" w:cs="Times New Roman" w:eastAsia="Times New Roman" w:hAnsi="Times New Roman"/>
          <w:sz w:val="18"/>
          <w:szCs w:val="18"/>
          <w:color w:val="auto"/>
        </w:rPr>
      </w:pPr>
    </w:p>
    <w:p>
      <w:pPr>
        <w:ind w:left="660" w:right="74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 and conducting regular risk assessments related to all matters affecting the enterprise, including cybersecurity, and receives periodic reports on our cybersecurity risks and activities;</w:t>
      </w:r>
    </w:p>
    <w:p>
      <w:pPr>
        <w:spacing w:after="0" w:line="6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preparing the audit committee report required by the SEC rules (which is included on page </w:t>
      </w:r>
      <w:r>
        <w:rPr>
          <w:rFonts w:ascii="Times New Roman" w:cs="Times New Roman" w:eastAsia="Times New Roman" w:hAnsi="Times New Roman"/>
          <w:sz w:val="18"/>
          <w:szCs w:val="18"/>
          <w:u w:val="single" w:color="auto"/>
          <w:color w:val="0000FF"/>
        </w:rPr>
        <w:t>13</w:t>
      </w:r>
      <w:r>
        <w:rPr>
          <w:rFonts w:ascii="Times New Roman" w:cs="Times New Roman" w:eastAsia="Times New Roman" w:hAnsi="Times New Roman"/>
          <w:sz w:val="18"/>
          <w:szCs w:val="18"/>
          <w:color w:val="auto"/>
        </w:rPr>
        <w:t xml:space="preserve"> of this proxy statement).</w:t>
      </w:r>
    </w:p>
    <w:p>
      <w:pPr>
        <w:spacing w:after="0" w:line="104"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The Audit Committee charter is available on the “Corporate Governance” section of the “Investors” page of our website at www.cartesiantherapeutics.com. The members of the Audit Committee are Timothy C. Barabe, M.B.A., Nishan de Silva, M.D., M.B.A, and Patrick Zenner,</w:t>
      </w:r>
    </w:p>
    <w:p>
      <w:pPr>
        <w:spacing w:after="0" w:line="1"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18"/>
          <w:szCs w:val="18"/>
          <w:color w:val="auto"/>
        </w:rPr>
        <w:t>M.B.A. Mr. Barabe serves as the Chairman of the Audit Committee. Former director Ms. Cox served as a member of the Audit Committee until her resignation in October 2025. Our Board has affirmatively determined that each of Mr. Barabe, Dr. de Silva, Mr. Zenner and Ms. Cox is independent for purposes of serving on an audit committee under Rule 10A-3 promulgated under the Exchange Act and the Nasdaq rules. The members of our Audit Committee meet the requirements for financial literacy under the applicable rules of Nasdaq. Our Board has determined that each of Mr. Barabe and Mr. Zenner qualifies as an “audit committee financial expert” as defined by Item 407(d)(5)(ii) of Regulation S-K.</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2025, the Audit Committee met seven times.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Chief Executive Officer compensation;</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the compensation of our Chief Executive Officer and other executive officers;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 and equity incentive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if required by SEC rules.</w:t>
      </w:r>
    </w:p>
    <w:p>
      <w:pPr>
        <w:spacing w:after="0" w:line="11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retain or obtain the advice of compensation consultants, legal counsel and other advisors to assist it in carrying out its responsibilities.</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as further described in its charter, which is available on the “Corporate Governance” section of the “Investors” page of our website at www.cartesiantherapeutics.com. The Compensation Committee may also delegate to an officer the authority to grant equity awards to certain employees, as further described in its charter and subject to the terms of our equity plans.</w:t>
      </w:r>
    </w:p>
    <w:p>
      <w:pPr>
        <w:spacing w:after="0" w:line="7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2025, the Compensation Committee engaged Compensia, Inc. (“Compensia”), a compensation consulting firm, to assess and make recommendations with respect to the amount and types of compensation to provide our executives and directors. Compensia reported directly to the Compensation Committee; however, our Chief Executive Officer consulted with Compensia with respect to its assessments of the compensation of executive officers other than the Chief Executive Officer. The Compensation Committee reviewed compensation assessments provided by Compensia comparing our compensation to that of a group of peer companies within our industry and met with Compensia to discuss compensation of our executive officers and our Board, including the Chief Executive Officer, and to receive input and advice. The Compensation Committee has considered the adviser independence factors required under SEC rules as they relate to Compensia and does not believe Compensia’s prior work in 2024 or work in 2025 raised a conflict of interest.</w:t>
      </w:r>
    </w:p>
    <w:p>
      <w:pPr>
        <w:spacing w:after="0" w:line="8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uses competitive compensation data from an annual total compensation study of peer companies performed by Compensia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67" w:lineRule="exact"/>
        <w:rPr>
          <w:sz w:val="20"/>
          <w:szCs w:val="20"/>
          <w:color w:val="auto"/>
        </w:rPr>
      </w:pPr>
    </w:p>
    <w:p>
      <w:pPr>
        <w:ind w:right="180" w:firstLine="324"/>
        <w:spacing w:after="0" w:line="214" w:lineRule="exact"/>
        <w:rPr>
          <w:sz w:val="20"/>
          <w:szCs w:val="20"/>
          <w:color w:val="auto"/>
        </w:rPr>
      </w:pPr>
      <w:r>
        <w:rPr>
          <w:rFonts w:ascii="Times New Roman" w:cs="Times New Roman" w:eastAsia="Times New Roman" w:hAnsi="Times New Roman"/>
          <w:sz w:val="18"/>
          <w:szCs w:val="18"/>
          <w:color w:val="auto"/>
        </w:rPr>
        <w:t>The members of the Compensation Committee are Nishan de Silva, M.D., MBA, Kemal Malik, M.B.B.S., and Patrick Zenner, M.B.A. Kemal Malik, M.B.B.S. serves as Chairman of the Compensation Committee. Former director Ms. Cox served as Chairman of the Compensation Committee until her resignation in October 2025. Our Board has determined that each of Dr. de Silva, Dr. Malik, Mr. Zenner and Ms. Cox is independent under the applicable SEC and Nasdaq rules, including the heightened standard for independence specific to members of a compensation committee, and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as defined in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promulgated under the Exchange Act.</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2025, the Compensation Committee met six times.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board committee;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principles;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assessment of our Board.</w:t>
      </w:r>
    </w:p>
    <w:p>
      <w:pPr>
        <w:spacing w:after="0" w:line="104"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on the “Corporate Governance” section of the “Investors” page of our website at www.cartesiantherapeutics.com. The members of the Nominating and Corporate Governance Committee are Timothy C. Barabe, M.B.A., Michael Singer, M.D., Ph.D., Timothy A Springer, Ph.D., and Patrick Zenner, M.B.A. Mr. Zenner serves as the Chairman of the Nominating and Corporate Governance Committee. Former director Dr. Kalayoglu served as a member of the Nominating and Corporate Governance Committee until his resignation in March 2026. Our Board has determined that each of Mr. Barabe, Dr. Singer, Dr. Springer, Mr. Zenner and Dr. Kalayoglu is independent under the applicable Nasdaq rules.</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2025, the Nominating and Corporate Governance Committee met four times.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Science and Technology Committee</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Science and Technology Committee of the Board does not maintain a charter in order to preserve maximum flexibility for its activities. Some of the activities undertaken by the Science and Technology Committee include:</w:t>
      </w:r>
    </w:p>
    <w:p>
      <w:pPr>
        <w:spacing w:after="0" w:line="54" w:lineRule="exact"/>
        <w:rPr>
          <w:sz w:val="20"/>
          <w:szCs w:val="20"/>
          <w:color w:val="auto"/>
        </w:rPr>
      </w:pPr>
    </w:p>
    <w:p>
      <w:pPr>
        <w:ind w:left="660" w:right="2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research and development strategy as well as the Company’s long-term strategic goals and objectives, and monitoring the Company’s progress in achieving such goals and objectives;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scientific, technological, and research and development matters, and on strategic issues associated with the Company’s product pipeline and technology;</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quality, direction, and competitiveness of the Company’s research and development programs, and product pipeline;</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organization, resources and capabilities of the Company’s research, analytical, chemistry, manufacturing, and controls, and clinical departments;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strategies and approaches to acquiring, in licensing, out licensing, and maintaining innovation and technology positions;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the scientific, medical, and technical aspects of significant acquisitions, in licenses, out licenses, and other strategic business development transactions;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53"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Board, and the committees of the Board, as requested, with regard to performance and succession planning of the Company’s officers and other leadership of the research and development, manufacturing, medical, and other technical or scientific functions within the Company;</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opining on the strategy for the Company’s intellectual property portfolio;</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counsel and know-how to the Company’s management in the area of research and development and the Company’s product pipeline and technology;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other tasks or providing other advice related to the Company’s product pipeline and technology as may be requested by the Board.</w:t>
      </w:r>
    </w:p>
    <w:p>
      <w:pPr>
        <w:spacing w:after="0" w:line="11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members of the Science and Technology Committee are Adrian Bot, M.D., Ph.D., Kemal Malik, M.B.B.S., Michael Singer, M.D., Ph.D., and Timothy A. Springer, Ph.D. Dr. Bot serves as the Chairman of the Science and Technology Committee.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2025, the Science and Technology Committee met five times.</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08" w:lineRule="exact"/>
        <w:rPr>
          <w:sz w:val="20"/>
          <w:szCs w:val="20"/>
          <w:color w:val="auto"/>
        </w:rPr>
      </w:pPr>
    </w:p>
    <w:p>
      <w:pPr>
        <w:ind w:right="60" w:firstLine="324"/>
        <w:spacing w:after="0"/>
        <w:rPr>
          <w:sz w:val="20"/>
          <w:szCs w:val="20"/>
          <w:color w:val="auto"/>
        </w:rPr>
      </w:pPr>
      <w:r>
        <w:rPr>
          <w:rFonts w:ascii="Times New Roman" w:cs="Times New Roman" w:eastAsia="Times New Roman" w:hAnsi="Times New Roman"/>
          <w:sz w:val="18"/>
          <w:szCs w:val="18"/>
          <w:color w:val="auto"/>
        </w:rPr>
        <w:t>This Compensation Discussion and Analysis is intended to assist our stockholders in understanding our executive compensation program by providing an overview of our executive compensation-related policies, practices, and decisions for 2025. It also explains how we determined the material elements of compensation for our principal executive officer, the two executive officers (other than our principal executive officer) who were our most highly compensated currently serving executive officers for the year ended December 31, 2025, and the two executive officers who would have been among our two most highly compensated executive officers for the year ended December 31, 2025 but for the fact that such individuals were not serving as executive officers at the end of the year ended December 31, 2025, whom we refer to collectively as our “Named Executive Officers.” For 2025, our Named Executive Officers were:</w:t>
      </w:r>
    </w:p>
    <w:p>
      <w:pPr>
        <w:spacing w:after="0" w:line="7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Chief Executive Officer (our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Blaine Davis, our Chief Financial Officer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Milos Miljkovic, M.D., our Chief Medical Officer;</w:t>
      </w:r>
    </w:p>
    <w:p>
      <w:pPr>
        <w:spacing w:after="0" w:line="117"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Jewell, Ph.D., our former Chief Scientific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Metin Kurtoglu, M.D., Ph.D., our former Chief Technology Officer.</w:t>
      </w:r>
    </w:p>
    <w:p>
      <w:pPr>
        <w:spacing w:after="0" w:line="11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arrived at the specific compensation decisions for our executive officers, including our Named Executive Officers, in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160" w:firstLine="324"/>
        <w:spacing w:after="0" w:line="245" w:lineRule="auto"/>
        <w:rPr>
          <w:sz w:val="20"/>
          <w:szCs w:val="20"/>
          <w:color w:val="auto"/>
        </w:rPr>
      </w:pPr>
      <w:r>
        <w:rPr>
          <w:rFonts w:ascii="Times New Roman" w:cs="Times New Roman" w:eastAsia="Times New Roman" w:hAnsi="Times New Roman"/>
          <w:sz w:val="18"/>
          <w:szCs w:val="18"/>
          <w:color w:val="auto"/>
        </w:rPr>
        <w:t>We are a late clinical-stage company pioneering cell therapy for the treatment of autoimmune diseases. Our lead asset, Descartes-08, is an autologous anti-B cell maturation antigen chimeric antigen receptor T-cell therapy in Phase 3 clinical development for patients with generalized myasthenia gravis (“MG”) and in Phase 1/2 clinical development of juvenile dermatomyositis with plans to initiate a Phase 2 trial in myositis, specifically dermatomyositis and antisynthetase syndrome in the first half of 2026.</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Business Highlights</w:t>
      </w:r>
    </w:p>
    <w:p>
      <w:pPr>
        <w:spacing w:after="0" w:line="121" w:lineRule="exact"/>
        <w:rPr>
          <w:sz w:val="20"/>
          <w:szCs w:val="20"/>
          <w:color w:val="auto"/>
        </w:rPr>
      </w:pPr>
    </w:p>
    <w:p>
      <w:pPr>
        <w:ind w:left="660" w:right="5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we announced that we received written agreement from the U.S. Food and Drug Administration under the Special Protocol Assessment process on the overall design of our Phase 3 AURORA trial for Descartes-08 in patients with MG.</w:t>
      </w:r>
    </w:p>
    <w:p>
      <w:pPr>
        <w:spacing w:after="0" w:line="53"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we announced 12-month efficacy and safety data from the Phase 2b trial of Descartes-08 in participants with MG, where we observed that participants dosed with a single six-week course of treatment of Descartes-08 continued to experience a sustained benefit in symptoms of MG at the 12-month assessment.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we announced that the first participant was enrolled in our Phase 3 AURORA trial of Descartes-08 in patients with MG.</w:t>
      </w:r>
    </w:p>
    <w:p>
      <w:pPr>
        <w:spacing w:after="0" w:line="11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announced positive initial data from our Phase 2 open-label trial of Descartes-08 in patients with systemic lupus erythematosus (“SLE”). Despite the positive data observed in SLE, the Company chose to pause further development in this indication in order to prioritize the opportunities in MG and myositis.</w:t>
      </w: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Executive Compensation Highlights</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Consistent with our performance and compensation philosophy, the Compensation Committee took the following compensation actions for our Named Executive Officers for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 w:type="dxa"/>
            <w:vAlign w:val="bottom"/>
            <w:tcBorders>
              <w:right w:val="single" w:sz="8" w:color="auto"/>
            </w:tcBorders>
          </w:tcPr>
          <w:p>
            <w:pPr>
              <w:spacing w:after="0"/>
              <w:rPr>
                <w:sz w:val="23"/>
                <w:szCs w:val="23"/>
                <w:color w:val="auto"/>
              </w:rPr>
            </w:pPr>
          </w:p>
        </w:tc>
        <w:tc>
          <w:tcPr>
            <w:tcW w:w="2840" w:type="dxa"/>
            <w:vAlign w:val="bottom"/>
            <w:tcBorders>
              <w:top w:val="single" w:sz="8" w:color="auto"/>
              <w:right w:val="single" w:sz="8" w:color="auto"/>
            </w:tcBorders>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2025 Base Salary Increase</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Annual Bonus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2025 Annual Time-Based</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2025 Annual Time-Based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80" w:type="dxa"/>
            <w:vAlign w:val="bottom"/>
            <w:tcBorders>
              <w:right w:val="single" w:sz="8" w:color="auto"/>
            </w:tcBorders>
          </w:tcPr>
          <w:p>
            <w:pPr>
              <w:spacing w:after="0"/>
              <w:rPr>
                <w:sz w:val="8"/>
                <w:szCs w:val="8"/>
                <w:color w:val="auto"/>
              </w:rPr>
            </w:pPr>
          </w:p>
        </w:tc>
        <w:tc>
          <w:tcPr>
            <w:tcW w:w="2840" w:type="dxa"/>
            <w:vAlign w:val="bottom"/>
            <w:tcBorders>
              <w:right w:val="single" w:sz="8" w:color="auto"/>
            </w:tcBorders>
            <w:vMerge w:val="continue"/>
          </w:tcPr>
          <w:p>
            <w:pPr>
              <w:spacing w:after="0"/>
              <w:rPr>
                <w:sz w:val="8"/>
                <w:szCs w:val="8"/>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2024</w:t>
            </w:r>
          </w:p>
        </w:tc>
        <w:tc>
          <w:tcPr>
            <w:tcW w:w="2080" w:type="dxa"/>
            <w:vAlign w:val="bottom"/>
            <w:tcBorders>
              <w:right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as a Percentage of Target</w:t>
            </w:r>
          </w:p>
        </w:tc>
        <w:tc>
          <w:tcPr>
            <w:tcW w:w="2080" w:type="dxa"/>
            <w:vAlign w:val="bottom"/>
            <w:tcBorders>
              <w:right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Stock Options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RSU Awards (# of shares)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8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of shares)</w:t>
            </w:r>
          </w:p>
        </w:tc>
        <w:tc>
          <w:tcPr>
            <w:tcW w:w="208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80" w:type="dxa"/>
            <w:vAlign w:val="bottom"/>
            <w:tcBorders>
              <w:right w:val="single" w:sz="8" w:color="auto"/>
            </w:tcBorders>
          </w:tcPr>
          <w:p>
            <w:pPr>
              <w:spacing w:after="0"/>
              <w:rPr>
                <w:sz w:val="8"/>
                <w:szCs w:val="8"/>
                <w:color w:val="auto"/>
              </w:rPr>
            </w:pPr>
          </w:p>
        </w:tc>
        <w:tc>
          <w:tcPr>
            <w:tcW w:w="2840" w:type="dxa"/>
            <w:vAlign w:val="bottom"/>
            <w:tcBorders>
              <w:bottom w:val="single" w:sz="8" w:color="auto"/>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vMerge w:val="continue"/>
          </w:tcPr>
          <w:p>
            <w:pPr>
              <w:spacing w:after="0"/>
              <w:rPr>
                <w:sz w:val="8"/>
                <w:szCs w:val="8"/>
                <w:color w:val="auto"/>
              </w:rPr>
            </w:pPr>
          </w:p>
        </w:tc>
        <w:tc>
          <w:tcPr>
            <w:tcW w:w="2080" w:type="dxa"/>
            <w:vAlign w:val="bottom"/>
            <w:tcBorders>
              <w:bottom w:val="single" w:sz="8" w:color="auto"/>
              <w:right w:val="single" w:sz="8" w:color="auto"/>
            </w:tcBorders>
            <w:vMerge w:val="continue"/>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Carsten Brunn, Ph.D.</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169,100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Blaine Davis</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64,600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Milos Miljkovic, M.D.</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56,000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19,000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47,400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18"/>
                <w:szCs w:val="18"/>
                <w:color w:val="auto"/>
              </w:rPr>
              <w:t xml:space="preserve">Metin Kurtoglu, M.D., Ph.D. </w:t>
            </w:r>
            <w:r>
              <w:rPr>
                <w:rFonts w:ascii="Times New Roman" w:cs="Times New Roman" w:eastAsia="Times New Roman" w:hAnsi="Times New Roman"/>
                <w:sz w:val="23"/>
                <w:szCs w:val="23"/>
                <w:color w:val="auto"/>
                <w:vertAlign w:val="superscript"/>
              </w:rPr>
              <w:t>(2)</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47,400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80" w:type="dxa"/>
            <w:vAlign w:val="bottom"/>
          </w:tcPr>
          <w:p>
            <w:pPr>
              <w:jc w:val="right"/>
              <w:ind w:right="1254"/>
              <w:spacing w:after="0"/>
              <w:rPr>
                <w:sz w:val="20"/>
                <w:szCs w:val="20"/>
                <w:color w:val="auto"/>
              </w:rPr>
            </w:pPr>
            <w:r>
              <w:rPr>
                <w:rFonts w:ascii="Times New Roman" w:cs="Times New Roman" w:eastAsia="Times New Roman" w:hAnsi="Times New Roman"/>
                <w:sz w:val="18"/>
                <w:szCs w:val="18"/>
                <w:color w:val="auto"/>
              </w:rPr>
              <w:t>23</w:t>
            </w:r>
          </w:p>
        </w:tc>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A9A9A"/>
            </w:tcBorders>
          </w:tcPr>
          <w:p>
            <w:pPr>
              <w:spacing w:after="0"/>
              <w:rPr>
                <w:sz w:val="19"/>
                <w:szCs w:val="19"/>
                <w:color w:val="auto"/>
              </w:rPr>
            </w:pPr>
          </w:p>
        </w:tc>
        <w:tc>
          <w:tcPr>
            <w:tcW w:w="2840" w:type="dxa"/>
            <w:vAlign w:val="bottom"/>
            <w:tcBorders>
              <w:bottom w:val="single" w:sz="8" w:color="9A9A9A"/>
            </w:tcBorders>
          </w:tcPr>
          <w:p>
            <w:pPr>
              <w:spacing w:after="0"/>
              <w:rPr>
                <w:sz w:val="19"/>
                <w:szCs w:val="19"/>
                <w:color w:val="auto"/>
              </w:rPr>
            </w:pPr>
          </w:p>
        </w:tc>
        <w:tc>
          <w:tcPr>
            <w:tcW w:w="2060" w:type="dxa"/>
            <w:vAlign w:val="bottom"/>
            <w:tcBorders>
              <w:bottom w:val="single" w:sz="8" w:color="9A9A9A"/>
            </w:tcBorders>
          </w:tcPr>
          <w:p>
            <w:pPr>
              <w:spacing w:after="0"/>
              <w:rPr>
                <w:sz w:val="19"/>
                <w:szCs w:val="19"/>
                <w:color w:val="auto"/>
              </w:rPr>
            </w:pPr>
          </w:p>
        </w:tc>
        <w:tc>
          <w:tcPr>
            <w:tcW w:w="2080" w:type="dxa"/>
            <w:vAlign w:val="bottom"/>
            <w:tcBorders>
              <w:bottom w:val="single" w:sz="8" w:color="9A9A9A"/>
            </w:tcBorders>
          </w:tcPr>
          <w:p>
            <w:pPr>
              <w:spacing w:after="0"/>
              <w:rPr>
                <w:sz w:val="19"/>
                <w:szCs w:val="19"/>
                <w:color w:val="auto"/>
              </w:rPr>
            </w:pPr>
          </w:p>
        </w:tc>
        <w:tc>
          <w:tcPr>
            <w:tcW w:w="2080" w:type="dxa"/>
            <w:vAlign w:val="bottom"/>
            <w:tcBorders>
              <w:bottom w:val="single" w:sz="8" w:color="9A9A9A"/>
            </w:tcBorders>
          </w:tcPr>
          <w:p>
            <w:pPr>
              <w:spacing w:after="0"/>
              <w:rPr>
                <w:sz w:val="19"/>
                <w:szCs w:val="19"/>
                <w:color w:val="auto"/>
              </w:rPr>
            </w:pPr>
          </w:p>
        </w:tc>
        <w:tc>
          <w:tcPr>
            <w:tcW w:w="20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hanging="38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ceased to serve as our Chief Scientific Officer on November 14, 2025.</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ceased to serve as our Chief Technology Officer on May 1, 2025.</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Emphasis on Variable and Performance-Based Compensation</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annual compensation of our executive officers, including our Named Executive Officers, varies from year to year based on our corporate financial and operational results and individual performance. Our executive compensation program emphasizes “variable” pay over “fixed” pay and seeks to balance short-term and long-term incentives, as well as performance-based and time-based incentives. In 2025, the majority of the target total direct compensation of our CEO consisted of variable pay, including cash awarded under our annual bonus plan and long-term incentives in the form of equity awards for which value is likely to be variable. In particular, 75.9% of our CEO’s 2025 target total direct compensation was delivered in equity awards, which derive their value from potential increases in our stock price. Fixed pay, primarily consisting of base salary, made up only 15.6% of our CEO’s target total direct compensation in 2025, while variable pay, consisting of annual incentives in the form of an annual bonus program and long-term incentives in the form of equity awards, made up 84.4%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2025:</w:t>
      </w:r>
    </w:p>
    <w:p>
      <w:pPr>
        <w:spacing w:after="0" w:line="111"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2580" w:type="dxa"/>
            <w:vAlign w:val="bottom"/>
            <w:tcBorders>
              <w:top w:val="single" w:sz="8" w:color="auto"/>
              <w:left w:val="single" w:sz="8" w:color="auto"/>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9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Pay (2025)</w:t>
            </w:r>
          </w:p>
        </w:tc>
        <w:tc>
          <w:tcPr>
            <w:tcW w:w="210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Pay (Fixed)</w:t>
            </w:r>
          </w:p>
        </w:tc>
        <w:tc>
          <w:tcPr>
            <w:tcW w:w="21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Percentage of Pay</w:t>
            </w:r>
          </w:p>
        </w:tc>
        <w:tc>
          <w:tcPr>
            <w:tcW w:w="0" w:type="dxa"/>
            <w:vAlign w:val="bottom"/>
          </w:tcPr>
          <w:p>
            <w:pPr>
              <w:spacing w:after="0"/>
              <w:rPr>
                <w:sz w:val="1"/>
                <w:szCs w:val="1"/>
                <w:color w:val="auto"/>
              </w:rPr>
            </w:pPr>
          </w:p>
        </w:tc>
      </w:tr>
      <w:tr>
        <w:trPr>
          <w:trHeight w:val="243"/>
        </w:trPr>
        <w:tc>
          <w:tcPr>
            <w:tcW w:w="258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460" w:type="dxa"/>
            <w:vAlign w:val="bottom"/>
            <w:tcBorders>
              <w:bottom w:val="single" w:sz="8" w:color="auto"/>
              <w:right w:val="single" w:sz="8" w:color="auto"/>
            </w:tcBorders>
            <w:vMerge w:val="continue"/>
          </w:tcPr>
          <w:p>
            <w:pPr>
              <w:spacing w:after="0"/>
              <w:rPr>
                <w:sz w:val="21"/>
                <w:szCs w:val="21"/>
                <w:color w:val="auto"/>
              </w:rPr>
            </w:pPr>
          </w:p>
        </w:tc>
        <w:tc>
          <w:tcPr>
            <w:tcW w:w="1980" w:type="dxa"/>
            <w:vAlign w:val="bottom"/>
            <w:tcBorders>
              <w:bottom w:val="single" w:sz="8" w:color="auto"/>
              <w:right w:val="single" w:sz="8" w:color="auto"/>
            </w:tcBorders>
            <w:vMerge w:val="continue"/>
          </w:tcPr>
          <w:p>
            <w:pPr>
              <w:spacing w:after="0"/>
              <w:rPr>
                <w:sz w:val="21"/>
                <w:szCs w:val="21"/>
                <w:color w:val="auto"/>
              </w:rPr>
            </w:pPr>
          </w:p>
        </w:tc>
        <w:tc>
          <w:tcPr>
            <w:tcW w:w="2100" w:type="dxa"/>
            <w:vAlign w:val="bottom"/>
            <w:tcBorders>
              <w:bottom w:val="single" w:sz="8" w:color="auto"/>
              <w:right w:val="single" w:sz="8" w:color="auto"/>
            </w:tcBorders>
            <w:vMerge w:val="continue"/>
          </w:tcPr>
          <w:p>
            <w:pPr>
              <w:spacing w:after="0"/>
              <w:rPr>
                <w:sz w:val="21"/>
                <w:szCs w:val="21"/>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(Variable)</w:t>
            </w:r>
          </w:p>
        </w:tc>
        <w:tc>
          <w:tcPr>
            <w:tcW w:w="0" w:type="dxa"/>
            <w:vAlign w:val="bottom"/>
          </w:tcPr>
          <w:p>
            <w:pPr>
              <w:spacing w:after="0"/>
              <w:rPr>
                <w:sz w:val="1"/>
                <w:szCs w:val="1"/>
                <w:color w:val="auto"/>
              </w:rPr>
            </w:pPr>
          </w:p>
        </w:tc>
      </w:tr>
      <w:tr>
        <w:trPr>
          <w:trHeight w:val="169"/>
        </w:trPr>
        <w:tc>
          <w:tcPr>
            <w:tcW w:w="25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24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President and Chief Executive</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$4,329,868</w:t>
            </w: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15.6%</w:t>
            </w: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148"/>
        </w:trPr>
        <w:tc>
          <w:tcPr>
            <w:tcW w:w="2580" w:type="dxa"/>
            <w:vAlign w:val="bottom"/>
            <w:tcBorders>
              <w:left w:val="single" w:sz="8" w:color="auto"/>
              <w:right w:val="single" w:sz="8" w:color="auto"/>
            </w:tcBorders>
            <w:vMerge w:val="continue"/>
          </w:tcPr>
          <w:p>
            <w:pPr>
              <w:spacing w:after="0"/>
              <w:rPr>
                <w:sz w:val="12"/>
                <w:szCs w:val="12"/>
                <w:color w:val="auto"/>
              </w:rPr>
            </w:pP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1980" w:type="dxa"/>
            <w:vAlign w:val="bottom"/>
            <w:tcBorders>
              <w:right w:val="single" w:sz="8" w:color="auto"/>
            </w:tcBorders>
            <w:vMerge w:val="continue"/>
          </w:tcPr>
          <w:p>
            <w:pPr>
              <w:spacing w:after="0"/>
              <w:rPr>
                <w:sz w:val="12"/>
                <w:szCs w:val="12"/>
                <w:color w:val="auto"/>
              </w:rPr>
            </w:pPr>
          </w:p>
        </w:tc>
        <w:tc>
          <w:tcPr>
            <w:tcW w:w="2100" w:type="dxa"/>
            <w:vAlign w:val="bottom"/>
            <w:tcBorders>
              <w:right w:val="single" w:sz="8" w:color="auto"/>
            </w:tcBorders>
            <w:vMerge w:val="continue"/>
          </w:tcPr>
          <w:p>
            <w:pPr>
              <w:spacing w:after="0"/>
              <w:rPr>
                <w:sz w:val="12"/>
                <w:szCs w:val="12"/>
                <w:color w:val="auto"/>
              </w:rPr>
            </w:pPr>
          </w:p>
        </w:tc>
        <w:tc>
          <w:tcPr>
            <w:tcW w:w="2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80" w:type="dxa"/>
            <w:vAlign w:val="bottom"/>
            <w:tcBorders>
              <w:left w:val="single" w:sz="8" w:color="auto"/>
              <w:bottom w:val="single" w:sz="8" w:color="auto"/>
              <w:right w:val="single" w:sz="8" w:color="auto"/>
            </w:tcBorders>
          </w:tcPr>
          <w:p>
            <w:pPr>
              <w:spacing w:after="0"/>
              <w:rPr>
                <w:sz w:val="7"/>
                <w:szCs w:val="7"/>
                <w:color w:val="auto"/>
              </w:rPr>
            </w:pPr>
          </w:p>
        </w:tc>
        <w:tc>
          <w:tcPr>
            <w:tcW w:w="2460" w:type="dxa"/>
            <w:vAlign w:val="bottom"/>
            <w:tcBorders>
              <w:bottom w:val="single" w:sz="8" w:color="auto"/>
              <w:right w:val="single" w:sz="8" w:color="auto"/>
            </w:tcBorders>
            <w:vMerge w:val="continue"/>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Blaine Davis</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$1,949,927</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24.4%</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Milos Miljkovic, M.D.</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Chief Medical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$1,657,535</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26.5%</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(1)</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Former Chief Scientific Officer</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$2,015,707</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19.4%</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63"/>
        </w:trPr>
        <w:tc>
          <w:tcPr>
            <w:tcW w:w="2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Metin Kurtoglu, M.D., Ph.D.</w:t>
            </w:r>
            <w:r>
              <w:rPr>
                <w:rFonts w:ascii="Times New Roman" w:cs="Times New Roman" w:eastAsia="Times New Roman" w:hAnsi="Times New Roman"/>
                <w:sz w:val="23"/>
                <w:szCs w:val="23"/>
                <w:color w:val="auto"/>
                <w:vertAlign w:val="superscript"/>
              </w:rPr>
              <w:t>(2)</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Former Chief Technology</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$2,474,034</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148"/>
        </w:trPr>
        <w:tc>
          <w:tcPr>
            <w:tcW w:w="2580" w:type="dxa"/>
            <w:vAlign w:val="bottom"/>
            <w:tcBorders>
              <w:left w:val="single" w:sz="8" w:color="auto"/>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color w:val="auto"/>
              </w:rPr>
              <w:t>Officer</w:t>
            </w:r>
          </w:p>
        </w:tc>
        <w:tc>
          <w:tcPr>
            <w:tcW w:w="198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60" w:hanging="42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ceased to serve as our Chief Scientific Officer on November 14, 2025.</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ceased to serve as our Chief Technology Officer on May 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November 13, 2023 we entered into the Merger Agreement, pursuant to which Sakura Merger Sub I, Inc., a Delaware corporation and wholly owned subsidiary of ours merged with and into Old Cartesian, pursuant to which Old Cartesian was the surviving corporation and became a wholly owned subsidiary of ours (the “First Merger”). Immediately following the First Merger, Old Cartesian merged with and into Sakura Merger Sub II, LLC, a Delaware limited liability company and wholly owned subsidiary of ours (“Second Merger Sub”), pursuant to which Second Merger Sub was the surviving entity (the “Second Merger” and, together with the First Merger, the “Merger”).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Cartesian Options and Adoption of Old Cartesian’s 2016 Stock Incentive Plan</w:t>
      </w:r>
    </w:p>
    <w:p>
      <w:pPr>
        <w:spacing w:after="0" w:line="108"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option to purchase shares of Old Cartesian common stock (an “Old Cartesian Option”), other than Old Cartesian Options held by Drs. Miljkovic, Jewell and Kurtoglu, that was outstanding and unexercised immediately prior to the Effective Time, whether or not vested, was converted into an option to purchase Common Stock. At the Effective Time, each Old Cartesian Option held by Drs. Miljkovic, Jewell and Kurtoglu (a “Continuing Officer Option”) that was outstanding and unexercised immediately prior to the Effective Time, whether or not vested, was converted into an option to purchase Series A Preferred Stock. Pursuant to the Merger Agreement, we assumed the Cartesian Therapeutics, Inc. Amended and Restated 2016 Incentive Award Plan (the “Old Cartesian Plan”) and each Old Cartesian Option in accordance with the terms of the Old Cartesian Plan and the terms of the stock option agreement by which such Old Cartesian Option is evidenced (but with changes to such documents as we in good faith determined were necessary to reflect the substitution of Old Cartesian Options by us to purchase shares of Common Stock or Series A Preferred Stock, as applicable, and the other terms set forth in the Merger Agreement). All rights with respect to Old Cartesian common stock under Old Cartesian Options assumed by the Company were converted into rights with respect to Common Stock or Series A Preferred Stock, as applicable. From and after the Effective Time:</w:t>
      </w:r>
    </w:p>
    <w:p>
      <w:pPr>
        <w:spacing w:after="0" w:line="97" w:lineRule="exact"/>
        <w:rPr>
          <w:sz w:val="20"/>
          <w:szCs w:val="20"/>
          <w:color w:val="auto"/>
        </w:rPr>
      </w:pPr>
    </w:p>
    <w:p>
      <w:pPr>
        <w:ind w:left="660" w:right="22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subject to each Old Cartesian Option assumed by the Company was determined by multiplying (A) the number of shares of Old Cartesian common stock that were subject to such Old Cartesian Option, as in effect immediately prior to the First Effective Time, by (B) the Exchange Ratio (as defined in the Merger Agreement), and rounding the resulting number down to the nearest whole number of shares of Common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8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per-share exercise price for Common Stock issuable upon exercise of each Old Cartesian Option assumed by the Company was determined by dividing (A) the per share exercise price of Old Cartesian common stock subject to such Old Cartesian Option, as in effect immediately prior to the Effective Time, by (B) the Exchange Ratio and rounding the resulting exercise price up to the nearest whole cent;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on the exercise of any Old Cartesian Option assumed by the Company, including the Continuing Officer Options, will continue in full force and effect and, except as expressly provided in the Merger Agreement, the term, exercisability, vesting schedule and other provisions of such Old Cartesian Option will otherwise remain unchanged.</w:t>
      </w:r>
    </w:p>
    <w:p>
      <w:pPr>
        <w:spacing w:after="0" w:line="6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Following the Automatic Conversion, the Continuing Officer Options became exercisable for Common Stock, rather than Series A Preferred Stock. As of the effective time of the Automatic Conversion, the number of shares of Common Stock subject to each Continuing Officer Option was adjusted by multiplying (A) the number of shares of Series A Preferred Stock that were subject to such Continuing Officer Option, by (B) 33.333 and rounding the resulting number down to the nearest whole number of shares of Common Stock. The per-share exercise price for Common Stock issuable upon exercise of each Continuing Officer Option was correspondingly adjusted by dividing (A) the per-share exercise price of the Series A Preferred Stock subject to such Continuing Officer Option, by (B) 33.333 and rounding the resulting exercise price up to the nearest whole cent.</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Merger, Drs. Miljkovic, Jewell and Kurtoglu were granted Continuing Officer Options as summarized below:</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300" w:type="dxa"/>
            <w:vAlign w:val="bottom"/>
            <w:tcBorders>
              <w:top w:val="single" w:sz="8" w:color="auto"/>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 Exercise</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 Expiration</w:t>
            </w:r>
          </w:p>
        </w:tc>
      </w:tr>
      <w:tr>
        <w:trPr>
          <w:trHeight w:val="202"/>
        </w:trPr>
        <w:tc>
          <w:tcPr>
            <w:tcW w:w="3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Underlying Unexercised</w:t>
            </w:r>
          </w:p>
        </w:tc>
        <w:tc>
          <w:tcPr>
            <w:tcW w:w="216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Underlying Unexercised</w:t>
            </w:r>
          </w:p>
        </w:tc>
        <w:tc>
          <w:tcPr>
            <w:tcW w:w="16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66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3"/>
        </w:trPr>
        <w:tc>
          <w:tcPr>
            <w:tcW w:w="3300" w:type="dxa"/>
            <w:vAlign w:val="bottom"/>
            <w:tcBorders>
              <w:left w:val="single" w:sz="8" w:color="auto"/>
              <w:right w:val="single" w:sz="8" w:color="auto"/>
            </w:tcBorders>
          </w:tcPr>
          <w:p>
            <w:pPr>
              <w:spacing w:after="0"/>
              <w:rPr>
                <w:sz w:val="17"/>
                <w:szCs w:val="17"/>
                <w:color w:val="auto"/>
              </w:rPr>
            </w:pPr>
          </w:p>
        </w:tc>
        <w:tc>
          <w:tcPr>
            <w:tcW w:w="2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Options Exercisable</w:t>
            </w:r>
            <w:r>
              <w:rPr>
                <w:rFonts w:ascii="Times New Roman" w:cs="Times New Roman" w:eastAsia="Times New Roman" w:hAnsi="Times New Roman"/>
                <w:sz w:val="23"/>
                <w:szCs w:val="23"/>
                <w:b w:val="1"/>
                <w:bCs w:val="1"/>
                <w:color w:val="auto"/>
                <w:w w:val="97"/>
                <w:vertAlign w:val="superscript"/>
              </w:rPr>
              <w:t>(1)</w:t>
            </w:r>
          </w:p>
        </w:tc>
        <w:tc>
          <w:tcPr>
            <w:tcW w:w="21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Options Not Yet</w:t>
            </w:r>
          </w:p>
        </w:tc>
        <w:tc>
          <w:tcPr>
            <w:tcW w:w="168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66"/>
        </w:trPr>
        <w:tc>
          <w:tcPr>
            <w:tcW w:w="3300" w:type="dxa"/>
            <w:vAlign w:val="bottom"/>
            <w:tcBorders>
              <w:left w:val="single" w:sz="8" w:color="auto"/>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Exercisable</w:t>
            </w:r>
            <w:r>
              <w:rPr>
                <w:rFonts w:ascii="Times New Roman" w:cs="Times New Roman" w:eastAsia="Times New Roman" w:hAnsi="Times New Roman"/>
                <w:sz w:val="23"/>
                <w:szCs w:val="23"/>
                <w:b w:val="1"/>
                <w:bCs w:val="1"/>
                <w:color w:val="auto"/>
                <w:w w:val="95"/>
                <w:vertAlign w:val="superscript"/>
              </w:rPr>
              <w:t>(1)</w:t>
            </w:r>
          </w:p>
        </w:tc>
        <w:tc>
          <w:tcPr>
            <w:tcW w:w="1680" w:type="dxa"/>
            <w:vAlign w:val="bottom"/>
            <w:tcBorders>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r>
      <w:tr>
        <w:trPr>
          <w:trHeight w:val="228"/>
        </w:trPr>
        <w:tc>
          <w:tcPr>
            <w:tcW w:w="33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Milos Miljkovic, M.D.</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42,764</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42,764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9/12/2031</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30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84,638</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57,909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1/15/2033</w:t>
            </w:r>
          </w:p>
        </w:tc>
      </w:tr>
      <w:tr>
        <w:trPr>
          <w:trHeight w:val="250"/>
        </w:trPr>
        <w:tc>
          <w:tcPr>
            <w:tcW w:w="3300" w:type="dxa"/>
            <w:vAlign w:val="bottom"/>
            <w:tcBorders>
              <w:left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 xml:space="preserve">Metin Kurtoglu, M.D., Ph.D. </w:t>
            </w:r>
            <w:r>
              <w:rPr>
                <w:rFonts w:ascii="Times New Roman" w:cs="Times New Roman" w:eastAsia="Times New Roman" w:hAnsi="Times New Roman"/>
                <w:sz w:val="23"/>
                <w:szCs w:val="23"/>
                <w:color w:val="auto"/>
                <w:vertAlign w:val="superscript"/>
              </w:rPr>
              <w:t>(3)</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213,820</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11/6/2026</w:t>
            </w:r>
          </w:p>
        </w:tc>
      </w:tr>
      <w:tr>
        <w:trPr>
          <w:trHeight w:val="228"/>
        </w:trPr>
        <w:tc>
          <w:tcPr>
            <w:tcW w:w="330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14,254</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4/25/2031</w:t>
            </w:r>
          </w:p>
        </w:tc>
      </w:tr>
      <w:tr>
        <w:trPr>
          <w:trHeight w:val="22"/>
        </w:trPr>
        <w:tc>
          <w:tcPr>
            <w:tcW w:w="3300" w:type="dxa"/>
            <w:vAlign w:val="bottom"/>
            <w:tcBorders>
              <w:left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0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3,563</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10,691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2/29/2032</w:t>
            </w:r>
          </w:p>
        </w:tc>
      </w:tr>
      <w:tr>
        <w:trPr>
          <w:trHeight w:val="22"/>
        </w:trPr>
        <w:tc>
          <w:tcPr>
            <w:tcW w:w="3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right="140" w:hanging="328"/>
        <w:spacing w:after="0" w:line="266" w:lineRule="auto"/>
        <w:tabs>
          <w:tab w:leader="none" w:pos="7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Officer Options were exercisable initially only for shares of Series A Preferred Stock. Following the conversion of the majority of the Company’s outstanding shares of Series A Preferred Stock, the Continuing Officer Options were converted into options to purchase shares of Common Stock. The numbers of shares presented in this column are shares of Common Stock.</w:t>
      </w:r>
    </w:p>
    <w:p>
      <w:pPr>
        <w:spacing w:after="0" w:line="67"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7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ceased to serve as our Chief Scientific Officer effective as of November 14, 2025. Dr. Jewell served as a consultant to the Company from November 2025 to January 2026, or the Jewell Consulting Period. Pursuant to his consulting agreement, Dr. Jewell’s stock options and restricted stock unit awards were modified to continue the vesting of the remaining awards during the Jewell Consulting Period and extend the post-termination exercise period of the modified stock options. Upon the expiration of his consulting agreement on January 14, 2026, Dr. Jewell’s unvested RSUs and stock options were forfeited and he had three months thereafter to exercise any vested, unexercised stock options.</w:t>
      </w:r>
    </w:p>
    <w:p>
      <w:pPr>
        <w:spacing w:after="0" w:line="75" w:lineRule="exact"/>
        <w:rPr>
          <w:rFonts w:ascii="Times New Roman" w:cs="Times New Roman" w:eastAsia="Times New Roman" w:hAnsi="Times New Roman"/>
          <w:sz w:val="18"/>
          <w:szCs w:val="18"/>
          <w:color w:val="auto"/>
        </w:rPr>
      </w:pPr>
    </w:p>
    <w:p>
      <w:pPr>
        <w:ind w:left="660" w:hanging="328"/>
        <w:spacing w:after="0" w:line="256" w:lineRule="auto"/>
        <w:tabs>
          <w:tab w:leader="none" w:pos="7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ceased to serve as our Chief Technology Officer on May 1, 2025. Dr. Kurtoglu served as a consultant to the Company from May 2025 to April 2026, or the Kurtoglu Consulting Period. Pursuant to the his separation agreement, certain of Dr. Kurtoglu’s stock options and restricted stock unit awards were modified to accelerate the vesting of a portion of the awards, continue the vesting of the remaining awards during the Kurtoglu Consulting Period, and extend the post-termination exercise period of the modified stock options. Upon the expiration of his consulting agreement on April 30, 2026, Dr. Kurtoglu’s unvested RSUs and stock options will be forfeited and he will have three months thereafter to exercise any vested, unexercised stock options.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During 2025,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w:t>
      </w:r>
    </w:p>
    <w:p>
      <w:pPr>
        <w:spacing w:after="0" w:line="275" w:lineRule="exact"/>
        <w:rPr>
          <w:sz w:val="20"/>
          <w:szCs w:val="20"/>
          <w:color w:val="auto"/>
        </w:rPr>
      </w:pPr>
    </w:p>
    <w:p>
      <w:pPr>
        <w:ind w:left="820" w:right="260" w:hanging="470"/>
        <w:spacing w:after="0" w:line="286" w:lineRule="auto"/>
        <w:tabs>
          <w:tab w:leader="none" w:pos="820" w:val="left"/>
        </w:tabs>
        <w:numPr>
          <w:ilvl w:val="0"/>
          <w:numId w:val="2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Compensation Committee Independence </w:t>
      </w:r>
      <w:r>
        <w:rPr>
          <w:rFonts w:ascii="Times New Roman" w:cs="Times New Roman" w:eastAsia="Times New Roman" w:hAnsi="Times New Roman"/>
          <w:sz w:val="18"/>
          <w:szCs w:val="18"/>
          <w:color w:val="auto"/>
        </w:rPr>
        <w:t>– Our Board maintains a Compensation Committee comprised solely of independent directors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established effective means for communicating with our stockholders regarding their executive compensation ideas and concerns.</w:t>
      </w:r>
    </w:p>
    <w:p>
      <w:pPr>
        <w:spacing w:after="0" w:line="195" w:lineRule="exact"/>
        <w:rPr>
          <w:rFonts w:ascii="Wingdings" w:cs="Wingdings" w:eastAsia="Wingdings" w:hAnsi="Wingdings"/>
          <w:sz w:val="18"/>
          <w:szCs w:val="18"/>
          <w:b w:val="1"/>
          <w:bCs w:val="1"/>
          <w:color w:val="auto"/>
          <w:highlight w:val="black"/>
        </w:rPr>
      </w:pPr>
    </w:p>
    <w:p>
      <w:pPr>
        <w:ind w:left="820" w:right="660" w:hanging="470"/>
        <w:spacing w:after="0" w:line="232" w:lineRule="auto"/>
        <w:tabs>
          <w:tab w:leader="none" w:pos="820" w:val="left"/>
        </w:tabs>
        <w:numPr>
          <w:ilvl w:val="0"/>
          <w:numId w:val="2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Compensation Committee Advisor Independence </w:t>
      </w:r>
      <w:r>
        <w:rPr>
          <w:rFonts w:ascii="Times New Roman" w:cs="Times New Roman" w:eastAsia="Times New Roman" w:hAnsi="Times New Roman"/>
          <w:sz w:val="18"/>
          <w:szCs w:val="18"/>
          <w:color w:val="auto"/>
        </w:rPr>
        <w:t>– The Compensation Committee engages and retains its own advisors. In 2025,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re-engaged Compensia as compensation consultant to assist with its responsibilities. Compensia performs no consulting or other services for the Company.</w:t>
      </w:r>
    </w:p>
    <w:p>
      <w:pPr>
        <w:spacing w:after="0" w:line="209" w:lineRule="exact"/>
        <w:rPr>
          <w:rFonts w:ascii="Wingdings" w:cs="Wingdings" w:eastAsia="Wingdings" w:hAnsi="Wingdings"/>
          <w:sz w:val="18"/>
          <w:szCs w:val="18"/>
          <w:b w:val="1"/>
          <w:bCs w:val="1"/>
          <w:color w:val="auto"/>
          <w:highlight w:val="black"/>
        </w:rPr>
      </w:pPr>
    </w:p>
    <w:p>
      <w:pPr>
        <w:ind w:left="820" w:right="420" w:hanging="470"/>
        <w:spacing w:after="0" w:line="239" w:lineRule="auto"/>
        <w:tabs>
          <w:tab w:leader="none" w:pos="820" w:val="left"/>
        </w:tabs>
        <w:numPr>
          <w:ilvl w:val="0"/>
          <w:numId w:val="2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Annual Compensation Review </w:t>
      </w:r>
      <w:r>
        <w:rPr>
          <w:rFonts w:ascii="Times New Roman" w:cs="Times New Roman" w:eastAsia="Times New Roman" w:hAnsi="Times New Roman"/>
          <w:sz w:val="18"/>
          <w:szCs w:val="18"/>
          <w:color w:val="auto"/>
        </w:rPr>
        <w:t>– The Compensation Committee conducts an annual review of our executive compensation philosophy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including a review of the compensation peer group used for comparative purposes.</w:t>
      </w:r>
    </w:p>
    <w:p>
      <w:pPr>
        <w:spacing w:after="0" w:line="222" w:lineRule="exact"/>
        <w:rPr>
          <w:rFonts w:ascii="Wingdings" w:cs="Wingdings" w:eastAsia="Wingdings" w:hAnsi="Wingdings"/>
          <w:sz w:val="18"/>
          <w:szCs w:val="18"/>
          <w:b w:val="1"/>
          <w:bCs w:val="1"/>
          <w:color w:val="auto"/>
          <w:highlight w:val="black"/>
        </w:rPr>
      </w:pPr>
    </w:p>
    <w:p>
      <w:pPr>
        <w:ind w:left="820" w:right="100" w:hanging="470"/>
        <w:spacing w:after="0" w:line="232" w:lineRule="auto"/>
        <w:tabs>
          <w:tab w:leader="none" w:pos="820" w:val="left"/>
        </w:tabs>
        <w:numPr>
          <w:ilvl w:val="0"/>
          <w:numId w:val="2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Compensation-Related Risk Assessment </w:t>
      </w:r>
      <w:r>
        <w:rPr>
          <w:rFonts w:ascii="Times New Roman" w:cs="Times New Roman" w:eastAsia="Times New Roman" w:hAnsi="Times New Roman"/>
          <w:sz w:val="18"/>
          <w:szCs w:val="18"/>
          <w:color w:val="auto"/>
        </w:rPr>
        <w:t>– We conduct an annual evaluation of our compensation programs, policies, and practices to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they reflect an appropriate level of risk-taking but do not encourage our employees to take excessive or unnecessary risks that could have a material adverse impact on our Company.</w:t>
      </w:r>
    </w:p>
    <w:p>
      <w:pPr>
        <w:spacing w:after="0" w:line="209" w:lineRule="exact"/>
        <w:rPr>
          <w:rFonts w:ascii="Wingdings" w:cs="Wingdings" w:eastAsia="Wingdings" w:hAnsi="Wingdings"/>
          <w:sz w:val="18"/>
          <w:szCs w:val="18"/>
          <w:b w:val="1"/>
          <w:bCs w:val="1"/>
          <w:color w:val="auto"/>
          <w:highlight w:val="black"/>
        </w:rPr>
      </w:pPr>
    </w:p>
    <w:p>
      <w:pPr>
        <w:ind w:left="820" w:right="420" w:hanging="470"/>
        <w:spacing w:after="0" w:line="232" w:lineRule="auto"/>
        <w:tabs>
          <w:tab w:leader="none" w:pos="820" w:val="left"/>
        </w:tabs>
        <w:numPr>
          <w:ilvl w:val="0"/>
          <w:numId w:val="2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Emphasize Long-Term Equity Compensation </w:t>
      </w:r>
      <w:r>
        <w:rPr>
          <w:rFonts w:ascii="Times New Roman" w:cs="Times New Roman" w:eastAsia="Times New Roman" w:hAnsi="Times New Roman"/>
          <w:sz w:val="18"/>
          <w:szCs w:val="18"/>
          <w:color w:val="auto"/>
        </w:rPr>
        <w:t>– The Compensation Committee uses equity awards to deliver long-term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209" w:lineRule="exact"/>
        <w:rPr>
          <w:rFonts w:ascii="Wingdings" w:cs="Wingdings" w:eastAsia="Wingdings" w:hAnsi="Wingdings"/>
          <w:sz w:val="18"/>
          <w:szCs w:val="18"/>
          <w:b w:val="1"/>
          <w:bCs w:val="1"/>
          <w:color w:val="auto"/>
          <w:highlight w:val="black"/>
        </w:rPr>
      </w:pPr>
    </w:p>
    <w:p>
      <w:pPr>
        <w:ind w:left="820" w:right="100" w:hanging="470"/>
        <w:spacing w:after="0" w:line="232" w:lineRule="auto"/>
        <w:tabs>
          <w:tab w:leader="none" w:pos="820" w:val="left"/>
        </w:tabs>
        <w:numPr>
          <w:ilvl w:val="0"/>
          <w:numId w:val="2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Limited Executive Perquisites </w:t>
      </w:r>
      <w:r>
        <w:rPr>
          <w:rFonts w:ascii="Times New Roman" w:cs="Times New Roman" w:eastAsia="Times New Roman" w:hAnsi="Times New Roman"/>
          <w:sz w:val="18"/>
          <w:szCs w:val="18"/>
          <w:color w:val="auto"/>
        </w:rPr>
        <w:t>– We provide only modest amounts of perquisites or other personal benefits that serve a sound business purpose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Named Executive Officers. In addition, the Named Executive Officers participate in our health and welfare benefit programs on the same terms as all of our employees.</w:t>
      </w:r>
    </w:p>
    <w:p>
      <w:pPr>
        <w:spacing w:after="0" w:line="209" w:lineRule="exact"/>
        <w:rPr>
          <w:rFonts w:ascii="Wingdings" w:cs="Wingdings" w:eastAsia="Wingdings" w:hAnsi="Wingdings"/>
          <w:sz w:val="18"/>
          <w:szCs w:val="18"/>
          <w:b w:val="1"/>
          <w:bCs w:val="1"/>
          <w:color w:val="auto"/>
          <w:highlight w:val="black"/>
        </w:rPr>
      </w:pPr>
    </w:p>
    <w:p>
      <w:pPr>
        <w:ind w:left="820" w:right="320" w:hanging="470"/>
        <w:spacing w:after="0" w:line="232" w:lineRule="auto"/>
        <w:tabs>
          <w:tab w:leader="none" w:pos="820" w:val="left"/>
        </w:tabs>
        <w:numPr>
          <w:ilvl w:val="0"/>
          <w:numId w:val="2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“Double-Trigger” Change in Control Arrangements </w:t>
      </w:r>
      <w:r>
        <w:rPr>
          <w:rFonts w:ascii="Times New Roman" w:cs="Times New Roman" w:eastAsia="Times New Roman" w:hAnsi="Times New Roman"/>
          <w:sz w:val="18"/>
          <w:szCs w:val="18"/>
          <w:color w:val="auto"/>
        </w:rPr>
        <w:t>–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are based on a “double-trigger” arrangement that provides for the receipt of payments and benefits only in the event of (i) a change in control of the Company and (ii) a qualifying termination of employment.</w:t>
      </w:r>
    </w:p>
    <w:p>
      <w:pPr>
        <w:spacing w:after="0" w:line="94" w:lineRule="exact"/>
        <w:rPr>
          <w:rFonts w:ascii="Wingdings" w:cs="Wingdings" w:eastAsia="Wingdings" w:hAnsi="Wingdings"/>
          <w:sz w:val="18"/>
          <w:szCs w:val="18"/>
          <w:b w:val="1"/>
          <w:bCs w:val="1"/>
          <w:color w:val="auto"/>
          <w:highlight w:val="black"/>
        </w:rPr>
      </w:pPr>
    </w:p>
    <w:p>
      <w:pPr>
        <w:ind w:left="820"/>
        <w:spacing w:after="0"/>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Executive Clawback Policy – </w:t>
      </w:r>
      <w:r>
        <w:rPr>
          <w:rFonts w:ascii="Times New Roman" w:cs="Times New Roman" w:eastAsia="Times New Roman" w:hAnsi="Times New Roman"/>
          <w:sz w:val="18"/>
          <w:szCs w:val="18"/>
          <w:color w:val="auto"/>
        </w:rPr>
        <w:t>We maintain an executive clawback policy, compliant with SEC rules, which allows the Board to recover any</w:t>
      </w:r>
    </w:p>
    <w:p>
      <w:pPr>
        <w:ind w:left="820" w:right="600" w:hanging="470"/>
        <w:spacing w:after="0" w:line="183" w:lineRule="auto"/>
        <w:tabs>
          <w:tab w:leader="none" w:pos="820" w:val="left"/>
        </w:tabs>
        <w:numPr>
          <w:ilvl w:val="0"/>
          <w:numId w:val="27"/>
        </w:numPr>
        <w:rPr>
          <w:rFonts w:ascii="Wingdings" w:cs="Wingdings" w:eastAsia="Wingdings" w:hAnsi="Wingdings"/>
          <w:sz w:val="31"/>
          <w:szCs w:val="31"/>
          <w:b w:val="1"/>
          <w:bCs w:val="1"/>
          <w:color w:val="auto"/>
          <w:highlight w:val="black"/>
          <w:vertAlign w:val="superscript"/>
        </w:rPr>
      </w:pPr>
      <w:r>
        <w:rPr>
          <w:rFonts w:ascii="Times New Roman" w:cs="Times New Roman" w:eastAsia="Times New Roman" w:hAnsi="Times New Roman"/>
          <w:sz w:val="16"/>
          <w:szCs w:val="16"/>
          <w:color w:val="auto"/>
        </w:rPr>
        <w:t>incentive awards from any executive officer in the event we are required to file a restatement of our financial reporting as a result of that executive officer’s fraud or misconduct.</w:t>
      </w:r>
    </w:p>
    <w:p>
      <w:pPr>
        <w:spacing w:after="0" w:line="99" w:lineRule="exact"/>
        <w:rPr>
          <w:rFonts w:ascii="Wingdings" w:cs="Wingdings" w:eastAsia="Wingdings" w:hAnsi="Wingdings"/>
          <w:sz w:val="31"/>
          <w:szCs w:val="31"/>
          <w:b w:val="1"/>
          <w:bCs w:val="1"/>
          <w:color w:val="auto"/>
          <w:highlight w:val="black"/>
          <w:vertAlign w:val="superscript"/>
        </w:rPr>
      </w:pPr>
    </w:p>
    <w:p>
      <w:pPr>
        <w:ind w:left="820" w:right="480" w:hanging="470"/>
        <w:spacing w:after="0" w:line="239" w:lineRule="auto"/>
        <w:tabs>
          <w:tab w:leader="none" w:pos="820" w:val="left"/>
        </w:tabs>
        <w:numPr>
          <w:ilvl w:val="0"/>
          <w:numId w:val="2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Reasonable Change-in-Control Arrangements </w:t>
      </w:r>
      <w:r>
        <w:rPr>
          <w:rFonts w:ascii="Times New Roman" w:cs="Times New Roman" w:eastAsia="Times New Roman" w:hAnsi="Times New Roman"/>
          <w:sz w:val="18"/>
          <w:szCs w:val="18"/>
          <w:color w:val="auto"/>
        </w:rPr>
        <w:t>– We believe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provide for amounts and multiples that are within reasonable market norms.</w:t>
      </w:r>
    </w:p>
    <w:p>
      <w:pPr>
        <w:spacing w:after="0" w:line="222" w:lineRule="exact"/>
        <w:rPr>
          <w:rFonts w:ascii="Wingdings" w:cs="Wingdings" w:eastAsia="Wingdings" w:hAnsi="Wingdings"/>
          <w:sz w:val="18"/>
          <w:szCs w:val="18"/>
          <w:b w:val="1"/>
          <w:bCs w:val="1"/>
          <w:color w:val="auto"/>
          <w:highlight w:val="black"/>
        </w:rPr>
      </w:pPr>
    </w:p>
    <w:p>
      <w:pPr>
        <w:ind w:left="820" w:right="260" w:hanging="470"/>
        <w:spacing w:after="0" w:line="239" w:lineRule="auto"/>
        <w:tabs>
          <w:tab w:leader="none" w:pos="820" w:val="left"/>
        </w:tabs>
        <w:numPr>
          <w:ilvl w:val="0"/>
          <w:numId w:val="2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Prohibition on Hedging and Pledging </w:t>
      </w:r>
      <w:r>
        <w:rPr>
          <w:rFonts w:ascii="Times New Roman" w:cs="Times New Roman" w:eastAsia="Times New Roman" w:hAnsi="Times New Roman"/>
          <w:sz w:val="18"/>
          <w:szCs w:val="18"/>
          <w:color w:val="auto"/>
        </w:rPr>
        <w:t>– Under our Insider Trading Policy, we prohibit our employees from hedging any Company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from pledging any Company securities as collateral for a loan.</w:t>
      </w:r>
    </w:p>
    <w:p>
      <w:pPr>
        <w:spacing w:after="0" w:line="222" w:lineRule="exact"/>
        <w:rPr>
          <w:rFonts w:ascii="Wingdings" w:cs="Wingdings" w:eastAsia="Wingdings" w:hAnsi="Wingdings"/>
          <w:sz w:val="18"/>
          <w:szCs w:val="18"/>
          <w:b w:val="1"/>
          <w:bCs w:val="1"/>
          <w:color w:val="auto"/>
          <w:highlight w:val="black"/>
        </w:rPr>
      </w:pPr>
    </w:p>
    <w:p>
      <w:pPr>
        <w:ind w:left="820" w:right="500" w:hanging="470"/>
        <w:spacing w:after="0" w:line="239" w:lineRule="auto"/>
        <w:tabs>
          <w:tab w:leader="none" w:pos="820" w:val="left"/>
        </w:tabs>
        <w:numPr>
          <w:ilvl w:val="0"/>
          <w:numId w:val="27"/>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 Our Board reviews the risks associated with our key executive positions on an annual basis so that we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an adequate succession strategy.</w:t>
      </w: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 Not Do</w:t>
      </w:r>
    </w:p>
    <w:p>
      <w:pPr>
        <w:spacing w:after="0" w:line="262" w:lineRule="exact"/>
        <w:rPr>
          <w:sz w:val="20"/>
          <w:szCs w:val="20"/>
          <w:color w:val="auto"/>
        </w:rPr>
      </w:pPr>
    </w:p>
    <w:p>
      <w:pPr>
        <w:ind w:left="820" w:right="740" w:hanging="470"/>
        <w:spacing w:after="0" w:line="227" w:lineRule="auto"/>
        <w:tabs>
          <w:tab w:leader="none" w:pos="8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Retirement Programs </w:t>
      </w:r>
      <w:r>
        <w:rPr>
          <w:rFonts w:ascii="Times New Roman" w:cs="Times New Roman" w:eastAsia="Times New Roman" w:hAnsi="Times New Roman"/>
          <w:sz w:val="18"/>
          <w:szCs w:val="18"/>
          <w:color w:val="auto"/>
        </w:rPr>
        <w:t>– Other than our Section 401(k) plan generally available to all employees, we do not offer defined benefit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retirement plans or arrangements or nonqualified deferred compensation plans or arrangements for our executive officers, including our Named Executive Officers.</w:t>
      </w:r>
    </w:p>
    <w:p>
      <w:pPr>
        <w:spacing w:after="0" w:line="222" w:lineRule="exact"/>
        <w:rPr>
          <w:rFonts w:ascii="Times New Roman" w:cs="Times New Roman" w:eastAsia="Times New Roman" w:hAnsi="Times New Roman"/>
          <w:sz w:val="18"/>
          <w:szCs w:val="18"/>
          <w:b w:val="1"/>
          <w:bCs w:val="1"/>
          <w:i w:val="1"/>
          <w:iCs w:val="1"/>
          <w:color w:val="auto"/>
        </w:rPr>
      </w:pPr>
    </w:p>
    <w:p>
      <w:pPr>
        <w:ind w:left="820" w:hanging="470"/>
        <w:spacing w:after="0"/>
        <w:tabs>
          <w:tab w:leader="none" w:pos="82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Dividends </w:t>
      </w:r>
      <w:r>
        <w:rPr>
          <w:rFonts w:ascii="Times New Roman" w:cs="Times New Roman" w:eastAsia="Times New Roman" w:hAnsi="Times New Roman"/>
          <w:sz w:val="18"/>
          <w:szCs w:val="18"/>
          <w:color w:val="auto"/>
        </w:rPr>
        <w:t>– We do not pay dividends or dividend equivalents on unvested or unearned RSUs and performance-based RSU awards.</w:t>
      </w:r>
    </w:p>
    <w:p>
      <w:pPr>
        <w:spacing w:after="0" w:line="62" w:lineRule="exact"/>
        <w:rPr>
          <w:rFonts w:ascii="Times New Roman" w:cs="Times New Roman" w:eastAsia="Times New Roman" w:hAnsi="Times New Roman"/>
          <w:sz w:val="18"/>
          <w:szCs w:val="18"/>
          <w:b w:val="1"/>
          <w:bCs w:val="1"/>
          <w:i w:val="1"/>
          <w:iCs w:val="1"/>
          <w:color w:val="auto"/>
        </w:rPr>
      </w:pPr>
    </w:p>
    <w:p>
      <w:pPr>
        <w:ind w:left="820" w:hanging="470"/>
        <w:spacing w:after="0"/>
        <w:tabs>
          <w:tab w:leader="none" w:pos="820" w:val="left"/>
        </w:tabs>
        <w:numPr>
          <w:ilvl w:val="0"/>
          <w:numId w:val="28"/>
        </w:numPr>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 xml:space="preserve">No Stock Option Repricing </w:t>
      </w:r>
      <w:r>
        <w:rPr>
          <w:rFonts w:ascii="Times New Roman" w:cs="Times New Roman" w:eastAsia="Times New Roman" w:hAnsi="Times New Roman"/>
          <w:sz w:val="18"/>
          <w:szCs w:val="18"/>
          <w:color w:val="auto"/>
        </w:rPr>
        <w:t>– We do not reprice options to purchase shares of our Common Stock without stockholder approval.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and its impact on our financial condition. While the Compensation Committee considers all of the factors in its deliberations, it places no formal weighting on any one factor.</w:t>
      </w:r>
    </w:p>
    <w:p>
      <w:pPr>
        <w:sectPr>
          <w:pgSz w:w="11900" w:h="16838" w:orient="portrait"/>
          <w:cols w:equalWidth="0" w:num="1">
            <w:col w:w="11240"/>
          </w:cols>
          <w:pgMar w:left="320" w:top="229" w:right="339" w:bottom="92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92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page of our website at www.cartesiantherapeutics.com.</w:t>
      </w:r>
    </w:p>
    <w:p>
      <w:pPr>
        <w:spacing w:after="0" w:line="7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While the Compensation Committee determines our overall compensation philosophy and approves the compensation of our executive officers, it relies on its compensation consultant, as well as our CEO, our CFO, Human Resources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w:t>
      </w:r>
    </w:p>
    <w:p>
      <w:pPr>
        <w:spacing w:after="0" w:line="7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7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w:t>
      </w:r>
    </w:p>
    <w:p>
      <w:pPr>
        <w:spacing w:after="0" w:line="7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factors considered by the Compensation Committee in determining the compensation of our executive officers, including our Named Executive Officers, for 2025 included:</w:t>
      </w:r>
    </w:p>
    <w:p>
      <w:pPr>
        <w:spacing w:after="0" w:line="5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our CEO (except with respect to his own compensation)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growth and other elements of financial and operational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individual achievements against one or more short-term and long-term performance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performance of each executive officer against his management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relevant competitive market analysis prepared by its compensation consultant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future contribution of the individual executive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compensation awards we have made to our executive officers;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based on the impact on our business and performance.</w:t>
      </w:r>
    </w:p>
    <w:p>
      <w:pPr>
        <w:spacing w:after="0" w:line="11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7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Our CEO</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5"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At the end of each year, our CEO reviews the performance of our other executive officers, including the other Named Executive Officers, for such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8"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In 2025, pursuant to this authority, the Compensation Committee re-engaged Compensia, a national compensation consulting firm, to provide information, analysis, and other assistance relating to our executive compensation program on an ongoing basis. The nature and scope of the services provided to the Compensation Committee by Compensia in 2025 were as follows:</w:t>
      </w:r>
    </w:p>
    <w:p>
      <w:pPr>
        <w:spacing w:after="0" w:line="6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subsequently updated the compensation peer group;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advice with respect to compensation best practices and market trends for executive officers and members of our Board;</w:t>
      </w:r>
    </w:p>
    <w:p>
      <w:pPr>
        <w:spacing w:after="0" w:line="11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of our executive officers and non-executive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the members of our Board;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advice and support throughout the year.</w:t>
      </w:r>
    </w:p>
    <w:p>
      <w:pPr>
        <w:spacing w:after="0" w:line="11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Representatives of Compensia attended meetings of the Compensation Committee as requested and also communicated with the Compensation Committee outside of meetings. Compensia reported to the Compensation Committee rather than to management, although Compensia was permitted to meet with members of management, including our CEO and members of our executive compensation staff, for purposes of gathering information on proposals that management may make to the Compensation Committee. During 2025, Compensia met with various executive officers to collect data and obtain management’s perspective on various executive compensation proposals.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Compensia has not provided any other services to us nor received any compensation other than with respect to the services described above.</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Compensia taking into account, among other things, the various factors as set forth in Exchange Act Rule 10C-1 and the enhanced independence standards and factors set forth in the applicable Nasdaq listing standards, and has concluded that its relationship with Compensia and the work of Compensia on behalf of the Compensation Committee has not raised any conflict of interest.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competitive market for executive talent includes the biotechnology industry broadly. Accordingly, it develops a compensation peer group to contain a carefully selected cross-section of such public biotechnology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Peer Group</w:t>
      </w:r>
    </w:p>
    <w:p>
      <w:pPr>
        <w:spacing w:after="0" w:line="12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2025, the Compensation Committee directed Compensia to formulate a group of peer companies to be used as a reference for market positioning and for assessing competitive market practices. Compensia undertook a detailed review of the pool of U.S.-based publicly traded companies, taking into consideration our industry and sector, the size of such companies (based on revenues and market capitalization) relative to our size and growth rate, and the following additional factors:</w:t>
      </w:r>
    </w:p>
    <w:p>
      <w:pPr>
        <w:spacing w:after="0" w:line="7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area(s) of therapeutic focus;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market capitalization;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organizational complexities and growth attributes;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business focus and corporate strategy;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operational performance (for consistency with our strategy and future performance expectations).</w:t>
      </w:r>
    </w:p>
    <w:p>
      <w:pPr>
        <w:spacing w:after="0" w:line="11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Following this review, Compensia recommended to the Compensation Committee the following peer group to consist of 19 publicly traded biotechnology companies, which the Compensation Committee subsequently approved. The selected companies had market capitalizations ranging from approximately $101 million to approximately $1.6 billion, with a median of approximately $345 million. The companies comprising the updated compensation peer group were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4D Molecular Therapeutics</w:t>
            </w:r>
          </w:p>
        </w:tc>
        <w:tc>
          <w:tcPr>
            <w:tcW w:w="3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Cogent Biosciences</w:t>
            </w:r>
          </w:p>
        </w:tc>
        <w:tc>
          <w:tcPr>
            <w:tcW w:w="2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Rezolute</w:t>
            </w:r>
          </w:p>
        </w:tc>
      </w:tr>
      <w:tr>
        <w:trPr>
          <w:trHeight w:val="32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Alector</w:t>
            </w:r>
          </w:p>
        </w:tc>
        <w:tc>
          <w:tcPr>
            <w:tcW w:w="3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Corvus Pharmaceuticals</w:t>
            </w:r>
          </w:p>
        </w:tc>
        <w:tc>
          <w:tcPr>
            <w:tcW w:w="23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Rocket Pharmaceuticals</w:t>
            </w:r>
          </w:p>
        </w:tc>
      </w:tr>
      <w:tr>
        <w:trPr>
          <w:trHeight w:val="32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Allogene Therapeutics</w:t>
            </w:r>
          </w:p>
        </w:tc>
        <w:tc>
          <w:tcPr>
            <w:tcW w:w="3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Lineage Cell Therapeutics</w:t>
            </w:r>
          </w:p>
        </w:tc>
        <w:tc>
          <w:tcPr>
            <w:tcW w:w="2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Savara</w:t>
            </w:r>
          </w:p>
        </w:tc>
      </w:tr>
      <w:tr>
        <w:trPr>
          <w:trHeight w:val="32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AnaptysBio</w:t>
            </w:r>
          </w:p>
        </w:tc>
        <w:tc>
          <w:tcPr>
            <w:tcW w:w="3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MacroGenics</w:t>
            </w:r>
          </w:p>
        </w:tc>
        <w:tc>
          <w:tcPr>
            <w:tcW w:w="2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Viridian Therapeutics</w:t>
            </w:r>
          </w:p>
        </w:tc>
      </w:tr>
      <w:tr>
        <w:trPr>
          <w:trHeight w:val="32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Annexon</w:t>
            </w:r>
          </w:p>
        </w:tc>
        <w:tc>
          <w:tcPr>
            <w:tcW w:w="3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MeiraGTx Holdings</w:t>
            </w:r>
          </w:p>
        </w:tc>
        <w:tc>
          <w:tcPr>
            <w:tcW w:w="2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Vor Biopharma</w:t>
            </w:r>
          </w:p>
        </w:tc>
      </w:tr>
      <w:tr>
        <w:trPr>
          <w:trHeight w:val="32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Cabaletta Bio</w:t>
            </w:r>
          </w:p>
        </w:tc>
        <w:tc>
          <w:tcPr>
            <w:tcW w:w="3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REGENXBIO</w:t>
            </w:r>
          </w:p>
        </w:tc>
        <w:tc>
          <w:tcPr>
            <w:tcW w:w="2380" w:type="dxa"/>
            <w:vAlign w:val="bottom"/>
          </w:tcPr>
          <w:p>
            <w:pPr>
              <w:spacing w:after="0"/>
              <w:rPr>
                <w:sz w:val="24"/>
                <w:szCs w:val="24"/>
                <w:color w:val="auto"/>
              </w:rPr>
            </w:pPr>
          </w:p>
        </w:tc>
      </w:tr>
      <w:tr>
        <w:trPr>
          <w:trHeight w:val="32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Candel Therapeutics</w:t>
            </w:r>
          </w:p>
        </w:tc>
        <w:tc>
          <w:tcPr>
            <w:tcW w:w="3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Replimune Group</w:t>
            </w:r>
          </w:p>
        </w:tc>
        <w:tc>
          <w:tcPr>
            <w:tcW w:w="2380" w:type="dxa"/>
            <w:vAlign w:val="bottom"/>
          </w:tcPr>
          <w:p>
            <w:pPr>
              <w:spacing w:after="0"/>
              <w:rPr>
                <w:sz w:val="24"/>
                <w:szCs w:val="24"/>
                <w:color w:val="auto"/>
              </w:rPr>
            </w:pPr>
          </w:p>
        </w:tc>
      </w:tr>
    </w:tbl>
    <w:p>
      <w:pPr>
        <w:spacing w:after="0" w:line="18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08"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 as described below.</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74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What This Element Rewards</w:t>
            </w:r>
          </w:p>
        </w:tc>
        <w:tc>
          <w:tcPr>
            <w:tcW w:w="37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Purpose and Key Features of Element</w:t>
            </w: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Individual performance, level of experience,</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Provides competitive level of fixed compensation</w:t>
            </w: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expected future performance and contributions.</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determined by the market value of the position,</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with actual base salaries established based on the</w:t>
            </w: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facts and circumstances of each executive officer</w:t>
            </w: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each individual position.</w:t>
            </w:r>
          </w:p>
        </w:tc>
      </w:tr>
      <w:tr>
        <w:trPr>
          <w:trHeight w:val="173"/>
        </w:trPr>
        <w:tc>
          <w:tcPr>
            <w:tcW w:w="3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Annual cash bonuses</w:t>
            </w:r>
          </w:p>
        </w:tc>
        <w:tc>
          <w:tcPr>
            <w:tcW w:w="37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Achievement of pre-established corporate and</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Motivate executive officers to achieve certain</w:t>
            </w: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individual performance objectives (for 2025,</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objectives and drive the company’s</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focused on the advancement of our pipeline,</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value.</w:t>
            </w: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strategy and business development, and</w:t>
            </w:r>
          </w:p>
        </w:tc>
        <w:tc>
          <w:tcPr>
            <w:tcW w:w="3760" w:type="dxa"/>
            <w:vAlign w:val="bottom"/>
            <w:tcBorders>
              <w:right w:val="single" w:sz="8" w:color="auto"/>
            </w:tcBorders>
          </w:tcPr>
          <w:p>
            <w:pPr>
              <w:spacing w:after="0"/>
              <w:rPr>
                <w:sz w:val="15"/>
                <w:szCs w:val="15"/>
                <w:color w:val="auto"/>
              </w:rPr>
            </w:pP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Company’s financials, as well as management</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Generally, performance levels are established to</w:t>
            </w: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objectives).</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incentivize our executive officers to achieve or</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exceed performance objectives. For 2025, the</w:t>
            </w: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overall target achievement was not determined on</w:t>
            </w: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an individual basis, but the Compensation</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Committee, in their discretion, did take into</w:t>
            </w: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consideration individual performance to determine</w:t>
            </w: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payouts for corporate performance objectives, and</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the Compensation Committee had discretion to</w:t>
            </w: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determine payouts based on overall achievement of</w:t>
            </w: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the corporate goals as a group, taking into account</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overachievement on certain objectives, if</w:t>
            </w: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applicable. Payouts for individual performance</w:t>
            </w: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objectives could range from 0% to an</w:t>
            </w:r>
          </w:p>
        </w:tc>
      </w:tr>
      <w:tr>
        <w:trPr>
          <w:trHeight w:val="234"/>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undetermined percentage.</w:t>
            </w: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Long-term incentives/equity awards</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Achievement of corporate and individual</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Annual equity awards that vest over four years and</w:t>
            </w: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designed to enhance long-</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provide a variable “at risk” pay opportunity.</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term stockholder value and attract, retain,</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Because the ultimate value of these equity awards</w:t>
            </w: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motivate, and reward executive officers over</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is directly related to the market price of our</w:t>
            </w: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extended periods for achieving important</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and the awards are only earned</w:t>
            </w: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objectives. Time-based vesting</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over an extended period of time subject to vesting,</w:t>
            </w: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requirements promote retention of highly-valued</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they serve to focus management on the creation</w:t>
            </w: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executive officers.</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and maintenance of long-term stockholder value</w:t>
            </w:r>
          </w:p>
        </w:tc>
      </w:tr>
      <w:tr>
        <w:trPr>
          <w:trHeight w:val="234"/>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also provide retentive value to key employees.</w:t>
            </w:r>
          </w:p>
        </w:tc>
      </w:tr>
    </w:tbl>
    <w:p>
      <w:pPr>
        <w:spacing w:after="0" w:line="184"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Our executive officers also participate in the standard employee benefit plans available to all of our employees.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2025 under each of these elements.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8"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3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54"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December 2024,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Committee set the base salaries of our executive officers at levels that it believed were appropriate to maintain their competitiveness. The base salaries of our Named Executive Officers for 2025 were as follows:</w:t>
      </w:r>
    </w:p>
    <w:p>
      <w:pPr>
        <w:spacing w:after="0" w:line="79" w:lineRule="exact"/>
        <w:rPr>
          <w:sz w:val="20"/>
          <w:szCs w:val="20"/>
          <w:color w:val="auto"/>
        </w:rPr>
      </w:pPr>
    </w:p>
    <w:tbl>
      <w:tblPr>
        <w:tblLayout w:type="fixed"/>
        <w:tblInd w:w="50" w:type="dxa"/>
        <w:tblCellMar>
          <w:top w:w="0" w:type="dxa"/>
          <w:left w:w="0" w:type="dxa"/>
          <w:bottom w:w="0" w:type="dxa"/>
          <w:right w:w="0" w:type="dxa"/>
        </w:tblCellMar>
      </w:tblPr>
      <w:tr>
        <w:trPr>
          <w:trHeight w:val="263"/>
        </w:trPr>
        <w:tc>
          <w:tcPr>
            <w:tcW w:w="336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Base Salary</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2025 Base Salary</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Adjustment</w:t>
            </w:r>
          </w:p>
        </w:tc>
      </w:tr>
      <w:tr>
        <w:trPr>
          <w:trHeight w:val="234"/>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$642,720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$674,000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Blaine Davis</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$475,860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Milos Miljkovic, M.D. </w:t>
            </w:r>
            <w:r>
              <w:rPr>
                <w:rFonts w:ascii="Times New Roman" w:cs="Times New Roman" w:eastAsia="Times New Roman" w:hAnsi="Times New Roman"/>
                <w:sz w:val="23"/>
                <w:szCs w:val="23"/>
                <w:color w:val="auto"/>
                <w:vertAlign w:val="superscript"/>
              </w:rPr>
              <w:t>(1)</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$439,000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w:t>
            </w: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(2)</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$432,600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3360" w:type="dxa"/>
            <w:vAlign w:val="bottom"/>
            <w:tcBorders>
              <w:left w:val="single" w:sz="8" w:color="auto"/>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Metin Kurtoglu, M.D., Ph.D. </w:t>
            </w:r>
            <w:r>
              <w:rPr>
                <w:rFonts w:ascii="Times New Roman" w:cs="Times New Roman" w:eastAsia="Times New Roman" w:hAnsi="Times New Roman"/>
                <w:sz w:val="23"/>
                <w:szCs w:val="23"/>
                <w:color w:val="auto"/>
                <w:vertAlign w:val="superscript"/>
              </w:rPr>
              <w:t>(3)</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$453,200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r>
    </w:tbl>
    <w:p>
      <w:pPr>
        <w:spacing w:after="0" w:line="171" w:lineRule="exact"/>
        <w:rPr>
          <w:sz w:val="20"/>
          <w:szCs w:val="20"/>
          <w:color w:val="auto"/>
        </w:rPr>
      </w:pPr>
    </w:p>
    <w:p>
      <w:pPr>
        <w:ind w:left="720" w:hanging="388"/>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Miljkovic’s 2024 base salary went into effect on March 26, 2024.</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7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Jewell’s 2024 base salary went into effect on March 26, 2024. Dr. Jewell ceased to serve as our Chief Scientific Officer on November 14, 2025.</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7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Kurtoglu’s 2024 base salary went into effect on March 28, 2024. Dr. Kurtoglu ceased to serve as our Chief Technology Officer on May 1, 2025.</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Cash Bonuses</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2025, the Compensation Committee determined to award cash bonus opportunities to our executive officers, including our Named Executive Officers, pursuant to the 2025 Bonus Plan. Under the 2025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generally accepted accounting principles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84"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Under the 2025 Bonus Plan, the Compensation Committee could, in its sole discretion and at any time, increase, reduce, or eliminate a participant’s actual bonus payment, and/or increase, reduce, or eliminate the amount allocated to the bonus pool for the year. Further, the actual bonus payment for any participant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 During 2025, the Compensation Committee did exercise such individual discretion in determining bonus payouts.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Target Bonus Opportunities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2025, the target annual cash bonus opportunities for each of our Named Executive Officers under the 2025 Bonus Plan, expressed as a percentage of his annual base salary, were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420" w:type="dxa"/>
            <w:vAlign w:val="bottom"/>
            <w:tcBorders>
              <w:top w:val="single" w:sz="8" w:color="auto"/>
              <w:left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960" w:type="dxa"/>
            <w:vAlign w:val="bottom"/>
            <w:tcBorders>
              <w:top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95"/>
        </w:trPr>
        <w:tc>
          <w:tcPr>
            <w:tcW w:w="3420" w:type="dxa"/>
            <w:vAlign w:val="bottom"/>
            <w:tcBorders>
              <w:left w:val="single" w:sz="8" w:color="auto"/>
              <w:right w:val="single" w:sz="8" w:color="auto"/>
            </w:tcBorders>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Opportunity</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right w:val="single" w:sz="8" w:color="auto"/>
            </w:tcBorders>
            <w:vMerge w:val="restart"/>
          </w:tcPr>
          <w:p>
            <w:pPr>
              <w:ind w:left="74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960" w:type="dxa"/>
            <w:vAlign w:val="bottom"/>
            <w:tcBorders>
              <w:right w:val="single" w:sz="8" w:color="auto"/>
            </w:tcBorders>
            <w:vMerge w:val="restart"/>
          </w:tcPr>
          <w:p>
            <w:pPr>
              <w:ind w:left="720"/>
              <w:spacing w:after="0" w:line="202" w:lineRule="exact"/>
              <w:rPr>
                <w:sz w:val="20"/>
                <w:szCs w:val="20"/>
                <w:color w:val="auto"/>
              </w:rPr>
            </w:pPr>
            <w:r>
              <w:rPr>
                <w:rFonts w:ascii="Times New Roman" w:cs="Times New Roman" w:eastAsia="Times New Roman" w:hAnsi="Times New Roman"/>
                <w:sz w:val="18"/>
                <w:szCs w:val="18"/>
                <w:b w:val="1"/>
                <w:bCs w:val="1"/>
                <w:color w:val="auto"/>
              </w:rPr>
              <w:t>Bonus</w:t>
            </w:r>
          </w:p>
        </w:tc>
        <w:tc>
          <w:tcPr>
            <w:tcW w:w="0" w:type="dxa"/>
            <w:vAlign w:val="bottom"/>
          </w:tcPr>
          <w:p>
            <w:pPr>
              <w:spacing w:after="0"/>
              <w:rPr>
                <w:sz w:val="1"/>
                <w:szCs w:val="1"/>
                <w:color w:val="auto"/>
              </w:rPr>
            </w:pPr>
          </w:p>
        </w:tc>
      </w:tr>
      <w:tr>
        <w:trPr>
          <w:trHeight w:val="95"/>
        </w:trPr>
        <w:tc>
          <w:tcPr>
            <w:tcW w:w="342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a percentage of base</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Opportunity</w:t>
            </w:r>
          </w:p>
        </w:tc>
        <w:tc>
          <w:tcPr>
            <w:tcW w:w="196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Payout</w:t>
            </w:r>
          </w:p>
        </w:tc>
        <w:tc>
          <w:tcPr>
            <w:tcW w:w="0" w:type="dxa"/>
            <w:vAlign w:val="bottom"/>
          </w:tcPr>
          <w:p>
            <w:pPr>
              <w:spacing w:after="0"/>
              <w:rPr>
                <w:sz w:val="1"/>
                <w:szCs w:val="1"/>
                <w:color w:val="auto"/>
              </w:rPr>
            </w:pPr>
          </w:p>
        </w:tc>
      </w:tr>
      <w:tr>
        <w:trPr>
          <w:trHeight w:val="130"/>
        </w:trPr>
        <w:tc>
          <w:tcPr>
            <w:tcW w:w="342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$674,000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$404,400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$363,960</w:t>
            </w:r>
          </w:p>
        </w:tc>
        <w:tc>
          <w:tcPr>
            <w:tcW w:w="0" w:type="dxa"/>
            <w:vAlign w:val="bottom"/>
          </w:tcPr>
          <w:p>
            <w:pPr>
              <w:spacing w:after="0"/>
              <w:rPr>
                <w:sz w:val="1"/>
                <w:szCs w:val="1"/>
                <w:color w:val="auto"/>
              </w:rPr>
            </w:pP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Blaine Davis</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$475,860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$190,344</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$205,572</w:t>
            </w:r>
          </w:p>
        </w:tc>
        <w:tc>
          <w:tcPr>
            <w:tcW w:w="0" w:type="dxa"/>
            <w:vAlign w:val="bottom"/>
          </w:tcPr>
          <w:p>
            <w:pPr>
              <w:spacing w:after="0"/>
              <w:rPr>
                <w:sz w:val="1"/>
                <w:szCs w:val="1"/>
                <w:color w:val="auto"/>
              </w:rPr>
            </w:pP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Milos Miljkovic, M.D.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$439,000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$175,600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$118,530</w:t>
            </w:r>
          </w:p>
        </w:tc>
        <w:tc>
          <w:tcPr>
            <w:tcW w:w="0" w:type="dxa"/>
            <w:vAlign w:val="bottom"/>
          </w:tcPr>
          <w:p>
            <w:pPr>
              <w:spacing w:after="0"/>
              <w:rPr>
                <w:sz w:val="1"/>
                <w:szCs w:val="1"/>
                <w:color w:val="auto"/>
              </w:rPr>
            </w:pPr>
          </w:p>
        </w:tc>
      </w:tr>
      <w:tr>
        <w:trPr>
          <w:trHeight w:val="22"/>
        </w:trPr>
        <w:tc>
          <w:tcPr>
            <w:tcW w:w="3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4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(1)</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$432,600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$173,040</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(2)</w:t>
            </w:r>
          </w:p>
        </w:tc>
        <w:tc>
          <w:tcPr>
            <w:tcW w:w="0" w:type="dxa"/>
            <w:vAlign w:val="bottom"/>
          </w:tcPr>
          <w:p>
            <w:pPr>
              <w:spacing w:after="0"/>
              <w:rPr>
                <w:sz w:val="1"/>
                <w:szCs w:val="1"/>
                <w:color w:val="auto"/>
              </w:rPr>
            </w:pPr>
          </w:p>
        </w:tc>
      </w:tr>
      <w:tr>
        <w:trPr>
          <w:trHeight w:val="250"/>
        </w:trPr>
        <w:tc>
          <w:tcPr>
            <w:tcW w:w="34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 xml:space="preserve">Metin Kurtoglu, M.D., Ph.D. </w:t>
            </w:r>
            <w:r>
              <w:rPr>
                <w:rFonts w:ascii="Times New Roman" w:cs="Times New Roman" w:eastAsia="Times New Roman" w:hAnsi="Times New Roman"/>
                <w:sz w:val="23"/>
                <w:szCs w:val="23"/>
                <w:color w:val="auto"/>
                <w:vertAlign w:val="superscript"/>
              </w:rPr>
              <w:t>(3)</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$453,200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$181,280</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hanging="388"/>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ceased to serve as our Chief Scientific Officer on November 14, 2025.</w:t>
      </w:r>
    </w:p>
    <w:p>
      <w:pPr>
        <w:spacing w:after="0" w:line="11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7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departure as a full-time employee in November 2025, Dr. Jewell forfeited his 2025 annual target bonus opportunity of $173,040. However, as discussed under “—Post-employment Compensation” below, Dr. Jewell was paid an amount of $144,200 as a term of his separation agreement, which was approved separately from the 2025 Bonus Plan by the Compensation Committee.</w:t>
      </w:r>
    </w:p>
    <w:p>
      <w:pPr>
        <w:spacing w:after="0" w:line="6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ceased to serve as our Chief Technology Officer on May 1, 2025.</w:t>
      </w:r>
    </w:p>
    <w:p>
      <w:pPr>
        <w:spacing w:after="0" w:line="11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7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departure as a full-time employee in May 2025, Dr. Kurtoglu forfeited his 2025 annual target bonus opportunity of $181,280. However, as discussed under “—Post-employment Compensation” below, Dr. Kurtoglu was paid an amount of $60,427 as a term of his separation agreement, which was approved separately from the 2025 Bonus Plan by the Compensation Committee.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Performance Objectives</w:t>
      </w:r>
    </w:p>
    <w:p>
      <w:pPr>
        <w:spacing w:after="0" w:line="121"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For purposes of the 2025 Bonus Plan, the Compensation Committee selected certain pre-specified advancements to developing our candidate pipeline and advancing that pipeline in the clinic, developments in our corporate strategy regarding manufacturing and Merger integration, and financial objectives regarding operation within budget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attracting and retaining key talent, and maximizing the potential value of our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Performance Results and Bonus Decisions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December 2025, the Compensation Committee determined that our actual achievement with respect to the corporate performance objectives under the 2025 Bonus Plan was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640" w:type="dxa"/>
            <w:vAlign w:val="bottom"/>
            <w:tcBorders>
              <w:top w:val="single" w:sz="8" w:color="auto"/>
              <w:left w:val="single" w:sz="8" w:color="auto"/>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Corporate Performance Measure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2025 Target Achievement %</w:t>
            </w:r>
          </w:p>
        </w:tc>
      </w:tr>
      <w:tr>
        <w:trPr>
          <w:trHeight w:val="234"/>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Pipeline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Corporate Strategy and Business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corporate performance measures that factored into the Compensation Committee’s determination included: (i) pipeline development goals, including advancing our clinical programs for Descartes-08 in MG, Descartes-08 in SLE, and Descartes-15; (ii) corporate strategy including considerations on manufacturing, development of market strategies, and strengthening the Company’s position and reputation among the investment community; and (iii) financial goals, including operating within budget.</w:t>
      </w:r>
    </w:p>
    <w:p>
      <w:pPr>
        <w:spacing w:after="0" w:line="72"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determined that, based on our actual performance with respect to each corporate performance measure, the corporate performance objectives had been achieved, in the aggregate, at a 90% level. Based on its review of our overall corporate performance, the Compensation Committee approved bonus payments as follows for our Named Executive Officers:</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020" w:type="dxa"/>
            <w:vAlign w:val="bottom"/>
            <w:tcBorders>
              <w:top w:val="single" w:sz="8" w:color="auto"/>
              <w:left w:val="single" w:sz="8" w:color="auto"/>
              <w:right w:val="single" w:sz="8" w:color="auto"/>
            </w:tcBorders>
          </w:tcPr>
          <w:p>
            <w:pPr>
              <w:spacing w:after="0"/>
              <w:rPr>
                <w:sz w:val="18"/>
                <w:szCs w:val="18"/>
                <w:color w:val="auto"/>
              </w:rPr>
            </w:pPr>
          </w:p>
        </w:tc>
        <w:tc>
          <w:tcPr>
            <w:tcW w:w="1660" w:type="dxa"/>
            <w:vAlign w:val="bottom"/>
            <w:tcBorders>
              <w:top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Related to</w:t>
            </w:r>
          </w:p>
        </w:tc>
        <w:tc>
          <w:tcPr>
            <w:tcW w:w="1860" w:type="dxa"/>
            <w:vAlign w:val="bottom"/>
            <w:tcBorders>
              <w:top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Target</w:t>
            </w:r>
          </w:p>
        </w:tc>
        <w:tc>
          <w:tcPr>
            <w:tcW w:w="0" w:type="dxa"/>
            <w:vAlign w:val="bottom"/>
          </w:tcPr>
          <w:p>
            <w:pPr>
              <w:spacing w:after="0"/>
              <w:rPr>
                <w:sz w:val="1"/>
                <w:szCs w:val="1"/>
                <w:color w:val="auto"/>
              </w:rPr>
            </w:pPr>
          </w:p>
        </w:tc>
      </w:tr>
      <w:tr>
        <w:trPr>
          <w:trHeight w:val="95"/>
        </w:trPr>
        <w:tc>
          <w:tcPr>
            <w:tcW w:w="4020" w:type="dxa"/>
            <w:vAlign w:val="bottom"/>
            <w:tcBorders>
              <w:left w:val="single" w:sz="8" w:color="auto"/>
              <w:right w:val="single" w:sz="8" w:color="auto"/>
            </w:tcBorders>
          </w:tcPr>
          <w:p>
            <w:pPr>
              <w:spacing w:after="0"/>
              <w:rPr>
                <w:sz w:val="8"/>
                <w:szCs w:val="8"/>
                <w:color w:val="auto"/>
              </w:rPr>
            </w:pPr>
          </w:p>
        </w:tc>
        <w:tc>
          <w:tcPr>
            <w:tcW w:w="16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Target Annual Cash</w:t>
            </w:r>
          </w:p>
        </w:tc>
        <w:tc>
          <w:tcPr>
            <w:tcW w:w="18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18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Actual Annual Cash</w:t>
            </w:r>
          </w:p>
        </w:tc>
        <w:tc>
          <w:tcPr>
            <w:tcW w:w="1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20" w:type="dxa"/>
            <w:vAlign w:val="bottom"/>
            <w:tcBorders>
              <w:left w:val="single" w:sz="8" w:color="auto"/>
              <w:right w:val="single" w:sz="8" w:color="auto"/>
            </w:tcBorders>
            <w:vMerge w:val="restart"/>
          </w:tcPr>
          <w:p>
            <w:pPr>
              <w:ind w:left="1040"/>
              <w:spacing w:after="0" w:line="201"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1860" w:type="dxa"/>
            <w:vAlign w:val="bottom"/>
            <w:tcBorders>
              <w:right w:val="single" w:sz="8" w:color="auto"/>
            </w:tcBorders>
            <w:vMerge w:val="restart"/>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Annual Cash Bonus</w:t>
            </w:r>
          </w:p>
        </w:tc>
        <w:tc>
          <w:tcPr>
            <w:tcW w:w="0" w:type="dxa"/>
            <w:vAlign w:val="bottom"/>
          </w:tcPr>
          <w:p>
            <w:pPr>
              <w:spacing w:after="0"/>
              <w:rPr>
                <w:sz w:val="1"/>
                <w:szCs w:val="1"/>
                <w:color w:val="auto"/>
              </w:rPr>
            </w:pPr>
          </w:p>
        </w:tc>
      </w:tr>
      <w:tr>
        <w:trPr>
          <w:trHeight w:val="93"/>
        </w:trPr>
        <w:tc>
          <w:tcPr>
            <w:tcW w:w="4020" w:type="dxa"/>
            <w:vAlign w:val="bottom"/>
            <w:tcBorders>
              <w:left w:val="single" w:sz="8" w:color="auto"/>
              <w:right w:val="single" w:sz="8" w:color="auto"/>
            </w:tcBorders>
            <w:vMerge w:val="continue"/>
          </w:tcPr>
          <w:p>
            <w:pPr>
              <w:spacing w:after="0"/>
              <w:rPr>
                <w:sz w:val="8"/>
                <w:szCs w:val="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Bonus Opportunity</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Bonus Payment</w:t>
            </w:r>
          </w:p>
        </w:tc>
        <w:tc>
          <w:tcPr>
            <w:tcW w:w="1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402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vMerge w:val="continue"/>
          </w:tcPr>
          <w:p>
            <w:pPr>
              <w:spacing w:after="0"/>
              <w:rPr>
                <w:sz w:val="16"/>
                <w:szCs w:val="16"/>
                <w:color w:val="auto"/>
              </w:rPr>
            </w:pPr>
          </w:p>
        </w:tc>
        <w:tc>
          <w:tcPr>
            <w:tcW w:w="1860" w:type="dxa"/>
            <w:vAlign w:val="bottom"/>
            <w:tcBorders>
              <w:right w:val="single" w:sz="8" w:color="auto"/>
            </w:tcBorders>
            <w:vMerge w:val="continue"/>
          </w:tcPr>
          <w:p>
            <w:pPr>
              <w:spacing w:after="0"/>
              <w:rPr>
                <w:sz w:val="16"/>
                <w:szCs w:val="16"/>
                <w:color w:val="auto"/>
              </w:rPr>
            </w:pPr>
          </w:p>
        </w:tc>
        <w:tc>
          <w:tcPr>
            <w:tcW w:w="1860" w:type="dxa"/>
            <w:vAlign w:val="bottom"/>
            <w:tcBorders>
              <w:right w:val="single" w:sz="8" w:color="auto"/>
            </w:tcBorders>
            <w:vMerge w:val="continue"/>
          </w:tcPr>
          <w:p>
            <w:pPr>
              <w:spacing w:after="0"/>
              <w:rPr>
                <w:sz w:val="16"/>
                <w:szCs w:val="16"/>
                <w:color w:val="auto"/>
              </w:rPr>
            </w:pPr>
          </w:p>
        </w:tc>
        <w:tc>
          <w:tcPr>
            <w:tcW w:w="18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 xml:space="preserve">Opportunity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89"/>
        </w:trPr>
        <w:tc>
          <w:tcPr>
            <w:tcW w:w="4020" w:type="dxa"/>
            <w:vAlign w:val="bottom"/>
            <w:tcBorders>
              <w:left w:val="single" w:sz="8" w:color="auto"/>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Objectives</w:t>
            </w:r>
          </w:p>
        </w:tc>
        <w:tc>
          <w:tcPr>
            <w:tcW w:w="186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$404,400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$404,400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$363,960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0" w:type="dxa"/>
            <w:vAlign w:val="bottom"/>
          </w:tcPr>
          <w:p>
            <w:pPr>
              <w:spacing w:after="0"/>
              <w:rPr>
                <w:sz w:val="1"/>
                <w:szCs w:val="1"/>
                <w:color w:val="auto"/>
              </w:rPr>
            </w:pPr>
          </w:p>
        </w:tc>
      </w:tr>
      <w:tr>
        <w:trPr>
          <w:trHeight w:val="22"/>
        </w:trPr>
        <w:tc>
          <w:tcPr>
            <w:tcW w:w="4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Blaine Davis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$190,344</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$190,344</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$205,572</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108%</w:t>
            </w:r>
          </w:p>
        </w:tc>
        <w:tc>
          <w:tcPr>
            <w:tcW w:w="0" w:type="dxa"/>
            <w:vAlign w:val="bottom"/>
          </w:tcPr>
          <w:p>
            <w:pPr>
              <w:spacing w:after="0"/>
              <w:rPr>
                <w:sz w:val="1"/>
                <w:szCs w:val="1"/>
                <w:color w:val="auto"/>
              </w:rPr>
            </w:pPr>
          </w:p>
        </w:tc>
      </w:tr>
      <w:tr>
        <w:trPr>
          <w:trHeight w:val="22"/>
        </w:trPr>
        <w:tc>
          <w:tcPr>
            <w:tcW w:w="4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Milos Miljkovic, M.D.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$175,600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$175,600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$118,530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68%</w:t>
            </w:r>
          </w:p>
        </w:tc>
        <w:tc>
          <w:tcPr>
            <w:tcW w:w="0" w:type="dxa"/>
            <w:vAlign w:val="bottom"/>
          </w:tcPr>
          <w:p>
            <w:pPr>
              <w:spacing w:after="0"/>
              <w:rPr>
                <w:sz w:val="1"/>
                <w:szCs w:val="1"/>
                <w:color w:val="auto"/>
              </w:rPr>
            </w:pPr>
          </w:p>
        </w:tc>
      </w:tr>
      <w:tr>
        <w:trPr>
          <w:trHeight w:val="22"/>
        </w:trPr>
        <w:tc>
          <w:tcPr>
            <w:tcW w:w="4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Christopher Jewell, Ph.D.</w:t>
            </w:r>
            <w:r>
              <w:rPr>
                <w:rFonts w:ascii="Times New Roman" w:cs="Times New Roman" w:eastAsia="Times New Roman" w:hAnsi="Times New Roman"/>
                <w:sz w:val="23"/>
                <w:szCs w:val="23"/>
                <w:color w:val="auto"/>
                <w:vertAlign w:val="superscript"/>
              </w:rPr>
              <w:t>(2)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$173,040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$173,040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50"/>
        </w:trPr>
        <w:tc>
          <w:tcPr>
            <w:tcW w:w="4020" w:type="dxa"/>
            <w:vAlign w:val="bottom"/>
            <w:tcBorders>
              <w:left w:val="single" w:sz="8" w:color="auto"/>
              <w:bottom w:val="single" w:sz="8" w:color="auto"/>
              <w:right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Metin Kurtoglu, M.D., Ph.D.</w:t>
            </w:r>
            <w:r>
              <w:rPr>
                <w:rFonts w:ascii="Times New Roman" w:cs="Times New Roman" w:eastAsia="Times New Roman" w:hAnsi="Times New Roman"/>
                <w:sz w:val="23"/>
                <w:szCs w:val="23"/>
                <w:color w:val="auto"/>
                <w:vertAlign w:val="superscript"/>
              </w:rPr>
              <w:t>(3)</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$181,280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$181,280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hanging="388"/>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bonuses were determined based on a 90% corporate target achievement adjusted for individual performance.</w:t>
      </w:r>
    </w:p>
    <w:p>
      <w:pPr>
        <w:spacing w:after="0" w:line="11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7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departure as a full-time employee in November 2025, Dr. Jewell forfeited his 2025 annual target bonus opportunity of $173,040. However, as discussed under “—Post-employment Compensation” below, Dr. Jewell was paid an amount of $144,200 as a term of his separation agreement, which was approved separately from the 2025 Bonus Plan by the Compensation Committee.</w:t>
      </w:r>
    </w:p>
    <w:p>
      <w:pPr>
        <w:spacing w:after="0" w:line="6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7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departure as a full-time employee in May 2025, Dr. Kurtoglu forfeited his 2025 annual target bonus opportunity of $181,280. However, as discussed under “—Post-employment Compensation” below, Dr. Kurtoglu was paid an amount of $60,427 as a term of his separation agreement, which was approved separately from the 2025 Bonus Plan by the Compensation Committee.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108"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Additionally, the Compensation Committee believes these awards reward the individual performance of participants, in contrast to stock options, which only provide value to participants if the Company’s stock price appreciates. The Compensation Committee further believes these awards enable us to attract and retain key talent in our industry and aligns our executive officers’ interests with the long-term interests of our stockholders.</w:t>
      </w:r>
    </w:p>
    <w:p>
      <w:pPr>
        <w:spacing w:after="0" w:line="9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7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December 2024, the Compensation Committee approved equity awards for our executive officers, including our Named Executive Officers, in recognition of our financial and operational results and each executive officer’s individual performance for 2024,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equity awards consisted of both options to purchase shares of our Common Stock and RSU awards that may be settled for shares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The equity awards approved in December 2024 and granted to our Named Executive Officers in January 2025 were as follows: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00" w:type="dxa"/>
            <w:vAlign w:val="bottom"/>
            <w:tcBorders>
              <w:top w:val="single" w:sz="8" w:color="auto"/>
              <w:left w:val="single" w:sz="8" w:color="auto"/>
            </w:tcBorders>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360" w:type="dxa"/>
            <w:vAlign w:val="bottom"/>
            <w:tcBorders>
              <w:top w:val="single" w:sz="8" w:color="auto"/>
              <w:right w:val="single" w:sz="8" w:color="auto"/>
            </w:tcBorders>
          </w:tcPr>
          <w:p>
            <w:pPr>
              <w:spacing w:after="0"/>
              <w:rPr>
                <w:sz w:val="18"/>
                <w:szCs w:val="18"/>
                <w:color w:val="auto"/>
              </w:rPr>
            </w:pP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RSU Awards</w:t>
            </w:r>
          </w:p>
        </w:tc>
        <w:tc>
          <w:tcPr>
            <w:tcW w:w="0" w:type="dxa"/>
            <w:vAlign w:val="bottom"/>
          </w:tcPr>
          <w:p>
            <w:pPr>
              <w:spacing w:after="0"/>
              <w:rPr>
                <w:sz w:val="1"/>
                <w:szCs w:val="1"/>
                <w:color w:val="auto"/>
              </w:rPr>
            </w:pPr>
          </w:p>
        </w:tc>
      </w:tr>
      <w:tr>
        <w:trPr>
          <w:trHeight w:val="130"/>
        </w:trPr>
        <w:tc>
          <w:tcPr>
            <w:tcW w:w="4800" w:type="dxa"/>
            <w:vAlign w:val="bottom"/>
            <w:tcBorders>
              <w:left w:val="single" w:sz="8" w:color="auto"/>
            </w:tcBorders>
            <w:vMerge w:val="continue"/>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0" w:type="dxa"/>
            <w:vAlign w:val="bottom"/>
          </w:tcPr>
          <w:p>
            <w:pPr>
              <w:spacing w:after="0"/>
              <w:rPr>
                <w:sz w:val="1"/>
                <w:szCs w:val="1"/>
                <w:color w:val="auto"/>
              </w:rPr>
            </w:pPr>
          </w:p>
        </w:tc>
      </w:tr>
      <w:tr>
        <w:trPr>
          <w:trHeight w:val="108"/>
        </w:trPr>
        <w:tc>
          <w:tcPr>
            <w:tcW w:w="480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800" w:type="dxa"/>
            <w:vAlign w:val="bottom"/>
            <w:tcBorders>
              <w:left w:val="single" w:sz="8" w:color="auto"/>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36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169,100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57,500</w:t>
            </w:r>
          </w:p>
        </w:tc>
        <w:tc>
          <w:tcPr>
            <w:tcW w:w="0" w:type="dxa"/>
            <w:vAlign w:val="bottom"/>
          </w:tcPr>
          <w:p>
            <w:pPr>
              <w:spacing w:after="0"/>
              <w:rPr>
                <w:sz w:val="1"/>
                <w:szCs w:val="1"/>
                <w:color w:val="auto"/>
              </w:rPr>
            </w:pPr>
          </w:p>
        </w:tc>
      </w:tr>
      <w:tr>
        <w:trPr>
          <w:trHeight w:val="250"/>
        </w:trPr>
        <w:tc>
          <w:tcPr>
            <w:tcW w:w="4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Blaine Davis</w:t>
            </w:r>
          </w:p>
        </w:tc>
        <w:tc>
          <w:tcPr>
            <w:tcW w:w="136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64,600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50"/>
        </w:trPr>
        <w:tc>
          <w:tcPr>
            <w:tcW w:w="48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Milos Miljkovic, M.D.</w:t>
            </w:r>
          </w:p>
        </w:tc>
        <w:tc>
          <w:tcPr>
            <w:tcW w:w="136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56,000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50"/>
        </w:trPr>
        <w:tc>
          <w:tcPr>
            <w:tcW w:w="4800" w:type="dxa"/>
            <w:vAlign w:val="bottom"/>
            <w:tcBorders>
              <w:left w:val="single" w:sz="8" w:color="auto"/>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(1)</w:t>
            </w:r>
          </w:p>
        </w:tc>
        <w:tc>
          <w:tcPr>
            <w:tcW w:w="136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47,400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16,100</w:t>
            </w:r>
          </w:p>
        </w:tc>
        <w:tc>
          <w:tcPr>
            <w:tcW w:w="0" w:type="dxa"/>
            <w:vAlign w:val="bottom"/>
          </w:tcPr>
          <w:p>
            <w:pPr>
              <w:spacing w:after="0"/>
              <w:rPr>
                <w:sz w:val="1"/>
                <w:szCs w:val="1"/>
                <w:color w:val="auto"/>
              </w:rPr>
            </w:pPr>
          </w:p>
        </w:tc>
      </w:tr>
      <w:tr>
        <w:trPr>
          <w:trHeight w:val="250"/>
        </w:trPr>
        <w:tc>
          <w:tcPr>
            <w:tcW w:w="4800" w:type="dxa"/>
            <w:vAlign w:val="bottom"/>
            <w:tcBorders>
              <w:left w:val="single" w:sz="8" w:color="auto"/>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18"/>
                <w:szCs w:val="18"/>
                <w:color w:val="auto"/>
              </w:rPr>
              <w:t>Metin Kurtoglu, M.D., Ph.D.</w:t>
            </w:r>
            <w:r>
              <w:rPr>
                <w:rFonts w:ascii="Times New Roman" w:cs="Times New Roman" w:eastAsia="Times New Roman" w:hAnsi="Times New Roman"/>
                <w:sz w:val="23"/>
                <w:szCs w:val="23"/>
                <w:color w:val="auto"/>
                <w:vertAlign w:val="superscript"/>
              </w:rPr>
              <w:t>(2)</w:t>
            </w:r>
          </w:p>
        </w:tc>
        <w:tc>
          <w:tcPr>
            <w:tcW w:w="136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47,400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16,100</w:t>
            </w:r>
          </w:p>
        </w:tc>
        <w:tc>
          <w:tcPr>
            <w:tcW w:w="0" w:type="dxa"/>
            <w:vAlign w:val="bottom"/>
          </w:tcPr>
          <w:p>
            <w:pPr>
              <w:spacing w:after="0"/>
              <w:rPr>
                <w:sz w:val="1"/>
                <w:szCs w:val="1"/>
                <w:color w:val="auto"/>
              </w:rPr>
            </w:pPr>
          </w:p>
        </w:tc>
      </w:tr>
      <w:tr>
        <w:trPr>
          <w:trHeight w:val="858"/>
        </w:trPr>
        <w:tc>
          <w:tcPr>
            <w:tcW w:w="4800" w:type="dxa"/>
            <w:vAlign w:val="bottom"/>
          </w:tcPr>
          <w:p>
            <w:pPr>
              <w:spacing w:after="0"/>
              <w:rPr>
                <w:sz w:val="24"/>
                <w:szCs w:val="24"/>
                <w:color w:val="auto"/>
              </w:rPr>
            </w:pP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w:t>
            </w:r>
          </w:p>
        </w:tc>
        <w:tc>
          <w:tcPr>
            <w:tcW w:w="2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2540" w:type="dxa"/>
            <w:vAlign w:val="bottom"/>
            <w:tcBorders>
              <w:bottom w:val="single" w:sz="8" w:color="9A9A9A"/>
            </w:tcBorders>
          </w:tcPr>
          <w:p>
            <w:pPr>
              <w:spacing w:after="0"/>
              <w:rPr>
                <w:sz w:val="19"/>
                <w:szCs w:val="19"/>
                <w:color w:val="auto"/>
              </w:rPr>
            </w:pPr>
          </w:p>
        </w:tc>
        <w:tc>
          <w:tcPr>
            <w:tcW w:w="25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hanging="388"/>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ceased to serve as our Chief Scientific Officer on November 14, 2025.</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ceased to serve as our Chief Technology Officer on May 1, 2025.</w:t>
      </w:r>
    </w:p>
    <w:p>
      <w:pPr>
        <w:spacing w:after="0" w:line="11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options to purchase shares of our Common Stock granted to our executive officers, including the Named Executive Officers, in January 2025 were subject to a time-based vesting requirement providing that these options are to vest as to 25% of the shares of our Common Stock subject to the option on the first anniversary of the date of grant and as to the remaining 75% of the total number of shares to vest in equal annual installments thereafter, assuming the continued service of the executive officers on each such vesting date.</w:t>
      </w:r>
    </w:p>
    <w:p>
      <w:pPr>
        <w:spacing w:after="0" w:line="7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RSU awards granted to our executive officers, including the Named Executive Officers, in January 2025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tax-qualified retirement plan under Section 401(k) of the Internal Revenue Code, as amended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All participants’ interests in their deferrals are 100% vested when contributed under both plans. In 2025, we matched 50% of contributions made by participants in the 401(k) plan up to a maximum Company match of 6% of an employee’s annual cash compensation. Company matches vest over two years with 25% vesting in year one and 100% vesting in year two. Under the plan, pre-tax contributions are allocated to each participant’s individual account and are then invested in selected investment alternatives according to the participants’ directions.</w:t>
      </w:r>
    </w:p>
    <w:p>
      <w:pPr>
        <w:spacing w:after="0" w:line="7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a flexible vacation policy, including unlimited paid time off and other paid holidays to all employees, including our executive officers. We do not offer our employees a non-qualified deferred compensation plan or pension plan.</w:t>
      </w:r>
    </w:p>
    <w:p>
      <w:pPr>
        <w:spacing w:after="0" w:line="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08" w:lineRule="exact"/>
        <w:rPr>
          <w:sz w:val="20"/>
          <w:szCs w:val="20"/>
          <w:color w:val="auto"/>
        </w:rPr>
      </w:pPr>
    </w:p>
    <w:p>
      <w:pPr>
        <w:ind w:right="140" w:firstLine="324"/>
        <w:spacing w:after="0" w:line="245"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2025, none of the Named Executive Officers received perquisites or other personal benefits that were, in the aggregate, $10,000 or more for each Named Executive Officer.</w:t>
      </w:r>
    </w:p>
    <w:p>
      <w:pPr>
        <w:spacing w:after="0" w:line="8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 practices with respect to perquisites or other personal benefits will be subject to periodic review by the Compensation Committee.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During the period of their service with our Company, and in the cases of Dr. Jewell and Dr. Miljkovic since March 26, 2024 and in the case of Dr. Kurtoglu since March 28, 2024, we had employment agreements in place with each of our executive officers, including our CEO and our other Named Executive Officers. Each of these arrangements was approved on our behalf by our Board or the Compensation Committee, as applicable, or by the CEO, subject to his authority as granted by the Board. We believe that these arrangements were appropriate to induce these individuals to forego other employment opportunities or leave their current employer for the uncertainty of a demanding position in a new and unfamiliar organization.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filling these executive positions, our Board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of these employment agreements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5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6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5"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In 2025, pursuant to his separation agreement, the Company agreed to provide Dr. Kurtoglu severance benefits of: (i) 12-months’ base salary and (ii) a pro-rated bonus of $60,427 calculated based on his annual base salary of $453,200. In addition, pursuant to his separation agreement, the Company agreed to provide Dr. Jewell severance benefits of: (i) 12-months’ base salary and (ii) a pro-rated bonus of $144,200 calculated based on his annual base salary of $432,600.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Policies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106"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Effective as of October 2, 2023, the Compensation Committee adopted a new executive compensation recovery policy (the “Clawback Policy”). Under the Clawback Policy, the Board, in its limited discretion, or, if so designated by the Board, the Compensation Committee, shall seek to recover, in the case that the Company is required to prepare an accounting restatement, subject to limited exceptions, any incentive-based compensation (whether in the form of cash or equity) in excess of the amount of incentive-based compensation that otherwise would have been received had it been determined in accordance with the accounting restatement, from any of its executive officers, as designated as such by the Board under Section 16 of the Exchange Act, and Rule 3b-7 under the Exchange Act, who have been designated as such over any period in the three fiscal years since the date the Company is required to prepare such an accounting restatement, whether or not the event the executive officer is deemed responsible for an event that results or resulted in a restatement of the Company’s financial disclosures as a result of fraud or misconduct.</w:t>
      </w:r>
    </w:p>
    <w:p>
      <w:pPr>
        <w:spacing w:after="0" w:line="9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Further, we operate under the requirements of Section 304 of the Sarbanes-Oxley Act of 2002, as applicable to all public companies, under which our Board may seek reimbursement from our CEO and CFO if, as a result of their misconduct, we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 our financial results due to our material noncompliance with any financial reporting requirements under the federal securities laws.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Award Grant Policy</w:t>
      </w:r>
    </w:p>
    <w:p>
      <w:pPr>
        <w:spacing w:after="0" w:line="1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adopted an equity award grant policy that provides the following guidelines to be observed by the Compensation Committee and our Board in administering the grant of equity awards under our equity compensation plans:</w:t>
      </w:r>
    </w:p>
    <w:p>
      <w:pPr>
        <w:spacing w:after="0" w:line="40" w:lineRule="exact"/>
        <w:rPr>
          <w:sz w:val="20"/>
          <w:szCs w:val="20"/>
          <w:color w:val="auto"/>
        </w:rPr>
      </w:pPr>
    </w:p>
    <w:p>
      <w:pPr>
        <w:ind w:right="120" w:firstLine="324"/>
        <w:spacing w:after="0" w:line="237" w:lineRule="auto"/>
        <w:rPr>
          <w:sz w:val="20"/>
          <w:szCs w:val="20"/>
          <w:color w:val="auto"/>
        </w:rPr>
      </w:pPr>
      <w:r>
        <w:rPr>
          <w:rFonts w:ascii="Times New Roman" w:cs="Times New Roman" w:eastAsia="Times New Roman" w:hAnsi="Times New Roman"/>
          <w:sz w:val="18"/>
          <w:szCs w:val="18"/>
          <w:color w:val="auto"/>
        </w:rPr>
        <w:t>Under the current Cartesian Therapeutics, Inc. Amended and Restated 2016 Incentive Award Plan (as in effect as of the date hereof, the “2016 Plan”), equity awards may be granted to our employees, non-employee directors, and consultants. The exercise price of any option to purchase shares of our Common Stock may not be less than the fair market value of our Common Stock on the date of grant. Stock option awards expire no longer than ten years after the date of grant. Equity awards granted under our Cartesian Therapeutics, Inc. Amended and Restated 2018 Employment Inducement Incentive Award Plan (as in effect as of the date hereof, the “2018 Plan”) may only be granted to employees as a means of inducing them to commence employment with the Company as an initial equity grant, and equity awards under the 2018 Plan are granted with the same limitations on pricing and expiration as are included in the 2016 Plan. Equity awards under the Old Cartesian Plan may only be granted to employees and are granted with the same limitations on pricing and expiration as are included in the 2016 Plan. We may grant up to $100,000 per year in incentive stock options to employees, subject to the limitations of Section 422 of the Code and the regulations issued thereunder.</w:t>
      </w:r>
    </w:p>
    <w:p>
      <w:pPr>
        <w:spacing w:after="0" w:line="9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the Old Cartesian Plan and how any awards granted thereunder to our Named Executive Officers were treated in the Merger, please see the section entitled “—Merger” above.</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Derivatives Trading, Hedging, and Pledging Policies</w:t>
      </w:r>
    </w:p>
    <w:p>
      <w:pPr>
        <w:spacing w:after="0" w:line="11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policy prohibiting our employees, including our executive officers, and members of our Board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may acquire, sell, or trade in any interest or position relating to the future price of our equity securities.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have adopted a policy prohibiting the pledging of our Common Stock by our employees, including our executive officers, and members of our Board.</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119"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 other dispositions of our securities that applies to directors, officers and employees of the Company, as well as certain other covered persons. We believe that our Insider Trading Policy is reasonably designed to promote compliance with insider trading laws, rules and regulations, and listing standards applicable to us. A full copy of the policy can be found filed as an exhibit to our Annual Report on Form 10-K for the year ended December 31, 2025. Our Insider Trading Policy prohibits our employees, including officers and directors, from (i) engaging in hedging transactions (whether through the use of financial instruments such as prepaid variable forwards, equity swaps, collars, exchange funds, or otherwise) involving the Company’s securities and (ii) pledging the Company’s securities as collateral for loans of any type without the prior approval of the Chief Executive Officer, Chief Financial Officer, or General Counsel. Executive officers seeking to pledge the Company’s securities as collateral must receive approval from the Compensation Committee. No such pledges by executive officers were approved during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 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RSU awards that are subject to time-based vesting requirements generally will not be deductible since such awards do not qualify as “performance-based compensation.”</w:t>
      </w:r>
    </w:p>
    <w:p>
      <w:pPr>
        <w:spacing w:after="0" w:line="8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7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Nonqualified Deferred Compensation</w:t>
      </w:r>
    </w:p>
    <w:p>
      <w:pPr>
        <w:spacing w:after="0" w:line="1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“Parachute” Payments</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2025 and we have not agreed and are not otherwise obligated to provide any executive officers, including any Named Executive Officer, with such a “gross-up” or other reimbursement payment.</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offered to our Named Executive Officers identified below. For 2025, our Named Executive Officers and their positions as of December 31, 2025 were:</w:t>
      </w:r>
    </w:p>
    <w:p>
      <w:pPr>
        <w:spacing w:after="0" w:line="5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Blaine Davis,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Milos Miljkovic, M.D., our Chief Medical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Jewell, Ph.D., our former Chief Scientific Officer; and</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Metin Kurtoglu, M.D., Ph.D., our former Chief Technology Officer, who previously served as our Chief Operating Officer from November 13, 2023 until March 28,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891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4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24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2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12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2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11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29"/>
        </w:trPr>
        <w:tc>
          <w:tcPr>
            <w:tcW w:w="312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120" w:type="dxa"/>
            <w:vAlign w:val="bottom"/>
          </w:tcPr>
          <w:p>
            <w:pPr>
              <w:jc w:val="right"/>
              <w:ind w:right="270"/>
              <w:spacing w:after="0" w:line="23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9"/>
                <w:szCs w:val="19"/>
                <w:color w:val="auto"/>
              </w:rPr>
            </w:pPr>
          </w:p>
        </w:tc>
        <w:tc>
          <w:tcPr>
            <w:tcW w:w="1140" w:type="dxa"/>
            <w:vAlign w:val="bottom"/>
          </w:tcPr>
          <w:p>
            <w:pPr>
              <w:jc w:val="right"/>
              <w:ind w:right="290"/>
              <w:spacing w:after="0" w:line="23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3"/>
                <w:szCs w:val="23"/>
                <w:b w:val="1"/>
                <w:bCs w:val="1"/>
                <w:color w:val="auto"/>
                <w:vertAlign w:val="superscript"/>
              </w:rPr>
              <w:t>(2)</w:t>
            </w:r>
          </w:p>
        </w:tc>
        <w:tc>
          <w:tcPr>
            <w:tcW w:w="100" w:type="dxa"/>
            <w:vAlign w:val="bottom"/>
          </w:tcPr>
          <w:p>
            <w:pPr>
              <w:spacing w:after="0"/>
              <w:rPr>
                <w:sz w:val="19"/>
                <w:szCs w:val="19"/>
                <w:color w:val="auto"/>
              </w:rPr>
            </w:pPr>
          </w:p>
        </w:tc>
        <w:tc>
          <w:tcPr>
            <w:tcW w:w="1120" w:type="dxa"/>
            <w:vAlign w:val="bottom"/>
          </w:tcPr>
          <w:p>
            <w:pPr>
              <w:jc w:val="right"/>
              <w:ind w:right="270"/>
              <w:spacing w:after="0" w:line="23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3"/>
                <w:szCs w:val="23"/>
                <w:b w:val="1"/>
                <w:bCs w:val="1"/>
                <w:color w:val="auto"/>
                <w:vertAlign w:val="superscript"/>
              </w:rPr>
              <w:t>(2)</w:t>
            </w:r>
          </w:p>
        </w:tc>
        <w:tc>
          <w:tcPr>
            <w:tcW w:w="100" w:type="dxa"/>
            <w:vAlign w:val="bottom"/>
          </w:tcPr>
          <w:p>
            <w:pPr>
              <w:spacing w:after="0"/>
              <w:rPr>
                <w:sz w:val="19"/>
                <w:szCs w:val="19"/>
                <w:color w:val="auto"/>
              </w:rPr>
            </w:pPr>
          </w:p>
        </w:tc>
        <w:tc>
          <w:tcPr>
            <w:tcW w:w="11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100" w:type="dxa"/>
            <w:vAlign w:val="bottom"/>
          </w:tcPr>
          <w:p>
            <w:pPr>
              <w:spacing w:after="0"/>
              <w:rPr>
                <w:sz w:val="19"/>
                <w:szCs w:val="19"/>
                <w:color w:val="auto"/>
              </w:rPr>
            </w:pPr>
          </w:p>
        </w:tc>
        <w:tc>
          <w:tcPr>
            <w:tcW w:w="11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3"/>
                <w:szCs w:val="23"/>
                <w:b w:val="1"/>
                <w:bCs w:val="1"/>
                <w:color w:val="auto"/>
                <w:w w:val="92"/>
                <w:vertAlign w:val="superscript"/>
              </w:rPr>
              <w:t>(4)</w:t>
            </w:r>
          </w:p>
        </w:tc>
        <w:tc>
          <w:tcPr>
            <w:tcW w:w="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6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973,475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2,314,320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363,960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4,329,868</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642,720</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3,071,706</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3,138,074</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459,545</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7,314,211</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Blaine Davis</w:t>
            </w:r>
          </w:p>
        </w:tc>
        <w:tc>
          <w:tcPr>
            <w:tcW w:w="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372,460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884,122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1,949,927</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462,000</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1,599,840</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1,634,460</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240,240</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34,872</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3,971,412</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Milos Miljkovic, M.D.</w:t>
            </w:r>
          </w:p>
        </w:tc>
        <w:tc>
          <w:tcPr>
            <w:tcW w:w="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321,670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766,422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1,657,535</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392,308</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361,812</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369,459</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17,439</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1,349,018</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(5)</w:t>
            </w:r>
          </w:p>
        </w:tc>
        <w:tc>
          <w:tcPr>
            <w:tcW w:w="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390,665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375,046 </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661,814 </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144,200 </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443,982</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2,015,707</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Former Chief Scientific Officer</w:t>
            </w: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411,923</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513,612</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524,476</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218,400</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19,343</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1,687,754</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Metin Kurtoglu, M.D., Ph.D. </w:t>
            </w:r>
            <w:r>
              <w:rPr>
                <w:rFonts w:ascii="Times New Roman" w:cs="Times New Roman" w:eastAsia="Times New Roman" w:hAnsi="Times New Roman"/>
                <w:sz w:val="23"/>
                <w:szCs w:val="23"/>
                <w:color w:val="auto"/>
                <w:vertAlign w:val="superscript"/>
              </w:rPr>
              <w:t>(6)</w:t>
            </w:r>
          </w:p>
        </w:tc>
        <w:tc>
          <w:tcPr>
            <w:tcW w:w="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163,494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775,931 </w:t>
            </w:r>
            <w:r>
              <w:rPr>
                <w:rFonts w:ascii="Times New Roman" w:cs="Times New Roman" w:eastAsia="Times New Roman" w:hAnsi="Times New Roman"/>
                <w:sz w:val="23"/>
                <w:szCs w:val="23"/>
                <w:color w:val="auto"/>
                <w:vertAlign w:val="superscript"/>
              </w:rPr>
              <w:t>(6)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984,442 </w:t>
            </w:r>
            <w:r>
              <w:rPr>
                <w:rFonts w:ascii="Times New Roman" w:cs="Times New Roman" w:eastAsia="Times New Roman" w:hAnsi="Times New Roman"/>
                <w:sz w:val="23"/>
                <w:szCs w:val="23"/>
                <w:color w:val="auto"/>
                <w:vertAlign w:val="superscript"/>
              </w:rPr>
              <w:t>(6)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60,427 </w:t>
            </w:r>
            <w:r>
              <w:rPr>
                <w:rFonts w:ascii="Times New Roman" w:cs="Times New Roman" w:eastAsia="Times New Roman" w:hAnsi="Times New Roman"/>
                <w:sz w:val="23"/>
                <w:szCs w:val="23"/>
                <w:color w:val="auto"/>
                <w:vertAlign w:val="superscript"/>
              </w:rPr>
              <w:t>(6)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489,740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2,474,034</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Former Chief Technology Officer</w:t>
            </w: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431,539</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1,010,460</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1,032,697</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228,800</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right="180" w:hanging="332"/>
        <w:spacing w:after="0" w:line="282"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actual earnings for the calendar year, which may be impacted by, among other things, hire date and the timing of any salary increases made during the year.</w:t>
      </w:r>
    </w:p>
    <w:p>
      <w:pPr>
        <w:spacing w:after="0" w:line="53"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12 to our consolidated audited financial statements included in our 2025 Annual Report.</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earned under our annual performance-based bonus program. For additional information, see “—Performance Bonuses” below.</w:t>
      </w:r>
    </w:p>
    <w:p>
      <w:pPr>
        <w:spacing w:after="0" w:line="103" w:lineRule="exact"/>
        <w:rPr>
          <w:rFonts w:ascii="Times New Roman" w:cs="Times New Roman" w:eastAsia="Times New Roman" w:hAnsi="Times New Roman"/>
          <w:sz w:val="18"/>
          <w:szCs w:val="18"/>
          <w:color w:val="auto"/>
        </w:rPr>
      </w:pPr>
    </w:p>
    <w:p>
      <w:pPr>
        <w:ind w:left="340" w:hanging="332"/>
        <w:spacing w:after="0" w:line="228" w:lineRule="auto"/>
        <w:tabs>
          <w:tab w:leader="none" w:pos="3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Brunn, the amount for 2025 includes $513 representing payments on Dr. Brunn’s term life insurance policy and $3,600 representing reimbursement for cell phone expenses. The amount for 2024 includes $966 representing payments on Dr. Brunn’s term life insurance policy and $1,200 representing reimbursement for cell phone expenses. For Mr. Davis, the amount for 2025 includes $513 representing payments on Mr. Davis’s term life insurance policy, $900 representing reimbursement for cell phone expenses, and $10,500 representing our 401(k) matching contributions. The amount for 2024 includes $966 representing payments on Mr. Davis’ term life insurance policy, $900 representing reimbursement for cell phone expenses, $10,350 representing our 401(k) matching contributions, and $22,656 representing accrued vacation as of March 31, 2024 paid upon the adoption of unlimited paid time off policy. For Dr. Miljkovic, the amount for 2025 includes $513 representing payments on Dr. Miljkovic’s term life insurance policy, $900 representing reimbursement for cell phone expenses, and $10,500 representing our 401(k) matching contributions. The amount for 2024 includes $420 representing payments on Dr. Miljkovic’s term life insurance policy, $900 representing reimbursement for cell phone expenses, $10,350 representing our 401(k) matching contributions, and $5,769 representing accrued vacation as of March 31, 2024 paid upon the adoption of unlimited paid time off policy. For Dr. Jewell, the amount for 2025 includes $470 representing payments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340" w:right="60"/>
        <w:spacing w:after="0" w:line="228" w:lineRule="auto"/>
        <w:rPr>
          <w:sz w:val="20"/>
          <w:szCs w:val="20"/>
          <w:color w:val="auto"/>
        </w:rPr>
      </w:pPr>
      <w:r>
        <w:rPr>
          <w:rFonts w:ascii="Times New Roman" w:cs="Times New Roman" w:eastAsia="Times New Roman" w:hAnsi="Times New Roman"/>
          <w:sz w:val="18"/>
          <w:szCs w:val="18"/>
          <w:color w:val="auto"/>
        </w:rPr>
        <w:t>on Dr. Jewell’s term life insurance policy, $863 representing reimbursement for cell phone expenses, $10,049 representing our 401(k) matching contributions, and $432,600 representing severance payments made or accrued in accordance with his separation agreement. The amount for 2024 includes $420 representing payments on Dr. Jewell’s term life insurance policy, $900 representing reimbursement for cell phone expenses, $10,350 representing our 401(k) matching contributions, and $7,673 representing accrued vacation as of March 31, 2024 paid upon the adoption of unlimited paid time off policy. For Dr. Kurtoglu, the amount for 2025 includes $171 representing payments on Dr. Kurtoglu’s term life insurance policy, $450 representing reimbursement for cell phone expenses, and $489,119 representing severance payments made or accrued in accordance with his separation agreement. The amount for 2024 includes $630 representing payments on Dr. Kurtoglu’s term life insurance policy, $900 representing reimbursement for cell phone expenses, and $8,038 representing accrued vacation as of March 31, 2024 paid upon the adoption of unlimited paid time off policy.</w:t>
      </w:r>
    </w:p>
    <w:p>
      <w:pPr>
        <w:spacing w:after="0" w:line="80" w:lineRule="exact"/>
        <w:rPr>
          <w:sz w:val="20"/>
          <w:szCs w:val="20"/>
          <w:color w:val="auto"/>
        </w:rPr>
      </w:pPr>
    </w:p>
    <w:p>
      <w:pPr>
        <w:ind w:left="340" w:right="40" w:hanging="332"/>
        <w:spacing w:after="0" w:line="255"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ceased service as our Chief Scientific Officer effective November 14, 2025. Upon his departure as a full time employee, Dr. Jewell forfeited his 2025 annual target bonus opportunity of $173,040. As noted above, Dr. Jewell was paid an amount of $144,200 as a term of his separation agreement, which was approved separately from the 2025 Bonus Plan by the Compensation Committee. Dr. Jewell served as a consultant to the Company during the Jewell Consulting Period. Pursuant to his consulting agreement, Dr. Jewell’s stock options and restricted stock unit awards were modified to continue the vesting of the remaining awards during the Jewell Consulting Period and extend the post-termination exercise period of the modified stock options. The modification resulted in the recognition of $102,473 and $13,093 incremental compensation expense in stock awards and option awards, respectively, during the year ended December 31, 2025.</w:t>
      </w:r>
    </w:p>
    <w:p>
      <w:pPr>
        <w:spacing w:after="0" w:line="80" w:lineRule="exact"/>
        <w:rPr>
          <w:rFonts w:ascii="Times New Roman" w:cs="Times New Roman" w:eastAsia="Times New Roman" w:hAnsi="Times New Roman"/>
          <w:sz w:val="18"/>
          <w:szCs w:val="18"/>
          <w:color w:val="auto"/>
        </w:rPr>
      </w:pPr>
    </w:p>
    <w:p>
      <w:pPr>
        <w:ind w:left="340" w:right="120" w:hanging="332"/>
        <w:spacing w:after="0" w:line="254"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Kurtoglu’s title was changed to Chief Technology Officer from Chief Operating Officer on March 28, 2024. Dr. Kurtoglu ceased service as our Chief Technology Officer effective May 1, 2025. Upon his departure as a full time employee, Dr. Kurtoglu forfeited his 2025 annual target bonus opportunity of $181,280. As noted above, Dr. Kurtoglu was paid an amount of $60,427 as a term of his separation agreement, which was approved separately from the 2025 Bonus Plan by the Compensation Committee. Dr. Kurtoglu served as a consultant to the Company during the Kurtoglu Consulting Period. Pursuant to the his separation agreement, certain of Dr. Kurtoglu’s stock options and restricted stock unit awards were modified to accelerate the vesting of a portion of the awards, continue the vesting of the remaining awards during the Kurtoglu Consulting Period, and extend the post-termination exercise period of the modified stock options. The modification resulted in the recognition of $503,358 and $335,721 incremental compensation expense in stock awards and option awards, respectively, during the year ended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At the end of 2024, the Compensation Committee recommended to the Board, and the Board approved, an increase in Dr. Brunn’s annual base salary from $642,720 to $674,000 for 2025, an increase in Mr. Davis’ annual base salary from $462,000 to $475,860 for 2025, an increase in Dr. Miljkovic’s annual base salary from $400,000 to $439,000 for 2025, an increase in Dr. Jewell’s annual base salary from $420,000 to $432,600 for 2025, and an increase in Dr. Kurtoglu’s annual base salary from $440,000 to $453,200 for 2025. All base salaries for 2025 were effective as of January 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annual base salary. The 2025 target bonus amount for Dr. Brunn was 60% of his base salary, and for each of Mr. Davis and Drs.Miljkovic, Jewell and Kurtoglu was 40% of his base salary.</w:t>
      </w:r>
    </w:p>
    <w:p>
      <w:pPr>
        <w:spacing w:after="0" w:line="7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2025, the level of overall target achievement with respect to bonuses was entirely determined based on Company performance in meeting clinical, business development, manufacturing, culture and engagement, and financial goals and other corporate achievements, and the Compensation Committee took individual performance against those goals into consideration when determining actual bonus payout for each Named Executive Officer.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actual cash bonuses earned by the named executives for 2025 are reported under the “Non-equity incentive plan compensation” column of the 2025 Summary Compensation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determined appropriate to recruit, retain or reward particular Named Executive Officers.</w:t>
      </w:r>
    </w:p>
    <w:p>
      <w:pPr>
        <w:spacing w:after="0" w:line="6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and our stockholders approved the 2016 Plan to facilitate the grant of cash and equity incentives to our directors, employees (including our Named Executive Officers) and consultants and to enable us to obtain and retain the services of these individuals, which we believe are essential to our long-term success.</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also maintain the 2018 Plan, which was adopted by the Board on September 25, 2018 without stockholder approval pursuant to Rule 5635(c)(4) of the Nasdaq listing rules (“Rule 5635(c)(4)”) and provides for the grant of equity-based awards in the form of non-qualified stock options, stock appreciation rights, restricted stock awards, RSU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75"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Merger, we adopted the Old Cartesian Plan as described in the section entitled “Compensation Discussion and Analysis— Merger” above.</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annual installments over the following three years, subject to the holder’s continued employment with us and potential accelerated vesting in certain circumstances. From time to time, our Board may also construct alternate vesting schedules as it determines are appropriate to motivate particular employees. Our stock option awards may be intended to qualify as incentive stock options under the Code.</w:t>
      </w:r>
    </w:p>
    <w:p>
      <w:pPr>
        <w:spacing w:after="0" w:line="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early 2025, we made the following grants under the 2016 Plan: (i) to Dr. Brunn options to purchase 169,100 shares of our Common Stock and 57,500 RSUs; (ii) to Mr. Davis options to purchase 64,600 shares of our Common Stock and 22,000 RSUs; (iii) to Dr. Miljkovic options to purchase 56,000 shares of our Common Stock and 19,000 RSUs; (iv) to Dr. Jewell options to purchase 47,400 shares of our Common Stock and 16,100 RSUs; and (v) Dr. Kurtoglu options to purchase 47,400 shares of our Common Stock and 16,100 RSUs.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Health, Welfare and Additional Benefits</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6% of an employee’s annual cash compensation. Company matches vest over two years with 25% vesting in year one and 100% vesting in year two.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6"/>
              </w:rPr>
              <w:t>Value of</w:t>
            </w:r>
          </w:p>
        </w:tc>
        <w:tc>
          <w:tcPr>
            <w:tcW w:w="0" w:type="dxa"/>
            <w:vAlign w:val="bottom"/>
          </w:tcPr>
          <w:p>
            <w:pPr>
              <w:spacing w:after="0"/>
              <w:rPr>
                <w:sz w:val="1"/>
                <w:szCs w:val="1"/>
                <w:color w:val="auto"/>
              </w:rPr>
            </w:pPr>
          </w:p>
        </w:tc>
      </w:tr>
      <w:tr>
        <w:trPr>
          <w:trHeight w:val="63"/>
        </w:trPr>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13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1340" w:type="dxa"/>
            <w:vAlign w:val="bottom"/>
            <w:gridSpan w:val="2"/>
            <w:vMerge w:val="restart"/>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Underlying</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rPr>
              <w:t>Shares or</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Vesting</w:t>
            </w:r>
          </w:p>
        </w:tc>
        <w:tc>
          <w:tcPr>
            <w:tcW w:w="12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4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Options (#)</w:t>
            </w:r>
          </w:p>
        </w:tc>
        <w:tc>
          <w:tcPr>
            <w:tcW w:w="13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Options (#)</w:t>
            </w:r>
          </w:p>
        </w:tc>
        <w:tc>
          <w:tcPr>
            <w:tcW w:w="11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Stock that</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that have</w:t>
            </w:r>
          </w:p>
        </w:tc>
        <w:tc>
          <w:tcPr>
            <w:tcW w:w="0" w:type="dxa"/>
            <w:vAlign w:val="bottom"/>
          </w:tcPr>
          <w:p>
            <w:pPr>
              <w:spacing w:after="0"/>
              <w:rPr>
                <w:sz w:val="1"/>
                <w:szCs w:val="1"/>
                <w:color w:val="auto"/>
              </w:rPr>
            </w:pPr>
          </w:p>
        </w:tc>
      </w:tr>
      <w:tr>
        <w:trPr>
          <w:trHeight w:val="189"/>
        </w:trPr>
        <w:tc>
          <w:tcPr>
            <w:tcW w:w="17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Commencement</w:t>
            </w:r>
          </w:p>
        </w:tc>
        <w:tc>
          <w:tcPr>
            <w:tcW w:w="12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7"/>
                <w:szCs w:val="17"/>
                <w:b w:val="1"/>
                <w:bCs w:val="1"/>
                <w:color w:val="auto"/>
              </w:rPr>
              <w:t>Exercisable</w:t>
            </w:r>
            <w:r>
              <w:rPr>
                <w:rFonts w:ascii="Times New Roman" w:cs="Times New Roman" w:eastAsia="Times New Roman" w:hAnsi="Times New Roman"/>
                <w:sz w:val="21"/>
                <w:szCs w:val="21"/>
                <w:b w:val="1"/>
                <w:bCs w:val="1"/>
                <w:color w:val="auto"/>
                <w:vertAlign w:val="superscript"/>
              </w:rPr>
              <w:t>(2)</w:t>
            </w:r>
          </w:p>
        </w:tc>
        <w:tc>
          <w:tcPr>
            <w:tcW w:w="13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7"/>
                <w:szCs w:val="17"/>
                <w:b w:val="1"/>
                <w:bCs w:val="1"/>
                <w:color w:val="auto"/>
              </w:rPr>
              <w:t>Unexercisable</w:t>
            </w:r>
            <w:r>
              <w:rPr>
                <w:rFonts w:ascii="Times New Roman" w:cs="Times New Roman" w:eastAsia="Times New Roman" w:hAnsi="Times New Roman"/>
                <w:sz w:val="21"/>
                <w:szCs w:val="21"/>
                <w:b w:val="1"/>
                <w:bCs w:val="1"/>
                <w:color w:val="auto"/>
                <w:vertAlign w:val="superscript"/>
              </w:rPr>
              <w:t>(2)</w:t>
            </w:r>
          </w:p>
        </w:tc>
        <w:tc>
          <w:tcPr>
            <w:tcW w:w="114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1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11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7"/>
              </w:rPr>
              <w:t>have not</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not Vested</w:t>
            </w:r>
          </w:p>
        </w:tc>
        <w:tc>
          <w:tcPr>
            <w:tcW w:w="0" w:type="dxa"/>
            <w:vAlign w:val="bottom"/>
          </w:tcPr>
          <w:p>
            <w:pPr>
              <w:spacing w:after="0"/>
              <w:rPr>
                <w:sz w:val="1"/>
                <w:szCs w:val="1"/>
                <w:color w:val="auto"/>
              </w:rPr>
            </w:pPr>
          </w:p>
        </w:tc>
      </w:tr>
      <w:tr>
        <w:trPr>
          <w:trHeight w:val="176"/>
        </w:trPr>
        <w:tc>
          <w:tcPr>
            <w:tcW w:w="17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6"/>
                <w:szCs w:val="16"/>
                <w:b w:val="1"/>
                <w:bCs w:val="1"/>
                <w:color w:val="auto"/>
              </w:rPr>
              <w:t>Date</w:t>
            </w:r>
            <w:r>
              <w:rPr>
                <w:rFonts w:ascii="Times New Roman" w:cs="Times New Roman" w:eastAsia="Times New Roman" w:hAnsi="Times New Roman"/>
                <w:sz w:val="20"/>
                <w:szCs w:val="20"/>
                <w:b w:val="1"/>
                <w:bCs w:val="1"/>
                <w:color w:val="auto"/>
                <w:vertAlign w:val="superscript"/>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80" w:type="dxa"/>
            <w:vAlign w:val="bottom"/>
          </w:tcPr>
          <w:p>
            <w:pPr>
              <w:spacing w:after="0"/>
              <w:rPr>
                <w:sz w:val="15"/>
                <w:szCs w:val="15"/>
                <w:color w:val="auto"/>
              </w:rPr>
            </w:pPr>
          </w:p>
        </w:tc>
        <w:tc>
          <w:tcPr>
            <w:tcW w:w="114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b w:val="1"/>
                <w:bCs w:val="1"/>
                <w:color w:val="auto"/>
              </w:rPr>
              <w:t>Price ($)</w:t>
            </w:r>
          </w:p>
        </w:tc>
        <w:tc>
          <w:tcPr>
            <w:tcW w:w="11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11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6"/>
                <w:szCs w:val="16"/>
                <w:b w:val="1"/>
                <w:bCs w:val="1"/>
                <w:color w:val="auto"/>
                <w:w w:val="98"/>
              </w:rPr>
              <w:t>Vested</w:t>
            </w:r>
            <w:r>
              <w:rPr>
                <w:rFonts w:ascii="Times New Roman" w:cs="Times New Roman" w:eastAsia="Times New Roman" w:hAnsi="Times New Roman"/>
                <w:sz w:val="20"/>
                <w:szCs w:val="20"/>
                <w:b w:val="1"/>
                <w:bCs w:val="1"/>
                <w:color w:val="auto"/>
                <w:w w:val="98"/>
                <w:vertAlign w:val="superscript"/>
              </w:rPr>
              <w:t>(3)(4)</w:t>
            </w: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20"/>
                <w:szCs w:val="20"/>
                <w:b w:val="1"/>
                <w:bCs w:val="1"/>
                <w:color w:val="auto"/>
                <w:w w:val="99"/>
                <w:vertAlign w:val="superscript"/>
              </w:rPr>
              <w:t>(5)</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49,759</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149,274</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$19.656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1/1/2034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116,352</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838,898</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169,100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57,500</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414,575</w:t>
            </w:r>
          </w:p>
        </w:tc>
        <w:tc>
          <w:tcPr>
            <w:tcW w:w="0" w:type="dxa"/>
            <w:vAlign w:val="bottom"/>
          </w:tcPr>
          <w:p>
            <w:pPr>
              <w:spacing w:after="0"/>
              <w:rPr>
                <w:sz w:val="1"/>
                <w:szCs w:val="1"/>
                <w:color w:val="auto"/>
              </w:rPr>
            </w:pPr>
          </w:p>
        </w:tc>
      </w:tr>
      <w:tr>
        <w:trPr>
          <w:trHeight w:val="223"/>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Blaine Davis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25,917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77,749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1/1/2034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60,600</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436,926</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64,600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22,000</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158,620</w:t>
            </w:r>
          </w:p>
        </w:tc>
        <w:tc>
          <w:tcPr>
            <w:tcW w:w="0" w:type="dxa"/>
            <w:vAlign w:val="bottom"/>
          </w:tcPr>
          <w:p>
            <w:pPr>
              <w:spacing w:after="0"/>
              <w:rPr>
                <w:sz w:val="1"/>
                <w:szCs w:val="1"/>
                <w:color w:val="auto"/>
              </w:rPr>
            </w:pPr>
          </w:p>
        </w:tc>
      </w:tr>
      <w:tr>
        <w:trPr>
          <w:trHeight w:val="223"/>
        </w:trPr>
        <w:tc>
          <w:tcPr>
            <w:tcW w:w="2840" w:type="dxa"/>
            <w:vAlign w:val="bottom"/>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Milos Miljkovic, M.D. 9/13/2021 </w:t>
            </w:r>
            <w:r>
              <w:rPr>
                <w:rFonts w:ascii="Times New Roman" w:cs="Times New Roman" w:eastAsia="Times New Roman" w:hAnsi="Times New Roman"/>
                <w:sz w:val="23"/>
                <w:szCs w:val="23"/>
                <w:color w:val="auto"/>
                <w:vertAlign w:val="superscript"/>
              </w:rPr>
              <w:t>(6)</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9/13/2021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30,528</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9/12/2031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5,859</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17,574</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$19.656</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1/1/2034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13,704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98,806</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56,000</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1/1/2035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19,000</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136,990</w:t>
            </w:r>
          </w:p>
        </w:tc>
        <w:tc>
          <w:tcPr>
            <w:tcW w:w="0" w:type="dxa"/>
            <w:vAlign w:val="bottom"/>
          </w:tcPr>
          <w:p>
            <w:pPr>
              <w:spacing w:after="0"/>
              <w:rPr>
                <w:sz w:val="1"/>
                <w:szCs w:val="1"/>
                <w:color w:val="auto"/>
              </w:rPr>
            </w:pPr>
          </w:p>
        </w:tc>
      </w:tr>
      <w:tr>
        <w:trPr>
          <w:trHeight w:val="169"/>
        </w:trPr>
        <w:tc>
          <w:tcPr>
            <w:tcW w:w="17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Christopher Jewell,</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 xml:space="preserve">1/16/2023 </w:t>
            </w:r>
            <w:r>
              <w:rPr>
                <w:rFonts w:ascii="Times New Roman" w:cs="Times New Roman" w:eastAsia="Times New Roman" w:hAnsi="Times New Roman"/>
                <w:sz w:val="23"/>
                <w:szCs w:val="23"/>
                <w:color w:val="auto"/>
                <w:w w:val="94"/>
                <w:vertAlign w:val="superscript"/>
              </w:rPr>
              <w:t>(6)</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Ph.D. </w:t>
            </w:r>
            <w:r>
              <w:rPr>
                <w:rFonts w:ascii="Times New Roman" w:cs="Times New Roman" w:eastAsia="Times New Roman" w:hAnsi="Times New Roman"/>
                <w:sz w:val="23"/>
                <w:szCs w:val="23"/>
                <w:color w:val="auto"/>
                <w:vertAlign w:val="superscript"/>
              </w:rPr>
              <w:t>(7)</w:t>
            </w: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1/16/2023</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67,432</w:t>
            </w:r>
          </w:p>
        </w:tc>
        <w:tc>
          <w:tcPr>
            <w:tcW w:w="100" w:type="dxa"/>
            <w:vAlign w:val="bottom"/>
          </w:tcPr>
          <w:p>
            <w:pPr>
              <w:spacing w:after="0"/>
              <w:rPr>
                <w:sz w:val="21"/>
                <w:szCs w:val="21"/>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1/15/2033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8,317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24,948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19.656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1/1/2034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19,455</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140,271</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47,400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1/1/2035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16,100</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116,081</w:t>
            </w:r>
          </w:p>
        </w:tc>
        <w:tc>
          <w:tcPr>
            <w:tcW w:w="0" w:type="dxa"/>
            <w:vAlign w:val="bottom"/>
          </w:tcPr>
          <w:p>
            <w:pPr>
              <w:spacing w:after="0"/>
              <w:rPr>
                <w:sz w:val="1"/>
                <w:szCs w:val="1"/>
                <w:color w:val="auto"/>
              </w:rPr>
            </w:pPr>
          </w:p>
        </w:tc>
      </w:tr>
      <w:tr>
        <w:trPr>
          <w:trHeight w:val="169"/>
        </w:trPr>
        <w:tc>
          <w:tcPr>
            <w:tcW w:w="172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Metin Kurtoglu, M.D.,</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 xml:space="preserve">11/7/2016 </w:t>
            </w:r>
            <w:r>
              <w:rPr>
                <w:rFonts w:ascii="Times New Roman" w:cs="Times New Roman" w:eastAsia="Times New Roman" w:hAnsi="Times New Roman"/>
                <w:sz w:val="23"/>
                <w:szCs w:val="23"/>
                <w:color w:val="auto"/>
                <w:w w:val="94"/>
                <w:vertAlign w:val="superscript"/>
              </w:rPr>
              <w:t>(6)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Ph.D. </w:t>
            </w:r>
            <w:r>
              <w:rPr>
                <w:rFonts w:ascii="Times New Roman" w:cs="Times New Roman" w:eastAsia="Times New Roman" w:hAnsi="Times New Roman"/>
                <w:sz w:val="23"/>
                <w:szCs w:val="23"/>
                <w:color w:val="auto"/>
                <w:vertAlign w:val="superscript"/>
              </w:rPr>
              <w:t>(8)</w:t>
            </w: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11/7/2016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79,099</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11/6/2026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4/26/2021 </w:t>
            </w:r>
            <w:r>
              <w:rPr>
                <w:rFonts w:ascii="Times New Roman" w:cs="Times New Roman" w:eastAsia="Times New Roman" w:hAnsi="Times New Roman"/>
                <w:sz w:val="23"/>
                <w:szCs w:val="23"/>
                <w:color w:val="auto"/>
                <w:w w:val="94"/>
                <w:vertAlign w:val="superscript"/>
              </w:rPr>
              <w:t>(6)</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4/26/2021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14,254</w:t>
            </w:r>
          </w:p>
        </w:tc>
        <w:tc>
          <w:tcPr>
            <w:tcW w:w="10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4/25/2031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3/1/2022 </w:t>
            </w:r>
            <w:r>
              <w:rPr>
                <w:rFonts w:ascii="Times New Roman" w:cs="Times New Roman" w:eastAsia="Times New Roman" w:hAnsi="Times New Roman"/>
                <w:sz w:val="23"/>
                <w:szCs w:val="23"/>
                <w:color w:val="auto"/>
                <w:w w:val="94"/>
                <w:vertAlign w:val="superscript"/>
              </w:rPr>
              <w:t>(6)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3,564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2/29/2032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65,499</w:t>
            </w:r>
          </w:p>
        </w:tc>
        <w:tc>
          <w:tcPr>
            <w:tcW w:w="100" w:type="dxa"/>
            <w:vAlign w:val="bottom"/>
          </w:tcPr>
          <w:p>
            <w:pPr>
              <w:spacing w:after="0"/>
              <w:rPr>
                <w:sz w:val="19"/>
                <w:szCs w:val="19"/>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19.656</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1/1/2034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47,400</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1/1/2035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1/2/2025</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16,100</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116,081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right="580" w:hanging="332"/>
        <w:spacing w:after="0" w:line="282"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are subject to accelerated vesting in the event of a termination without cause or resignation for good reason within 12 months following a change in control pursuant to the terms of the Named Executive Officers’ employment agreements.</w:t>
      </w:r>
    </w:p>
    <w:p>
      <w:pPr>
        <w:spacing w:after="0" w:line="53"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January 2, 2024 and 2025 vest as to 25% of the total shares underlying the option on the first anniversary of the vesting commencement date and in equal annual installments over the following three years, subject to the holder’s continued employment with us through the applicable vesting date.</w:t>
      </w:r>
    </w:p>
    <w:p>
      <w:pPr>
        <w:spacing w:after="0" w:line="67"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2024, we held a special meeting of stockholders (the “March 2024 Special Meeting”). At the March 2024 Special Meeting, our stockholders approved, and our Board subsequently implemented, a 1-for-30 reverse stock split of all then-outstanding shares of our Common Stock and Automatic Conversion.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right="600" w:hanging="332"/>
        <w:spacing w:after="0" w:line="282"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units vest in four equal annual installments beginning on the first anniversary of the vesting commencement date, subject to employees continued employment with us through the applicable vesting date.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of $7.21 on December 31, 2025, the last trading day of the fiscal year ended December 31, 2025.</w:t>
      </w:r>
    </w:p>
    <w:p>
      <w:pPr>
        <w:spacing w:after="0" w:line="117" w:lineRule="exact"/>
        <w:rPr>
          <w:rFonts w:ascii="Times New Roman" w:cs="Times New Roman" w:eastAsia="Times New Roman" w:hAnsi="Times New Roman"/>
          <w:sz w:val="18"/>
          <w:szCs w:val="18"/>
          <w:color w:val="auto"/>
        </w:rPr>
      </w:pPr>
    </w:p>
    <w:p>
      <w:pPr>
        <w:ind w:left="340" w:right="40" w:hanging="332"/>
        <w:spacing w:after="0" w:line="258"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2023, we acquired Old Cartesian in the Merger. These options to purchase Old Cartesian common stock were converted into options to purchase shares of Series A Preferred Stock in connection with the Merger. At the March 2024 Special Meeting, our stockholders approved, and our Board subsequently implemented, a 1-for-30 reverse stock split of all then-outstanding shares of our Common Stock and the conversion of our Series A Preferred Stock into shares of Common Stock. Following the Automatic Conversion, options previously exercisable for shares of Series A Preferred Stock may be exercised solely for shares of Common Stock.</w:t>
      </w:r>
    </w:p>
    <w:p>
      <w:pPr>
        <w:spacing w:after="0" w:line="75"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Jewell was appointed Chief Scientific Officer on November 13, 2023. Dr. Jewell ceased to serve as our Chief Scientific Officer on November 14, 2025. Upon the expiration of Dr. Jewell’s consulting agreement on January 14, 2026, Dr. Jewell’s unvested RSUs and stock options were forfeited, and Dr. Jewell had three months thereafter to exercise any vested unexercised stock options.</w:t>
      </w:r>
    </w:p>
    <w:p>
      <w:pPr>
        <w:spacing w:after="0" w:line="67" w:lineRule="exact"/>
        <w:rPr>
          <w:rFonts w:ascii="Times New Roman" w:cs="Times New Roman" w:eastAsia="Times New Roman" w:hAnsi="Times New Roman"/>
          <w:sz w:val="18"/>
          <w:szCs w:val="18"/>
          <w:color w:val="auto"/>
        </w:rPr>
      </w:pPr>
    </w:p>
    <w:p>
      <w:pPr>
        <w:ind w:left="340" w:right="460" w:hanging="332"/>
        <w:spacing w:after="0" w:line="261" w:lineRule="auto"/>
        <w:tabs>
          <w:tab w:leader="none" w:pos="3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Kurtoglu was appointed Chief Operating Officer on November 13, 2023. On March 28, 2024, Dr. Kurtoglu’s title was changed to Chief Technology Officer. Dr. Kurtoglu ceased to serve as our Chief Technology Officer on May 1, 2025, and, upon the expiration of his consulting agreement on April 30, 2026, Dr. Kurtoglu’s unvested RSUs and stock options will be forfeited on April 30, 2026, and he will have three months thereafter to exercise any vested unexercised stock options.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7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7"/>
          <w:szCs w:val="17"/>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our Company; (iii) intentional damage to any Company property; (iv) misconduct which materially and adversely reflects upon the business, operations, or reputation of our Company;</w:t>
      </w:r>
    </w:p>
    <w:p>
      <w:pPr>
        <w:spacing w:after="0" w:line="2" w:lineRule="exact"/>
        <w:rPr>
          <w:sz w:val="20"/>
          <w:szCs w:val="20"/>
          <w:color w:val="auto"/>
        </w:rPr>
      </w:pPr>
    </w:p>
    <w:p>
      <w:pPr>
        <w:ind w:right="360" w:firstLine="8"/>
        <w:spacing w:after="0" w:line="239"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any material provision of the employment agreement or any other written agreement with our Company; or (vi) for Mr. Davis and Drs. Miljkovic, Jewell and Kurtoglu, a material or substantial failure to perform, or material or substantial negligence in the performance of, the executive’s duties and responsibilities to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reason” generally means, subject to our cure rights, the occurrence of any of the following, without the Named Executive Officer’s written consent:</w:t>
      </w:r>
    </w:p>
    <w:p>
      <w:pPr>
        <w:spacing w:after="0" w:line="27" w:lineRule="exact"/>
        <w:rPr>
          <w:sz w:val="20"/>
          <w:szCs w:val="20"/>
          <w:color w:val="auto"/>
        </w:rPr>
      </w:pPr>
    </w:p>
    <w:p>
      <w:pPr>
        <w:ind w:right="160" w:firstLine="8"/>
        <w:spacing w:after="0" w:line="252" w:lineRule="auto"/>
        <w:tabs>
          <w:tab w:leader="none" w:pos="2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base salary or, in the case of Dr. Miljkovic, base salary or target bonus; (ii) a material diminution in authority, title, duties, or areas of responsibility; (iii) for Dr. Brunn and Mr. Davis, the requirement that he report to someone other than the Board with respect to our Chief Executive Officer or the Chief Executive Officer with respect to Mr. Davis; (iv) the relocation of the executive’s primary office to a location more than 40 miles from the applicable principal office (Boston metropolitan area for Dr. Brunn and Mr. Davis; Gaithersburg, Maryland for Drs. Jewell and Kurtoglu; and the Company’s Maryland office for Dr. Miljkovic); or (v) a material breach by us of the employment agreement or any other written agreement with the Named Executive Officer.</w:t>
      </w:r>
    </w:p>
    <w:p>
      <w:pPr>
        <w:spacing w:after="0" w:line="8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termination of employment for a period of 12 months, as more fully set forth in the applicable agreement(s). For Dr. Brunn, during the period following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Named Executive Officer’s employment that he is subject to the non-competition covenants, and subject to limited exceptions, we have agreed to provide the Named Executive Officer with garden leave pay at a rate that equals 50% of his highest annual base salary within the two years prior to his termination, consistent with the Massachusetts Noncompetition Agreement Act.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must annually disclose in our proxy statement the relationship between our performance and the “compensation actually paid” to our Principal Executive Officer (“PEO”) and our non-PEO Named Executive Officers (collectively, the “Non-PEO NEOs”).</w:t>
      </w:r>
    </w:p>
    <w:p>
      <w:pPr>
        <w:spacing w:after="0" w:line="6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additional compensation information of our PEO and our Non-PEO NEOs along with our total shareholder return and our net loss for the fiscal years ended December 31, 2025, 2024, and 2023.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Summary</w:t>
            </w:r>
          </w:p>
        </w:tc>
        <w:tc>
          <w:tcPr>
            <w:tcW w:w="140" w:type="dxa"/>
            <w:vAlign w:val="bottom"/>
          </w:tcPr>
          <w:p>
            <w:pPr>
              <w:spacing w:after="0"/>
              <w:rPr>
                <w:sz w:val="17"/>
                <w:szCs w:val="17"/>
                <w:color w:val="auto"/>
              </w:rPr>
            </w:pPr>
          </w:p>
        </w:tc>
        <w:tc>
          <w:tcPr>
            <w:tcW w:w="1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Initial Fixed</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80" w:type="dxa"/>
            <w:vAlign w:val="bottom"/>
          </w:tcPr>
          <w:p>
            <w:pPr>
              <w:spacing w:after="0"/>
              <w:rPr>
                <w:sz w:val="16"/>
                <w:szCs w:val="16"/>
                <w:color w:val="auto"/>
              </w:rPr>
            </w:pPr>
          </w:p>
        </w:tc>
        <w:tc>
          <w:tcPr>
            <w:tcW w:w="16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$100 Investment</w:t>
            </w: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78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140" w:type="dxa"/>
            <w:vAlign w:val="bottom"/>
          </w:tcPr>
          <w:p>
            <w:pPr>
              <w:spacing w:after="0"/>
              <w:rPr>
                <w:sz w:val="15"/>
                <w:szCs w:val="15"/>
                <w:color w:val="auto"/>
              </w:rPr>
            </w:pPr>
          </w:p>
        </w:tc>
        <w:tc>
          <w:tcPr>
            <w:tcW w:w="16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0" w:type="dxa"/>
            <w:vAlign w:val="bottom"/>
          </w:tcPr>
          <w:p>
            <w:pPr>
              <w:spacing w:after="0"/>
              <w:rPr>
                <w:sz w:val="15"/>
                <w:szCs w:val="15"/>
                <w:color w:val="auto"/>
              </w:rPr>
            </w:pPr>
          </w:p>
        </w:tc>
        <w:tc>
          <w:tcPr>
            <w:tcW w:w="16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Based on Total</w:t>
            </w:r>
          </w:p>
        </w:tc>
        <w:tc>
          <w:tcPr>
            <w:tcW w:w="220" w:type="dxa"/>
            <w:vAlign w:val="bottom"/>
          </w:tcPr>
          <w:p>
            <w:pPr>
              <w:spacing w:after="0"/>
              <w:rPr>
                <w:sz w:val="15"/>
                <w:szCs w:val="15"/>
                <w:color w:val="auto"/>
              </w:rPr>
            </w:pPr>
          </w:p>
        </w:tc>
        <w:tc>
          <w:tcPr>
            <w:tcW w:w="14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4"/>
              </w:rPr>
              <w:t>Net Loss</w:t>
            </w:r>
            <w:r>
              <w:rPr>
                <w:rFonts w:ascii="Times New Roman" w:cs="Times New Roman" w:eastAsia="Times New Roman" w:hAnsi="Times New Roman"/>
                <w:sz w:val="23"/>
                <w:szCs w:val="23"/>
                <w:b w:val="1"/>
                <w:bCs w:val="1"/>
                <w:color w:val="auto"/>
                <w:w w:val="94"/>
                <w:vertAlign w:val="superscript"/>
              </w:rPr>
              <w:t>(4)</w:t>
            </w:r>
            <w:r>
              <w:rPr>
                <w:rFonts w:ascii="Times New Roman" w:cs="Times New Roman" w:eastAsia="Times New Roman" w:hAnsi="Times New Roman"/>
                <w:sz w:val="18"/>
                <w:szCs w:val="18"/>
                <w:b w:val="1"/>
                <w:bCs w:val="1"/>
                <w:color w:val="auto"/>
                <w:w w:val="94"/>
              </w:rPr>
              <w:t xml:space="preserve"> ($</w:t>
            </w:r>
          </w:p>
        </w:tc>
        <w:tc>
          <w:tcPr>
            <w:tcW w:w="0" w:type="dxa"/>
            <w:vAlign w:val="bottom"/>
          </w:tcPr>
          <w:p>
            <w:pPr>
              <w:spacing w:after="0"/>
              <w:rPr>
                <w:sz w:val="1"/>
                <w:szCs w:val="1"/>
                <w:color w:val="auto"/>
              </w:rPr>
            </w:pPr>
          </w:p>
        </w:tc>
      </w:tr>
      <w:tr>
        <w:trPr>
          <w:trHeight w:val="189"/>
        </w:trPr>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76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20" w:type="dxa"/>
            <w:vAlign w:val="bottom"/>
          </w:tcPr>
          <w:p>
            <w:pPr>
              <w:spacing w:after="0"/>
              <w:rPr>
                <w:sz w:val="16"/>
                <w:szCs w:val="16"/>
                <w:color w:val="auto"/>
              </w:rPr>
            </w:pPr>
          </w:p>
        </w:tc>
        <w:tc>
          <w:tcPr>
            <w:tcW w:w="166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Total for Non-PEO</w:t>
            </w:r>
          </w:p>
        </w:tc>
        <w:tc>
          <w:tcPr>
            <w:tcW w:w="140" w:type="dxa"/>
            <w:vAlign w:val="bottom"/>
          </w:tcPr>
          <w:p>
            <w:pPr>
              <w:spacing w:after="0"/>
              <w:rPr>
                <w:sz w:val="16"/>
                <w:szCs w:val="16"/>
                <w:color w:val="auto"/>
              </w:rPr>
            </w:pPr>
          </w:p>
        </w:tc>
        <w:tc>
          <w:tcPr>
            <w:tcW w:w="16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40" w:type="dxa"/>
            <w:vAlign w:val="bottom"/>
          </w:tcPr>
          <w:p>
            <w:pPr>
              <w:spacing w:after="0"/>
              <w:rPr>
                <w:sz w:val="16"/>
                <w:szCs w:val="16"/>
                <w:color w:val="auto"/>
              </w:rPr>
            </w:pPr>
          </w:p>
        </w:tc>
        <w:tc>
          <w:tcPr>
            <w:tcW w:w="162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Shareholder</w:t>
            </w:r>
          </w:p>
        </w:tc>
        <w:tc>
          <w:tcPr>
            <w:tcW w:w="2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center"/>
              <w:ind w:right="260"/>
              <w:spacing w:after="0" w:line="221" w:lineRule="exact"/>
              <w:rPr>
                <w:sz w:val="20"/>
                <w:szCs w:val="20"/>
                <w:color w:val="auto"/>
              </w:rPr>
            </w:pPr>
            <w:r>
              <w:rPr>
                <w:rFonts w:ascii="Times New Roman" w:cs="Times New Roman" w:eastAsia="Times New Roman" w:hAnsi="Times New Roman"/>
                <w:sz w:val="18"/>
                <w:szCs w:val="18"/>
                <w:b w:val="1"/>
                <w:bCs w:val="1"/>
                <w:color w:val="auto"/>
                <w:w w:val="95"/>
              </w:rPr>
              <w:t>Total for PEO</w:t>
            </w:r>
            <w:r>
              <w:rPr>
                <w:rFonts w:ascii="Times New Roman" w:cs="Times New Roman" w:eastAsia="Times New Roman" w:hAnsi="Times New Roman"/>
                <w:sz w:val="23"/>
                <w:szCs w:val="23"/>
                <w:b w:val="1"/>
                <w:bCs w:val="1"/>
                <w:color w:val="auto"/>
                <w:w w:val="95"/>
                <w:vertAlign w:val="superscript"/>
              </w:rPr>
              <w:t>(1)</w:t>
            </w:r>
          </w:p>
        </w:tc>
        <w:tc>
          <w:tcPr>
            <w:tcW w:w="180" w:type="dxa"/>
            <w:vAlign w:val="bottom"/>
          </w:tcPr>
          <w:p>
            <w:pPr>
              <w:spacing w:after="0"/>
              <w:rPr>
                <w:sz w:val="19"/>
                <w:szCs w:val="19"/>
                <w:color w:val="auto"/>
              </w:rPr>
            </w:pPr>
          </w:p>
        </w:tc>
        <w:tc>
          <w:tcPr>
            <w:tcW w:w="1600" w:type="dxa"/>
            <w:vAlign w:val="bottom"/>
            <w:gridSpan w:val="2"/>
          </w:tcPr>
          <w:p>
            <w:pPr>
              <w:jc w:val="center"/>
              <w:ind w:right="260"/>
              <w:spacing w:after="0" w:line="221" w:lineRule="exact"/>
              <w:rPr>
                <w:sz w:val="20"/>
                <w:szCs w:val="20"/>
                <w:color w:val="auto"/>
              </w:rPr>
            </w:pPr>
            <w:r>
              <w:rPr>
                <w:rFonts w:ascii="Times New Roman" w:cs="Times New Roman" w:eastAsia="Times New Roman" w:hAnsi="Times New Roman"/>
                <w:sz w:val="18"/>
                <w:szCs w:val="18"/>
                <w:b w:val="1"/>
                <w:bCs w:val="1"/>
                <w:color w:val="auto"/>
                <w:w w:val="91"/>
              </w:rPr>
              <w:t>PEO</w:t>
            </w:r>
            <w:r>
              <w:rPr>
                <w:rFonts w:ascii="Times New Roman" w:cs="Times New Roman" w:eastAsia="Times New Roman" w:hAnsi="Times New Roman"/>
                <w:sz w:val="23"/>
                <w:szCs w:val="23"/>
                <w:b w:val="1"/>
                <w:bCs w:val="1"/>
                <w:color w:val="auto"/>
                <w:w w:val="91"/>
                <w:vertAlign w:val="superscript"/>
              </w:rPr>
              <w:t>(2)</w:t>
            </w:r>
          </w:p>
        </w:tc>
        <w:tc>
          <w:tcPr>
            <w:tcW w:w="120" w:type="dxa"/>
            <w:vAlign w:val="bottom"/>
          </w:tcPr>
          <w:p>
            <w:pPr>
              <w:spacing w:after="0"/>
              <w:rPr>
                <w:sz w:val="19"/>
                <w:szCs w:val="19"/>
                <w:color w:val="auto"/>
              </w:rPr>
            </w:pPr>
          </w:p>
        </w:tc>
        <w:tc>
          <w:tcPr>
            <w:tcW w:w="1660" w:type="dxa"/>
            <w:vAlign w:val="bottom"/>
            <w:gridSpan w:val="2"/>
          </w:tcPr>
          <w:p>
            <w:pPr>
              <w:jc w:val="center"/>
              <w:ind w:right="200"/>
              <w:spacing w:after="0" w:line="221" w:lineRule="exact"/>
              <w:rPr>
                <w:sz w:val="20"/>
                <w:szCs w:val="20"/>
                <w:color w:val="auto"/>
              </w:rPr>
            </w:pPr>
            <w:r>
              <w:rPr>
                <w:rFonts w:ascii="Times New Roman" w:cs="Times New Roman" w:eastAsia="Times New Roman" w:hAnsi="Times New Roman"/>
                <w:sz w:val="18"/>
                <w:szCs w:val="18"/>
                <w:b w:val="1"/>
                <w:bCs w:val="1"/>
                <w:color w:val="auto"/>
                <w:w w:val="90"/>
              </w:rPr>
              <w:t>NEOs</w:t>
            </w:r>
            <w:r>
              <w:rPr>
                <w:rFonts w:ascii="Times New Roman" w:cs="Times New Roman" w:eastAsia="Times New Roman" w:hAnsi="Times New Roman"/>
                <w:sz w:val="23"/>
                <w:szCs w:val="23"/>
                <w:b w:val="1"/>
                <w:bCs w:val="1"/>
                <w:color w:val="auto"/>
                <w:w w:val="90"/>
                <w:vertAlign w:val="superscript"/>
              </w:rPr>
              <w:t>(1)</w:t>
            </w:r>
          </w:p>
        </w:tc>
        <w:tc>
          <w:tcPr>
            <w:tcW w:w="140" w:type="dxa"/>
            <w:vAlign w:val="bottom"/>
          </w:tcPr>
          <w:p>
            <w:pPr>
              <w:spacing w:after="0"/>
              <w:rPr>
                <w:sz w:val="19"/>
                <w:szCs w:val="19"/>
                <w:color w:val="auto"/>
              </w:rPr>
            </w:pPr>
          </w:p>
        </w:tc>
        <w:tc>
          <w:tcPr>
            <w:tcW w:w="1660" w:type="dxa"/>
            <w:vAlign w:val="bottom"/>
            <w:gridSpan w:val="2"/>
          </w:tcPr>
          <w:p>
            <w:pPr>
              <w:jc w:val="center"/>
              <w:ind w:right="240"/>
              <w:spacing w:after="0" w:line="221" w:lineRule="exact"/>
              <w:rPr>
                <w:sz w:val="20"/>
                <w:szCs w:val="20"/>
                <w:color w:val="auto"/>
              </w:rPr>
            </w:pPr>
            <w:r>
              <w:rPr>
                <w:rFonts w:ascii="Times New Roman" w:cs="Times New Roman" w:eastAsia="Times New Roman" w:hAnsi="Times New Roman"/>
                <w:sz w:val="18"/>
                <w:szCs w:val="18"/>
                <w:b w:val="1"/>
                <w:bCs w:val="1"/>
                <w:color w:val="auto"/>
                <w:w w:val="96"/>
              </w:rPr>
              <w:t>Non-PEO NEOs</w:t>
            </w:r>
            <w:r>
              <w:rPr>
                <w:rFonts w:ascii="Times New Roman" w:cs="Times New Roman" w:eastAsia="Times New Roman" w:hAnsi="Times New Roman"/>
                <w:sz w:val="23"/>
                <w:szCs w:val="23"/>
                <w:b w:val="1"/>
                <w:bCs w:val="1"/>
                <w:color w:val="auto"/>
                <w:w w:val="96"/>
                <w:vertAlign w:val="superscript"/>
              </w:rPr>
              <w:t>(2)</w:t>
            </w:r>
          </w:p>
        </w:tc>
        <w:tc>
          <w:tcPr>
            <w:tcW w:w="140" w:type="dxa"/>
            <w:vAlign w:val="bottom"/>
          </w:tcPr>
          <w:p>
            <w:pPr>
              <w:spacing w:after="0"/>
              <w:rPr>
                <w:sz w:val="19"/>
                <w:szCs w:val="19"/>
                <w:color w:val="auto"/>
              </w:rPr>
            </w:pPr>
          </w:p>
        </w:tc>
        <w:tc>
          <w:tcPr>
            <w:tcW w:w="1620" w:type="dxa"/>
            <w:vAlign w:val="bottom"/>
            <w:gridSpan w:val="2"/>
          </w:tcPr>
          <w:p>
            <w:pPr>
              <w:jc w:val="center"/>
              <w:ind w:right="240"/>
              <w:spacing w:after="0" w:line="221" w:lineRule="exact"/>
              <w:rPr>
                <w:sz w:val="20"/>
                <w:szCs w:val="20"/>
                <w:color w:val="auto"/>
              </w:rPr>
            </w:pPr>
            <w:r>
              <w:rPr>
                <w:rFonts w:ascii="Times New Roman" w:cs="Times New Roman" w:eastAsia="Times New Roman" w:hAnsi="Times New Roman"/>
                <w:sz w:val="18"/>
                <w:szCs w:val="18"/>
                <w:b w:val="1"/>
                <w:bCs w:val="1"/>
                <w:color w:val="auto"/>
                <w:w w:val="95"/>
              </w:rPr>
              <w:t>Return</w:t>
            </w:r>
            <w:r>
              <w:rPr>
                <w:rFonts w:ascii="Times New Roman" w:cs="Times New Roman" w:eastAsia="Times New Roman" w:hAnsi="Times New Roman"/>
                <w:sz w:val="23"/>
                <w:szCs w:val="23"/>
                <w:b w:val="1"/>
                <w:bCs w:val="1"/>
                <w:color w:val="auto"/>
                <w:w w:val="95"/>
                <w:vertAlign w:val="superscript"/>
              </w:rPr>
              <w:t>(3)</w:t>
            </w:r>
          </w:p>
        </w:tc>
        <w:tc>
          <w:tcPr>
            <w:tcW w:w="220" w:type="dxa"/>
            <w:vAlign w:val="bottom"/>
          </w:tcPr>
          <w:p>
            <w:pPr>
              <w:spacing w:after="0"/>
              <w:rPr>
                <w:sz w:val="19"/>
                <w:szCs w:val="19"/>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38"/>
        </w:trPr>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w:t>
            </w:r>
          </w:p>
        </w:tc>
        <w:tc>
          <w:tcPr>
            <w:tcW w:w="16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8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4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22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4,329,868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(633,791)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2,024,301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(130,302)</w:t>
            </w:r>
          </w:p>
        </w:tc>
        <w:tc>
          <w:tcPr>
            <w:tcW w:w="0" w:type="dxa"/>
            <w:vAlign w:val="bottom"/>
          </w:tcPr>
          <w:p>
            <w:pPr>
              <w:spacing w:after="0"/>
              <w:rPr>
                <w:sz w:val="1"/>
                <w:szCs w:val="1"/>
                <w:color w:val="auto"/>
              </w:rPr>
            </w:pPr>
          </w:p>
        </w:tc>
      </w:tr>
      <w:tr>
        <w:trPr>
          <w:trHeight w:val="229"/>
        </w:trPr>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7,314,211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6,543,925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2,790,743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2,529,608</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(77,424)</w:t>
            </w:r>
          </w:p>
        </w:tc>
        <w:tc>
          <w:tcPr>
            <w:tcW w:w="0" w:type="dxa"/>
            <w:vAlign w:val="bottom"/>
          </w:tcPr>
          <w:p>
            <w:pPr>
              <w:spacing w:after="0"/>
              <w:rPr>
                <w:sz w:val="1"/>
                <w:szCs w:val="1"/>
                <w:color w:val="auto"/>
              </w:rPr>
            </w:pPr>
          </w:p>
        </w:tc>
      </w:tr>
      <w:tr>
        <w:trPr>
          <w:trHeight w:val="229"/>
        </w:trPr>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6,111,883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6,379,295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1,819,522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140" w:hanging="332"/>
        <w:spacing w:after="0" w:line="258" w:lineRule="auto"/>
        <w:tabs>
          <w:tab w:leader="none" w:pos="40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are the amounts of total compensation reported for Dr. Brunn for each corresponding year in the “Total” column of the Summary Compensation Table. The dollar amounts reported in column (d) represent the average of the amounts reported for our Company’s Non-PEO NEOs as a group in the “Total” column of the Summary Compensation Table in each applicable year. The names of the Non-PEO NEOs included for purposes of calculating the average amounts in each applicable year are as follows: for 2025, Blaine Davis, Milos Miljkovic, M.D., Metin Kurtoglu, M.D., Ph.D., and Christopher Jewell, Ph.D. for 2024, Blaine Davis, Metin Kurtoglu, M.D., Ph.D.,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Christopher Jewell, Ph.D.; and for 2023, Blaine Davis, Peter G. Traber, M.D., Lloyd Johnston, Ph.D., Metin Kurtoglu, M.D., Ph.D., and Christopher Jewell, Ph.D.</w:t>
      </w:r>
    </w:p>
    <w:p>
      <w:pPr>
        <w:spacing w:after="0" w:line="54" w:lineRule="exact"/>
        <w:rPr>
          <w:sz w:val="20"/>
          <w:szCs w:val="20"/>
          <w:color w:val="auto"/>
        </w:rPr>
      </w:pPr>
    </w:p>
    <w:p>
      <w:pPr>
        <w:ind w:left="340" w:right="500" w:hanging="332"/>
        <w:spacing w:after="0" w:line="282" w:lineRule="auto"/>
        <w:tabs>
          <w:tab w:leader="none" w:pos="40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describes the adjustments, each of which is required by SEC rules, to calculate Compensation Actually Paid amounts from the Summary Compensation Total:</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40" w:type="dxa"/>
            <w:vAlign w:val="bottom"/>
            <w:tcBorders>
              <w:top w:val="single" w:sz="8" w:color="auto"/>
              <w:left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Add Year-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 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Deduct Value</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Deduct</w:t>
            </w:r>
          </w:p>
        </w:tc>
        <w:tc>
          <w:tcPr>
            <w:tcW w:w="120" w:type="dxa"/>
            <w:vAlign w:val="bottom"/>
          </w:tcPr>
          <w:p>
            <w:pPr>
              <w:spacing w:after="0"/>
              <w:rPr>
                <w:sz w:val="15"/>
                <w:szCs w:val="15"/>
                <w:color w:val="auto"/>
              </w:rPr>
            </w:pPr>
          </w:p>
        </w:tc>
        <w:tc>
          <w:tcPr>
            <w:tcW w:w="1020" w:type="dxa"/>
            <w:vAlign w:val="bottom"/>
            <w:tcBorders>
              <w:right w:val="single" w:sz="8" w:color="auto"/>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End Fair</w:t>
            </w:r>
          </w:p>
        </w:tc>
        <w:tc>
          <w:tcPr>
            <w:tcW w:w="120" w:type="dxa"/>
            <w:vAlign w:val="bottom"/>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Value of</w:t>
            </w:r>
          </w:p>
        </w:tc>
        <w:tc>
          <w:tcPr>
            <w:tcW w:w="120" w:type="dxa"/>
            <w:vAlign w:val="bottom"/>
          </w:tcPr>
          <w:p>
            <w:pPr>
              <w:spacing w:after="0"/>
              <w:rPr>
                <w:sz w:val="16"/>
                <w:szCs w:val="16"/>
                <w:color w:val="auto"/>
              </w:rPr>
            </w:pPr>
          </w:p>
        </w:tc>
        <w:tc>
          <w:tcPr>
            <w:tcW w:w="100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6"/>
              </w:rPr>
              <w:t>Value as of</w:t>
            </w:r>
          </w:p>
        </w:tc>
        <w:tc>
          <w:tcPr>
            <w:tcW w:w="120" w:type="dxa"/>
            <w:vAlign w:val="bottom"/>
          </w:tcPr>
          <w:p>
            <w:pPr>
              <w:spacing w:after="0"/>
              <w:rPr>
                <w:sz w:val="16"/>
                <w:szCs w:val="16"/>
                <w:color w:val="auto"/>
              </w:rPr>
            </w:pPr>
          </w:p>
        </w:tc>
        <w:tc>
          <w:tcPr>
            <w:tcW w:w="1000" w:type="dxa"/>
            <w:vAlign w:val="bottom"/>
            <w:tcBorders>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120" w:type="dxa"/>
            <w:vAlign w:val="bottom"/>
          </w:tcPr>
          <w:p>
            <w:pPr>
              <w:spacing w:after="0"/>
              <w:rPr>
                <w:sz w:val="16"/>
                <w:szCs w:val="16"/>
                <w:color w:val="auto"/>
              </w:rPr>
            </w:pPr>
          </w:p>
        </w:tc>
        <w:tc>
          <w:tcPr>
            <w:tcW w:w="98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Year over</w:t>
            </w:r>
          </w:p>
        </w:tc>
        <w:tc>
          <w:tcPr>
            <w:tcW w:w="160" w:type="dxa"/>
            <w:vAlign w:val="bottom"/>
          </w:tcPr>
          <w:p>
            <w:pPr>
              <w:spacing w:after="0"/>
              <w:rPr>
                <w:sz w:val="16"/>
                <w:szCs w:val="16"/>
                <w:color w:val="auto"/>
              </w:rPr>
            </w:pPr>
          </w:p>
        </w:tc>
        <w:tc>
          <w:tcPr>
            <w:tcW w:w="960" w:type="dxa"/>
            <w:vAlign w:val="bottom"/>
            <w:tcBorders>
              <w:right w:val="single" w:sz="8" w:color="auto"/>
            </w:tcBorders>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Prior</w:t>
            </w: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right w:val="single" w:sz="8" w:color="auto"/>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Reported</w:t>
            </w:r>
          </w:p>
        </w:tc>
        <w:tc>
          <w:tcPr>
            <w:tcW w:w="114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2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Vesting Date</w:t>
            </w:r>
          </w:p>
        </w:tc>
        <w:tc>
          <w:tcPr>
            <w:tcW w:w="120" w:type="dxa"/>
            <w:vAlign w:val="bottom"/>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right w:val="single" w:sz="8" w:color="auto"/>
            </w:tcBorders>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2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6"/>
              </w:rPr>
              <w:t>Value of</w:t>
            </w:r>
          </w:p>
        </w:tc>
        <w:tc>
          <w:tcPr>
            <w:tcW w:w="114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and Unvested</w:t>
            </w:r>
          </w:p>
        </w:tc>
        <w:tc>
          <w:tcPr>
            <w:tcW w:w="120" w:type="dxa"/>
            <w:vAlign w:val="bottom"/>
          </w:tcPr>
          <w:p>
            <w:pPr>
              <w:spacing w:after="0"/>
              <w:rPr>
                <w:sz w:val="16"/>
                <w:szCs w:val="16"/>
                <w:color w:val="auto"/>
              </w:rPr>
            </w:pPr>
          </w:p>
        </w:tc>
        <w:tc>
          <w:tcPr>
            <w:tcW w:w="100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of Equity</w:t>
            </w:r>
          </w:p>
        </w:tc>
        <w:tc>
          <w:tcPr>
            <w:tcW w:w="112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6"/>
              </w:rPr>
              <w:t>Year Change</w:t>
            </w:r>
          </w:p>
        </w:tc>
        <w:tc>
          <w:tcPr>
            <w:tcW w:w="110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Year Change</w:t>
            </w:r>
          </w:p>
        </w:tc>
        <w:tc>
          <w:tcPr>
            <w:tcW w:w="112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Awards that</w:t>
            </w: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Named</w:t>
            </w:r>
          </w:p>
        </w:tc>
        <w:tc>
          <w:tcPr>
            <w:tcW w:w="120" w:type="dxa"/>
            <w:vAlign w:val="bottom"/>
          </w:tcPr>
          <w:p>
            <w:pPr>
              <w:spacing w:after="0"/>
              <w:rPr>
                <w:sz w:val="15"/>
                <w:szCs w:val="15"/>
                <w:color w:val="auto"/>
              </w:rPr>
            </w:pPr>
          </w:p>
        </w:tc>
        <w:tc>
          <w:tcPr>
            <w:tcW w:w="1040" w:type="dxa"/>
            <w:vAlign w:val="bottom"/>
            <w:tcBorders>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20" w:type="dxa"/>
            <w:vAlign w:val="bottom"/>
          </w:tcPr>
          <w:p>
            <w:pPr>
              <w:spacing w:after="0"/>
              <w:rPr>
                <w:sz w:val="15"/>
                <w:szCs w:val="15"/>
                <w:color w:val="auto"/>
              </w:rPr>
            </w:pPr>
          </w:p>
        </w:tc>
        <w:tc>
          <w:tcPr>
            <w:tcW w:w="1000" w:type="dxa"/>
            <w:vAlign w:val="bottom"/>
            <w:tcBorders>
              <w:right w:val="single" w:sz="8" w:color="auto"/>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20" w:type="dxa"/>
            <w:vAlign w:val="bottom"/>
          </w:tcPr>
          <w:p>
            <w:pPr>
              <w:spacing w:after="0"/>
              <w:rPr>
                <w:sz w:val="15"/>
                <w:szCs w:val="15"/>
                <w:color w:val="auto"/>
              </w:rPr>
            </w:pPr>
          </w:p>
        </w:tc>
        <w:tc>
          <w:tcPr>
            <w:tcW w:w="102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20" w:type="dxa"/>
            <w:vAlign w:val="bottom"/>
          </w:tcPr>
          <w:p>
            <w:pPr>
              <w:spacing w:after="0"/>
              <w:rPr>
                <w:sz w:val="15"/>
                <w:szCs w:val="15"/>
                <w:color w:val="auto"/>
              </w:rPr>
            </w:pPr>
          </w:p>
        </w:tc>
        <w:tc>
          <w:tcPr>
            <w:tcW w:w="100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20" w:type="dxa"/>
            <w:vAlign w:val="bottom"/>
          </w:tcPr>
          <w:p>
            <w:pPr>
              <w:spacing w:after="0"/>
              <w:rPr>
                <w:sz w:val="15"/>
                <w:szCs w:val="15"/>
                <w:color w:val="auto"/>
              </w:rPr>
            </w:pPr>
          </w:p>
        </w:tc>
        <w:tc>
          <w:tcPr>
            <w:tcW w:w="100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in Value of</w:t>
            </w:r>
          </w:p>
        </w:tc>
        <w:tc>
          <w:tcPr>
            <w:tcW w:w="120" w:type="dxa"/>
            <w:vAlign w:val="bottom"/>
          </w:tcPr>
          <w:p>
            <w:pPr>
              <w:spacing w:after="0"/>
              <w:rPr>
                <w:sz w:val="15"/>
                <w:szCs w:val="15"/>
                <w:color w:val="auto"/>
              </w:rPr>
            </w:pPr>
          </w:p>
        </w:tc>
        <w:tc>
          <w:tcPr>
            <w:tcW w:w="980" w:type="dxa"/>
            <w:vAlign w:val="bottom"/>
            <w:tcBorders>
              <w:right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in Value of</w:t>
            </w:r>
          </w:p>
        </w:tc>
        <w:tc>
          <w:tcPr>
            <w:tcW w:w="160" w:type="dxa"/>
            <w:vAlign w:val="bottom"/>
          </w:tcPr>
          <w:p>
            <w:pPr>
              <w:spacing w:after="0"/>
              <w:rPr>
                <w:sz w:val="15"/>
                <w:szCs w:val="15"/>
                <w:color w:val="auto"/>
              </w:rPr>
            </w:pPr>
          </w:p>
        </w:tc>
        <w:tc>
          <w:tcPr>
            <w:tcW w:w="960" w:type="dxa"/>
            <w:vAlign w:val="bottom"/>
            <w:tcBorders>
              <w:right w:val="single" w:sz="8" w:color="auto"/>
            </w:tcBorders>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Failed to</w:t>
            </w:r>
          </w:p>
        </w:tc>
        <w:tc>
          <w:tcPr>
            <w:tcW w:w="2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20" w:type="dxa"/>
            <w:vAlign w:val="bottom"/>
          </w:tcPr>
          <w:p>
            <w:pPr>
              <w:spacing w:after="0"/>
              <w:rPr>
                <w:sz w:val="15"/>
                <w:szCs w:val="15"/>
                <w:color w:val="auto"/>
              </w:rPr>
            </w:pPr>
          </w:p>
        </w:tc>
        <w:tc>
          <w:tcPr>
            <w:tcW w:w="102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112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Granted and</w:t>
            </w:r>
          </w:p>
        </w:tc>
        <w:tc>
          <w:tcPr>
            <w:tcW w:w="120" w:type="dxa"/>
            <w:vAlign w:val="bottom"/>
          </w:tcPr>
          <w:p>
            <w:pPr>
              <w:spacing w:after="0"/>
              <w:rPr>
                <w:sz w:val="15"/>
                <w:szCs w:val="15"/>
                <w:color w:val="auto"/>
              </w:rPr>
            </w:pPr>
          </w:p>
        </w:tc>
        <w:tc>
          <w:tcPr>
            <w:tcW w:w="100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Unvested</w:t>
            </w:r>
          </w:p>
        </w:tc>
        <w:tc>
          <w:tcPr>
            <w:tcW w:w="110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Vested Prior</w:t>
            </w:r>
          </w:p>
        </w:tc>
        <w:tc>
          <w:tcPr>
            <w:tcW w:w="1120" w:type="dxa"/>
            <w:vAlign w:val="bottom"/>
            <w:tcBorders>
              <w:righ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Meet Vesting</w:t>
            </w:r>
          </w:p>
        </w:tc>
        <w:tc>
          <w:tcPr>
            <w:tcW w:w="118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189"/>
        </w:trPr>
        <w:tc>
          <w:tcPr>
            <w:tcW w:w="1040" w:type="dxa"/>
            <w:vAlign w:val="bottom"/>
            <w:tcBorders>
              <w:left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1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Executive</w:t>
            </w:r>
          </w:p>
        </w:tc>
        <w:tc>
          <w:tcPr>
            <w:tcW w:w="116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6"/>
                <w:szCs w:val="16"/>
                <w:color w:val="auto"/>
              </w:rPr>
            </w:pPr>
          </w:p>
        </w:tc>
        <w:tc>
          <w:tcPr>
            <w:tcW w:w="1000" w:type="dxa"/>
            <w:vAlign w:val="bottom"/>
            <w:tcBorders>
              <w:right w:val="single" w:sz="8" w:color="auto"/>
            </w:tcBorders>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Granted in</w:t>
            </w:r>
          </w:p>
        </w:tc>
        <w:tc>
          <w:tcPr>
            <w:tcW w:w="120" w:type="dxa"/>
            <w:vAlign w:val="bottom"/>
          </w:tcPr>
          <w:p>
            <w:pPr>
              <w:spacing w:after="0"/>
              <w:rPr>
                <w:sz w:val="16"/>
                <w:szCs w:val="16"/>
                <w:color w:val="auto"/>
              </w:rPr>
            </w:pPr>
          </w:p>
        </w:tc>
        <w:tc>
          <w:tcPr>
            <w:tcW w:w="102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Granted in</w:t>
            </w:r>
          </w:p>
        </w:tc>
        <w:tc>
          <w:tcPr>
            <w:tcW w:w="112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Vested in the</w:t>
            </w:r>
          </w:p>
        </w:tc>
        <w:tc>
          <w:tcPr>
            <w:tcW w:w="112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Prior Equity</w:t>
            </w:r>
          </w:p>
        </w:tc>
        <w:tc>
          <w:tcPr>
            <w:tcW w:w="120" w:type="dxa"/>
            <w:vAlign w:val="bottom"/>
          </w:tcPr>
          <w:p>
            <w:pPr>
              <w:spacing w:after="0"/>
              <w:rPr>
                <w:sz w:val="16"/>
                <w:szCs w:val="16"/>
                <w:color w:val="auto"/>
              </w:rPr>
            </w:pPr>
          </w:p>
        </w:tc>
        <w:tc>
          <w:tcPr>
            <w:tcW w:w="98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12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Conditions in</w:t>
            </w:r>
          </w:p>
        </w:tc>
        <w:tc>
          <w:tcPr>
            <w:tcW w:w="11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Officers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the Year</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the Year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the Year</w:t>
            </w:r>
          </w:p>
        </w:tc>
        <w:tc>
          <w:tcPr>
            <w:tcW w:w="11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0" w:type="dxa"/>
            <w:vAlign w:val="bottom"/>
          </w:tcPr>
          <w:p>
            <w:pPr>
              <w:spacing w:after="0"/>
              <w:rPr>
                <w:sz w:val="1"/>
                <w:szCs w:val="1"/>
                <w:color w:val="auto"/>
              </w:rPr>
            </w:pPr>
          </w:p>
        </w:tc>
      </w:tr>
      <w:tr>
        <w:trPr>
          <w:trHeight w:val="232"/>
        </w:trPr>
        <w:tc>
          <w:tcPr>
            <w:tcW w:w="104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PEO</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4,329,868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(3,287,795)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1,125,498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(2,720,867)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(633,791)</w:t>
            </w:r>
          </w:p>
        </w:tc>
        <w:tc>
          <w:tcPr>
            <w:tcW w:w="0" w:type="dxa"/>
            <w:vAlign w:val="bottom"/>
          </w:tcPr>
          <w:p>
            <w:pPr>
              <w:spacing w:after="0"/>
              <w:rPr>
                <w:sz w:val="1"/>
                <w:szCs w:val="1"/>
                <w:color w:val="auto"/>
              </w:rPr>
            </w:pPr>
          </w:p>
        </w:tc>
      </w:tr>
      <w:tr>
        <w:trPr>
          <w:trHeight w:val="173"/>
        </w:trPr>
        <w:tc>
          <w:tcPr>
            <w:tcW w:w="10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Non-PEO</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2,024,301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(1,285,477)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200,658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238,661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(434,382)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(506,061)</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214,863</w:t>
            </w:r>
          </w:p>
        </w:tc>
        <w:tc>
          <w:tcPr>
            <w:tcW w:w="0" w:type="dxa"/>
            <w:vAlign w:val="bottom"/>
          </w:tcPr>
          <w:p>
            <w:pPr>
              <w:spacing w:after="0"/>
              <w:rPr>
                <w:sz w:val="1"/>
                <w:szCs w:val="1"/>
                <w:color w:val="auto"/>
              </w:rPr>
            </w:pPr>
          </w:p>
        </w:tc>
      </w:tr>
      <w:tr>
        <w:trPr>
          <w:trHeight w:val="184"/>
        </w:trPr>
        <w:tc>
          <w:tcPr>
            <w:tcW w:w="104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NEOs</w:t>
            </w:r>
          </w:p>
        </w:tc>
        <w:tc>
          <w:tcPr>
            <w:tcW w:w="12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tcBorders>
              <w:right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4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PEO</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7,314,211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(6,209,780)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5,439,494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6,543,925</w:t>
            </w:r>
          </w:p>
        </w:tc>
        <w:tc>
          <w:tcPr>
            <w:tcW w:w="0" w:type="dxa"/>
            <w:vAlign w:val="bottom"/>
          </w:tcPr>
          <w:p>
            <w:pPr>
              <w:spacing w:after="0"/>
              <w:rPr>
                <w:sz w:val="1"/>
                <w:szCs w:val="1"/>
                <w:color w:val="auto"/>
              </w:rPr>
            </w:pPr>
          </w:p>
        </w:tc>
      </w:tr>
      <w:tr>
        <w:trPr>
          <w:trHeight w:val="173"/>
        </w:trPr>
        <w:tc>
          <w:tcPr>
            <w:tcW w:w="10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Non-PEO</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2,790,743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(2,105,182)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1,844,047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2,529,608</w:t>
            </w:r>
          </w:p>
        </w:tc>
        <w:tc>
          <w:tcPr>
            <w:tcW w:w="0" w:type="dxa"/>
            <w:vAlign w:val="bottom"/>
          </w:tcPr>
          <w:p>
            <w:pPr>
              <w:spacing w:after="0"/>
              <w:rPr>
                <w:sz w:val="1"/>
                <w:szCs w:val="1"/>
                <w:color w:val="auto"/>
              </w:rPr>
            </w:pPr>
          </w:p>
        </w:tc>
      </w:tr>
      <w:tr>
        <w:trPr>
          <w:trHeight w:val="184"/>
        </w:trPr>
        <w:tc>
          <w:tcPr>
            <w:tcW w:w="104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NEOs</w:t>
            </w:r>
          </w:p>
        </w:tc>
        <w:tc>
          <w:tcPr>
            <w:tcW w:w="12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tcBorders>
              <w:right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40" w:type="dxa"/>
            <w:vAlign w:val="bottom"/>
            <w:tcBorders>
              <w:left w:val="single" w:sz="8" w:color="auto"/>
              <w:right w:val="single" w:sz="8" w:color="auto"/>
            </w:tcBorders>
            <w:vMerge w:val="continue"/>
          </w:tcPr>
          <w:p>
            <w:pPr>
              <w:spacing w:after="0"/>
              <w:rPr>
                <w:sz w:val="20"/>
                <w:szCs w:val="20"/>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PEO</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6,111,883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1,768,318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(57,684)</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6,379,295</w:t>
            </w:r>
          </w:p>
        </w:tc>
        <w:tc>
          <w:tcPr>
            <w:tcW w:w="0" w:type="dxa"/>
            <w:vAlign w:val="bottom"/>
          </w:tcPr>
          <w:p>
            <w:pPr>
              <w:spacing w:after="0"/>
              <w:rPr>
                <w:sz w:val="1"/>
                <w:szCs w:val="1"/>
                <w:color w:val="auto"/>
              </w:rPr>
            </w:pPr>
          </w:p>
        </w:tc>
      </w:tr>
      <w:tr>
        <w:trPr>
          <w:trHeight w:val="173"/>
        </w:trPr>
        <w:tc>
          <w:tcPr>
            <w:tcW w:w="104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Non-PEO</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1,819,522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(310,158)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379,350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(52,253)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1,836,461</w:t>
            </w:r>
          </w:p>
        </w:tc>
        <w:tc>
          <w:tcPr>
            <w:tcW w:w="0" w:type="dxa"/>
            <w:vAlign w:val="bottom"/>
          </w:tcPr>
          <w:p>
            <w:pPr>
              <w:spacing w:after="0"/>
              <w:rPr>
                <w:sz w:val="1"/>
                <w:szCs w:val="1"/>
                <w:color w:val="auto"/>
              </w:rPr>
            </w:pPr>
          </w:p>
        </w:tc>
      </w:tr>
      <w:tr>
        <w:trPr>
          <w:trHeight w:val="184"/>
        </w:trPr>
        <w:tc>
          <w:tcPr>
            <w:tcW w:w="104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NEOs</w:t>
            </w:r>
          </w:p>
        </w:tc>
        <w:tc>
          <w:tcPr>
            <w:tcW w:w="12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tcBorders>
              <w:right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80" w:hanging="332"/>
        <w:spacing w:after="0" w:line="282" w:lineRule="auto"/>
        <w:tabs>
          <w:tab w:leader="none" w:pos="4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for each year reflects what the cumulative value of $100 would be if such amount were invested into our Company for that applicable year on December 31, 2022.</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as reported in our consolidated statements of operations and comprehensive loss in our Annual Report on Form 10-K for the applicable year.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total shareholder return over the period covering fiscal years 2023, 2024, and 2025. A large component of our executive compensation is equity-based to align compensation with performance, but also includes other appropriate incentives such as cash bonuses that are designed to incentivize our executives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achieve annual corporate goals. We believe the equity-based compensation strongly aligns our PEO and Non-PEO NEOs’ interests with those of our shareholders to maximize long-term value and encourage long-term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863590" cy="2828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359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229" w:right="6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maintain a compensation program for our non-employee directors. Under our non-employee director compensation program as in effect during 2025, each non-employee director received the following amounts for their services on our Board:</w:t>
      </w:r>
    </w:p>
    <w:p>
      <w:pPr>
        <w:spacing w:after="0" w:line="52"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Initial Equity Award</w:t>
      </w:r>
      <w:r>
        <w:rPr>
          <w:rFonts w:ascii="Times New Roman" w:cs="Times New Roman" w:eastAsia="Times New Roman" w:hAnsi="Times New Roman"/>
          <w:sz w:val="18"/>
          <w:szCs w:val="18"/>
          <w:color w:val="auto"/>
        </w:rPr>
        <w:t>. Upon a director’s initial election or appointment to our Board, the director received an option to purchase 17,200 shares (or,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Chairman of the Board, 17,866 shares) of our Common Stock, which award vests in substantially equal monthly installments over three years following the date of grant, subject to accelerated vesting upon a change in control and 5,800 RSUs to vest in three substantially equal annual installments, subject to accelerated vesting upon a change in control.</w:t>
      </w:r>
    </w:p>
    <w:p>
      <w:pPr>
        <w:spacing w:after="0" w:line="72" w:lineRule="exact"/>
        <w:rPr>
          <w:sz w:val="20"/>
          <w:szCs w:val="20"/>
          <w:color w:val="auto"/>
        </w:rPr>
      </w:pPr>
    </w:p>
    <w:p>
      <w:pPr>
        <w:ind w:right="6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Annual Equity Award</w:t>
      </w:r>
      <w:r>
        <w:rPr>
          <w:rFonts w:ascii="Times New Roman" w:cs="Times New Roman" w:eastAsia="Times New Roman" w:hAnsi="Times New Roman"/>
          <w:sz w:val="17"/>
          <w:szCs w:val="17"/>
          <w:color w:val="auto"/>
        </w:rPr>
        <w:t>. If a director has served on our Board for at least six months as of the first business day in January of each year, the director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Board received an option to purchase 7,800 shares (or, with respect to the Chairman of the Board, 8,000 shares) of our Common Stock and 2,600 RSUs on that date, which awards vest in a single installment on the first anniversary of the date of grant, subject to accelerated vesting upon a change in control.</w:t>
      </w:r>
    </w:p>
    <w:p>
      <w:pPr>
        <w:spacing w:after="0" w:line="47"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Annual Retainer Fees</w:t>
      </w:r>
      <w:r>
        <w:rPr>
          <w:rFonts w:ascii="Times New Roman" w:cs="Times New Roman" w:eastAsia="Times New Roman" w:hAnsi="Times New Roman"/>
          <w:sz w:val="18"/>
          <w:szCs w:val="18"/>
          <w:color w:val="auto"/>
        </w:rPr>
        <w:t>. In addition to option grants, each director received an annual retainer for service on our Board and additional fees for service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committee of our Board as follows:</w:t>
      </w:r>
    </w:p>
    <w:p>
      <w:pPr>
        <w:spacing w:after="0" w:line="5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director fee of $40,000;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$35,000;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 $25,000;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 $20,000;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chairman, $10,000;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Compensation Committee, $15,000;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other than the chairman, $7,500;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Nominating and Corporate Governance Committee, $10,000;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chairman, $5,000;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Science and Technology Committee, $15,000;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Science and Technology Committee other than the chairman, $7,500.</w:t>
      </w:r>
    </w:p>
    <w:p>
      <w:pPr>
        <w:spacing w:after="0" w:line="11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is entitled to be reimbursed for reasonable travel and other expenses incurred in connection with attending meetings of the Board and any committee of the Board on which he or she serves.</w:t>
      </w:r>
    </w:p>
    <w:p>
      <w:pPr>
        <w:spacing w:after="0" w:line="58"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Consistent with our non-employee director compensation program, Dr. Brunn, our President, Chief Executive Officer and Chairman of the Board, receives no compensation for his service as Chairman of the Board.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to our non-employee directors for their service on our Board during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6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Stock Awards ($)</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175"/>
        </w:trPr>
        <w:tc>
          <w:tcPr>
            <w:tcW w:w="3560" w:type="dxa"/>
            <w:vAlign w:val="bottom"/>
            <w:gridSpan w:val="2"/>
            <w:vMerge w:val="continue"/>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b w:val="1"/>
                <w:bCs w:val="1"/>
                <w:color w:val="auto"/>
              </w:rPr>
              <w:t>Paid in Cash ($)</w:t>
            </w:r>
            <w:r>
              <w:rPr>
                <w:rFonts w:ascii="Times New Roman" w:cs="Times New Roman" w:eastAsia="Times New Roman" w:hAnsi="Times New Roman"/>
                <w:sz w:val="20"/>
                <w:szCs w:val="20"/>
                <w:b w:val="1"/>
                <w:bCs w:val="1"/>
                <w:color w:val="auto"/>
                <w:vertAlign w:val="superscript"/>
              </w:rPr>
              <w:t>(1)</w:t>
            </w:r>
          </w:p>
        </w:tc>
        <w:tc>
          <w:tcPr>
            <w:tcW w:w="1460" w:type="dxa"/>
            <w:vAlign w:val="bottom"/>
          </w:tcPr>
          <w:p>
            <w:pPr>
              <w:jc w:val="right"/>
              <w:ind w:right="573"/>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5"/>
                <w:szCs w:val="15"/>
                <w:color w:val="auto"/>
              </w:rPr>
            </w:pPr>
          </w:p>
        </w:tc>
        <w:tc>
          <w:tcPr>
            <w:tcW w:w="1460" w:type="dxa"/>
            <w:vAlign w:val="bottom"/>
          </w:tcPr>
          <w:p>
            <w:pPr>
              <w:jc w:val="right"/>
              <w:ind w:right="471"/>
              <w:spacing w:after="0" w:line="176"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0"/>
                <w:szCs w:val="20"/>
                <w:b w:val="1"/>
                <w:bCs w:val="1"/>
                <w:color w:val="auto"/>
                <w:vertAlign w:val="superscript"/>
              </w:rPr>
              <w:t>(2)</w:t>
            </w:r>
          </w:p>
        </w:tc>
        <w:tc>
          <w:tcPr>
            <w:tcW w:w="100" w:type="dxa"/>
            <w:vAlign w:val="bottom"/>
          </w:tcPr>
          <w:p>
            <w:pPr>
              <w:spacing w:after="0"/>
              <w:rPr>
                <w:sz w:val="15"/>
                <w:szCs w:val="15"/>
                <w:color w:val="auto"/>
              </w:rPr>
            </w:pPr>
          </w:p>
        </w:tc>
        <w:tc>
          <w:tcPr>
            <w:tcW w:w="15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Compensation ($)</w:t>
            </w: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C. Barabe, M.B.A.</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210,062</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Adrian Bot, M.D., Ph.D. </w:t>
            </w:r>
            <w:r>
              <w:rPr>
                <w:rFonts w:ascii="Times New Roman" w:cs="Times New Roman" w:eastAsia="Times New Roman" w:hAnsi="Times New Roman"/>
                <w:sz w:val="23"/>
                <w:szCs w:val="23"/>
                <w:color w:val="auto"/>
                <w:vertAlign w:val="superscript"/>
              </w:rPr>
              <w:t>(3)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108,960</w:t>
            </w:r>
          </w:p>
        </w:tc>
        <w:tc>
          <w:tcPr>
            <w:tcW w:w="10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159,107</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Carrie S. Cox </w:t>
            </w:r>
            <w:r>
              <w:rPr>
                <w:rFonts w:ascii="Times New Roman" w:cs="Times New Roman" w:eastAsia="Times New Roman" w:hAnsi="Times New Roman"/>
                <w:sz w:val="23"/>
                <w:szCs w:val="23"/>
                <w:color w:val="auto"/>
                <w:vertAlign w:val="superscript"/>
              </w:rPr>
              <w:t>(4)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103,635</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230,533</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Nishan de Silva, M.D., M.B.A.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101,044</w:t>
            </w:r>
          </w:p>
        </w:tc>
        <w:tc>
          <w:tcPr>
            <w:tcW w:w="10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202,562</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Murat Kalayoglu, M.D., Ph.D. </w:t>
            </w:r>
            <w:r>
              <w:rPr>
                <w:rFonts w:ascii="Times New Roman" w:cs="Times New Roman" w:eastAsia="Times New Roman" w:hAnsi="Times New Roman"/>
                <w:sz w:val="23"/>
                <w:szCs w:val="23"/>
                <w:color w:val="auto"/>
                <w:vertAlign w:val="superscript"/>
              </w:rPr>
              <w:t>(5)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101,044</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203,898</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Kemal Malik, MBBS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101,044</w:t>
            </w:r>
          </w:p>
        </w:tc>
        <w:tc>
          <w:tcPr>
            <w:tcW w:w="10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201,366</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Singer, M.D., Ph.D.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101,044</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197,562</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A. Springer, Ph.D.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101,044</w:t>
            </w:r>
          </w:p>
        </w:tc>
        <w:tc>
          <w:tcPr>
            <w:tcW w:w="10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192,562</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Zenner, M.B.A.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101,044</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Represents cash retainers earned for services rendered as members of the Board and related committees.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80" w:hanging="328"/>
        <w:spacing w:after="0" w:line="266"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12 to our consolidated audited financial statements included in our 2025 Annual Report.</w:t>
      </w:r>
    </w:p>
    <w:p>
      <w:pPr>
        <w:spacing w:after="0" w:line="6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Bot was appointed to the Board on December 16, 2025.</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Cox resigned from the Board on October 29, 2025.</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Kalayoglu resigned from the Board on March 31, 2026.</w:t>
      </w:r>
    </w:p>
    <w:p>
      <w:pPr>
        <w:spacing w:after="0" w:line="200" w:lineRule="exact"/>
        <w:rPr>
          <w:sz w:val="20"/>
          <w:szCs w:val="20"/>
          <w:color w:val="auto"/>
        </w:rPr>
      </w:pPr>
    </w:p>
    <w:p>
      <w:pPr>
        <w:spacing w:after="0" w:line="2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 of option awards (exercisable and unexercisable) and unvested stock awards held by each non-employee director as of December 31, 2025.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Options Outstanding</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Unvested Stock Awards</w:t>
            </w:r>
          </w:p>
        </w:tc>
        <w:tc>
          <w:tcPr>
            <w:tcW w:w="0" w:type="dxa"/>
            <w:vAlign w:val="bottom"/>
          </w:tcPr>
          <w:p>
            <w:pPr>
              <w:spacing w:after="0"/>
              <w:rPr>
                <w:sz w:val="1"/>
                <w:szCs w:val="1"/>
                <w:color w:val="auto"/>
              </w:rPr>
            </w:pPr>
          </w:p>
        </w:tc>
      </w:tr>
      <w:tr>
        <w:trPr>
          <w:trHeight w:val="243"/>
        </w:trPr>
        <w:tc>
          <w:tcPr>
            <w:tcW w:w="600" w:type="dxa"/>
            <w:vAlign w:val="bottom"/>
            <w:vMerge w:val="continue"/>
          </w:tcPr>
          <w:p>
            <w:pPr>
              <w:spacing w:after="0"/>
              <w:rPr>
                <w:sz w:val="21"/>
                <w:szCs w:val="21"/>
                <w:color w:val="auto"/>
              </w:rPr>
            </w:pPr>
          </w:p>
        </w:tc>
        <w:tc>
          <w:tcPr>
            <w:tcW w:w="6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at Fiscal Year End</w:t>
            </w:r>
          </w:p>
        </w:tc>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at Fiscal Year End</w:t>
            </w:r>
          </w:p>
        </w:tc>
        <w:tc>
          <w:tcPr>
            <w:tcW w:w="0" w:type="dxa"/>
            <w:vAlign w:val="bottom"/>
          </w:tcPr>
          <w:p>
            <w:pPr>
              <w:spacing w:after="0"/>
              <w:rPr>
                <w:sz w:val="1"/>
                <w:szCs w:val="1"/>
                <w:color w:val="auto"/>
              </w:rPr>
            </w:pPr>
          </w:p>
        </w:tc>
      </w:tr>
      <w:tr>
        <w:trPr>
          <w:trHeight w:val="223"/>
        </w:trPr>
        <w:tc>
          <w:tcPr>
            <w:tcW w:w="7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C. Barabe, M.B.A.</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Adrian Bot, M.D., Ph.D. </w:t>
            </w:r>
            <w:r>
              <w:rPr>
                <w:rFonts w:ascii="Times New Roman" w:cs="Times New Roman" w:eastAsia="Times New Roman" w:hAnsi="Times New Roman"/>
                <w:sz w:val="23"/>
                <w:szCs w:val="23"/>
                <w:color w:val="auto"/>
                <w:vertAlign w:val="superscript"/>
              </w:rPr>
              <w:t>(1)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Carrie S. Cox </w:t>
            </w:r>
            <w:r>
              <w:rPr>
                <w:rFonts w:ascii="Times New Roman" w:cs="Times New Roman" w:eastAsia="Times New Roman" w:hAnsi="Times New Roman"/>
                <w:sz w:val="23"/>
                <w:szCs w:val="23"/>
                <w:color w:val="auto"/>
                <w:vertAlign w:val="superscript"/>
              </w:rPr>
              <w:t>(2)</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Nishan de Silva, M.D., M.B.A.</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Murat Kalayoglu, M.D., Ph.D. </w:t>
            </w:r>
            <w:r>
              <w:rPr>
                <w:rFonts w:ascii="Times New Roman" w:cs="Times New Roman" w:eastAsia="Times New Roman" w:hAnsi="Times New Roman"/>
                <w:sz w:val="23"/>
                <w:szCs w:val="23"/>
                <w:color w:val="auto"/>
                <w:vertAlign w:val="superscript"/>
              </w:rPr>
              <w:t>(3)</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30"/>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Kemal Malik, MBBS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29"/>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Singer, M.D., M.B.A.</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29"/>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Timothy A. Springer, Ph.D.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230"/>
        </w:trPr>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Zenner, M.B.A.</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0" w:type="dxa"/>
            <w:vAlign w:val="bottom"/>
          </w:tcPr>
          <w:p>
            <w:pPr>
              <w:spacing w:after="0"/>
              <w:rPr>
                <w:sz w:val="1"/>
                <w:szCs w:val="1"/>
                <w:color w:val="auto"/>
              </w:rPr>
            </w:pPr>
          </w:p>
        </w:tc>
      </w:tr>
      <w:tr>
        <w:trPr>
          <w:trHeight w:val="418"/>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w:t>
            </w:r>
          </w:p>
        </w:tc>
        <w:tc>
          <w:tcPr>
            <w:tcW w:w="6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Dr. Bot was appointed to the Board on December 16, 2025.</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w:t>
            </w:r>
          </w:p>
        </w:tc>
        <w:tc>
          <w:tcPr>
            <w:tcW w:w="6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Ms. Cox resigned from the Board on October 29, 2025.</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w:t>
            </w:r>
          </w:p>
        </w:tc>
        <w:tc>
          <w:tcPr>
            <w:tcW w:w="6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Dr. Kalayoglu resigned from the Board on March 31, 2026.</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2025.</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4174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50" w:lineRule="exact"/>
        <w:rPr>
          <w:sz w:val="20"/>
          <w:szCs w:val="20"/>
          <w:color w:val="auto"/>
        </w:rPr>
      </w:pPr>
    </w:p>
    <w:p>
      <w:pPr>
        <w:ind w:left="20"/>
        <w:spacing w:after="0" w:line="223" w:lineRule="auto"/>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3"/>
          <w:szCs w:val="23"/>
          <w:color w:val="auto"/>
          <w:vertAlign w:val="superscript"/>
        </w:rPr>
        <w:t>(3)</w:t>
      </w:r>
    </w:p>
    <w:p>
      <w:pPr>
        <w:ind w:left="20" w:right="340"/>
        <w:spacing w:after="0" w:line="233" w:lineRule="auto"/>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23"/>
          <w:szCs w:val="23"/>
          <w:color w:val="auto"/>
          <w:vertAlign w:val="superscript"/>
        </w:rPr>
        <w:t>(7)</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320" w:type="dxa"/>
            <w:vAlign w:val="bottom"/>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Issued Upon Outstanding</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20" w:type="dxa"/>
            <w:vAlign w:val="bottom"/>
          </w:tcPr>
          <w:p>
            <w:pPr>
              <w:spacing w:after="0"/>
              <w:rPr>
                <w:sz w:val="15"/>
                <w:szCs w:val="15"/>
                <w:color w:val="auto"/>
              </w:rPr>
            </w:pPr>
          </w:p>
        </w:tc>
        <w:tc>
          <w:tcPr>
            <w:tcW w:w="2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7"/>
              </w:rPr>
              <w:t>Warrants and Rights</w:t>
            </w:r>
            <w:r>
              <w:rPr>
                <w:rFonts w:ascii="Times New Roman" w:cs="Times New Roman" w:eastAsia="Times New Roman" w:hAnsi="Times New Roman"/>
                <w:sz w:val="23"/>
                <w:szCs w:val="23"/>
                <w:b w:val="1"/>
                <w:bCs w:val="1"/>
                <w:color w:val="auto"/>
                <w:w w:val="97"/>
                <w:vertAlign w:val="superscript"/>
              </w:rPr>
              <w:t>(1)</w:t>
            </w:r>
          </w:p>
        </w:tc>
        <w:tc>
          <w:tcPr>
            <w:tcW w:w="320" w:type="dxa"/>
            <w:vAlign w:val="bottom"/>
          </w:tcPr>
          <w:p>
            <w:pPr>
              <w:spacing w:after="0"/>
              <w:rPr>
                <w:sz w:val="21"/>
                <w:szCs w:val="21"/>
                <w:color w:val="auto"/>
              </w:rPr>
            </w:pPr>
          </w:p>
        </w:tc>
        <w:tc>
          <w:tcPr>
            <w:tcW w:w="21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3"/>
              </w:rPr>
              <w:t>Plans</w:t>
            </w:r>
            <w:r>
              <w:rPr>
                <w:rFonts w:ascii="Times New Roman" w:cs="Times New Roman" w:eastAsia="Times New Roman" w:hAnsi="Times New Roman"/>
                <w:sz w:val="23"/>
                <w:szCs w:val="23"/>
                <w:b w:val="1"/>
                <w:bCs w:val="1"/>
                <w:color w:val="auto"/>
                <w:w w:val="93"/>
                <w:vertAlign w:val="superscript"/>
              </w:rPr>
              <w:t>(2)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2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1,782,243</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(5)</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3,640,202</w:t>
            </w:r>
          </w:p>
        </w:tc>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418"/>
        </w:trPr>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1,204,002</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(9)</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508,482</w:t>
            </w:r>
          </w:p>
        </w:tc>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9"/>
              </w:rPr>
              <w:t>(10)</w:t>
            </w:r>
          </w:p>
        </w:tc>
        <w:tc>
          <w:tcPr>
            <w:tcW w:w="0" w:type="dxa"/>
            <w:vAlign w:val="bottom"/>
          </w:tcPr>
          <w:p>
            <w:pPr>
              <w:spacing w:after="0"/>
              <w:rPr>
                <w:sz w:val="1"/>
                <w:szCs w:val="1"/>
                <w:color w:val="auto"/>
              </w:rPr>
            </w:pPr>
          </w:p>
        </w:tc>
      </w:tr>
      <w:tr>
        <w:trPr>
          <w:trHeight w:val="223"/>
        </w:trPr>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2,986,245</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320" w:type="dxa"/>
            <w:vAlign w:val="bottom"/>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4,148,684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-719455</wp:posOffset>
            </wp:positionV>
            <wp:extent cx="7132320" cy="266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-187960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420"/>
            <w:col w:w="7300"/>
          </w:cols>
          <w:pgMar w:left="320" w:top="229" w:right="339" w:bottom="1440" w:gutter="0" w:footer="0" w:header="0"/>
          <w:type w:val="continuous"/>
        </w:sectPr>
      </w:pPr>
    </w:p>
    <w:p>
      <w:pPr>
        <w:spacing w:after="0" w:line="241"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exercise price of outstanding options and is calculated without taking into account outstanding RSUs.</w:t>
      </w:r>
    </w:p>
    <w:p>
      <w:pPr>
        <w:spacing w:after="0" w:line="117" w:lineRule="exact"/>
        <w:rPr>
          <w:rFonts w:ascii="Times New Roman" w:cs="Times New Roman" w:eastAsia="Times New Roman" w:hAnsi="Times New Roman"/>
          <w:sz w:val="18"/>
          <w:szCs w:val="18"/>
          <w:color w:val="auto"/>
        </w:rPr>
      </w:pPr>
    </w:p>
    <w:p>
      <w:pPr>
        <w:ind w:left="340" w:right="160" w:hanging="332"/>
        <w:spacing w:after="0" w:line="272" w:lineRule="auto"/>
        <w:tabs>
          <w:tab w:leader="none" w:pos="33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2016 Plan, the number of shares of Common Stock available for issuance under the 2016 Plan automatically increases on each January 1, until and including January 1, 2034, by an amount equal to the lesser of: (a) 4% of the number of shares of the Company’s Common Stock outstanding on the last day of the applicable preceding calendar year and (b) such smaller number of shares as is determined by our Board.</w:t>
      </w:r>
    </w:p>
    <w:p>
      <w:pPr>
        <w:spacing w:after="0" w:line="1" w:lineRule="exact"/>
        <w:rPr>
          <w:rFonts w:ascii="Times New Roman" w:cs="Times New Roman" w:eastAsia="Times New Roman" w:hAnsi="Times New Roman"/>
          <w:sz w:val="17"/>
          <w:szCs w:val="17"/>
          <w:color w:val="auto"/>
        </w:rPr>
      </w:pPr>
    </w:p>
    <w:p>
      <w:pPr>
        <w:ind w:left="340" w:right="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 subject to an aggregate limit of 63,460 shares of Common Stock that may be issued under the 2016 ESPP.</w:t>
      </w:r>
    </w:p>
    <w:p>
      <w:pPr>
        <w:spacing w:after="0" w:line="64"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2016 Plan and the 2016 ESPP.</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right="300" w:hanging="332"/>
        <w:spacing w:after="0" w:line="282" w:lineRule="auto"/>
        <w:tabs>
          <w:tab w:leader="none" w:pos="3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outstanding options to purchase 1,306,608 shares of Common Stock and 475,635 outstanding RSUs to purchase shares of Common Stock under the 2016 Plan.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weighted-average exercise price of outstanding options under the 2016 Plan was $17.88.</w:t>
      </w:r>
    </w:p>
    <w:p>
      <w:pPr>
        <w:spacing w:after="0" w:line="117"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3,594,407 shares available for issuance under the 2016 Plan and 45,795 shares available for issuance under the 2016 ESPP (of which no shares were issued in 2024 or 2025).</w:t>
      </w:r>
    </w:p>
    <w:p>
      <w:pPr>
        <w:spacing w:after="0" w:line="53"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2018 Plan and the Old Cartesian Plan. See Note 12 to our consolidated financial statements included in our 2025 Annual Report for a description of the material features of the 2018 Plan and the Old Cartesian Plan.</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outstanding options to purchase 487,740 shares of Common Stock under the 2018 Plan and outstanding options to purchase 669,399 shares of Common Stock and 46,863 outstanding RSUs to purchase shares of Common Stock under the Old Cartesian Plan.</w:t>
      </w:r>
    </w:p>
    <w:p>
      <w:pPr>
        <w:spacing w:after="0" w:line="53"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3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weighted-average exercise price of outstanding options under the 2018 Plan was $17.59 and the weighted-average exercise price of outstanding options under the Old Cartesian Plan was $2.79.</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472,303 shares available for issuance under the 2018 Plan and 36,179 shares available for issuance under the Old Cartesian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Grant Practices</w:t>
      </w:r>
    </w:p>
    <w:p>
      <w:pPr>
        <w:spacing w:after="0" w:line="121"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7"/>
          <w:szCs w:val="17"/>
          <w:color w:val="auto"/>
        </w:rPr>
        <w:t>We do not have any program, plan, or obligation that requires us to grant equity awards on specified dates, though the Company’s long-standing practice has been for the Compensation Committee to meet each December to discuss recommendations to the Board on executive compensation adjustments for the next fiscal year. As part of this process, the Compensation Committee typically recommends, and the Board approves, the grant of equity, which historically has taken the form of stock options and RSUs, to executive employees, which are ultimately granted on the first business day of the following fiscal year. Lining up the timing of equity grants to coincide with grants made to the Board under the Company’s Non-Employee Director</w:t>
      </w:r>
    </w:p>
    <w:p>
      <w:pPr>
        <w:spacing w:after="0" w:line="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Compensation Program serves to ensure that management and the Board have a stake in the Company’s success and growth. We also believe this allows management, the Compensation Committee, and the Board to conduct a fulsome review of all elements of compensation on a consistent basis each year. The Board, with respect to our CEO, and the Compensation Committee, with respect to our remaining Named Executive Officers, may also grant equity awards from time to time in recognition of a named executive officer’s expanded duties and responsibilities or continuing contributions to the Company’s performance.</w:t>
      </w:r>
    </w:p>
    <w:p>
      <w:pPr>
        <w:spacing w:after="0" w:line="75"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Neither the Compensation Committee nor the Board takes material nonpublic information into account when determining the timing and terms of grants of equity compensation. Further, we do not have any program, plan or practice to time grant dates of equity compensation awards in coordination with the release of material nonpublic information and have not timed the disclosure of material nonpublic information for the purpose of affecting the value of executive compensation. During 2025, none of our named executive officers were awarded stock options with an effective grant date during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14, 2026,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29,302,729 shares of Common Stock outstanding as of April 14, 2026.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14, 2026 are considered outstanding, although these shares are not considered outstanding for purposes of computing the percentage ownership of any other person.</w:t>
      </w:r>
    </w:p>
    <w:p>
      <w:pPr>
        <w:spacing w:after="0" w:line="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7495 New Horizon Way, Frederick, Maryland 21703.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80"/>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shares</w:t>
            </w:r>
          </w:p>
        </w:tc>
        <w:tc>
          <w:tcPr>
            <w:tcW w:w="21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0" w:type="dxa"/>
            <w:vAlign w:val="bottom"/>
          </w:tcPr>
          <w:p>
            <w:pPr>
              <w:spacing w:after="0"/>
              <w:rPr>
                <w:sz w:val="1"/>
                <w:szCs w:val="1"/>
                <w:color w:val="auto"/>
              </w:rPr>
            </w:pPr>
          </w:p>
        </w:tc>
      </w:tr>
      <w:tr>
        <w:trPr>
          <w:trHeight w:val="184"/>
        </w:trPr>
        <w:tc>
          <w:tcPr>
            <w:tcW w:w="6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0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1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29"/>
        </w:trPr>
        <w:tc>
          <w:tcPr>
            <w:tcW w:w="6980" w:type="dxa"/>
            <w:vAlign w:val="bottom"/>
            <w:gridSpan w:val="2"/>
            <w:vMerge w:val="continue"/>
          </w:tcPr>
          <w:p>
            <w:pPr>
              <w:spacing w:after="0"/>
              <w:rPr>
                <w:sz w:val="19"/>
                <w:szCs w:val="19"/>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0" w:type="dxa"/>
            <w:vAlign w:val="bottom"/>
          </w:tcPr>
          <w:p>
            <w:pPr>
              <w:spacing w:after="0"/>
              <w:rPr>
                <w:sz w:val="1"/>
                <w:szCs w:val="1"/>
                <w:color w:val="auto"/>
              </w:rPr>
            </w:pPr>
          </w:p>
        </w:tc>
      </w:tr>
      <w:tr>
        <w:trPr>
          <w:trHeight w:val="223"/>
        </w:trPr>
        <w:tc>
          <w:tcPr>
            <w:tcW w:w="6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Timothy A. Springer, Ph.D. </w:t>
            </w:r>
            <w:r>
              <w:rPr>
                <w:rFonts w:ascii="Times New Roman" w:cs="Times New Roman" w:eastAsia="Times New Roman" w:hAnsi="Times New Roman"/>
                <w:sz w:val="23"/>
                <w:szCs w:val="23"/>
                <w:color w:val="auto"/>
                <w:vertAlign w:val="superscript"/>
              </w:rPr>
              <w:t>(1)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9,809,877</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Murat Kalayoglu, M.D., Ph.D. </w:t>
            </w:r>
            <w:r>
              <w:rPr>
                <w:rFonts w:ascii="Times New Roman" w:cs="Times New Roman" w:eastAsia="Times New Roman" w:hAnsi="Times New Roman"/>
                <w:sz w:val="23"/>
                <w:szCs w:val="23"/>
                <w:color w:val="auto"/>
                <w:vertAlign w:val="superscript"/>
              </w:rPr>
              <w:t>(2)</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5,833,971</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Squarepoint Capital </w:t>
            </w:r>
            <w:r>
              <w:rPr>
                <w:rFonts w:ascii="Times New Roman" w:cs="Times New Roman" w:eastAsia="Times New Roman" w:hAnsi="Times New Roman"/>
                <w:sz w:val="23"/>
                <w:szCs w:val="23"/>
                <w:color w:val="auto"/>
                <w:vertAlign w:val="superscript"/>
              </w:rPr>
              <w:t>(3)</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2,209,601</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JPMorgan Chase &amp; Co. </w:t>
            </w:r>
            <w:r>
              <w:rPr>
                <w:rFonts w:ascii="Times New Roman" w:cs="Times New Roman" w:eastAsia="Times New Roman" w:hAnsi="Times New Roman"/>
                <w:sz w:val="23"/>
                <w:szCs w:val="23"/>
                <w:color w:val="auto"/>
                <w:vertAlign w:val="superscript"/>
              </w:rPr>
              <w:t>(4)</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1,675,636</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7"/>
        </w:trPr>
        <w:tc>
          <w:tcPr>
            <w:tcW w:w="6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Directors and Nominees</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Carsten Brunn, Ph.D. </w:t>
            </w:r>
            <w:r>
              <w:rPr>
                <w:rFonts w:ascii="Times New Roman" w:cs="Times New Roman" w:eastAsia="Times New Roman" w:hAnsi="Times New Roman"/>
                <w:sz w:val="23"/>
                <w:szCs w:val="23"/>
                <w:color w:val="auto"/>
                <w:vertAlign w:val="superscript"/>
              </w:rPr>
              <w:t>(5)</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201,430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Blaine Davis </w:t>
            </w:r>
            <w:r>
              <w:rPr>
                <w:rFonts w:ascii="Times New Roman" w:cs="Times New Roman" w:eastAsia="Times New Roman" w:hAnsi="Times New Roman"/>
                <w:sz w:val="23"/>
                <w:szCs w:val="23"/>
                <w:color w:val="auto"/>
                <w:vertAlign w:val="superscript"/>
              </w:rPr>
              <w:t>(6)</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95,304</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Metin Kurtoglu, M.D., Ph.D. </w:t>
            </w:r>
            <w:r>
              <w:rPr>
                <w:rFonts w:ascii="Times New Roman" w:cs="Times New Roman" w:eastAsia="Times New Roman" w:hAnsi="Times New Roman"/>
                <w:sz w:val="23"/>
                <w:szCs w:val="23"/>
                <w:color w:val="auto"/>
                <w:vertAlign w:val="superscript"/>
              </w:rPr>
              <w:t>(7)</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Christopher Jewell, Ph.D. </w:t>
            </w:r>
            <w:r>
              <w:rPr>
                <w:rFonts w:ascii="Times New Roman" w:cs="Times New Roman" w:eastAsia="Times New Roman" w:hAnsi="Times New Roman"/>
                <w:sz w:val="23"/>
                <w:szCs w:val="23"/>
                <w:color w:val="auto"/>
                <w:vertAlign w:val="superscript"/>
              </w:rPr>
              <w:t>(8)</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104,877</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Milos Miljkovic, M.D. </w:t>
            </w:r>
            <w:r>
              <w:rPr>
                <w:rFonts w:ascii="Times New Roman" w:cs="Times New Roman" w:eastAsia="Times New Roman" w:hAnsi="Times New Roman"/>
                <w:sz w:val="23"/>
                <w:szCs w:val="23"/>
                <w:color w:val="auto"/>
                <w:vertAlign w:val="superscript"/>
              </w:rPr>
              <w:t>(9)</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64,679</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Timothy C. Barabe, M.B.A. </w:t>
            </w:r>
            <w:r>
              <w:rPr>
                <w:rFonts w:ascii="Times New Roman" w:cs="Times New Roman" w:eastAsia="Times New Roman" w:hAnsi="Times New Roman"/>
                <w:sz w:val="23"/>
                <w:szCs w:val="23"/>
                <w:color w:val="auto"/>
                <w:vertAlign w:val="superscript"/>
              </w:rPr>
              <w:t>(10)</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Adrian Bot, M.D., Ph.D. </w:t>
            </w:r>
            <w:r>
              <w:rPr>
                <w:rFonts w:ascii="Times New Roman" w:cs="Times New Roman" w:eastAsia="Times New Roman" w:hAnsi="Times New Roman"/>
                <w:sz w:val="23"/>
                <w:szCs w:val="23"/>
                <w:color w:val="auto"/>
                <w:vertAlign w:val="superscript"/>
              </w:rPr>
              <w:t>(11)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Nishan de Silva, M.D., M.B.A. </w:t>
            </w:r>
            <w:r>
              <w:rPr>
                <w:rFonts w:ascii="Times New Roman" w:cs="Times New Roman" w:eastAsia="Times New Roman" w:hAnsi="Times New Roman"/>
                <w:sz w:val="23"/>
                <w:szCs w:val="23"/>
                <w:color w:val="auto"/>
                <w:vertAlign w:val="superscript"/>
              </w:rPr>
              <w:t>(12)</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Kemal Malik, M.B.B.S. </w:t>
            </w:r>
            <w:r>
              <w:rPr>
                <w:rFonts w:ascii="Times New Roman" w:cs="Times New Roman" w:eastAsia="Times New Roman" w:hAnsi="Times New Roman"/>
                <w:sz w:val="23"/>
                <w:szCs w:val="23"/>
                <w:color w:val="auto"/>
                <w:vertAlign w:val="superscript"/>
              </w:rPr>
              <w:t>(13)</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Michael S. Singer, M.D., Ph.D. </w:t>
            </w:r>
            <w:r>
              <w:rPr>
                <w:rFonts w:ascii="Times New Roman" w:cs="Times New Roman" w:eastAsia="Times New Roman" w:hAnsi="Times New Roman"/>
                <w:sz w:val="23"/>
                <w:szCs w:val="23"/>
                <w:color w:val="auto"/>
                <w:vertAlign w:val="superscript"/>
              </w:rPr>
              <w:t>(14)</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713,790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Timothy A. Springer, Ph.D. </w:t>
            </w:r>
            <w:r>
              <w:rPr>
                <w:rFonts w:ascii="Times New Roman" w:cs="Times New Roman" w:eastAsia="Times New Roman" w:hAnsi="Times New Roman"/>
                <w:sz w:val="23"/>
                <w:szCs w:val="23"/>
                <w:color w:val="auto"/>
                <w:vertAlign w:val="superscript"/>
              </w:rPr>
              <w:t>(1)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9,809,877</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6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Patrick Zenner, M.B.A. </w:t>
            </w:r>
            <w:r>
              <w:rPr>
                <w:rFonts w:ascii="Times New Roman" w:cs="Times New Roman" w:eastAsia="Times New Roman" w:hAnsi="Times New Roman"/>
                <w:sz w:val="23"/>
                <w:szCs w:val="23"/>
                <w:color w:val="auto"/>
                <w:vertAlign w:val="superscript"/>
              </w:rPr>
              <w:t>(15)</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All executive officers, directors and director nominees as a group (12 persons) </w:t>
            </w:r>
            <w:r>
              <w:rPr>
                <w:rFonts w:ascii="Times New Roman" w:cs="Times New Roman" w:eastAsia="Times New Roman" w:hAnsi="Times New Roman"/>
                <w:sz w:val="23"/>
                <w:szCs w:val="23"/>
                <w:color w:val="auto"/>
                <w:vertAlign w:val="superscript"/>
              </w:rPr>
              <w:t>(16)</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11,120,244</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365"/>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of our outstanding Common Stock.</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right="40" w:hanging="492"/>
        <w:spacing w:after="0" w:line="255" w:lineRule="auto"/>
        <w:tabs>
          <w:tab w:leader="none" w:pos="49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January 15, 2025 and other information known to us, consists of (i) 8,641,707 shares of Common Stock held directly by Timothy A. Springer, Ph.D., a member of our Board, (ii) 113,587 shares of Common Stock issuable upon exercise of underlying warrants exercisable within 60 days of April 14, 2026 held by Timothy A. Springer, Ph.D., (iii) 13,922 shares of Common Stock issuable upon exercise of outstanding options within 60 days of April 14, 2026 and held directly by Timothy A. Springer, Ph.D., (iv) 656,513 shares of Common Stock held by TAS Partners LLC (“TAS”) directly, (v) 33,408 shares of Common Stock issuable upon exercise of underlying warrants exercisable within 60 days of April 14, 2026 held by TAS directly, (vi) 330,695 shares of Common Stock held by Dr. Chafen Lu, Dr. Springer’s wife, and (vii) 20,045 shares of Common Stock issuable upon exercise of underlying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right="100"/>
        <w:spacing w:after="0" w:line="261" w:lineRule="auto"/>
        <w:rPr>
          <w:sz w:val="20"/>
          <w:szCs w:val="20"/>
          <w:color w:val="auto"/>
        </w:rPr>
      </w:pPr>
      <w:r>
        <w:rPr>
          <w:rFonts w:ascii="Times New Roman" w:cs="Times New Roman" w:eastAsia="Times New Roman" w:hAnsi="Times New Roman"/>
          <w:sz w:val="18"/>
          <w:szCs w:val="18"/>
          <w:color w:val="auto"/>
        </w:rPr>
        <w:t>warrants exercisable within 60 days of April 14, 2026 held by Dr. Chafen Lu.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72" w:lineRule="exact"/>
        <w:rPr>
          <w:sz w:val="20"/>
          <w:szCs w:val="20"/>
          <w:color w:val="auto"/>
        </w:rPr>
      </w:pPr>
    </w:p>
    <w:p>
      <w:pPr>
        <w:ind w:left="500" w:hanging="492"/>
        <w:spacing w:after="0" w:line="252" w:lineRule="auto"/>
        <w:tabs>
          <w:tab w:leader="none" w:pos="4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April 2, 2026 and other information known to us, consists of (i) 506,999 shares of Common Stock held directly by Murat Kalayoglu, M.D., Ph.D., (ii) 13,288 shares of Common Stock issuable upon exercise of outstanding options within 60 days of April 14, 2026 and held directly by Murat Kalayoglu, M.D., Ph.D., (iii) 5,313,261 shares of Common Stock held by Seven One Eight Three Four Irrevocable Trust directly, and (iv) up to 1,122,074 shares of Common Stock issuable upon conversion of shares of Series A Preferred Stock held by Seven One Eight Three Four Irrevocable Trust. The trustees of Seven One Eight Three Four Irrevocable Trust are Elizabeth Hoge and Sinan Kalayoglu, each of whom has shared voting and dispositive control over the shares of Common Stock and Series A Preferred Stock held by Seven One Eight Three Four Irrevocable Trust. Dr. Kalayoglu has the power to remove and appoint new trustees of Seven One Eight Three Four Irrevocable Trust and, pursuant to a right of substitution, to acquire from Seven One Eight Three Four Irrevocable Trust the shares of Common Stock and Series A Preferred Stock held by Seven One Eight Three Four Irrevocable Trust in exchange for assets with an equal value to such shares. Accordingly, Dr. Kalayoglu may be deemed to have sole voting and dispositive power of the shares of Common Stock and Series A Preferred Stock held by Seven One Eight Three Four Irrevocable Trust. The ability of the shares of Series A Preferred Stock held by Dr. Kalayoglu and Seven One Eight Three Four Irrevocable Trust to convert into shares of Common Stock is subject to a beneficial ownership limitation, such that neither Dr. Kalayoglu nor Seven One Eight Three Four Irrevocable Trust may convert shares of Series A Preferred Stock into Common Stock to the extent that doing so would result in such holder beneficially owning greater than 19.9% of the Company’s outstanding Common Stock after giving effect to such conversion. Accordingly, the number of shares of Common Stock presented in this row include a total of 423 shares of Common Stock issuable upon conversion of the shares of Series A Preferred Stock held by Seven One Eight Three Four Irrevocable Trust and assumes Seven One Eight Three Four Irrevocable Trust does not convert any shares of Series A Preferred Stock beyond such limitation.</w:t>
      </w:r>
    </w:p>
    <w:p>
      <w:pPr>
        <w:spacing w:after="0" w:line="71" w:lineRule="exact"/>
        <w:rPr>
          <w:rFonts w:ascii="Times New Roman" w:cs="Times New Roman" w:eastAsia="Times New Roman" w:hAnsi="Times New Roman"/>
          <w:sz w:val="18"/>
          <w:szCs w:val="18"/>
          <w:color w:val="auto"/>
        </w:rPr>
      </w:pPr>
    </w:p>
    <w:p>
      <w:pPr>
        <w:ind w:left="500" w:right="220" w:hanging="492"/>
        <w:spacing w:after="0" w:line="245" w:lineRule="auto"/>
        <w:tabs>
          <w:tab w:leader="none" w:pos="4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with the SEC on March 13, 2026, consists of 2,209,601 shares of Common Stock owned by funds or accounts managed by direct or indirect subsidiaries of Squarepoint Capital Ops LLC (“Squarepoint Capital”), all of which shares are beneficially owned, or may be deemed to be beneficially owned, by Squarepoint Capital, certain of its subsidiaries and affiliates, and other companies. The principal address of Squarepoint Capital is 250 W 55th Street 32nd Floor, New York, NY 10019.</w:t>
      </w:r>
    </w:p>
    <w:p>
      <w:pPr>
        <w:spacing w:after="0" w:line="207" w:lineRule="exact"/>
        <w:rPr>
          <w:rFonts w:ascii="Times New Roman" w:cs="Times New Roman" w:eastAsia="Times New Roman" w:hAnsi="Times New Roman"/>
          <w:sz w:val="18"/>
          <w:szCs w:val="18"/>
          <w:color w:val="auto"/>
        </w:rPr>
      </w:pPr>
    </w:p>
    <w:p>
      <w:pPr>
        <w:ind w:left="500" w:right="160" w:hanging="492"/>
        <w:spacing w:after="0" w:line="239" w:lineRule="auto"/>
        <w:tabs>
          <w:tab w:leader="none" w:pos="4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April 25, 2025, consists of 1,675,636 shares of Common Stock beneficially owned by JPMorgan Chase &amp; Co. and held by J.P. Morgan Securities LLC, JPMorgan Chase Bank, National Association, and J.P. Morgan Investment Management Inc. This Schedule 13G reported that JPMorgan Chase &amp; Co. had sole voting power with respect to 1,569,254 shares of Common Stock and sole dispositive power with respect to 1,674,036 shares of Common Stock. The principal business address of JPMorgan Chase &amp; Co is 383 Madison Avenue, New York, NY 10179.</w:t>
      </w:r>
    </w:p>
    <w:p>
      <w:pPr>
        <w:spacing w:after="0" w:line="89" w:lineRule="exact"/>
        <w:rPr>
          <w:rFonts w:ascii="Times New Roman" w:cs="Times New Roman" w:eastAsia="Times New Roman" w:hAnsi="Times New Roman"/>
          <w:sz w:val="18"/>
          <w:szCs w:val="18"/>
          <w:color w:val="auto"/>
        </w:rPr>
      </w:pPr>
    </w:p>
    <w:p>
      <w:pPr>
        <w:ind w:left="500" w:right="200" w:hanging="492"/>
        <w:spacing w:after="0" w:line="282" w:lineRule="auto"/>
        <w:tabs>
          <w:tab w:leader="none" w:pos="4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59,637 shares of Common Stock held by Dr. Brunn directly and (ii) 141,793 shares of Common Stock underlying outstanding stock options exercisable within 60 days of April 14, 2026.</w:t>
      </w:r>
    </w:p>
    <w:p>
      <w:pPr>
        <w:spacing w:after="0" w:line="53" w:lineRule="exact"/>
        <w:rPr>
          <w:rFonts w:ascii="Times New Roman" w:cs="Times New Roman" w:eastAsia="Times New Roman" w:hAnsi="Times New Roman"/>
          <w:sz w:val="18"/>
          <w:szCs w:val="18"/>
          <w:color w:val="auto"/>
        </w:rPr>
      </w:pPr>
    </w:p>
    <w:p>
      <w:pPr>
        <w:ind w:left="500" w:right="300" w:hanging="492"/>
        <w:spacing w:after="0" w:line="282" w:lineRule="auto"/>
        <w:tabs>
          <w:tab w:leader="none" w:pos="4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27,320 shares of Common Stock held by Mr. Davis directly and (ii) 67,984 shares of Common Stock underlying outstanding stock options exercisable within 60 days of April 14, 2026.</w:t>
      </w:r>
    </w:p>
    <w:p>
      <w:pPr>
        <w:spacing w:after="0" w:line="53" w:lineRule="exact"/>
        <w:rPr>
          <w:rFonts w:ascii="Times New Roman" w:cs="Times New Roman" w:eastAsia="Times New Roman" w:hAnsi="Times New Roman"/>
          <w:sz w:val="18"/>
          <w:szCs w:val="18"/>
          <w:color w:val="auto"/>
        </w:rPr>
      </w:pPr>
    </w:p>
    <w:p>
      <w:pPr>
        <w:ind w:left="500" w:right="420" w:hanging="492"/>
        <w:spacing w:after="0" w:line="312" w:lineRule="auto"/>
        <w:tabs>
          <w:tab w:leader="none" w:pos="49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37,264 shares of Common Stock held by Dr. Kurtoglu directly and (ii) 184,956 shares of Common Stock underlying outstanding stock options exercisable within 60 days of April 14, 2026. Dr. Kurtoglu ceased to serve as our Chief Technology Officer on May 1, 2025.</w:t>
      </w:r>
    </w:p>
    <w:p>
      <w:pPr>
        <w:spacing w:after="0" w:line="31" w:lineRule="exact"/>
        <w:rPr>
          <w:rFonts w:ascii="Times New Roman" w:cs="Times New Roman" w:eastAsia="Times New Roman" w:hAnsi="Times New Roman"/>
          <w:sz w:val="17"/>
          <w:szCs w:val="17"/>
          <w:color w:val="auto"/>
        </w:rPr>
      </w:pPr>
    </w:p>
    <w:p>
      <w:pPr>
        <w:ind w:left="500" w:right="40" w:hanging="492"/>
        <w:spacing w:after="0" w:line="282" w:lineRule="auto"/>
        <w:tabs>
          <w:tab w:leader="none" w:pos="4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104,877 shares of Common Stock held by Dr. Jewell directly. Dr. Jewell ceased to serve as our Chief Scientific Officer on November 14, 2025.</w:t>
      </w:r>
    </w:p>
    <w:p>
      <w:pPr>
        <w:spacing w:after="0" w:line="53" w:lineRule="exact"/>
        <w:rPr>
          <w:rFonts w:ascii="Times New Roman" w:cs="Times New Roman" w:eastAsia="Times New Roman" w:hAnsi="Times New Roman"/>
          <w:sz w:val="18"/>
          <w:szCs w:val="18"/>
          <w:color w:val="auto"/>
        </w:rPr>
      </w:pPr>
    </w:p>
    <w:p>
      <w:pPr>
        <w:ind w:left="500" w:right="120" w:hanging="492"/>
        <w:spacing w:after="0" w:line="282" w:lineRule="auto"/>
        <w:tabs>
          <w:tab w:leader="none" w:pos="4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8,434 shares of Common Stock held by Dr. Miljkovic directly and (ii) 56,245 shares of Common Stock underlying outstanding stock options exercisable within 60 days of April 14, 2026.</w:t>
      </w:r>
    </w:p>
    <w:p>
      <w:pPr>
        <w:spacing w:after="0" w:line="53" w:lineRule="exact"/>
        <w:rPr>
          <w:rFonts w:ascii="Times New Roman" w:cs="Times New Roman" w:eastAsia="Times New Roman" w:hAnsi="Times New Roman"/>
          <w:sz w:val="18"/>
          <w:szCs w:val="18"/>
          <w:color w:val="auto"/>
        </w:rPr>
      </w:pPr>
    </w:p>
    <w:p>
      <w:pPr>
        <w:ind w:left="500" w:right="200" w:hanging="492"/>
        <w:spacing w:after="0" w:line="282" w:lineRule="auto"/>
        <w:tabs>
          <w:tab w:leader="none" w:pos="4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52,388 shares of Common Stock held by Mr. Barabe directly and (ii) 13,922 shares of Common Stock underlying outstanding stock options exercisable within 60 days of April 14, 2026.</w:t>
      </w:r>
    </w:p>
    <w:p>
      <w:pPr>
        <w:spacing w:after="0" w:line="53" w:lineRule="exact"/>
        <w:rPr>
          <w:rFonts w:ascii="Times New Roman" w:cs="Times New Roman" w:eastAsia="Times New Roman" w:hAnsi="Times New Roman"/>
          <w:sz w:val="18"/>
          <w:szCs w:val="18"/>
          <w:color w:val="auto"/>
        </w:rPr>
      </w:pPr>
    </w:p>
    <w:p>
      <w:pPr>
        <w:ind w:left="500" w:right="540" w:hanging="492"/>
        <w:spacing w:after="0" w:line="282" w:lineRule="auto"/>
        <w:tabs>
          <w:tab w:leader="none" w:pos="48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2,388 shares of Common Stock underlying outstanding stock options exercisable within 60 days of April 14, 2026 held by Dr. Bot directly.</w:t>
      </w:r>
    </w:p>
    <w:p>
      <w:pPr>
        <w:spacing w:after="0" w:line="53" w:lineRule="exact"/>
        <w:rPr>
          <w:rFonts w:ascii="Times New Roman" w:cs="Times New Roman" w:eastAsia="Times New Roman" w:hAnsi="Times New Roman"/>
          <w:sz w:val="18"/>
          <w:szCs w:val="18"/>
          <w:color w:val="auto"/>
        </w:rPr>
      </w:pPr>
    </w:p>
    <w:p>
      <w:pPr>
        <w:ind w:left="500" w:right="260" w:hanging="492"/>
        <w:spacing w:after="0" w:line="282" w:lineRule="auto"/>
        <w:tabs>
          <w:tab w:leader="none" w:pos="4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6,788 shares of Common Stock held by Dr. de Silva directly and (ii) 13,922 shares of Common Stock underlying outstanding stock options exercisable within 60 days of April 14,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right="660" w:hanging="492"/>
        <w:spacing w:after="0" w:line="282" w:lineRule="auto"/>
        <w:tabs>
          <w:tab w:leader="none" w:pos="4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4,577 shares of Common Stock held by Dr. Malik directly and (ii) 12,655 shares of Common Stock issuable upon exercise of underlying stock options exercisable within 60 days of April 14, 2026.</w:t>
      </w:r>
    </w:p>
    <w:p>
      <w:pPr>
        <w:spacing w:after="0" w:line="53" w:lineRule="exact"/>
        <w:rPr>
          <w:rFonts w:ascii="Times New Roman" w:cs="Times New Roman" w:eastAsia="Times New Roman" w:hAnsi="Times New Roman"/>
          <w:sz w:val="18"/>
          <w:szCs w:val="18"/>
          <w:color w:val="auto"/>
        </w:rPr>
      </w:pPr>
    </w:p>
    <w:p>
      <w:pPr>
        <w:ind w:left="500" w:hanging="492"/>
        <w:spacing w:after="0" w:line="253" w:lineRule="auto"/>
        <w:tabs>
          <w:tab w:leader="none" w:pos="4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filed with the SEC on April 10, 2024 and other information known to us, consists of (i) 45,000 shares of Common Stock held by Dr. Singer directly, (ii) 383,796 shares of Common Stock held by Thirsty Brook 2010 Irrevocable Trust, a trust for which Dr. Singer is a trustee, that Dr. Singer has the right to acquire pursuant to a right of substitution in exchange for assets with an equal value to such shares, (iii) 56,719 shares of Common Stock held by Singer Asefzadeh Family Holding Trust, a trust for which Dr. Singer is a trustee and beneficiary, (iv) 7,127 shares of Common Stock held by Bakezilla 2019 Irrevocable Trust, a trust for which Dr. Singer is a trustee and beneficiary, (v) 14,788 shares of Common Stock held by Dr. Baharak Asefzadeh, Dr. Singer’s spouse, (vi) 96,219 shares of Common Stock held by a minor child of Dr. Singer through a custodial account established pursuant to the Uniform Transfer to Minors Act (“UTMA”) for which Dr. Singer serves as custodian, (vii) 96,219 shares of Common Stock held by a minor child of Dr. Singer through a custodial account established pursuant to the UTMA for which Dr. Singer serves as custodian, and (viii) 13,922 shares of Common Stock issuable upon exercise of outstanding options within 60 days of April 14, 2026 held by Dr. Singer directly.</w:t>
      </w:r>
    </w:p>
    <w:p>
      <w:pPr>
        <w:spacing w:after="0" w:line="86" w:lineRule="exact"/>
        <w:rPr>
          <w:rFonts w:ascii="Times New Roman" w:cs="Times New Roman" w:eastAsia="Times New Roman" w:hAnsi="Times New Roman"/>
          <w:sz w:val="18"/>
          <w:szCs w:val="18"/>
          <w:color w:val="auto"/>
        </w:rPr>
      </w:pPr>
    </w:p>
    <w:p>
      <w:pPr>
        <w:ind w:left="500" w:right="500" w:hanging="492"/>
        <w:spacing w:after="0" w:line="282" w:lineRule="auto"/>
        <w:tabs>
          <w:tab w:leader="none" w:pos="4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8,396 shares of Common Stock held by Mr. Zenner directly and (ii) 13,922 shares of Common Stock underlying outstanding stock options exercisable within 60 days of April 14, 2026.</w:t>
      </w:r>
    </w:p>
    <w:p>
      <w:pPr>
        <w:spacing w:after="0" w:line="53"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4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10,545,338 shares of Common Stock owned directly or beneficially by our executive officers or members of our Board and (ii) 574,906 shares of Common Stock underlying outstanding stock options and warrants exercisable within 60 days of April 14, 2026.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7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filed on the SEC’s EDGAR system and written representations that no other reports were required, during the fiscal year ended December 31, 2025, all Section 16(a) filing requirements applicable to its officers, directors and greater than ten percent beneficial owners were complied with.</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66" w:lineRule="exact"/>
        <w:rPr>
          <w:sz w:val="20"/>
          <w:szCs w:val="20"/>
          <w:color w:val="auto"/>
        </w:rPr>
      </w:pPr>
    </w:p>
    <w:p>
      <w:pPr>
        <w:jc w:val="both"/>
        <w:ind w:right="120" w:firstLine="324"/>
        <w:spacing w:after="0" w:line="250"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our directors, executive officers and stockholders owning 5% or more of our outstanding Common Stock since January 1, 2024, in which the amount involved exceeded the lesser of $120,000 or one percent of the average of our total assets at year end in 2024 and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26, 2024, TAS, an affiliate of Dr. Springer, exercised 65,681 warrants to purchase Common Stock, paid the per-share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$43.80 in cash for an aggregate exercise price of $2.9 million, and upon exercise received 65,681 shares of Common Stock and 1,970,443 contingent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Securities Purchase Agreement</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November 13, 2023, the Company entered into the a securities purchase agreement with (i) Timothy A. Springer, Ph.D., (ii) TAS, an affiliate of Dr. Springer, and (iii) Seven One Eight Three Four Irrevocable Trust, a trust associated with Murat Kalayoglu, M.D., Ph.D., in which the Company agreed to issue and sell an aggregate of 149,330.115 shares of Series A Preferred Stock for an aggregate purchase price of $60.25 million (the “2023 Private Placement”). We granted customary registration rights to investors in connection with the 2023 Private Placement. For further description of the 2023 Private Placement, see Note 11 to our consolidated audited financial statements included in our 2024 Annual Report. The 2023 Private Placement included a delayed settlement mechanism, and as a result, the below issuances and sales to related parties of the Company were made during the year ended December 31,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of Series A</w:t>
            </w: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 aggregate</w:t>
            </w:r>
          </w:p>
        </w:tc>
        <w:tc>
          <w:tcPr>
            <w:tcW w:w="0" w:type="dxa"/>
            <w:vAlign w:val="bottom"/>
          </w:tcPr>
          <w:p>
            <w:pPr>
              <w:spacing w:after="0"/>
              <w:rPr>
                <w:sz w:val="1"/>
                <w:szCs w:val="1"/>
                <w:color w:val="auto"/>
              </w:rPr>
            </w:pPr>
          </w:p>
        </w:tc>
      </w:tr>
      <w:tr>
        <w:trPr>
          <w:trHeight w:val="175"/>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40" w:type="dxa"/>
            <w:vAlign w:val="bottom"/>
          </w:tcPr>
          <w:p>
            <w:pPr>
              <w:spacing w:after="0"/>
              <w:rPr>
                <w:sz w:val="15"/>
                <w:szCs w:val="15"/>
                <w:color w:val="auto"/>
              </w:rPr>
            </w:pPr>
          </w:p>
        </w:tc>
        <w:tc>
          <w:tcPr>
            <w:tcW w:w="13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 price</w:t>
            </w: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40" w:type="dxa"/>
            <w:vAlign w:val="bottom"/>
          </w:tcPr>
          <w:p>
            <w:pPr>
              <w:spacing w:after="0"/>
              <w:rPr>
                <w:sz w:val="21"/>
                <w:szCs w:val="21"/>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A. Springer, Ph.D.</w:t>
            </w:r>
          </w:p>
        </w:tc>
        <w:tc>
          <w:tcPr>
            <w:tcW w:w="4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99,140.326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945"/>
        </w:trPr>
        <w:tc>
          <w:tcPr>
            <w:tcW w:w="3780" w:type="dxa"/>
            <w:vAlign w:val="bottom"/>
          </w:tcPr>
          <w:p>
            <w:pPr>
              <w:spacing w:after="0"/>
              <w:rPr>
                <w:sz w:val="24"/>
                <w:szCs w:val="24"/>
                <w:color w:val="auto"/>
              </w:rPr>
            </w:pPr>
          </w:p>
        </w:tc>
        <w:tc>
          <w:tcPr>
            <w:tcW w:w="420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3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Securities Purchase Agreement</w:t>
      </w:r>
    </w:p>
    <w:p>
      <w:pPr>
        <w:spacing w:after="0" w:line="108"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On July 2, 2024, the Company entered into a securities purchase agreement for a private investment in public equity financing (the “2024 Private Placement”), with certain institutional and accredited investors (the “Purchasers”). The Purchasers included (i) Timothy A. Springer, Ph.D.; (ii) TAS, an affiliate of Dr. Springer, and (iii) Dr. Chafen Lu, Dr. Springer’s wife. We granted customary registration rights to investors in connection with the 2024 Private Placement. For further description of the 2024 Private Placement, see Note 11 to our consolidated audited financial statements included in our 2025 Annual Report. The below issuances and sales to related parties of the Company were made during the year ended December 31, 2024.</w:t>
      </w: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18"/>
                <w:szCs w:val="18"/>
                <w:b w:val="1"/>
                <w:bCs w:val="1"/>
                <w:color w:val="auto"/>
                <w:w w:val="99"/>
              </w:rPr>
              <w:t>Shares of Series B</w:t>
            </w:r>
          </w:p>
        </w:tc>
        <w:tc>
          <w:tcPr>
            <w:tcW w:w="140" w:type="dxa"/>
            <w:vAlign w:val="bottom"/>
          </w:tcPr>
          <w:p>
            <w:pPr>
              <w:spacing w:after="0"/>
              <w:rPr>
                <w:sz w:val="17"/>
                <w:szCs w:val="17"/>
                <w:color w:val="auto"/>
              </w:rPr>
            </w:pPr>
          </w:p>
        </w:tc>
        <w:tc>
          <w:tcPr>
            <w:tcW w:w="1380" w:type="dxa"/>
            <w:vAlign w:val="bottom"/>
          </w:tcPr>
          <w:p>
            <w:pPr>
              <w:jc w:val="center"/>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97"/>
              </w:rPr>
              <w:t>Total aggregate</w:t>
            </w:r>
          </w:p>
        </w:tc>
        <w:tc>
          <w:tcPr>
            <w:tcW w:w="0" w:type="dxa"/>
            <w:vAlign w:val="bottom"/>
          </w:tcPr>
          <w:p>
            <w:pPr>
              <w:spacing w:after="0"/>
              <w:rPr>
                <w:sz w:val="1"/>
                <w:szCs w:val="1"/>
                <w:color w:val="auto"/>
              </w:rPr>
            </w:pPr>
          </w:p>
        </w:tc>
      </w:tr>
      <w:tr>
        <w:trPr>
          <w:trHeight w:val="176"/>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40" w:type="dxa"/>
            <w:vAlign w:val="bottom"/>
          </w:tcPr>
          <w:p>
            <w:pPr>
              <w:spacing w:after="0"/>
              <w:rPr>
                <w:sz w:val="15"/>
                <w:szCs w:val="15"/>
                <w:color w:val="auto"/>
              </w:rPr>
            </w:pPr>
          </w:p>
        </w:tc>
        <w:tc>
          <w:tcPr>
            <w:tcW w:w="13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 price</w:t>
            </w:r>
          </w:p>
        </w:tc>
        <w:tc>
          <w:tcPr>
            <w:tcW w:w="0" w:type="dxa"/>
            <w:vAlign w:val="bottom"/>
          </w:tcPr>
          <w:p>
            <w:pPr>
              <w:spacing w:after="0"/>
              <w:rPr>
                <w:sz w:val="1"/>
                <w:szCs w:val="1"/>
                <w:color w:val="auto"/>
              </w:rPr>
            </w:pPr>
          </w:p>
        </w:tc>
      </w:tr>
      <w:tr>
        <w:trPr>
          <w:trHeight w:val="243"/>
        </w:trPr>
        <w:tc>
          <w:tcPr>
            <w:tcW w:w="8080" w:type="dxa"/>
            <w:vAlign w:val="bottom"/>
            <w:gridSpan w:val="2"/>
            <w:vMerge w:val="continue"/>
          </w:tcPr>
          <w:p>
            <w:pPr>
              <w:spacing w:after="0"/>
              <w:rPr>
                <w:sz w:val="21"/>
                <w:szCs w:val="21"/>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40" w:type="dxa"/>
            <w:vAlign w:val="bottom"/>
          </w:tcPr>
          <w:p>
            <w:pPr>
              <w:spacing w:after="0"/>
              <w:rPr>
                <w:sz w:val="21"/>
                <w:szCs w:val="21"/>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A. Springer, Ph.D.</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TAS Partners LLC, affiliate of Timothy A. Springer, Ph.D.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Chafen Lu, Ph.D., wife of Timothy A. Springer, Ph.D.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1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Requirements for Stockholder Proposals or Nominations to be Brought Before the Annual Meeting. </w:t>
      </w:r>
      <w:r>
        <w:rPr>
          <w:rFonts w:ascii="Times New Roman" w:cs="Times New Roman" w:eastAsia="Times New Roman" w:hAnsi="Times New Roman"/>
          <w:sz w:val="17"/>
          <w:szCs w:val="17"/>
          <w:color w:val="auto"/>
        </w:rPr>
        <w:t>Stockholders intending to present a proposal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2027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2027 Annual Meeting of Stockholders no earlier than the close of business on February 12, 2027 and no later than the close of business on March 14, 2027. The notice must contain the information required by the Bylaws, a copy of which is available upon request to our Secretary. In the event that the date of the 2027 Annual Meeting of Stockholders is more than 30 days before or more than 60 days after June 12, 2027, then our Secretary must receive such written notice not earlier than the close of business on the 120th day prior to the 2027 Annual Meeting of Stockholders and not later than the close of business on the 90th day prior to the 2027 Annual Meeting of Stockholders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to satisfying all of the requirements under our Bylaws, any stockholders who intend to solicit proxies in support of director nominees other than the Company’s nominees at the 2027 Annual Meeting of Stockholders must also comply with all applicable requirements of Rule 14a-19 under the Exchange Act. The advance notice requirement under Rule 14a-19 does not override or supersede the longer advance notice requirement under our Bylaws.</w:t>
      </w:r>
    </w:p>
    <w:p>
      <w:pPr>
        <w:spacing w:after="0" w:line="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the Company’s Proxy Materials for the 2027 Annual Meeting of Stockholders</w:t>
      </w:r>
      <w:r>
        <w:rPr>
          <w:rFonts w:ascii="Times New Roman" w:cs="Times New Roman" w:eastAsia="Times New Roman" w:hAnsi="Times New Roman"/>
          <w:sz w:val="18"/>
          <w:szCs w:val="18"/>
          <w:color w:val="auto"/>
        </w:rPr>
        <w:t>. Any stockholder who wishes to submit a proposal for inclusion in our proxy materials must comply with Rule 14a-8 promulgated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For such proposals to be included in our proxy materials for presentation at our 2027 Annual Meeting of Stockholders, all applicable requirements of Rule 14a-8 must be satisfied, and we must receive such proposals no later than December 29, 2026 at our offices at 7495 New Horizon Way, Frederick, Maryland 21703, Attn: Secretary.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7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Cartesian’s Annual Report on Form 10-K</w:t>
      </w:r>
    </w:p>
    <w:p>
      <w:pPr>
        <w:spacing w:after="0" w:line="200" w:lineRule="exact"/>
        <w:rPr>
          <w:sz w:val="20"/>
          <w:szCs w:val="20"/>
          <w:color w:val="auto"/>
        </w:rPr>
      </w:pPr>
    </w:p>
    <w:p>
      <w:pPr>
        <w:spacing w:after="0" w:line="27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 copy of Cartesian’s Annual Report on Form 10-K for the fiscal year ended December 31, 2025, including financial statements and schedules thereto but not including exhibits, as filed with the SEC, will be sent to any stockholder of record on April 14, 2026 without charge upon written request addressed to:</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7495 New Horizon Way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Frederick, MD 21703</w:t>
      </w:r>
    </w:p>
    <w:p>
      <w:pPr>
        <w:spacing w:after="0" w:line="11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this proxy statement and our Annual Report on Form 10-K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also may access our Annual Report on Form 10-K for the year ended December 31, 2025 on the “Financial Information”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“Investors” page of our website at </w:t>
      </w:r>
      <w:r>
        <w:rPr>
          <w:rFonts w:ascii="Times New Roman" w:cs="Times New Roman" w:eastAsia="Times New Roman" w:hAnsi="Times New Roman"/>
          <w:sz w:val="18"/>
          <w:szCs w:val="18"/>
          <w:i w:val="1"/>
          <w:iCs w:val="1"/>
          <w:color w:val="auto"/>
        </w:rPr>
        <w:t>www.cartesiantherapeutics.com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518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 the Board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 Maryland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367665</wp:posOffset>
            </wp:positionV>
            <wp:extent cx="5863590" cy="7595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63590" cy="759523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590550</wp:posOffset>
            </wp:positionV>
            <wp:extent cx="5863590" cy="77152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63590" cy="7715250"/>
                    </a:xfrm>
                    <a:prstGeom prst="rect">
                      <a:avLst/>
                    </a:prstGeom>
                    <a:noFill/>
                  </pic:spPr>
                </pic:pic>
              </a:graphicData>
            </a:graphic>
          </wp:anchor>
        </w:drawing>
      </w:r>
    </w:p>
    <w:sectPr>
      <w:pgSz w:w="11900" w:h="16838" w:orient="portrait"/>
      <w:cols w:equalWidth="0" w:num="1">
        <w:col w:w="10139"/>
      </w:cols>
      <w:pgMar w:left="32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bullet"/>
      <w:start w:val="1"/>
    </w:lvl>
  </w:abstractNum>
  <w:abstractNum w:abstractNumId="10">
    <w:nsid w:val="737B8DDC"/>
    <w:multiLevelType w:val="hybridMultilevel"/>
    <w:lvl w:ilvl="0">
      <w:lvlJc w:val="left"/>
      <w:lvlText w:val="2"/>
      <w:numFmt w:val="bullet"/>
      <w:start w:val="1"/>
    </w:lvl>
  </w:abstractNum>
  <w:abstractNum w:abstractNumId="11">
    <w:nsid w:val="6CEAF087"/>
    <w:multiLevelType w:val="hybridMultilevel"/>
    <w:lvl w:ilvl="0">
      <w:lvlJc w:val="left"/>
      <w:lvlText w:val="3"/>
      <w:numFmt w:val="bullet"/>
      <w:start w:val="1"/>
    </w:lvl>
  </w:abstractNum>
  <w:abstractNum w:abstractNumId="12">
    <w:nsid w:val="22221A70"/>
    <w:multiLevelType w:val="hybridMultilevel"/>
    <w:lvl w:ilvl="0">
      <w:lvlJc w:val="left"/>
      <w:lvlText w:val="4"/>
      <w:numFmt w:val="bullet"/>
      <w:start w:val="1"/>
    </w:lvl>
  </w:abstractNum>
  <w:abstractNum w:abstractNumId="13">
    <w:nsid w:val="4516DDE9"/>
    <w:multiLevelType w:val="hybridMultilevel"/>
    <w:lvl w:ilvl="0">
      <w:lvlJc w:val="left"/>
      <w:lvlText w:val="5"/>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ü"/>
      <w:numFmt w:val="bullet"/>
      <w:start w:val="1"/>
    </w:lvl>
  </w:abstractNum>
  <w:abstractNum w:abstractNumId="27">
    <w:nsid w:val="2D517796"/>
    <w:multiLevelType w:val="hybridMultilevel"/>
    <w:lvl w:ilvl="0">
      <w:lvlJc w:val="left"/>
      <w:lvlText w:val="X"/>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5"/>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4"/>
    </w:lvl>
  </w:abstractNum>
  <w:abstractNum w:abstractNumId="40">
    <w:nsid w:val="542289EC"/>
    <w:multiLevelType w:val="hybridMultilevel"/>
    <w:lvl w:ilvl="0">
      <w:lvlJc w:val="left"/>
      <w:lvlText w:val="(%1)"/>
      <w:numFmt w:val="lowerRoman"/>
      <w:start w:val="5"/>
    </w:lvl>
  </w:abstractNum>
  <w:abstractNum w:abstractNumId="41">
    <w:nsid w:val="6DE91B18"/>
    <w:multiLevelType w:val="hybridMultilevel"/>
    <w:lvl w:ilvl="0">
      <w:lvlJc w:val="left"/>
      <w:lvlText w:val="(%1)"/>
      <w:numFmt w:val="lowerRoman"/>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2"/>
    </w:lvl>
  </w:abstractNum>
  <w:abstractNum w:abstractNumId="44">
    <w:nsid w:val="32FFF902"/>
    <w:multiLevelType w:val="hybridMultilevel"/>
    <w:lvl w:ilvl="0">
      <w:lvlJc w:val="left"/>
      <w:lvlText w:val="(%1)"/>
      <w:numFmt w:val="decimal"/>
      <w:start w:val="3"/>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2"/>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4"/>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2"/>
    </w:lvl>
  </w:abstractNum>
  <w:abstractNum w:abstractNumId="51">
    <w:nsid w:val="75C6C33A"/>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2026-04-28T06:34:21Z</dcterms:created>
  <dcterms:modified xsi:type="dcterms:W3CDTF">2026-04-28T06:34:21Z</dcterms:modified>
</cp:coreProperties>
</file>