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Kishimoto Takashi Kei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2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480 ARSENAL STREET, BUILDING ONE</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Chief Scientific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right"/>
              <w:ind w:right="318"/>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03/08/2026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7"/>
              </w:rPr>
              <w:t>20,511</w:t>
            </w:r>
          </w:p>
        </w:tc>
        <w:tc>
          <w:tcPr>
            <w:tcW w:w="880" w:type="dxa"/>
            <w:vAlign w:val="bottom"/>
          </w:tcPr>
          <w:p>
            <w:pPr>
              <w:ind w:left="280"/>
              <w:spacing w:after="0"/>
              <w:rPr>
                <w:sz w:val="20"/>
                <w:szCs w:val="20"/>
                <w:color w:val="auto"/>
              </w:rPr>
            </w:pPr>
            <w:r>
              <w:rPr>
                <w:rFonts w:ascii="Arial" w:cs="Arial" w:eastAsia="Arial" w:hAnsi="Arial"/>
                <w:sz w:val="18"/>
                <w:szCs w:val="18"/>
                <w:color w:val="0000FF"/>
              </w:rPr>
              <w:t>7.02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right"/>
              <w:ind w:right="318"/>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02/20/2025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7"/>
              </w:rPr>
              <w:t>12,819</w:t>
            </w:r>
          </w:p>
        </w:tc>
        <w:tc>
          <w:tcPr>
            <w:tcW w:w="880" w:type="dxa"/>
            <w:vAlign w:val="bottom"/>
          </w:tcPr>
          <w:p>
            <w:pPr>
              <w:ind w:left="280"/>
              <w:spacing w:after="0"/>
              <w:rPr>
                <w:sz w:val="20"/>
                <w:szCs w:val="20"/>
                <w:color w:val="auto"/>
              </w:rPr>
            </w:pPr>
            <w:r>
              <w:rPr>
                <w:rFonts w:ascii="Arial" w:cs="Arial" w:eastAsia="Arial" w:hAnsi="Arial"/>
                <w:sz w:val="18"/>
                <w:szCs w:val="18"/>
                <w:color w:val="0000FF"/>
              </w:rPr>
              <w:t>9.36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right"/>
              <w:ind w:right="318"/>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04/07/2024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7"/>
              </w:rPr>
              <w:t>12,820</w:t>
            </w:r>
          </w:p>
        </w:tc>
        <w:tc>
          <w:tcPr>
            <w:tcW w:w="880" w:type="dxa"/>
            <w:vAlign w:val="bottom"/>
          </w:tcPr>
          <w:p>
            <w:pPr>
              <w:ind w:left="280"/>
              <w:spacing w:after="0"/>
              <w:rPr>
                <w:sz w:val="20"/>
                <w:szCs w:val="20"/>
                <w:color w:val="auto"/>
              </w:rPr>
            </w:pPr>
            <w:r>
              <w:rPr>
                <w:rFonts w:ascii="Arial" w:cs="Arial" w:eastAsia="Arial" w:hAnsi="Arial"/>
                <w:sz w:val="18"/>
                <w:szCs w:val="18"/>
                <w:color w:val="0000FF"/>
              </w:rPr>
              <w:t>8.97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right"/>
              <w:ind w:right="318"/>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06/13/2023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8"/>
              </w:rPr>
              <w:t>6,410</w:t>
            </w:r>
          </w:p>
        </w:tc>
        <w:tc>
          <w:tcPr>
            <w:tcW w:w="880" w:type="dxa"/>
            <w:vAlign w:val="bottom"/>
          </w:tcPr>
          <w:p>
            <w:pPr>
              <w:ind w:left="280"/>
              <w:spacing w:after="0"/>
              <w:rPr>
                <w:sz w:val="20"/>
                <w:szCs w:val="20"/>
                <w:color w:val="auto"/>
              </w:rPr>
            </w:pPr>
            <w:r>
              <w:rPr>
                <w:rFonts w:ascii="Arial" w:cs="Arial" w:eastAsia="Arial" w:hAnsi="Arial"/>
                <w:sz w:val="18"/>
                <w:szCs w:val="18"/>
                <w:color w:val="0000FF"/>
              </w:rPr>
              <w:t>2.77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right"/>
              <w:ind w:right="318"/>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09/07/2021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7"/>
              </w:rPr>
              <w:t>89,743</w:t>
            </w:r>
          </w:p>
        </w:tc>
        <w:tc>
          <w:tcPr>
            <w:tcW w:w="880" w:type="dxa"/>
            <w:vAlign w:val="bottom"/>
          </w:tcPr>
          <w:p>
            <w:pPr>
              <w:ind w:left="280"/>
              <w:spacing w:after="0"/>
              <w:rPr>
                <w:sz w:val="20"/>
                <w:szCs w:val="20"/>
                <w:color w:val="auto"/>
              </w:rPr>
            </w:pPr>
            <w:r>
              <w:rPr>
                <w:rFonts w:ascii="Arial" w:cs="Arial" w:eastAsia="Arial" w:hAnsi="Arial"/>
                <w:sz w:val="18"/>
                <w:szCs w:val="18"/>
                <w:color w:val="0000FF"/>
              </w:rPr>
              <w:t>2.77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as to 25% of the shares on February 1, 2017. The remainder of the shares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2016.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2015.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2014.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shares underlying the option are fully vested.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David Siewers,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660" w:right="180" w:hanging="4"/>
        <w:spacing w:after="0" w:line="259"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660" w:right="220" w:hanging="4"/>
        <w:spacing w:after="0" w:line="277"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660" w:right="20" w:hanging="4"/>
        <w:spacing w:after="0" w:line="264"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660" w:right="60" w:hanging="4"/>
        <w:spacing w:after="0" w:line="259"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Takashi Kei Kishimoto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Takashi Kei Kishimoto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676930"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2019-12-08T18:18:24Z</dcterms:created>
  <dcterms:modified xsi:type="dcterms:W3CDTF">2019-12-08T18:18:24Z</dcterms:modified>
</cp:coreProperties>
</file>