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10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rFonts w:ascii="MS PGothic" w:cs="MS PGothic" w:eastAsia="MS PGothic" w:hAnsi="MS PGothic"/>
          <w:sz w:val="40"/>
          <w:szCs w:val="40"/>
          <w:color w:val="auto"/>
          <w:vertAlign w:val="subscript"/>
        </w:rPr>
      </w:pPr>
    </w:p>
    <w:p>
      <w:pPr>
        <w:ind w:left="392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500" w:hanging="465"/>
        <w:spacing w:after="0" w:line="231" w:lineRule="auto"/>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rFonts w:ascii="MS PGothic" w:cs="MS PGothic" w:eastAsia="MS PGothic" w:hAnsi="MS PGothic"/>
          <w:sz w:val="40"/>
          <w:szCs w:val="40"/>
          <w:color w:val="auto"/>
          <w:vertAlign w:val="subscript"/>
        </w:rPr>
      </w:pPr>
    </w:p>
    <w:p>
      <w:pPr>
        <w:ind w:left="446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transition period from</w:t>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001-37798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Selecta Biosciences, Inc.</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52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spacing w:after="0"/>
              <w:rPr>
                <w:sz w:val="20"/>
                <w:szCs w:val="20"/>
                <w:color w:val="auto"/>
              </w:rPr>
            </w:pPr>
          </w:p>
        </w:tc>
        <w:tc>
          <w:tcPr>
            <w:tcW w:w="4720" w:type="dxa"/>
            <w:vAlign w:val="bottom"/>
          </w:tcPr>
          <w:p>
            <w:pPr>
              <w:jc w:val="right"/>
              <w:ind w:right="3430"/>
              <w:spacing w:after="0"/>
              <w:rPr>
                <w:sz w:val="20"/>
                <w:szCs w:val="20"/>
                <w:color w:val="auto"/>
              </w:rPr>
            </w:pPr>
            <w:r>
              <w:rPr>
                <w:rFonts w:ascii="Arial" w:cs="Arial" w:eastAsia="Arial" w:hAnsi="Arial"/>
                <w:sz w:val="18"/>
                <w:szCs w:val="18"/>
                <w:b w:val="1"/>
                <w:bCs w:val="1"/>
                <w:color w:val="auto"/>
              </w:rPr>
              <w:t>26-1622110</w:t>
            </w:r>
          </w:p>
        </w:tc>
      </w:tr>
      <w:tr>
        <w:trPr>
          <w:trHeight w:val="269"/>
        </w:trPr>
        <w:tc>
          <w:tcPr>
            <w:tcW w:w="4760" w:type="dxa"/>
            <w:vAlign w:val="bottom"/>
            <w:gridSpan w:val="2"/>
          </w:tcPr>
          <w:p>
            <w:pPr>
              <w:jc w:val="center"/>
              <w:ind w:left="2390"/>
              <w:spacing w:after="0"/>
              <w:rPr>
                <w:sz w:val="20"/>
                <w:szCs w:val="20"/>
                <w:color w:val="auto"/>
              </w:rPr>
            </w:pPr>
            <w:r>
              <w:rPr>
                <w:rFonts w:ascii="Arial" w:cs="Arial" w:eastAsia="Arial" w:hAnsi="Arial"/>
                <w:sz w:val="18"/>
                <w:szCs w:val="18"/>
                <w:color w:val="auto"/>
                <w:w w:val="92"/>
              </w:rPr>
              <w:t>(State or other jurisdiction of</w:t>
            </w:r>
          </w:p>
        </w:tc>
        <w:tc>
          <w:tcPr>
            <w:tcW w:w="6500" w:type="dxa"/>
            <w:vAlign w:val="bottom"/>
            <w:gridSpan w:val="2"/>
          </w:tcPr>
          <w:p>
            <w:pPr>
              <w:jc w:val="center"/>
              <w:ind w:right="12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760" w:type="dxa"/>
            <w:vAlign w:val="bottom"/>
            <w:gridSpan w:val="2"/>
          </w:tcPr>
          <w:p>
            <w:pPr>
              <w:jc w:val="center"/>
              <w:ind w:left="239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87"/>
        </w:trPr>
        <w:tc>
          <w:tcPr>
            <w:tcW w:w="324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480 Arsenal</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w w:val="95"/>
              </w:rPr>
              <w:t>Watertown MA</w:t>
            </w:r>
          </w:p>
        </w:tc>
        <w:tc>
          <w:tcPr>
            <w:tcW w:w="1780" w:type="dxa"/>
            <w:vAlign w:val="bottom"/>
          </w:tcPr>
          <w:p>
            <w:pPr>
              <w:spacing w:after="0"/>
              <w:rPr>
                <w:sz w:val="24"/>
                <w:szCs w:val="24"/>
                <w:color w:val="auto"/>
              </w:rPr>
            </w:pPr>
          </w:p>
        </w:tc>
        <w:tc>
          <w:tcPr>
            <w:tcW w:w="4720" w:type="dxa"/>
            <w:vAlign w:val="bottom"/>
          </w:tcPr>
          <w:p>
            <w:pPr>
              <w:jc w:val="center"/>
              <w:ind w:right="3050"/>
              <w:spacing w:after="0"/>
              <w:rPr>
                <w:sz w:val="20"/>
                <w:szCs w:val="20"/>
                <w:color w:val="auto"/>
              </w:rPr>
            </w:pPr>
            <w:r>
              <w:rPr>
                <w:rFonts w:ascii="Arial" w:cs="Arial" w:eastAsia="Arial" w:hAnsi="Arial"/>
                <w:sz w:val="18"/>
                <w:szCs w:val="18"/>
                <w:b w:val="1"/>
                <w:bCs w:val="1"/>
                <w:color w:val="auto"/>
                <w:w w:val="91"/>
              </w:rPr>
              <w:t>02472</w:t>
            </w:r>
          </w:p>
        </w:tc>
      </w:tr>
      <w:tr>
        <w:trPr>
          <w:trHeight w:val="234"/>
        </w:trPr>
        <w:tc>
          <w:tcPr>
            <w:tcW w:w="3240" w:type="dxa"/>
            <w:vAlign w:val="bottom"/>
          </w:tcPr>
          <w:p>
            <w:pPr>
              <w:jc w:val="center"/>
              <w:ind w:left="2190"/>
              <w:spacing w:after="0"/>
              <w:rPr>
                <w:sz w:val="20"/>
                <w:szCs w:val="20"/>
                <w:color w:val="auto"/>
              </w:rPr>
            </w:pPr>
            <w:r>
              <w:rPr>
                <w:rFonts w:ascii="Arial" w:cs="Arial" w:eastAsia="Arial" w:hAnsi="Arial"/>
                <w:sz w:val="18"/>
                <w:szCs w:val="18"/>
                <w:b w:val="1"/>
                <w:bCs w:val="1"/>
                <w:color w:val="auto"/>
                <w:w w:val="97"/>
              </w:rPr>
              <w:t>Way</w:t>
            </w:r>
          </w:p>
        </w:tc>
        <w:tc>
          <w:tcPr>
            <w:tcW w:w="1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84"/>
        </w:trPr>
        <w:tc>
          <w:tcPr>
            <w:tcW w:w="65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right="3050"/>
              <w:spacing w:after="0"/>
              <w:rPr>
                <w:sz w:val="20"/>
                <w:szCs w:val="20"/>
                <w:color w:val="auto"/>
              </w:rPr>
            </w:pPr>
            <w:r>
              <w:rPr>
                <w:rFonts w:ascii="Arial" w:cs="Arial" w:eastAsia="Arial" w:hAnsi="Arial"/>
                <w:sz w:val="18"/>
                <w:szCs w:val="18"/>
                <w:color w:val="auto"/>
                <w:w w:val="91"/>
              </w:rPr>
              <w:t>(Zip Code)</w:t>
            </w:r>
          </w:p>
        </w:tc>
      </w:tr>
      <w:tr>
        <w:trPr>
          <w:trHeight w:val="242"/>
        </w:trPr>
        <w:tc>
          <w:tcPr>
            <w:tcW w:w="3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(617) 923-1400</w:t>
            </w:r>
          </w:p>
        </w:tc>
        <w:tc>
          <w:tcPr>
            <w:tcW w:w="4720" w:type="dxa"/>
            <w:vAlign w:val="bottom"/>
          </w:tcPr>
          <w:p>
            <w:pPr>
              <w:spacing w:after="0"/>
              <w:rPr>
                <w:sz w:val="21"/>
                <w:szCs w:val="21"/>
                <w:color w:val="auto"/>
              </w:rPr>
            </w:pPr>
          </w:p>
        </w:tc>
      </w:tr>
      <w:tr>
        <w:trPr>
          <w:trHeight w:val="230"/>
        </w:trPr>
        <w:tc>
          <w:tcPr>
            <w:tcW w:w="3240" w:type="dxa"/>
            <w:vAlign w:val="bottom"/>
          </w:tcPr>
          <w:p>
            <w:pPr>
              <w:spacing w:after="0"/>
              <w:rPr>
                <w:sz w:val="20"/>
                <w:szCs w:val="20"/>
                <w:color w:val="auto"/>
              </w:rPr>
            </w:pPr>
          </w:p>
        </w:tc>
        <w:tc>
          <w:tcPr>
            <w:tcW w:w="8020" w:type="dxa"/>
            <w:vAlign w:val="bottom"/>
            <w:gridSpan w:val="3"/>
          </w:tcPr>
          <w:p>
            <w:pPr>
              <w:jc w:val="center"/>
              <w:ind w:right="317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810"/>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48"/>
        </w:trPr>
        <w:tc>
          <w:tcPr>
            <w:tcW w:w="3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r>
      <w:tr>
        <w:trPr>
          <w:trHeight w:val="237"/>
        </w:trPr>
        <w:tc>
          <w:tcPr>
            <w:tcW w:w="3240" w:type="dxa"/>
            <w:vAlign w:val="bottom"/>
            <w:tcBorders>
              <w:left w:val="single" w:sz="8" w:color="auto"/>
            </w:tcBorders>
          </w:tcPr>
          <w:p>
            <w:pPr>
              <w:jc w:val="center"/>
              <w:ind w:left="1410"/>
              <w:spacing w:after="0"/>
              <w:rPr>
                <w:sz w:val="20"/>
                <w:szCs w:val="20"/>
                <w:color w:val="auto"/>
              </w:rPr>
            </w:pPr>
            <w:r>
              <w:rPr>
                <w:rFonts w:ascii="Arial" w:cs="Arial" w:eastAsia="Arial" w:hAnsi="Arial"/>
                <w:sz w:val="18"/>
                <w:szCs w:val="18"/>
                <w:color w:val="auto"/>
                <w:w w:val="90"/>
              </w:rPr>
              <w:t>Title of each class</w:t>
            </w:r>
          </w:p>
        </w:tc>
        <w:tc>
          <w:tcPr>
            <w:tcW w:w="15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7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r>
      <w:tr>
        <w:trPr>
          <w:trHeight w:val="27"/>
        </w:trPr>
        <w:tc>
          <w:tcPr>
            <w:tcW w:w="32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10380"/>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 w:lineRule="exact"/>
        <w:rPr>
          <w:sz w:val="24"/>
          <w:szCs w:val="24"/>
          <w:color w:val="auto"/>
        </w:rPr>
      </w:pPr>
    </w:p>
    <w:p>
      <w:pPr>
        <w:ind w:left="10380"/>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57" w:lineRule="exact"/>
        <w:rPr>
          <w:sz w:val="24"/>
          <w:szCs w:val="24"/>
          <w:color w:val="auto"/>
        </w:rPr>
      </w:pPr>
    </w:p>
    <w:p>
      <w:pPr>
        <w:ind w:right="260"/>
        <w:spacing w:after="0" w:line="25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6" w:lineRule="exact"/>
        <w:rPr>
          <w:sz w:val="24"/>
          <w:szCs w:val="24"/>
          <w:color w:val="auto"/>
        </w:rPr>
      </w:pPr>
    </w:p>
    <w:p>
      <w:pPr>
        <w:ind w:right="120"/>
        <w:spacing w:after="0" w:line="287"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10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0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69" w:right="319" w:bottom="1440" w:gutter="0" w:footer="0" w:header="0"/>
        </w:sectPr>
      </w:pPr>
    </w:p>
    <w:bookmarkStart w:id="1" w:name="page2"/>
    <w:bookmarkEnd w:id="1"/>
    <w:tbl>
      <w:tblPr>
        <w:tblLayout w:type="fixed"/>
        <w:tblInd w:w="1860" w:type="dxa"/>
        <w:tblCellMar>
          <w:top w:w="0" w:type="dxa"/>
          <w:left w:w="0" w:type="dxa"/>
          <w:bottom w:w="0" w:type="dxa"/>
          <w:right w:w="0" w:type="dxa"/>
        </w:tblCellMar>
      </w:tblPr>
      <w:tr>
        <w:trPr>
          <w:trHeight w:val="254"/>
        </w:trPr>
        <w:tc>
          <w:tcPr>
            <w:tcW w:w="2820" w:type="dxa"/>
            <w:vAlign w:val="bottom"/>
          </w:tcPr>
          <w:p>
            <w:pPr>
              <w:jc w:val="right"/>
              <w:ind w:right="107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00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820" w:type="dxa"/>
            <w:vAlign w:val="bottom"/>
          </w:tcPr>
          <w:p>
            <w:pPr>
              <w:jc w:val="right"/>
              <w:ind w:right="1079"/>
              <w:spacing w:after="0" w:line="184" w:lineRule="exact"/>
              <w:rPr>
                <w:sz w:val="20"/>
                <w:szCs w:val="20"/>
                <w:color w:val="auto"/>
              </w:rPr>
            </w:pPr>
            <w:r>
              <w:rPr>
                <w:rFonts w:ascii="Arial" w:cs="Arial" w:eastAsia="Arial" w:hAnsi="Arial"/>
                <w:sz w:val="16"/>
                <w:szCs w:val="16"/>
                <w:color w:val="auto"/>
                <w:w w:val="97"/>
              </w:rPr>
              <w:t xml:space="preserve">Non-accelerated filer </w:t>
            </w:r>
            <w:r>
              <w:rPr>
                <w:rFonts w:ascii="MS PGothic" w:cs="MS PGothic" w:eastAsia="MS PGothic" w:hAnsi="MS PGothic"/>
                <w:sz w:val="16"/>
                <w:szCs w:val="16"/>
                <w:color w:val="auto"/>
                <w:w w:val="97"/>
              </w:rPr>
              <w:t>☐</w:t>
            </w:r>
          </w:p>
        </w:tc>
        <w:tc>
          <w:tcPr>
            <w:tcW w:w="300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820" w:type="dxa"/>
            <w:vAlign w:val="bottom"/>
          </w:tcPr>
          <w:p>
            <w:pPr>
              <w:spacing w:after="0"/>
              <w:rPr>
                <w:sz w:val="23"/>
                <w:szCs w:val="23"/>
                <w:color w:val="auto"/>
              </w:rPr>
            </w:pPr>
          </w:p>
        </w:tc>
        <w:tc>
          <w:tcPr>
            <w:tcW w:w="300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0"/>
          <w:szCs w:val="20"/>
          <w:color w:val="auto"/>
        </w:rPr>
      </w:pPr>
    </w:p>
    <w:p>
      <w:pPr>
        <w:spacing w:after="0" w:line="327"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0"/>
          <w:szCs w:val="20"/>
          <w:color w:val="auto"/>
        </w:rPr>
      </w:pPr>
    </w:p>
    <w:p>
      <w:pPr>
        <w:ind w:right="360"/>
        <w:spacing w:after="0" w:line="298"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on June 28, 2019, based on the closing price of $1.79 per share of the registrant's common stock as reported by the Nasdaq Global Market, was approximately $58.5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March 6, 2020 the registrant had 86,420,195 shares of common stock, par value $0.0001 per share, outstanding.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2020 Annual Meeting of Stockholders to be filed with the Securities and Exchange Commission are incorporated by reference into Part III of this Annual Report on Form 10-K.</w:t>
      </w:r>
    </w:p>
    <w:p>
      <w:pPr>
        <w:sectPr>
          <w:pgSz w:w="11900" w:h="16838" w:orient="portrait"/>
          <w:cols w:equalWidth="0" w:num="1">
            <w:col w:w="11240"/>
          </w:cols>
          <w:pgMar w:left="320" w:top="4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160" w:type="dxa"/>
            <w:vAlign w:val="bottom"/>
            <w:gridSpan w:val="8"/>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center"/>
              <w:spacing w:after="0"/>
              <w:rPr>
                <w:rFonts w:ascii="Arial" w:cs="Arial" w:eastAsia="Arial" w:hAnsi="Arial"/>
                <w:sz w:val="18"/>
                <w:szCs w:val="18"/>
                <w:color w:val="auto"/>
                <w:w w:val="92"/>
              </w:rPr>
            </w:pPr>
            <w:hyperlink w:anchor="page5">
              <w:r>
                <w:rPr>
                  <w:rFonts w:ascii="Arial" w:cs="Arial" w:eastAsia="Arial" w:hAnsi="Arial"/>
                  <w:sz w:val="18"/>
                  <w:szCs w:val="18"/>
                  <w:color w:val="auto"/>
                  <w:w w:val="92"/>
                </w:rPr>
                <w:t>Part I</w:t>
              </w:r>
            </w:hyperlink>
          </w:p>
        </w:tc>
        <w:tc>
          <w:tcPr>
            <w:tcW w:w="420" w:type="dxa"/>
            <w:vAlign w:val="bottom"/>
            <w:tcBorders>
              <w:top w:val="single" w:sz="8" w:color="auto"/>
            </w:tcBorders>
            <w:gridSpan w:val="3"/>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640" w:type="dxa"/>
            <w:vAlign w:val="bottom"/>
            <w:gridSpan w:val="9"/>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479"/>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jc w:val="center"/>
              <w:ind w:right="4640"/>
              <w:spacing w:after="0"/>
              <w:rPr>
                <w:sz w:val="20"/>
                <w:szCs w:val="20"/>
                <w:color w:val="auto"/>
              </w:rPr>
            </w:pPr>
            <w:r>
              <w:rPr>
                <w:rFonts w:ascii="Arial" w:cs="Arial" w:eastAsia="Arial" w:hAnsi="Arial"/>
                <w:sz w:val="18"/>
                <w:szCs w:val="18"/>
                <w:color w:val="auto"/>
                <w:w w:val="95"/>
              </w:rPr>
              <w:t>Part 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79"/>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74</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Selected Consolidated Financial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76</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480"/>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Part III</w:t>
            </w:r>
          </w:p>
        </w:tc>
        <w:tc>
          <w:tcPr>
            <w:tcW w:w="46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r>
      <w:tr>
        <w:trPr>
          <w:trHeight w:val="479"/>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Part IV</w:t>
            </w:r>
          </w:p>
        </w:tc>
        <w:tc>
          <w:tcPr>
            <w:tcW w:w="46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90</w:t>
              </w:r>
            </w:hyperlink>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250"/>
        </w:trPr>
        <w:tc>
          <w:tcPr>
            <w:tcW w:w="920" w:type="dxa"/>
            <w:vAlign w:val="bottom"/>
          </w:tcPr>
          <w:p>
            <w:pPr>
              <w:spacing w:after="0"/>
              <w:rPr>
                <w:sz w:val="21"/>
                <w:szCs w:val="21"/>
                <w:color w:val="auto"/>
              </w:rPr>
            </w:pPr>
          </w:p>
        </w:tc>
        <w:tc>
          <w:tcPr>
            <w:tcW w:w="9640" w:type="dxa"/>
            <w:vAlign w:val="bottom"/>
            <w:gridSpan w:val="9"/>
          </w:tcPr>
          <w:p>
            <w:pPr>
              <w:ind w:left="26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42" w:right="5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 our future capital needs and our need to raise additional funds;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have continued access to manufacturing facilities and to receive or manufacture sufficient quantities of our product candidates;</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 including our ability to reach an agreement regarding an acceptable amendment of our exclusive patent license agreement with the Massachusetts Institute of Technology;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661"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 clinical-stage biopharmaceutical company using our ImmTOR™ platform, designed to induce tolerance to novel biologic therapies that would otherwise be limited by immunogenicity with the goal of effectively and safely treating rare and serious diseases. Many such diseases are treated with biologic therapies that are foreign to the patient’s immune system and therefore elicit an undesired immune response. Of particular concern are anti-drug antibodies, or ADAs, which are often produced by the immune system in response to biologic therapy and can adversely affect the efficacy and safety of treatment. Our proprietary tolerogenic ImmTOR platform encapsulates an immunomodulator in biodegradable nanoparticles and is designed to mitigate the formation of ADAs by inducing antigen-specific immune tolerance to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ImmTOR has potential to enhance the efficacy without compromising the safety of existing approved biologic drugs, improve product candidates under development, and enable novel therapeutic modalities, such as re-administration of systemic gene therapy. We intend to build a product pipeline by combining our ImmTOR platform with a range of biologics. Additionally, we plan to seek collaborations and license agreements to broaden our applications for our ImmTOR platform.</w:t>
      </w:r>
    </w:p>
    <w:p>
      <w:pPr>
        <w:spacing w:after="0" w:line="17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lead product candidate, SEL-212, is a proprietary combination of a therapeutic uricase enzyme (pegadricase) and our ImmTOR platform that is designed to durably control serum uric acid, or SUA, levels in patients with chronic refractory gout through monthly administration. Our preclinical data indicated that ImmTOR, when co-administered with pegadricase, induced antigen-specific immune tolerance to pegadricase and substantially reduced the formation of associated ADAs. Our Phase 1 data showed that ImmTOR mitigated the formation of ADAs against pegadricase after a single dose of SEL-</w:t>
      </w:r>
    </w:p>
    <w:p>
      <w:pPr>
        <w:spacing w:after="0" w:line="1" w:lineRule="exact"/>
        <w:rPr>
          <w:sz w:val="20"/>
          <w:szCs w:val="20"/>
          <w:color w:val="auto"/>
        </w:rPr>
      </w:pPr>
    </w:p>
    <w:p>
      <w:pPr>
        <w:ind w:right="20" w:firstLine="8"/>
        <w:spacing w:after="0" w:line="285"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Clinical data from our Phase 2 dose-finding study suggested the potential of monthly doses of SEL-212 to durably control serum uric acid levels by mitigating the formation of anti-pegadricase antibodies. Initial tissue imaging studies by dual energy computerized tomography (DECT) scans also provided evidence regarding the potential of SEL-212 to eliminate tissue deposits of uric acid crystals. This data also showed a low rate of gout flares. Based on our Phase 2 clinical data and feedback received during our end-of-Phase 2 meeting from the U.S. Food and Drug Administration, or FDA, we commenced enrollment in our Phase 2 head-to-head (COMPARE) clinical trial of SEL-212, utilizing revised stopping rules, compared to the current FDA-approved uricase therapy, KRYSTEXXA® (pegloticase) in March 2019. We initiated dosing in May 2019. In December 2019, we completed enrollment in this study. In the first quarter of 2020, we received feedback from the FDA on our planned Phase 3 program for SEL-212, which will consist of two placebo-controlled trials, each with a six month primary endpoint, one of which will have a six-month placebo-controlled extension. We plan to commence the Phase 3 clinical program in SEL-212 in the second half of 2020. We will require additional resources to complete the planned Phase 3 clinical program for SEL-212. We expect our clinical and, if approved, marketing strategy for SEL-212 to initially focus on the estimated 160,000 patients in the United States with chronic refractory gout, and to focus on those patients that are being treated by rheumatologists.</w:t>
      </w:r>
    </w:p>
    <w:p>
      <w:pPr>
        <w:spacing w:after="0" w:line="17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also applying our ImmTOR platform in an effort to mitigate the formation of ADAs when dosing gene therapy. Most gene therapies use a viral vector, such as an adeno-associated virus, or AAV, vector to place corrective genetic material into cells to treat genetic diseases. One of the key hurdles for the gene therapy field is to overcome immunogenicity against the viral vector. ADAs form in response to the first administration of a gene therapy vector and prevent effective subsequent doses of gene therapy. The ability to provide repeat doses may be particularly important for pediatric patients to receive continued treatment benefit later in life as gene expression wanes due to cellular turnover as patients grow. The ability to re-administer gene therapies also could provide the potential for dose titration and could be advantageous for diseases where the goal is to transfect a high number of cells.</w:t>
      </w:r>
    </w:p>
    <w:p>
      <w:pPr>
        <w:spacing w:after="0" w:line="16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investigational gene therapy program targets the treatment of rare genetic diseases, including methylmalonic acidemia, or MMA. We are collaborating with Asklepios BioPharmaceutical, Inc., or AskBio to develop a treatment for MMA, which, if successfully developed and approved, could have the potential to prevent undesired immune responses to the vector and transgene that can occur with the first dose of gene therapy by using our ImmTOR platform. We plan to enter the clinic under this collaboration in 2020. For more information, see "Licenses and Collaborations - AskBio” below.</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developing this non-immunogenic therapeutic product candidate, we intend to continue expanding our proprietary immune tolerance pipeline and pursue out-licensing opportunities for select applications of our ImmTOR platform. In December 2016, we entered into a license agreement, or the Spark License Agreement, with Spark Therapeutics, Inc., or Spark, that provides Spark with exclusive worldwide rights to our ImmTOR platform to research, develop and commercialize gene therapies for Factor VIII, an essential blood clotting protein relevant to the treatment of hemophilia A. For more information,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661" w:right="37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see “Licenses and Collaborations - Spark Therapeutics" below. Additionally, in December 2019 we entered into a license agreement, or the AskBio License Agreement, with AskBio, that provides AskBio with exclusive worldwide rights to our ImmTOR platform to research, develop and commercialize certain adeno-associated virus, or AAV gene therapy products targeting the glucosidase alpha, acid, or GAA gene, or derivatives thereof, to treat Pompe Disease. For more information, see "Licenses and Collaborations - AskBio” below.</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September 2018, we announced a collaboration with the European consortium, CureCN, for an ImmTOR+AAV gene therapy combination product candidate in Crigler-Najjar syndrome. We expect the CureCN consortium to obtain scientific advice from the German drug regulatory authority in 2020.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goal is to become the first biopharmaceutical company to develop and commercialize targeted therapies that are designed to more effectively and safely treat rare and serious diseases by inducing immune tolerance to potent but immunogenic biologic therapies. In addition, we intend to maximize the value of our ImmTOR platform by collaborating with or licensing our ImmTOR platform out to biopharmaceutical companies on programs that can benefit from our technology but that are outside our area of focus. The key elements of our strategy include the following.</w:t>
      </w:r>
    </w:p>
    <w:p>
      <w:pPr>
        <w:spacing w:after="0" w:line="171" w:lineRule="exact"/>
        <w:rPr>
          <w:sz w:val="20"/>
          <w:szCs w:val="20"/>
          <w:color w:val="auto"/>
        </w:rPr>
      </w:pPr>
    </w:p>
    <w:p>
      <w:pPr>
        <w:ind w:left="660" w:right="6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development of SEL-212 for the treatment of chronic refractory gout. </w:t>
      </w:r>
      <w:r>
        <w:rPr>
          <w:rFonts w:ascii="Arial" w:cs="Arial" w:eastAsia="Arial" w:hAnsi="Arial"/>
          <w:sz w:val="17"/>
          <w:szCs w:val="17"/>
          <w:color w:val="auto"/>
        </w:rPr>
        <w:t>We believe SEL-212 has the potential, if successfully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and approved, to become the first monthly biologic treatment that durably controls uric acid while also dissolving harmful deposits of uric acid crystals for patients with chronic refractory gout. We have completed Phase 1 and Phase 2 dose-finding clinical programs, comprised of two Phase 1 clinical studies and an open-label, multiple ascending dose Phase 2 clinical program. We completed enrollment of our Phase 2 head-to-head (COMPARE) clinical study against KRYSTEXXA in December 2019 and expect to report top-line data in the third quarter of 2020. The two-armed, open label trial has enrolled approximately 150 patients, randomized 1:1, with one arm receiving KRYSTEXXA (as set forth in the prescribing information) and the other arm receiving six monthly doses of SEL-212. The primary endpoint in the study is the percentage of patients in each arm that maintain SUA control below 6.0 mg/dL, for at least 80% of the time during months three and six. In the first quarter of 2020, we received feedback from the FDA on our planned Phase 3 clinical program for SEL-212, which will consist of two placebo-controlled trials, each with a six month primary endpoint, one of which will have a six-month placebo-controlled extension. We plan to commence the Phase 3 clinical program in SEL-212 in the second half of 2020. We will require additional resources to complete the planned Phase 3 clinical program for SEL-212.</w:t>
      </w:r>
    </w:p>
    <w:p>
      <w:pPr>
        <w:spacing w:after="0" w:line="178" w:lineRule="exact"/>
        <w:rPr>
          <w:rFonts w:ascii="Arial" w:cs="Arial" w:eastAsia="Arial" w:hAnsi="Arial"/>
          <w:sz w:val="17"/>
          <w:szCs w:val="17"/>
          <w:color w:val="auto"/>
        </w:rPr>
      </w:pPr>
    </w:p>
    <w:p>
      <w:pPr>
        <w:ind w:left="660" w:right="8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Transform gene therapy by enabling repeated administration of systemically-administered AAV gene therapy vectors. </w:t>
      </w:r>
      <w:r>
        <w:rPr>
          <w:rFonts w:ascii="Arial" w:cs="Arial" w:eastAsia="Arial" w:hAnsi="Arial"/>
          <w:sz w:val="17"/>
          <w:szCs w:val="17"/>
          <w:color w:val="auto"/>
        </w:rPr>
        <w:t>One of the key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challenges for the gene therapy field is the inability to administer more than one dose of AAV systemically due to the formation of neutralizing anti-AAV antibodies. We believe redosing has the potential to enable dose titration of gene therapy to achieve therapeutic expression of the transgene, to restore therapeutic expression in pediatric patients that have lost expression of the transgene due to target organ growth. A 2018 publication in Nature Communications provided peer-reviewed preclinical data supporting ImmTOR’s potential to mitigate the formation of neutralizing anti-AAV antibodies and enable productive AAV vector redosing in mice and nonhuman primates. In August 2019, we entered into a feasibility study and license agreement with AskBio, or the AskBio Collaboration Agreement, pursuant to which we and AskBio will conduct proof of concept studies to potentially validate the use of our ImmTOR platform in conjunction with an AAV gene therapy to mitigate the formation of neutralizing anti-AAV capsid antibodies, which currently precludes redosing.</w:t>
      </w:r>
    </w:p>
    <w:p>
      <w:pPr>
        <w:spacing w:after="0" w:line="18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ImmTOR to develop additional novel uses and classes of non-immunogenic biologics. </w:t>
      </w:r>
      <w:r>
        <w:rPr>
          <w:rFonts w:ascii="Arial" w:cs="Arial" w:eastAsia="Arial" w:hAnsi="Arial"/>
          <w:sz w:val="18"/>
          <w:szCs w:val="18"/>
          <w:color w:val="auto"/>
        </w:rPr>
        <w:t>We intend to use our ImmTOR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a range of proprietary, non-immunogenic biologic therapeutic candidates. In each case, ImmTOR would be evaluated for its potential to mitigate undesired immune response to the biologic therapy with the goal of improving efficacy and/or safety. Our strategy is to develop proprietary treatments for rare and serious diseases by combining ImmTOR with biologics that have been in-licensed or provided through research collaborations.</w:t>
      </w:r>
    </w:p>
    <w:p>
      <w:pPr>
        <w:spacing w:after="0" w:line="187"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infrastructure and capabilities to develop and commercialize our products in rare and orphan diseases. </w:t>
      </w:r>
      <w:r>
        <w:rPr>
          <w:rFonts w:ascii="Arial" w:cs="Arial" w:eastAsia="Arial" w:hAnsi="Arial"/>
          <w:sz w:val="17"/>
          <w:szCs w:val="17"/>
          <w:color w:val="auto"/>
        </w:rPr>
        <w:t>While we believe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ImmTOR platform may be broadly applicable across disease areas, we intend to focus our proprietary efforts on developing and commercializing proprietary ImmTOR-enabled products for rare and serious diseases where there is high unmet medical need. Therapies for treating these diseases require focused commercial efforts and coordination with patient groups and investigators.</w:t>
      </w:r>
    </w:p>
    <w:p>
      <w:pPr>
        <w:spacing w:after="0" w:line="171"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Selectively pursue licensing opportunities and maximize the value of our ImmTOR programs for immune tolerance. </w:t>
      </w:r>
      <w:r>
        <w:rPr>
          <w:rFonts w:ascii="Arial" w:cs="Arial" w:eastAsia="Arial" w:hAnsi="Arial"/>
          <w:sz w:val="18"/>
          <w:szCs w:val="18"/>
          <w:color w:val="auto"/>
        </w:rPr>
        <w:t>In addition to our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development efforts and those on which we are collaborating, we are in discussions with potential licensees to pursue novel therapies that would utilize our ImmTOR platform. For example,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665" w:right="359" w:bottom="1440" w:gutter="0" w:footer="0" w:header="0"/>
        </w:sectPr>
      </w:pPr>
    </w:p>
    <w:bookmarkStart w:id="6" w:name="page7"/>
    <w:bookmarkEnd w:id="6"/>
    <w:p>
      <w:pPr>
        <w:jc w:val="both"/>
        <w:ind w:left="660" w:right="260"/>
        <w:spacing w:after="0" w:line="263" w:lineRule="auto"/>
        <w:rPr>
          <w:sz w:val="20"/>
          <w:szCs w:val="20"/>
          <w:color w:val="auto"/>
        </w:rPr>
      </w:pPr>
      <w:r>
        <w:rPr>
          <w:rFonts w:ascii="Arial" w:cs="Arial" w:eastAsia="Arial" w:hAnsi="Arial"/>
          <w:sz w:val="18"/>
          <w:szCs w:val="18"/>
          <w:color w:val="auto"/>
        </w:rPr>
        <w:t>in December 2016, we entered into the Spark License Agreement to develop gene therapies for certain targets utilizing our ImmTOR platform. Additionally, in December 2019, we entered into the AskBio License Agreement to develop a gene therapy product for the treatment of Pompe Disease utilizing our ImmTOR platform.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HUMAN IMMUNE SYSTEM</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121920</wp:posOffset>
            </wp:positionV>
            <wp:extent cx="4046220" cy="2520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4622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 Antigen Presentation and Related Tolerogenic or Stimulatory Immune Response</w:t>
      </w:r>
    </w:p>
    <w:p>
      <w:pPr>
        <w:spacing w:after="0" w:line="2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There are a number of adverse outcomes that can occur when the immune system mounts an undesired response to an innocuous foreign antigen or a self-antigen. For example, food allergy occurs when the immune system mounts an immune response to innocuous food antigens. Another example of undesired immunogenicity occurs when the immune system is exposed to a biologic treatment, recognizes it as a foreign antigen and instructs the body to mount a defense by forming ADAs to the biologic,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PLATFORM</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ImmTOR platform is based in part on the pioneering research performed by our co-founders at Harvard University, Massachusetts Institute of Technology, or MIT, and Brigham and Women’s Hospital, or Brigham. In connection with our company’s founding, we licensed multiple patent families related to aspects of our ImmTOR platform pursuant to an agreement</w:t>
      </w:r>
    </w:p>
    <w:p>
      <w:pPr>
        <w:sectPr>
          <w:pgSz w:w="11900" w:h="16838" w:orient="portrait"/>
          <w:cols w:equalWidth="0" w:num="1">
            <w:col w:w="11220"/>
          </w:cols>
          <w:pgMar w:left="320" w:top="665" w:right="35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665" w:right="359" w:bottom="1440" w:gutter="0" w:footer="0" w:header="0"/>
          <w:type w:val="continuous"/>
        </w:sectPr>
      </w:pPr>
    </w:p>
    <w:bookmarkStart w:id="7" w:name="page8"/>
    <w:bookmarkEnd w:id="7"/>
    <w:p>
      <w:pPr>
        <w:ind w:right="140"/>
        <w:spacing w:after="0" w:line="259" w:lineRule="auto"/>
        <w:rPr>
          <w:sz w:val="20"/>
          <w:szCs w:val="20"/>
          <w:color w:val="auto"/>
        </w:rPr>
      </w:pPr>
      <w:r>
        <w:rPr>
          <w:rFonts w:ascii="Arial" w:cs="Arial" w:eastAsia="Arial" w:hAnsi="Arial"/>
          <w:sz w:val="18"/>
          <w:szCs w:val="18"/>
          <w:color w:val="auto"/>
        </w:rPr>
        <w:t>with MIT. We believe one of the key insights from this research is that nanoparticles are uniquely suited to deliver precise instructions to the immune system as a result of the natural predisposition of the immune system to interrogate nanoparticles, such as viruses. We have aggressively sought to extend and protect the proprietary intellectual property underlying the composition and use of ImmTOR for antigen-specific immunotolerance. For more information, see "Intellectual Property"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developing our ImmTOR platform for:</w:t>
      </w:r>
    </w:p>
    <w:p>
      <w:pPr>
        <w:spacing w:after="0" w:line="2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combination with a uricase enzyme for the treatment of chronic refractory gout;</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combination with gene therapies for the treatment of rare diseases;</w:t>
      </w:r>
    </w:p>
    <w:p>
      <w:pPr>
        <w:spacing w:after="0" w:line="26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application with other marketed products, product candidates in development and novel biologic drugs that would otherwise be too immunogenic to develop</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nanoparticles are designed to remain intact after injection into the body and accumulate selectively in lymphoid organs, which include lymph nodes and the spleen, where the immune response is coordinated. The nanoparticles are designed to be processed by specialized immune cells, such as dendritic cells and other antigen-presenting cells that initiate and regulate immune responses, where they deliver the immunomodulator in a coordinated and targeted manner. Depending on the type of immunomodulator encapsulated in the nanoparticles, our technology can be used to induce a tolerogenic response to mitigate the formation of ADAs against a biologic drug or to treat allergies and autoimmune diseases.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ANTIGEN-SPECIFIC IMMUNE TOLERANCE PROGRAM</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antigen-specific tolerance programs utilize ImmTOR, our biodegradable nanoparticle encapsulating the immunomodulator rapamycin. Rapamycin is a small molecule approved for the prevention of organ rejection in kidney transplant patients. To mitigate the formation of ADAs and induce immune tolerance in the body, we co-administer our ImmTOR with a free antigen, such as a biologic drug, which is depicted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103505</wp:posOffset>
            </wp:positionV>
            <wp:extent cx="5597525" cy="1834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9752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 Co-Administration of ImmTOR with a Biologic Drug</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ImmTOR is designed to be co-administered (prior to the biologic drug) at the beginning of therapy with a biologic drug to mitigate the formation of ADAs without requiring the alteration of the drug or its dose regimen. As a result, we believe our ImmTOR may provide us with significant opportunities in the areas of immune tolerance and ADA prevention because ImmTOR is designed to be co-administered at the beginning of therapy with many different biologic drugs. Importantly, we believe each pairing of ImmTOR with a biologic drug also offers us the opportunity to pursue a distinct proprietary product candidate, which we believe has the potential to be separately patented, approved and marketed. ImmTOR is manufactured in facilities subject to current good manufacturing practice, or cGMP, requirements using well-defined commercial operations, which, we believe, further enhances the scalability of our tolerance programs.</w:t>
      </w:r>
    </w:p>
    <w:p>
      <w:pPr>
        <w:spacing w:after="0" w:line="19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 xml:space="preserve">During preclinical studies, we observed that delivering an antigen together with ImmTOR provided the appropriate signals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induce regulatory T cells, which, in turn, inhibited effector immune responses, such as the formation of ADAs. In our preclinical studies, we observed that ImmTOR labeled with a fluorescent dye selectively accumulated in lymphoid organs where it was processed by antigen-presenting cells. Figure 3 below depicts a model of how ImmTOR would be taken up by a dendritic cell in the spleen. We believe that when delivered in the context of our ImmTOR, both the biologic drug and ImmTOR are taken up and processed by dendritic cells in a manner that may induce regulatory T cells, which can potentially block the activation of helper T cells, mitigating the formation of ADAs.</w:t>
      </w:r>
    </w:p>
    <w:p>
      <w:pPr>
        <w:sectPr>
          <w:pgSz w:w="11900" w:h="16838" w:orient="portrait"/>
          <w:cols w:equalWidth="0" w:num="1">
            <w:col w:w="11200"/>
          </w:cols>
          <w:pgMar w:left="320" w:top="665" w:right="379" w:bottom="1440" w:gutter="0" w:footer="0" w:header="0"/>
        </w:sect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00"/>
          </w:cols>
          <w:pgMar w:left="320" w:top="665" w:right="37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1562735</wp:posOffset>
            </wp:positionH>
            <wp:positionV relativeFrom="page">
              <wp:posOffset>431800</wp:posOffset>
            </wp:positionV>
            <wp:extent cx="4431665" cy="2880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43166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 ImmTOR and Antigen/Biologic Drug Presentation and Related Immune Tolerance Induction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therapies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All biologics, even those comprised of human protein sequences, have the potential to induce ADAs. Whether a biologic drug elicits an ADA response depends on both product-specific factors, such as propensity to form aggregates, the route of administration and mechanism of action, as well as patient-specific factors, such as genetics, underlying disease and medications. For instance, many enzyme and protein replacement therapies used in the treatment of rare and serious diseases have a particularly high rate of immunogenicity because patients are genetically deficient in the target protein and, as a result, the therapeutic protein can be recognized as foreign by the patient’s immune system.</w:t>
      </w:r>
    </w:p>
    <w:p>
      <w:pPr>
        <w:spacing w:after="0" w:line="1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formation of ADAs can lead to neutralization of efficacy, modification of pharmacokinetics and pharmacodynamics as well as allergic responses. Immunogenicity remains a significant hurdle for the development of safe and effective biologic treatments and has become a key concern for regulators, as evidenced by over 100 approved biologics that describe immunogenicity in their labels or clinical literature. According to product package inserts, approximately 50 currently marketed biologics report an incidence of ADAs affecting over 20% of patients. Among these biologics are Factor VIII products, such as Advate</w:t>
      </w:r>
      <w:r>
        <w:rPr>
          <w:rFonts w:ascii="Arial" w:cs="Arial" w:eastAsia="Arial" w:hAnsi="Arial"/>
          <w:sz w:val="12"/>
          <w:szCs w:val="12"/>
          <w:color w:val="auto"/>
        </w:rPr>
        <w:t>®</w:t>
      </w:r>
      <w:r>
        <w:rPr>
          <w:rFonts w:ascii="Arial" w:cs="Arial" w:eastAsia="Arial" w:hAnsi="Arial"/>
          <w:sz w:val="16"/>
          <w:szCs w:val="16"/>
          <w:color w:val="auto"/>
        </w:rPr>
        <w:t xml:space="preserve"> (antihemophilic factor) for the treatment of hemophilia A and antibody therapeutics with fully human sequences, such as Humira</w:t>
      </w:r>
      <w:r>
        <w:rPr>
          <w:rFonts w:ascii="Arial" w:cs="Arial" w:eastAsia="Arial" w:hAnsi="Arial"/>
          <w:sz w:val="12"/>
          <w:szCs w:val="12"/>
          <w:color w:val="auto"/>
        </w:rPr>
        <w:t>®</w:t>
      </w:r>
      <w:r>
        <w:rPr>
          <w:rFonts w:ascii="Arial" w:cs="Arial" w:eastAsia="Arial" w:hAnsi="Arial"/>
          <w:sz w:val="16"/>
          <w:szCs w:val="16"/>
          <w:color w:val="auto"/>
        </w:rPr>
        <w:t xml:space="preserve"> (adalimumab). We believe that immunogenicity also is a leading cause of product development failure for biopharmaceutical companies and that this issue is hampering the development of novel platform technologies, such as gene therapy and gene editing.</w:t>
      </w:r>
    </w:p>
    <w:p>
      <w:pPr>
        <w:spacing w:after="0" w:line="16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Undesired immunogenicity represents a significant hurdle that can hamper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Treatment and product development failure resulting from undesired immunogenicity has been recognized by regulators and patient advocacy organizations. In June 2014,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Currently, we believe there are no comprehensive solutions to the complications of immunogenicity. Drug developers often stop the development of biologics that show an undesired immune response during preclinical and/or clinical development. In some cases, biopharmaceutical companies may attempt to reduce undesired immune responses by re-engineering the biologic through protein pegylation, removal or modification of immunogenic epitopes, or other mechanisms. However, these approaches are limited in their effectiveness. Physicians may try to address the issue of undesired immune responses by increasing the dose of the biologic, which can be prohibitively expensive and may present greater safety concerns, or in life-threatening situations, by using global immunosuppressive combination therapies. We believe that our tolerogenic ImmTOR platform could offer an</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40" w:right="39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entirely new and effective treatment alternative for undesired immune responses, including with respect to the formation of ADAs, but potentially also for autoimmune diseases and allergies.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PROGRAMS DESIGNED TO INDUCE ANTIGEN-SPECIFIC IMMUNE TOLERANCE</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believe our ImmTOR platform designed to induce antigen-specific immune tolerance has a broad range of potential applications. We are currently pursuing targeted product development strategies for multiple applications in which we believe ImmTOR products could be highly differentiated.</w:t>
      </w:r>
    </w:p>
    <w:p>
      <w:pPr>
        <w:spacing w:after="0" w:line="124" w:lineRule="exact"/>
        <w:rPr>
          <w:sz w:val="20"/>
          <w:szCs w:val="20"/>
          <w:color w:val="auto"/>
        </w:rPr>
      </w:pPr>
    </w:p>
    <w:p>
      <w:pPr>
        <w:ind w:left="660" w:right="140" w:hanging="328"/>
        <w:spacing w:after="0" w:line="29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Therapeutic enzymes</w:t>
      </w:r>
      <w:r>
        <w:rPr>
          <w:rFonts w:ascii="Arial" w:cs="Arial" w:eastAsia="Arial" w:hAnsi="Arial"/>
          <w:sz w:val="16"/>
          <w:szCs w:val="16"/>
          <w:color w:val="auto"/>
        </w:rPr>
        <w:t>. Therapeutic enzymes are a frequently used class of biologic drugs to treat rare diseases. Through our analysis of biologic</w:t>
      </w:r>
      <w:r>
        <w:rPr>
          <w:rFonts w:ascii="Arial" w:cs="Arial" w:eastAsia="Arial" w:hAnsi="Arial"/>
          <w:sz w:val="16"/>
          <w:szCs w:val="16"/>
          <w:i w:val="1"/>
          <w:iCs w:val="1"/>
          <w:color w:val="auto"/>
        </w:rPr>
        <w:t xml:space="preserve"> </w:t>
      </w:r>
      <w:r>
        <w:rPr>
          <w:rFonts w:ascii="Arial" w:cs="Arial" w:eastAsia="Arial" w:hAnsi="Arial"/>
          <w:sz w:val="16"/>
          <w:szCs w:val="16"/>
          <w:color w:val="auto"/>
        </w:rPr>
        <w:t>drugs, including our preclinical studies, we have observed that enzymes are especially prone to undesired immune responses. Our lead product candidate, SEL-212, includes pegadricase, a pegylated uricase enzyme, which is an example of an immunogenic enzyme for which we are applying ImmTOR with the intention of improving the enzyme’s efficacy and safety. We intend to seek opportunities to secure supply of and, if appropriate, licenses to these or other enzymes that we would evaluate in combination with ImmTOR.</w:t>
      </w:r>
    </w:p>
    <w:p>
      <w:pPr>
        <w:spacing w:after="0" w:line="161" w:lineRule="exact"/>
        <w:rPr>
          <w:rFonts w:ascii="Arial" w:cs="Arial" w:eastAsia="Arial" w:hAnsi="Arial"/>
          <w:sz w:val="16"/>
          <w:szCs w:val="16"/>
          <w:color w:val="auto"/>
        </w:rPr>
      </w:pPr>
    </w:p>
    <w:p>
      <w:pPr>
        <w:ind w:left="660" w:hanging="328"/>
        <w:spacing w:after="0" w:line="28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Gene therapies</w:t>
      </w:r>
      <w:r>
        <w:rPr>
          <w:rFonts w:ascii="Arial" w:cs="Arial" w:eastAsia="Arial" w:hAnsi="Arial"/>
          <w:sz w:val="16"/>
          <w:szCs w:val="16"/>
          <w:color w:val="auto"/>
        </w:rPr>
        <w:t>. We believe gene therapies have the potential to address key unmet medical needs for many rare genetic diseases, but undesired</w:t>
      </w:r>
      <w:r>
        <w:rPr>
          <w:rFonts w:ascii="Arial" w:cs="Arial" w:eastAsia="Arial" w:hAnsi="Arial"/>
          <w:sz w:val="16"/>
          <w:szCs w:val="16"/>
          <w:i w:val="1"/>
          <w:iCs w:val="1"/>
          <w:color w:val="auto"/>
        </w:rPr>
        <w:t xml:space="preserve"> </w:t>
      </w:r>
      <w:r>
        <w:rPr>
          <w:rFonts w:ascii="Arial" w:cs="Arial" w:eastAsia="Arial" w:hAnsi="Arial"/>
          <w:sz w:val="16"/>
          <w:szCs w:val="16"/>
          <w:color w:val="auto"/>
        </w:rPr>
        <w:t>immune responses to the viral vectors used for gene replacement, augmentation and editing may be restricting their broader use. Through our analysis of genetic diseases, we have identified applications and patient segments that we believe would benefit from our ImmTOR platform. We intend to develop ImmTOR -enabled non-immunogenic gene therapy candidates which are designed to be utilized with AAV vectors (e.g., AAV8, AAV5). We believe our product candidates have the potential to mitigate the problem of pre-existing immunogenicity to the gene therapy vector and to prevent undesired immune responses to the vector and transgene that can occur with the first dose of gene therapy by using our ImmTOR platform. Our initial area of focus is on genetic metabolic diseases, but may also include lysosomal storage diseases and genetic muscular diseases. We believe we are the first company to systematically pursue the development of gene therapy product candidates with the goal of enabling repeat administration. We have engaged third parties with experience in gene therapy and rare diseases to support the development of our proprietary products. We also have licensed our ImmTOR platform to Spark Therapeutics and AskBio for the development of gene therapies for certain pre-specified targets. For more information, see "Licenses and Collaborations - Spark Therapeutics" and “Licenses and Collaborations - AskBio.”</w:t>
      </w:r>
    </w:p>
    <w:p>
      <w:pPr>
        <w:spacing w:after="0" w:line="171"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Other products and product candidates affected by undesired immune responses</w:t>
      </w:r>
      <w:r>
        <w:rPr>
          <w:rFonts w:ascii="Arial" w:cs="Arial" w:eastAsia="Arial" w:hAnsi="Arial"/>
          <w:sz w:val="18"/>
          <w:szCs w:val="18"/>
          <w:color w:val="auto"/>
        </w:rPr>
        <w:t>. We have generated preclinical data which we believe suggests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potential benefit of ImmTOR for immune tolerance. For many biologic drugs, undesired immune responses limit efficacy and cause safety concerns. We intend to strategically out-license ImmTOR platform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for the treatment of chronic refractory gout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SEL-212 is our proprietary product candidate under development for the treatment of chronic refractory gout. SEL-212 consists of ImmTOR co-administered with pegadricase, a pegylated uricase. We believe that our SEL-212 has the potential, if successfully developed and approved, to offer a uniquely effective treatment for patients with chronic refractory gout, while also providing evidence regarding the utility of our ImmTOR platform platform. Pegylated uricase, in the form of the approved drug KRYSTEXXA, has demonstrated the ability to significantly reduce uric acid levels and dissolve the harmful uric acid crystals that are the manifestations of gout upon initial treatment in patients. However, we believe broad commercial adoption has not been achieved primarily due to undesired immune responses. Based on the data received from our preclinical, Phase 1, Phase 2 dose-finding clinical studies, and certain data disclosed from the ongoing Phase 2 head-to-head (COMPARE) clinical study, we believe that by leveraging our ImmTOR platform to mitigate the formation of ADAs following the dosing of our pegylated uricase, pegadricase, SEL-212, if successfully developed and approved, could enable the removal of uric acid crystals.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gout therapy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and/or an inability of the kidneys to excrete</w:t>
      </w:r>
    </w:p>
    <w:p>
      <w:pPr>
        <w:sectPr>
          <w:pgSz w:w="11900" w:h="16838" w:orient="portrait"/>
          <w:cols w:equalWidth="0" w:num="1">
            <w:col w:w="11240"/>
          </w:cols>
          <w:pgMar w:left="320" w:top="665" w:right="3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665" w:right="339" w:bottom="1440" w:gutter="0" w:footer="0" w:header="0"/>
          <w:type w:val="continuous"/>
        </w:sectPr>
      </w:pPr>
    </w:p>
    <w:bookmarkStart w:id="10" w:name="page11"/>
    <w:bookmarkEnd w:id="10"/>
    <w:p>
      <w:pPr>
        <w:ind w:right="280"/>
        <w:spacing w:after="0" w:line="342" w:lineRule="auto"/>
        <w:rPr>
          <w:sz w:val="20"/>
          <w:szCs w:val="20"/>
          <w:color w:val="auto"/>
        </w:rPr>
      </w:pPr>
      <w:r>
        <w:rPr>
          <w:rFonts w:ascii="Arial" w:cs="Arial" w:eastAsia="Arial" w:hAnsi="Arial"/>
          <w:sz w:val="16"/>
          <w:szCs w:val="16"/>
          <w:color w:val="auto"/>
        </w:rPr>
        <w:t>adequate amounts of uric acid from the body. High concentrations of serum uric acid lead to formation of uric acid crystals in joints and tissues, causing pain, inflammation and joint damage, and increase the risk for other conditions, including cardiovascular, cardiometabolic, joint and kidney disease.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approximately 8.3 million and 10.0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these oral treatments are designed to prevent the formation of uric acid deposits, they are not well suited to reduce existing uric acid deposits in joints and tissues.</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Gout is a spectrum of disease that is typically diagnosed through the measurement of uric acid levels in the blood and/or the identification of uric acid crystals from a visible tophus. High concentrations of serum uric acid increase the risk of co-morbidities, including cardiovascular, cardiometabolic, joint and kidney disease. Patients who are unable to reduce their SUA levels below 6.0 mg/dL with oral drugs are diagnosed with refractory gout. Patients who have uric acid deposits, or tophi, in soft tissues, joints, the urinary tract, the digestive tract or the heart and a persistently elevated uric acid level when left untreated are diagnosed with chronic refractory gout. Tophi are a source of inflammation and pain. Chronic refractory gout constitutes a subset of gout patients exhibiting chronic high serum uric acid levels and painful and damaging uric acid deposits. In total, we estimate that there are approximately 160,000 chronic refractory gout patients in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Figure 4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426085</wp:posOffset>
            </wp:positionV>
            <wp:extent cx="3909060" cy="252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90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4. Co-Morbidities Associated with Gout</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our preclinical studies, clinical data from our Phase 1b, Phase 2 dose-finding, ongoing Phase 2 head-to-head (COMPARE) clinical studies, and market research, we believe that SEL-212 may potentially address several key unmet needs in the treatment of chronic refractory gout: the durable control of serum uric acid levels, the elimination of painful and damaging uric acid deposits, reduction in incidence and severity of flares, and once-monthly dosing.</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product development strategy is designed to address these unmet medical needs while improving the dosing regimen to a once-monthly treatment. We completed enrollment for our Phase 2 head-to-head (COMPARE) clinical study against KRYSTEXXA, which is intended to evaluate the differences between KRYSTEXXA and SEL-212 with respect to SUA control, flare rates and dosing convenience, in December 2019. We expect to report top-line data from the COMPARE trial in the third quarter of 2020. In the first quarter of 2020, we received feedback from the FDA on our planned Phase 3 clinical program for SEL-212, which will consist of two placebo-controlled trials, each with a six month primary endpoint, one of which will have a six-month placebo-controlled extension. We plan to commence the Phase 3 clinical program in SEL-212 in the second half of 2020, following which, if successful, we plan to seek regulatory approval for the treatment of refractory gout based on an endpoint of reduction of SUA levels below 6.0 mg/dL for 80% of the time during month six. We intend for the Phase 3 protocols to include patients with chronic refractory gout. During our market research, physicians expressed their preference for a product that could be dosed monthly. If approved, we plan to position SEL-212 as a debulking therapy for gout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65" w:right="339" w:bottom="144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that has the potential to remove harmful uric acid deposits over a limited number of once-monthly doses and subsequently allow patients to switch to oral gout maintenance therapy unless and until such patients experience a subsequent manifestation of uric acid deposits. We do not believe that oral therapy would completely prevent the build-up over time of uric acid crystals in patients with a history of chronic refractory gout and, as a result, we anticipate that treatment with SEL-212, if approved, would be required intermittently in such patients. We believe that SEL-212, if approved, may be effective in removing harmful uric acid deposits in most patients with chronic refractory gout over multiple courses of treatment in their lifetimes. Figure 5 below depicts this positioning strategy as a sample diagram illustrating what we believe to be a shift in the treatment paradigm for chronic refractory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113665</wp:posOffset>
            </wp:positionV>
            <wp:extent cx="5863590" cy="268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5. Sample Treatment Course for Chronic Refractory Gout.</w:t>
      </w:r>
    </w:p>
    <w:p>
      <w:pPr>
        <w:spacing w:after="0" w:line="2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expect our clinical and marketing strategy for SEL-212 to initially focus on the estimated 160,000 patients in the United States with chronic refractory gout, and to focus on those who are being treated by rheumatologists. If SEL-212 is approved, we expect our strategy for marketing SEL-212 to rheumatologists will be to promote a switch from oral therapies to SEL-212 for patients with SUA levels chronically above 6.0 mg/dL or those diagnosed with chronic refractory gout. Some rheumatologists have begun to utilize imaging technologies recommended by the guideline writing associations for rheumatology, including the American College of Rheumatology and the European League Against Rheumatism. In particular, DECT, can enable the visualization and quantification of uric acid deposits in joints and in tissues as depicted in Figure 6 below. Figure 6 below depicts a patient, using DECT imaging, with heavy urate burden at onset of study and almost a complete resolution of this after five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121920</wp:posOffset>
            </wp:positionV>
            <wp:extent cx="5863590" cy="141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6. Tophi / Uric Acid Deposits (shown in green) Visualized Using Dual Energy Computed Tomography Imaging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SEL-212 components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SEL-212 consists of ImmTOR co-administered with pegadricase. Our ImmTOR consists of nanoparticles composed of poly(D,L-lactide), or PLA, and poly(D,L-lactide)-block-poly(ethylene-glycol), or PLA-PEG, encapsulating rapamycin. Our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66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pegadricase consists of a uricase modified with poly(ethylene-glycol), or PEG. The components of SEL-212 are depicted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7. Components of SEL-212</w:t>
      </w:r>
    </w:p>
    <w:p>
      <w:pPr>
        <w:spacing w:after="0" w:line="2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pegadricase is a pegylated version of the therapeutic enzyme uricase, which we have licensed from Shenyang Sunshine Pharmaceutical Co., Ltd., or 3SBio, exclusively for all markets, except Japan and Greater China, and exclusively for Japan only in combination with our ImmTOR platform.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ImmTOR is our biodegradable nanoparticle that encapsulates rapamycin, also referred to as sirolimus. Rapamycin is the active ingredient of Rapamune, an immunosuppressant which has extensive prior use in humans and is currently FDA-approved as a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ImmTOR co-administered at the initiation of treatment with a biologic drug substantially reduced the formation of associated ADAs and induced antigen-specific immune tolerance to the biologic drug.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chronic refractory gout, we are executing a clinical development program that seeks to evaluate SEL-212’s ability to durably reduce SUA levels below 6.0 mg/dL. The saturation point of uric acid, or the maximum level at which uric acid will remain soluble in plasma, is 6.8 mg/dL. When uric acid rises above 6.8 mg/dL, uric acid microcrystals begin to form and settle in joints and other tissues, creating an inflammatory response that is diagnosed as gout. This inflammatory response is the source of highly debilitating gout flares experienced by patients. When serum uric acid levels drop below the level of 6.0 mg/dL, microcrystals will begin to dissolve and, over time, gout symptoms will resolve. Therefore, a serum uric acid level of less than 6.0 mg/dL is defined as the target for uric acid-lowering treatments by organizations such as the American College of Rheumatology and the European League Against Rheumatism. The FDA and EMA have also considered the maintenance of serum uric acid levels below 6.0 mg/dL to be an acceptable primary endpoint in clinical trials for urate lowering therapies. Available oral gout therapies are designed to prevent the formation of uric acid microcrystals but are not effective in rapidly removing existing crystalized deposits. In severe gout patients who have significant deposits of uric acid crystals, known as tophi, it is of clinical benefit to significantly reduce serum uric acid levels (i.e. below 0.1 mg/dL) for a period of time in order to rapidly dissolve the uric acid crystals.</w:t>
      </w:r>
    </w:p>
    <w:p>
      <w:pPr>
        <w:spacing w:after="0" w:line="16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As of March 8, 2020, we had dosed approximately 300 patients in multiple clinical studies in patients with gout or elevated levels of serum uric acid. We initiated our clinical program in the U.S. in the second quarter of 2015 with a multicenter Phase 1a trial of pegadricase in patients with serum uric acid levels greater than 6.0 mg/dL. We completed the patient treatment portion of our Phase 1a trial in November 2015, initiated a Phase 1b trial in December 2015 and reported data from both Phase 1 clinical trials in December 2016. In our Phase 1b trial, we demonstrated that a single dose of SEL-212 was capable of lowering serum uric acid levels below 0.1 mg/dL for at least 30 days, at therapeutic doses which is correlated with the inhibition of uricase-specific ADAs. We initiated patient recruitment in an open label multi-dose Phase 2 clinical trial of SEL-212 in patients with symptomatic gout and elevated uric acid levels in October 2016. This study was conducted at multiple clinical sites in the U.S. In May 2019, we initiated patient recruitment for our Phase 2 head-to-head (COMPARE) clinical study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665" w:right="359" w:bottom="1440" w:gutter="0" w:footer="0" w:header="0"/>
        </w:sectPr>
      </w:pPr>
    </w:p>
    <w:bookmarkStart w:id="13" w:name="page14"/>
    <w:bookmarkEnd w:id="13"/>
    <w:p>
      <w:pPr>
        <w:ind w:right="80"/>
        <w:spacing w:after="0" w:line="279" w:lineRule="auto"/>
        <w:rPr>
          <w:sz w:val="20"/>
          <w:szCs w:val="20"/>
          <w:color w:val="auto"/>
        </w:rPr>
      </w:pPr>
      <w:r>
        <w:rPr>
          <w:rFonts w:ascii="Arial" w:cs="Arial" w:eastAsia="Arial" w:hAnsi="Arial"/>
          <w:sz w:val="17"/>
          <w:szCs w:val="17"/>
          <w:color w:val="auto"/>
        </w:rPr>
        <w:t>against KRYSTEXXA, which is intended to evaluate the differences between KRYSTEXXA and SEL-212 with respect to SUA control. We have completed our initial end-of-Phase 2 meeting with the FDA and believe we have established a path forward for potential BLA submission. Additionally, in the first quarter of 2020, we received feedback from the FDA on our planned Phase 3 clinical program for SEL-212, which will consist of two placebo-controlled trials, each with a six month primary endpoint, one of which will have a six-month placebo-controlled extension.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Phase 2 dose-finding, and Phase 2 head-to-head (COMPARE) clinical trials</w:t>
      </w:r>
    </w:p>
    <w:p>
      <w:pPr>
        <w:spacing w:after="0" w:line="22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SEL-212 was evaluated in a Phase 1 and Phase 2 dose-finding clinical program that included a Phase 1a and Phase 1b clinical trial in patients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included identifying a pegadricase dose that was capable of lowering serum uric acid levels over a period of one month, evaluating the immunogenicity of pegadricase after a single dose and demonstrating that ImmTOR co-administered with pegadricase reduced uric acid levels and mitigated the formation of uricase-specific ADAs. The Phase 2 clinical trial evaluated the effect of multiple doses over an extended period of time on serum uric acid and the formation of ADAs in patients. We commenced patient recruitment in the multiple ascending dose Phase 2 clinical trial in October 2016 and received final data from this trial in December 2018. We completed enrollment of our Phase 2 head-to-head (COMPARE) clinical study against KRYSTEXXA in December 2019 and expect to report top-line data in the third quarter of 2020. The two-armed, open label trial has enrolled approximately 150 patients, randomized 1:1, with one arm receiving KRYSTEXXA (as set forth in the prescribing information) and the other arm receiving six monthly doses of SEL-</w:t>
      </w:r>
    </w:p>
    <w:p>
      <w:pPr>
        <w:spacing w:after="0" w:line="5" w:lineRule="exact"/>
        <w:rPr>
          <w:sz w:val="20"/>
          <w:szCs w:val="20"/>
          <w:color w:val="auto"/>
        </w:rPr>
      </w:pPr>
    </w:p>
    <w:p>
      <w:pPr>
        <w:ind w:right="180" w:firstLine="8"/>
        <w:spacing w:after="0" w:line="255"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primary endpoint in the study is the percentage of patients in each arm that maintain SUA control below 6.0 mg/dL, for at least 80% of the time during months three and six. We plan to commence the Phase 3 clinical program in SEL-212 in the second half of 2020. We will require additional resources to complete the planned Phase 3 clinical program for SEL-212.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trial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Phase 1a clinical trial for SEL-212 was conducted at multiple sites in the United States and was a single ascending dose trial of pegadricase alone in 22 patients with elevated serum uric acid levels greater than 6.0 mg/dL. At the outset of the trial, each of five cohorts received a single intravenous infusion of pegadricase at ascending dose levels. We monitored the patients during a 30-day period post-infusion. We commenced enrollment of the clinical trial in the second quarter of 2015 and completed the treatment portion of the trial in November 2015. We observed that pegadricase showed no serious adverse events, or SAEs, and was well tolerated at the five dose levels tested. Additionally, we observed that pegadricase rapidly reduced and sustained average serum uric acid levels below 6.0 mg/dL for each cohort for 14 to 30 days, depending on the dose level. Consistent with our preclinical studies in animals, pegadricase induced uricase-specific ADAs in all patients with varying levels in this Phase 1a trial.</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Figure 8 below indicates the serum uric acid and uricase-specific ADA levels for each patient in Cohort #3 of the Phase 1a clinical trial, which received a single dose of 0.4 mg/kg of pegadricase. The serum uric acid levels were measured at baseline and days seven, 14, 21 and 30 and uricase-specific ADA levels at baseline and days seven, 14 and 30 following the single intravenous injection of pegadricase. We did not measure uricase-specific ADA levels at day 21 in the Phase 1a clinical trial. Patient number two in this cohort developed a relatively low level uricase-specific ADA titer of 40 and maintained uric acid levels below 0.5 mg/dL through the thirtieth day after dosing. By contrast, the remaining four patients in the cohort developed levels of uricase-specific ADAs greater than 1,000 titer and uric acid levels above 5 mg/dL by the thirtieth day after dosing. Based on the results from our Phase 1a clinical trial, we observed that pegadricase at the 0.4 mg/kg dose is capable of achieving and maintaining a reduction of serum uric acid below the target of 6.0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396875</wp:posOffset>
            </wp:positionV>
            <wp:extent cx="5074920" cy="1628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7492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8. Phase 1a Clinical Trial: Serum Uric Acid and Uricase-Specific ADA Levels of the Third Cohort</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665" w:right="35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Based on our analysis of the Phase 1a clinical trial data, we selected the pegadricase dose of 0.4 mg/kg from Cohort #3 of the Phase 1a clinical trial for further study in the Phase 1b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trial</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December 2015, we initiated our Phase 1b clinical trial at multiple sites in the United States. The clinical trial enrolled 63 patients with serum uric acid levels greater than 6.0 mg/dL. One group of five patients received a single 0.4 mg/kg dose of pegadricase alone, which we refer to as the Pegadricase Cohort. Four groups of patients, each containing two placebo-control patients and five test article patients, received a placebo or a single intravenous infusion of ImmTOR alone at the following ascending dose levels: 0.03 mg/kg, 0.1 mg/kg, 0.3 mg/kg and 0.5 mg/kg, which we refer to collectively as the ImmTOR Cohorts. Four groups of patients received a single intravenous infusion of ImmTOR at ascending dose levels of 0.03 mg/kg (5 patients), 0.1 mg/kg (10 patients), 0.15 mg/kg (5 patients) or 0.3 mg/kg (5 patients) with a fixed dose of pegadricase of 0.4 mg/kg, which we collectively call the SEL-212 cohorts. All patients were followed for at least 30 days after their initial dose.</w:t>
      </w:r>
    </w:p>
    <w:p>
      <w:pPr>
        <w:spacing w:after="0" w:line="17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Figure 9 below depicts the serum uric acid levels of the Pegadricase Cohort (depicted in red symbols), the ImmTOR Cohorts (depicted in blue symbols), and the SEL</w:t>
      </w:r>
      <w:r>
        <w:rPr>
          <w:rFonts w:ascii="MS PGothic" w:cs="MS PGothic" w:eastAsia="MS PGothic" w:hAnsi="MS PGothic"/>
          <w:sz w:val="16"/>
          <w:szCs w:val="16"/>
          <w:color w:val="auto"/>
        </w:rPr>
        <w:t>‑</w:t>
      </w:r>
      <w:r>
        <w:rPr>
          <w:rFonts w:ascii="Arial" w:cs="Arial" w:eastAsia="Arial" w:hAnsi="Arial"/>
          <w:sz w:val="16"/>
          <w:szCs w:val="16"/>
          <w:color w:val="auto"/>
        </w:rPr>
        <w:t>212 Cohorts (depicted in green symbols) from the Phase 1b clinical trial. Serum uric acid levels were measured at baseline and days seven, 14, 21, 30 and longer for some patients that maintained serum uric acid control at day 21. As expected, ImmTOR alone had no relevant effect on reducing serum uric acid levels across the ImmTOR Cohorts, as such levels remained relatively constant during the 30</w:t>
      </w:r>
      <w:r>
        <w:rPr>
          <w:rFonts w:ascii="MS PGothic" w:cs="MS PGothic" w:eastAsia="MS PGothic" w:hAnsi="MS PGothic"/>
          <w:sz w:val="16"/>
          <w:szCs w:val="16"/>
          <w:color w:val="auto"/>
        </w:rPr>
        <w:t>‑</w:t>
      </w:r>
      <w:r>
        <w:rPr>
          <w:rFonts w:ascii="Arial" w:cs="Arial" w:eastAsia="Arial" w:hAnsi="Arial"/>
          <w:sz w:val="16"/>
          <w:szCs w:val="16"/>
          <w:color w:val="auto"/>
        </w:rPr>
        <w:t>day period. Patients in the Pegadricase Cohort showed an immediate drop in uric acid levels after dosing, with uric acid levels returning close to or above baseline levels by day 21 in four of the five patients, similar to what was observed in Cohort #3 in the Phase 1a study. In contrast, patients in the SEL-212 Cohort receiving the lowest dose of ImmTOR (0.03 mg/kg) co-administered with pegadricase (0.4 mg/kg), showed four out of five patients maintaining serum uric acid levels below 6.0 mg/dL through day 21 after dosing. SEL-212 patients receiving ImmTOR at 0.1 mg/kg co-administered with 0.4 mg/kg of pegadricase, showed seven out of 10 patients maintained levels of serum uric acid of less than 0.1 mg/dL through day 30. SEL-212 patients receiving ImmTOR at 0.15 mg/kg co-administered with 0.4 mg/kg of pegadricase, showed all five patients maintaining levels of serum uric acid of less than 6.0 mg/dL through day 30. Finally, SEL-212 patients receiving ImmTOR at 0.3 mg/kg c- administered with 0.4 mg/kg of pegadricase, showed all five patients maintaining levels of serum uric acid of less than 0.1 mg/dL through day 30. These results indicated that SEL-212 showed a dose-dependent reduction in serum uric acid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139065</wp:posOffset>
            </wp:positionV>
            <wp:extent cx="5863590" cy="3728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9. Phase 1b Clinical Trial: Uric Acid Levels Across All Phase 1b Cohorts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5" w:right="33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t>Figure 10 below depicts the serum uric acid levels at day 30 next to the corresponding day 30 uricase-specific ADA titer for all patients in the Pegadricase Cohort and in the SEL-212 Cohorts at the three higher dose levels. Four of the five patients treated with 0.4 mg/kg pegadricase alone showed their serum uric return to baseline by day 30 and all five showed uricase specific ADA titers greater than 1000. Seven of 10 SEL-212 patients treated with 0.1 mg/kg ImmTOR and 0.4 mg/kg pegadricase showed serum uric acid levels below 0.1 mg/dL with corresponding low or negative uricase specific ADA titers at day 30. All five SEL-212 patients treated with 0.15 mg/kg ImmTOR and 0.4 mg/kg pegadricase showed serum uric acid below 6 mg/dL at day 30. One patient developed uricase specific ADA titers greater than 1000 but still maintained his serum uric acid below the target threshold of 6 mg/dL at day 30. The other four patients showed no ADA titers and had serum uric acid levels below 0.1 mg/dL. Finally, all five SEL-212 patients treated with 0.3 mg/kg ImmTOR and 0.4 mg/kg pegadricase showed serum uric acid below 0.1 mg/dL at day 30 with corresponding low or negative ADA titers. The one patient with an ADA titer of 120 at baseline showed the same titer at baseline and at each time point tested, indicating that this patient had pre-existing low titer of antibody that was cross-reactive with pegadricase at baseline. These results indicated that SEL-212 mitigated the formation of uricase-specific ADAs which correlated with sustained control of serum uric acid levels through at least day 30 after a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49530</wp:posOffset>
            </wp:positionV>
            <wp:extent cx="5863590" cy="2957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10.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patients in the SEL-212 Cohort were requested to return for additional visits on days 37, 44, and/or 51 because their serum uric acid levels were still under control (&lt;6 mg/dL) at day 21. Not all patients were able to return for the additional visits. The data for those who could return are in included in Figure 11 below. The data show that uric acid levels eventually returned to baseline, as expected after a single dose of pegadricase. Importantly, no emergence of ADAs was detected in those patients who exhibited low or no ADA titers at day 30. These data suggest that the treatment with ImmTOR controlled immune responses to pegadricase for up to 51 days after dosing. The data also support monthly dosing in the Phase 2 multiple dose trial of SEL-212.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431800</wp:posOffset>
            </wp:positionV>
            <wp:extent cx="5863590" cy="2339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11.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At the completion of our Phase 1b program for SEL-212 we had dosed a total of 64 patients in the trial with either SEL-212 (ImmTOR and pegadricase),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ImmTOR alone, pegadricase alone or placebo. The median serum acid level of patients enrolled was 7.3 mg/dL, with a mean of 7.4 mg/dL at baseline.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Patients presented with an average of 5.3 co-morbidities, such as hypertension and diabetes.</w:t>
      </w:r>
    </w:p>
    <w:p>
      <w:pPr>
        <w:spacing w:after="0" w:line="211"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have generally observed that SEL</w:t>
      </w:r>
      <w:r>
        <w:rPr>
          <w:rFonts w:ascii="MS PGothic" w:cs="MS PGothic" w:eastAsia="MS PGothic" w:hAnsi="MS PGothic"/>
          <w:sz w:val="18"/>
          <w:szCs w:val="18"/>
          <w:color w:val="auto"/>
        </w:rPr>
        <w:t>‑</w:t>
      </w:r>
      <w:r>
        <w:rPr>
          <w:rFonts w:ascii="Arial" w:cs="Arial" w:eastAsia="Arial" w:hAnsi="Arial"/>
          <w:sz w:val="18"/>
          <w:szCs w:val="18"/>
          <w:color w:val="auto"/>
        </w:rPr>
        <w:t>212 and its components, ImmTOR and pegadricase, have been well tolerated in this patient population. There were a total of six SAEs in the Phase 1b trial. Of the six SAEs, three were determined to not to be related to study drug by investigators. Of the remaining three SAEs that were determined to possibly or likely be related to study drug, two were cases of stomatitis that occurred at the highest dose of ImmTOR tested (0.5 mg/kg), leading us to define 0.3 mg/kg as the maximum tolerated dose of ImmTOR in this patient population. The remaining SAE was a case of drug hypersensitivity that occurred at a dose of 0.1 mg/kg of ImmTOR in combination with 0.4 mg/kg of pegadricase. In all cases, the patient fully recovered from the SAE without residual effects.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dose-finding clinical trial</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fourth quarter of 2016, we began enrolling patients with symptomatic gout and elevated serum uric acid levels in an open-label, multiple ascending dose Phase 2 clinical trial of SEL-212. The primary and secondary endpoints for this trial included safety, tolerability, pharmacokinetics, and reduction of serum uric acid and ADA levels. We have also collected data regarding flares and other patient-related observations. We enrolled patients in multiple ascending dose cohorts with the primary goal of identifying the dose regimens to advance into our ongoing Phase 2 head-to-head (COMPARE) clinical study and planned Phase 3 clinical program.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total of 152 patients were dosed in the Phase 2 trial at 15 active U.S. clinical sites and the treatment phase of all SEL-212 cohorts had been completed.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clinical activity from the trial as defined by the primary clinical endpoint (i.e., serum uric acid levels below 6 mg/dL):</w:t>
      </w:r>
    </w:p>
    <w:p>
      <w:pPr>
        <w:spacing w:after="0" w:line="222" w:lineRule="exact"/>
        <w:rPr>
          <w:sz w:val="20"/>
          <w:szCs w:val="20"/>
          <w:color w:val="auto"/>
        </w:rPr>
      </w:pPr>
    </w:p>
    <w:p>
      <w:pPr>
        <w:ind w:left="660" w:right="160" w:hanging="328"/>
        <w:spacing w:after="0" w:line="30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Control and 0.05 mg/kg ImmTOR Dose Cohorts </w:t>
      </w:r>
      <w:r>
        <w:rPr>
          <w:rFonts w:ascii="Arial" w:cs="Arial" w:eastAsia="Arial" w:hAnsi="Arial"/>
          <w:sz w:val="16"/>
          <w:szCs w:val="16"/>
          <w:color w:val="auto"/>
        </w:rPr>
        <w:t>(cohorts receiving five monthly doses of pegadricase alone or three monthly doses of 0.2 mg/kg</w:t>
      </w:r>
      <w:r>
        <w:rPr>
          <w:rFonts w:ascii="Arial" w:cs="Arial" w:eastAsia="Arial" w:hAnsi="Arial"/>
          <w:sz w:val="16"/>
          <w:szCs w:val="16"/>
          <w:i w:val="1"/>
          <w:iCs w:val="1"/>
          <w:color w:val="auto"/>
        </w:rPr>
        <w:t xml:space="preserve"> </w:t>
      </w:r>
      <w:r>
        <w:rPr>
          <w:rFonts w:ascii="Arial" w:cs="Arial" w:eastAsia="Arial" w:hAnsi="Arial"/>
          <w:sz w:val="16"/>
          <w:szCs w:val="16"/>
          <w:color w:val="auto"/>
        </w:rPr>
        <w:t>or 0.4 mg/kg of pegadricase + 0.05 mg/kg of ImmTOR followed by two monthly doses of pegadricase alone): Dosing of patients in the control cohorts receiving pegadricase alone was stopped early due to a loss of clinical activity caused by the immunogenicity of the enzyme. Clinical activity was lost by week 12 in the majority of patients receiving pegadricase in combination with the 0.05 mg/kg dose of ImmTOR.</w:t>
      </w:r>
    </w:p>
    <w:p>
      <w:pPr>
        <w:spacing w:after="0" w:line="157"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0.08 and 0.1 mg/kg ImmTOR Dose Cohorts </w:t>
      </w:r>
      <w:r>
        <w:rPr>
          <w:rFonts w:ascii="Arial" w:cs="Arial" w:eastAsia="Arial" w:hAnsi="Arial"/>
          <w:sz w:val="18"/>
          <w:szCs w:val="18"/>
          <w:color w:val="auto"/>
        </w:rPr>
        <w:t>(cohorts receiving three monthly doses of 0.2 mg/kg or 0.4 mg/kg of pegadricase + 0.08 or 0.10 mg/kg</w:t>
      </w:r>
      <w:r>
        <w:rPr>
          <w:rFonts w:ascii="Arial" w:cs="Arial" w:eastAsia="Arial" w:hAnsi="Arial"/>
          <w:sz w:val="18"/>
          <w:szCs w:val="18"/>
          <w:i w:val="1"/>
          <w:iCs w:val="1"/>
          <w:color w:val="auto"/>
        </w:rPr>
        <w:t xml:space="preserve"> </w:t>
      </w:r>
      <w:r>
        <w:rPr>
          <w:rFonts w:ascii="Arial" w:cs="Arial" w:eastAsia="Arial" w:hAnsi="Arial"/>
          <w:sz w:val="18"/>
          <w:szCs w:val="18"/>
          <w:color w:val="auto"/>
        </w:rPr>
        <w:t>of ImmTOR followed by two monthly doses of pegadricase alone): A majority of patients in these cohorts maintained clinical activity while receiving the combination therapy through week 12. These results were consistent with the level of clinical activity observed through day 30 at a similar SEL-212 dose level in our Phase 1b trial. At the 0.1 mg/kg dose level, half of the patients that maintained clinical activity through week 12 also maintained clinical activity through week 20.</w:t>
      </w:r>
    </w:p>
    <w:p>
      <w:pPr>
        <w:spacing w:after="0" w:line="187"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0.125 and 0.15 mg/kg ImmTOR Dose Cohorts </w:t>
      </w:r>
      <w:r>
        <w:rPr>
          <w:rFonts w:ascii="Arial" w:cs="Arial" w:eastAsia="Arial" w:hAnsi="Arial"/>
          <w:sz w:val="18"/>
          <w:szCs w:val="18"/>
          <w:color w:val="auto"/>
        </w:rPr>
        <w:t>(cohorts receiving three monthly doses of pegadricase +0.125 or 0.15 mg/kg of ImmTOR followed</w:t>
      </w:r>
      <w:r>
        <w:rPr>
          <w:rFonts w:ascii="Arial" w:cs="Arial" w:eastAsia="Arial" w:hAnsi="Arial"/>
          <w:sz w:val="18"/>
          <w:szCs w:val="18"/>
          <w:i w:val="1"/>
          <w:iCs w:val="1"/>
          <w:color w:val="auto"/>
        </w:rPr>
        <w:t xml:space="preserve"> </w:t>
      </w:r>
      <w:r>
        <w:rPr>
          <w:rFonts w:ascii="Arial" w:cs="Arial" w:eastAsia="Arial" w:hAnsi="Arial"/>
          <w:sz w:val="18"/>
          <w:szCs w:val="18"/>
          <w:color w:val="auto"/>
        </w:rPr>
        <w:t>by two monthly doses of pegadricase alone): A majority of patients in these cohorts maintained clinical activity while receiving the combination therapy through week 12. These results were consistent with the level of clinical activity observed through day 30 at a similar SEL-212 dose level in our Phase 1b trial.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17" w:name="page18"/>
    <w:bookmarkEnd w:id="17"/>
    <w:p>
      <w:pPr>
        <w:ind w:left="660" w:right="400"/>
        <w:spacing w:after="0" w:line="277" w:lineRule="auto"/>
        <w:rPr>
          <w:sz w:val="20"/>
          <w:szCs w:val="20"/>
          <w:color w:val="auto"/>
        </w:rPr>
      </w:pPr>
      <w:r>
        <w:rPr>
          <w:rFonts w:ascii="Arial" w:cs="Arial" w:eastAsia="Arial" w:hAnsi="Arial"/>
          <w:sz w:val="18"/>
          <w:szCs w:val="18"/>
          <w:color w:val="auto"/>
        </w:rPr>
        <w:t>Approximately 81% of evaluable patients (N=27) receiving up to 0.15 mg/kg ImmTOR in combination with 0.2 or 0.4 mg/kg of pegadricase followed by 2 monthly doses of pegadricase alone had serum uric acid control below 6 mg/dL at week 12.</w:t>
      </w:r>
    </w:p>
    <w:p>
      <w:pPr>
        <w:spacing w:after="0" w:line="170" w:lineRule="exact"/>
        <w:rPr>
          <w:sz w:val="20"/>
          <w:szCs w:val="20"/>
          <w:color w:val="auto"/>
        </w:rPr>
      </w:pPr>
    </w:p>
    <w:p>
      <w:pPr>
        <w:ind w:left="660" w:right="8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0.10 and 0.15 mg/kg ImmTOR 5 Combination Dose Cohorts </w:t>
      </w:r>
      <w:r>
        <w:rPr>
          <w:rFonts w:ascii="Arial" w:cs="Arial" w:eastAsia="Arial" w:hAnsi="Arial"/>
          <w:sz w:val="17"/>
          <w:szCs w:val="17"/>
          <w:color w:val="auto"/>
        </w:rPr>
        <w:t>(cohorts receiving five monthly doses of pegadricase +0.10 or 0.15 mg/kg of</w:t>
      </w:r>
      <w:r>
        <w:rPr>
          <w:rFonts w:ascii="Arial" w:cs="Arial" w:eastAsia="Arial" w:hAnsi="Arial"/>
          <w:sz w:val="17"/>
          <w:szCs w:val="17"/>
          <w:i w:val="1"/>
          <w:iCs w:val="1"/>
          <w:color w:val="auto"/>
        </w:rPr>
        <w:t xml:space="preserve"> </w:t>
      </w:r>
      <w:r>
        <w:rPr>
          <w:rFonts w:ascii="Arial" w:cs="Arial" w:eastAsia="Arial" w:hAnsi="Arial"/>
          <w:sz w:val="17"/>
          <w:szCs w:val="17"/>
          <w:color w:val="auto"/>
        </w:rPr>
        <w:t>ImmTOR ): Five monthly doses of SEL-212 resulted in sustained serum uric acid control and was well tolerated over the entire treatment period. 100% of the patients that had serum uric acid levels below 6 mg/dL at 12 weeks maintained control through 20 weeks. Approximately 66% of evaluable patients (21/32) completed week 20 with serum uric acid levels below 6 mg/dL. (Figure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246380</wp:posOffset>
            </wp:positionV>
            <wp:extent cx="5863590" cy="1594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12. Five Combination Doses Controlled Serum Uric Acid &lt;6 mg/dL at Week 20 in 66% of Patients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Data from the trial suggested that ADA levels were strongly correlated with serum uric acid levels. We have observed that ImmTOR reduced the formation of ADAs in a dose-dependent manner, which we believe enabled pegadricase to maintain clinical activity for extended durations as compared to pegadricase administered without ImmTOR.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Data from the trial suggest that sustained control of serum uric acid near 0 mg/dL led to reduction in uric acid deposits as measured by DECT imaging.</w:t>
      </w:r>
    </w:p>
    <w:p>
      <w:pPr>
        <w:spacing w:after="0" w:line="24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Approximately 29% of patients who received SEL-212 reported a gout flare during their first month of the trial. This was followed by a decline in flare rates during the remainder of the therapy (Figure 13). By comparison, 50% of patients reported a flare during the first month in the control cohorts receiving pegadricase alone before treatment was stopped due to loss of efficacy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125730</wp:posOffset>
            </wp:positionV>
            <wp:extent cx="5597525" cy="2228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75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13. Percentage of Patients Reporting a Gout Flare per Month</w:t>
      </w:r>
    </w:p>
    <w:p>
      <w:pPr>
        <w:spacing w:after="0" w:line="3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SEL-212 was generally well tolerated at clinically active doses following repeated administrations in the trial. Twenty patients reported a total of 23 SAEs in the Phase 2 clinical trial. Nine SAEs were reported in the five dose combination cohorts, seven of which were reported to be not related or unlikely related to study drug, and two of which were infusion reactions. All SAEs were successfully treated without further issues.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665"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Phase 2 head-to-head (COMPARE) clinical trial</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March 2019, we initiated a Phase 2 head-to-head clinical trial of SEL-212 (COMPARE), in which SEL-212 is being compared against the current FDA-approved therapy for chronic refractory gout, KRYSTEXXA, in multiple clinical sites in the United States. We completed enrollment of this study in December 2019 and expect to report top-line data in the third quarter of 2020. The two-armed, open label trial has enrolled approximately 150 patients, randomized 1:1, with one arm receiving KRYSTEXXA (as set forth in the prescribing information) and the other arm receiving six monthly doses of SEL-</w:t>
      </w:r>
    </w:p>
    <w:p>
      <w:pPr>
        <w:spacing w:after="0" w:line="1" w:lineRule="exact"/>
        <w:rPr>
          <w:sz w:val="20"/>
          <w:szCs w:val="20"/>
          <w:color w:val="auto"/>
        </w:rPr>
      </w:pPr>
    </w:p>
    <w:p>
      <w:pPr>
        <w:ind w:right="160" w:firstLine="8"/>
        <w:spacing w:after="0" w:line="26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primary endpoint in the study is the percentage of patients in each arm that maintain SUA control below 6.0 mg/dL, for at least 80% of the time during months three and six.</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programs for immune tolerance in gene therapy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Although gene therapy has made significant progress over the last several years, it faces certain limitations due to undesired immunogenicity to either the AAV vector or the encoded transgene.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Gene vector-specific ADAs frequently occur for patients who receive gene therapy and have been found to prevent the AAV vector from reaching its target cell. It is unknown exactly how long these neutralizing ADAs prevent redosing of gene therapy. However, it has been observed in studies with animals and humans that high titer AAV-specific ADAs develop and persist for more than 10 years, preventing vector readministration. In addition, cellular immune responses have been found to correlate with liver inflammation and loss of gene expression.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Because of the induction of lasting antibodies against AAV, we believe many gene therapy companies have focused on the single localized dose in diseases of the eye and central nervous system for which immunogenicity is perceived to be less of an issue. We believe that many gene therapy applications may require or would benefit from multiple doses, especially therapies designed to treat diseases via intravenous administration. Some of these rare genetic deficiencies are best treated when patients are infants or small children in order to prevent developmental defects. However, pediatric patients may have a higher need for repeat dosing due to higher cell turnover as the patient grows. Accordingly, we believe that a solution enabling repeat dosing would significantly expand the number of diseases and patients that could be treated with gene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SEL-302 for the Treatment of Methylmalonic Acidemia</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August 2019, we entered into the AskBio Collaboration Agreement, pursuant to which we and AskBio will conduct proof of concept studies to potentially validate the use of our ImmTOR platform in conjunction with an AAV gene therapy to mitigate the formation of neutralizing anti-AAV capsid antibodies, which currently precludes redosing. One of the product candidates under this collaboration is a gene therapy candidate for MMA, which can cause severe developmental defects and premature death as a result of an accumulation of toxic metabolites. We previously conducted preclinical studies for this product candidate based on SEL-302 and will leverage that previous work within the collaboration.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SEL-313 for the Treatment of OTC Deficiency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our second gene therapy program, we plan to develop another product candidate for the treatment of ornithine transcarbamylase, or OTC, deficiency, which is another metabolic disorder. We are pursuing this second potential indication through collaborations with third parties with preclinical and clinical experience in this area.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Hemophilia 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2, 2016, or the Spark Signing Date, we entered into the Spark License Agreement to collaborate on the development of gene therapies for certain targets utilizing our ImmTOR platform. Under the terms of the Spark License Agreement, we granted Spark certain exclusive, worldwide, royalty-bearing licenses to our intellectual property and know-how relating to our ImmTOR platform to research, develop and commercialize gene therapies for hemophilia A, which is the initial target under the Spark License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Spark License Agreement, see the discussion under “Licenses and Collaborations - Spark”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Crigler Najjar Syndrome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2018, we announced a collaboration with the European consortium, CureCN, for an ImmTOR+AAV gene therapy combination product candidate in Crigler-Najjar syndrome, a rare genetic disorder characterized by an inability to properly convert and clear bilirubin from the body. The consortium plans to utilize our ImmTOR platform in combination with their AAV gene therapy with the potential to re-dose patients who are not producing enough enzyme post their first dose of AAV gene therapy. We expect the CureCN consortium to obtain scientific advice from the German drug regulatory authority in 2020.</w:t>
      </w:r>
    </w:p>
    <w:p>
      <w:pPr>
        <w:sectPr>
          <w:pgSz w:w="11900" w:h="16838" w:orient="portrait"/>
          <w:cols w:equalWidth="0" w:num="1">
            <w:col w:w="11200"/>
          </w:cols>
          <w:pgMar w:left="320" w:top="665" w:right="379" w:bottom="1440" w:gutter="0" w:footer="0" w:header="0"/>
        </w:sect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00"/>
          </w:cols>
          <w:pgMar w:left="320" w:top="665" w:right="3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manufacture ImmTOR using a scalable, self-assembly nanoemulsion process with well-defined, pharmaceutical unit operations. This proprietary, highly specialized and precisely controlled manufacturing process enables us to reproducibly manufacture ImmTOR across many production scales, from milligram-scale at the laboratory bench to hundreds of grams to multi-kilogram scale for commercial production. This well-defined process has been produced at multiple scales. We have also developed and executed the required detailed analytic characterization of our products.</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SEL-212 program, we have increased ImmTOR production to a 50-gram scale and have developed an approximately 400-gram scale process, which, at the current projected clinical dose, we believe would be suitable for commercialization. The process is designed such that this same equipment is capable of potentially producing up to a one kilogram batch size scale. As our nanoparticle manufacturing process is compact, and therefore also portable, our strategy is to transfer our custom designed process skids to a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pegadricase enzyme for SEL-212 is produced by fermentation in E. Coli and is sourced from 3SBio in China. 3SBio is a Chinese pharmaceutical company that produces multiple approved products in China and also has product sales in other countries around the world. 3SBio supplies the pegadricase used in the current clinical trials of SEL-212 in the United States. Through a licensing arrangement, we own exclusive worldwide rights to pegadricase outside of China, with co-ownership of rights in Japan and with 3SBio owning all rights in China. Under this arrangement, 3SBio has agreed to supply us with pegadricase. We also have selected a back-up supplier for pegadricase in the United States.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AskBio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August 2019, we entered into the AskBio Collaboration Agreement. Pursuant to the AskBio Collaboration Agreement, we and AskBio agreed to license intellectual property rights to each other as part of a collaboration to research, develop, and commercialize certain AAV gene therapy products utilizing our ImmTOR platform to enable re-dosing of such AAV gene therapy products to treat serious rare and orphan genetic diseases for which there is a significant unmet medical need. Pursuant to the AskBio Collaboration Agreement, we and AskBio will conduct proof of concept studies, or POC Studies, to validate the use of ImmTOR in conjunction with AAV for the treatment of MMA, based on our product candidate, SEL-302, to mitigate the formation of neutralizing anti-AAV capsid antibodies. If the POC Studies are successful, or the parties otherwise elect to do so, the parties will proceed with a collaboration to pursue the development and commercialization of AAV gene therapy products utilizing ImmTOR for the treatment of certain agreed serious rare and orphan genetic diseases. If the POC Studies fail to demonstrate a proof of concept, and the parties do not mutually agree in writing to proceed with the collaboration, the Agreement will expire. We plan to enter the clinic under this collaboration in 2020.</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we are responsible for manufacturing ImmTOR.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December 2019, we entered into the AskBio License Agreement. Pursuant to the AskBio License Agreement, AskBio exercised its option to exclusively license our intellectual property rights covering ImmTOR to research, develop, and commercialize certain AAV gene therapy products utilizing ImmTOR, and targeting the GAA gene, or derivatives thereof, to treat Pompe Disease, which we refer to as the Licensed Products.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AskBio License Agreement, AskBio agreed to pay to us upfront fees of an aggregate of $7.0 million. Also pursuant to the AskBio License Agreement, AskBio agreed to make additional payments to us based on the achievement of certain development and commercial milestones of up to an aggregate of $237.0 million. AskBio will also be obligated to make tiered royalty payments, at percentages in the mid-to-high single digits, to us based on achievement of certain sales milestones.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93" w:right="339" w:bottom="1440" w:gutter="0" w:footer="0" w:header="0"/>
        </w:sectPr>
      </w:pPr>
    </w:p>
    <w:bookmarkStart w:id="20" w:name="page21"/>
    <w:bookmarkEnd w:id="20"/>
    <w:p>
      <w:pPr>
        <w:spacing w:after="0" w:line="263" w:lineRule="auto"/>
        <w:rPr>
          <w:sz w:val="20"/>
          <w:szCs w:val="20"/>
          <w:color w:val="auto"/>
        </w:rPr>
      </w:pPr>
      <w:r>
        <w:rPr>
          <w:rFonts w:ascii="Arial" w:cs="Arial" w:eastAsia="Arial" w:hAnsi="Arial"/>
          <w:sz w:val="18"/>
          <w:szCs w:val="18"/>
          <w:color w:val="auto"/>
        </w:rPr>
        <w:t>We will supply AskBio with our ImmTOR platform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AskBio License Agreement contains other customary terms and conditions, including representations and warranties, covenants, termination, and indemnification obligations in favor of each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2016, we entered into the Spark License Agreement to develop gene therapies for certain targets utilizing our ImmTOR platform.</w:t>
      </w:r>
    </w:p>
    <w:p>
      <w:pPr>
        <w:spacing w:after="0" w:line="2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the terms of the Spark License Agreement, we granted Spark certain exclusive, worldwide, royalty-bearing licenses to our intellectual property and know-how relating to our ImmTOR platform to research, develop and commercialize gene therapies for Factor VIII, an essential blood clotting protein relevant to the treatment of hemophilia A, which is the initial target under the license agreement.</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the Spark License Agreement, Spark made an upfront payment to us of $15.0 million. Additionally, Spark purchased an aggregate of $15.0 million of our common stock in connection with the Spark License Agreement. We will be eligible to receive up to an aggregate of $430.0 million in milestone payments,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had the right to fund up to 50.0% of any development or regulatory milestone payable to us by issuing us shares of Spark’s common stock having a fair market value equal to the percentage of such development or regulatory milestone, as applicable.</w:t>
      </w:r>
    </w:p>
    <w:p>
      <w:pPr>
        <w:spacing w:after="0" w:line="17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addition, until December 2019, Spark was eligible to exercise options to research, develop and commercialize gene therapies utilizing our ImmTOR platform for up to four additional targets. Spark did not exercise any of these options prior to the termination of the election period.</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party is responsible for its own costs and expenses incurred in connection with its respective activities under the Spark License, except that Spark has agreed to reimburse us for FTE and out-of-pocket costs incurred in performing certain tasks or assistance specifically requested by Spark. We retain the responsibility to manufacture Spark’s preclinical, clinical and commercial requirements for the ImmTOR platform, subject to the terms of the Spark License.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Spark License Agreement will continue on a country-by-country and product-by-product basis until the expiration of Spark’s royalty payment obligations with respect to such product in such country unless earlier terminated by the parties. The Spark License Agreement may be terminated by Spark for convenience upon ninety days’ notice. Either party may terminate the Spark License Agreement on a target-by-target basis for material breach with respect to such target.</w:t>
      </w:r>
    </w:p>
    <w:p>
      <w:pPr>
        <w:spacing w:after="0" w:line="187"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In connection with the Spark License Agreement, we also entered into a stock purchase agreement with Spark, pursuant to which Spark has purchased in the aggregate $15.0 million of our common stock including (i) 197,238 shares for an aggregate purchase price of $5.0 million on the Spark Signing Date,</w:t>
      </w:r>
    </w:p>
    <w:p>
      <w:pPr>
        <w:ind w:right="80" w:firstLine="8"/>
        <w:spacing w:after="0" w:line="260"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324,362 shares for an aggregate purchase price of $5.0 million on June 8, 2017, and (iii) 205,254 shares for an aggregate purchase price of $5.0 million on 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November 2008, we entered into a license agreement with MIT, which we refer to as the MIT License. We amended the MIT License in January 2010, November 2012, August 2013, November 2016 and December 2019.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w:t>
      </w:r>
    </w:p>
    <w:p>
      <w:pPr>
        <w:sectPr>
          <w:pgSz w:w="11900" w:h="16838" w:orient="portrait"/>
          <w:cols w:equalWidth="0" w:num="1">
            <w:col w:w="11240"/>
          </w:cols>
          <w:pgMar w:left="320" w:top="66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665" w:right="339" w:bottom="1440" w:gutter="0" w:footer="0" w:header="0"/>
          <w:type w:val="continuous"/>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days’ written notice thereof. Absent early termination, the MIT License will continue until the expiration or abandonment of the last to expire patent right subject to the MIT License.</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MIT may terminate the MIT License if we fail to meet a diligence obligation, including the initiation of a Phase 3 clinical trial by a specified date in the fourth quarter of 2019. In December 2019, we entered into the Fourth Amendment to the MIT License, which we refer to as the MIT Amendment. Pursuant to the MIT Amendment, the provision of the MIT License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License. Further, pursuant to the MIT Amendment, the parties agreed to negotiate in good faith to enter into a future amendment to the MIT License subject to our providing MIT with an amended diligence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May 2014, we entered into a license agreement with 3SBio, as amended in May 2017, which we refer to as the 3SBio License. Pursuant to the 3SBio License, we were granted an exclusive license to certain pegadricase-related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ImmTOR platform with pegadricase or related compounds supplied by 3SBio (or otherwise supplied if our rights to manufacture are in effect) for human therapeutic, diagnostic and prophylactic use. We were also granted a co-exclusive license to manufacture and have manufactured pegadricase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pegadricase. Otherwise, except in the case of a supply shortage on the part of 3SBio, we are obligated to obtain at least 80% of our supply of such compounds for Phase 3 clinical trials and commercial use from 3SBio under the terms of supply agreements to be negotiated.</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3SBio License we have paid to 3SBio an aggregate of $3.0 million in upfront and milestone-based payments. We are required to make future payments to 3SBio contingent upon the occurrence of events related to the achievement of clinical and regulatory approval milestones of up to an aggregate of $21.0 million for products containing our ImmTOR platform, and up to an aggregate of $41.5 million for products without our ImmTOR platform. We are also required to pay 3SBio tiered royalties on annual worldwide net sales related to the pegadricase component of products at percentages ranging from the low-to-mid single digits for products containing our ImmTOR platform, and from the mid-single digits to low or low-to-mid teens for products without our ImmTOR platform, subject to specified reductions. These royalties are payable, on a country-by-country and product-by-product basis until the later of</w:t>
      </w:r>
    </w:p>
    <w:p>
      <w:pPr>
        <w:spacing w:after="0" w:line="4" w:lineRule="exact"/>
        <w:rPr>
          <w:sz w:val="20"/>
          <w:szCs w:val="20"/>
          <w:color w:val="auto"/>
        </w:rPr>
      </w:pPr>
    </w:p>
    <w:p>
      <w:pPr>
        <w:ind w:right="360" w:firstLine="8"/>
        <w:spacing w:after="0" w:line="260"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that all of the patent rights for that product have expired in that country, or (ii) a specified number of years from the first commercial sale of such product in such country.</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665" w:right="33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t>the future patent rights to be included in the license grant to the party breaching, failing to expend such amounts or undergoing such event under the BIND Agreement will no longer be granted to the breaching party.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BIND’s entry into bankruptcy proceeding in 2016, Pfizer purchased substantially all of the assets of BIND, including those pertaining to the BIND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 On September 16, 2019, in accordance with the terms of the MEE License, we notified MEE of our intention to terminate the MEE License, effective December 15,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endeavor to protect our nanoparticle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nanoparticle-based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developed and in-licensed numerous patents and patent applications and possess substantial know-how and trade secrets relating to our nanoparticle-based immunotherapy technology, program and product candidates. Our patent portfolio contains a number of issued patents in the United States and certain foreign jurisdictions. We also own a number of pending patent applications in the United States and certain foreign jurisdictions. These patents and patent applications include claims directed to:</w:t>
      </w:r>
    </w:p>
    <w:p>
      <w:pPr>
        <w:spacing w:after="0" w:line="7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tolerance immunotherapy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immune stimulation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nanoparticles in a variety of tolerance applications, including:</w:t>
      </w:r>
    </w:p>
    <w:p>
      <w:pPr>
        <w:spacing w:after="0" w:line="225" w:lineRule="exact"/>
        <w:rPr>
          <w:rFonts w:ascii="Arial" w:cs="Arial" w:eastAsia="Arial" w:hAnsi="Arial"/>
          <w:sz w:val="18"/>
          <w:szCs w:val="18"/>
          <w:color w:val="auto"/>
        </w:rPr>
      </w:pPr>
    </w:p>
    <w:p>
      <w:pPr>
        <w:ind w:left="1300" w:right="46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mitigating or treating anti-drug antibodies associated with protein drugs, such as for chronic refractory gout, covering ImmTOR co-administered with pegadricase, which related patents are expected to expire between 2032 and 2038,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genetic therapies (such as viral delivery of genes), covering ImmTOR co-administered with a viral vector, which related patents are expected to expire between 2032 and 2039; and</w:t>
      </w:r>
    </w:p>
    <w:p>
      <w:pPr>
        <w:spacing w:after="0" w:line="170" w:lineRule="exact"/>
        <w:rPr>
          <w:rFonts w:ascii="Arial" w:cs="Arial" w:eastAsia="Arial" w:hAnsi="Arial"/>
          <w:sz w:val="18"/>
          <w:szCs w:val="18"/>
          <w:color w:val="auto"/>
        </w:rPr>
      </w:pPr>
    </w:p>
    <w:p>
      <w:pPr>
        <w:jc w:val="both"/>
        <w:ind w:left="660" w:right="1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 and commercialization of SEL-212, including both composition of matter and method of treatment claims (there are multiple patent families that cover the SEL-212 product, one of which is a licensed, issued U.S. patent that covers the SEL-212 product, which expires in 2021).</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addition, we have exclusively or non-exclusively licensed intellectual property, including U.S. issued patents, foreign issued patents, and pending applications in both the U.S. and foreign jurisdictions.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Europe, South Korea, Mexico, India, Israel and Japan.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65" w:right="3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and patent applications with expected material expiration dates ranging from 2021 to 2039.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pegadricase component of SEL-212 and is indicated for the treatment of refractory gout. Horizon Pharma plc, whose affiliates own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immune tolerance include Anokion SA, AnTolRx Inc., Apitope International NV, Caladrius Biosciences, Cour Pharmaceutical Development Company, Inc., Dendright International, Inc., Parvus Therapeutics, REGiMMUNE Corporation, Rubius Therapeutics, Inc., Tolerion, Inc., Topas Therapeutics GmbH, SQZ Biotechnologies and Txcell SA. However, we believe that most of these companies are focused on autoimmune and inflammatory diseases rather than immune tolerance to biologics.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w:t>
      </w:r>
    </w:p>
    <w:p>
      <w:pPr>
        <w:sectPr>
          <w:pgSz w:w="11900" w:h="16838" w:orient="portrait"/>
          <w:cols w:equalWidth="0" w:num="1">
            <w:col w:w="11240"/>
          </w:cols>
          <w:pgMar w:left="320" w:top="66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665" w:right="339" w:bottom="1440" w:gutter="0" w:footer="0" w:header="0"/>
          <w:type w:val="continuous"/>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primary mode of action is attributable to the biologic component of the product. In the case of SEL-212, which we believe will be regulated as a therapeutic biologic, the FDA’s Center for Drug Evaluation and Research, or CDER, will have primary jurisdiction over premarket development. We expect to seek approval of SEL-212 through a single Biologics License Application, or BLA, reviewed by CDER, and we do not expect that the FDA will require a separate marketing authorization for each constituent of SEL-212.</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biological products development process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generally involves the following:</w:t>
      </w:r>
    </w:p>
    <w:p>
      <w:pPr>
        <w:spacing w:after="0" w:line="237" w:lineRule="exact"/>
        <w:rPr>
          <w:sz w:val="20"/>
          <w:szCs w:val="20"/>
          <w:color w:val="auto"/>
        </w:rPr>
      </w:pPr>
    </w:p>
    <w:p>
      <w:pPr>
        <w:jc w:val="both"/>
        <w:ind w:left="660" w:right="2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83"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and potency from results of nonclinical testing and clinical trials;</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4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submission of an IND to the FDA, supervision of certain human gene transfer trials may also require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patient selection and exclusion criteria, and the parameters to be used to monitor patient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study must be reviewed and approved by an independent institutional review board, or IRB, at or</w:t>
      </w:r>
    </w:p>
    <w:p>
      <w:pPr>
        <w:sectPr>
          <w:pgSz w:w="11900" w:h="16838" w:orient="portrait"/>
          <w:cols w:equalWidth="0" w:num="1">
            <w:col w:w="11240"/>
          </w:cols>
          <w:pgMar w:left="320" w:top="665" w:right="33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65" w:right="339" w:bottom="1440" w:gutter="0" w:footer="0" w:header="0"/>
          <w:type w:val="continuous"/>
        </w:sectPr>
      </w:pPr>
    </w:p>
    <w:bookmarkStart w:id="25" w:name="page26"/>
    <w:bookmarkEnd w:id="25"/>
    <w:p>
      <w:pPr>
        <w:ind w:right="260"/>
        <w:spacing w:after="0" w:line="277" w:lineRule="auto"/>
        <w:rPr>
          <w:sz w:val="20"/>
          <w:szCs w:val="20"/>
          <w:color w:val="auto"/>
        </w:rPr>
      </w:pPr>
      <w:r>
        <w:rPr>
          <w:rFonts w:ascii="Arial" w:cs="Arial" w:eastAsia="Arial" w:hAnsi="Arial"/>
          <w:sz w:val="18"/>
          <w:szCs w:val="18"/>
          <w:color w:val="auto"/>
        </w:rPr>
        <w:t>servicing each institution at which the clinical study will be conducted. Human clinical trials are typically conducted in three sequential phases that may overlap or be combined:</w:t>
      </w:r>
    </w:p>
    <w:p>
      <w:pPr>
        <w:spacing w:after="0" w:line="170" w:lineRule="exact"/>
        <w:rPr>
          <w:sz w:val="20"/>
          <w:szCs w:val="20"/>
          <w:color w:val="auto"/>
        </w:rPr>
      </w:pPr>
    </w:p>
    <w:p>
      <w:pPr>
        <w:jc w:val="both"/>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biological product candidate is initially introduced into healthy human patients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183"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The biological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labeling.</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 Type C meeting or as may be agreed between the sponsor and FDA. Unless otherwise required by regulation, PREA does not apply to any biological product for an indication for which orphan designation has been granted.</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w:t>
      </w:r>
    </w:p>
    <w:p>
      <w:pPr>
        <w:sectPr>
          <w:pgSz w:w="11900" w:h="16838" w:orient="portrait"/>
          <w:cols w:equalWidth="0" w:num="1">
            <w:col w:w="11220"/>
          </w:cols>
          <w:pgMar w:left="320" w:top="665" w:right="359" w:bottom="1440"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665" w:right="359" w:bottom="1440" w:gutter="0" w:footer="0" w:header="0"/>
          <w:type w:val="continuous"/>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product candidate. If the FDA concludes a REMS is needed, the sponsor of the BLA must submit a proposed REMS; the FDA will not approve the BLA without a REMS, if required.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designation</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not requested orphan designation for our product candidates, but depending on the proposed indication for which we intend to develop our future products, we may in the future request such designation.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FDA may consider for review sections of the marketing application for a Fast Track product on a rolling basis before the complete application is submitted, if the sponsor provides a schedule for the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665" w:right="359" w:bottom="1440" w:gutter="0" w:footer="0" w:header="0"/>
        </w:sectPr>
      </w:pPr>
    </w:p>
    <w:bookmarkStart w:id="27" w:name="page28"/>
    <w:bookmarkEnd w:id="27"/>
    <w:p>
      <w:pPr>
        <w:ind w:right="220"/>
        <w:spacing w:after="0" w:line="277" w:lineRule="auto"/>
        <w:rPr>
          <w:sz w:val="20"/>
          <w:szCs w:val="20"/>
          <w:color w:val="auto"/>
        </w:rPr>
      </w:pPr>
      <w:r>
        <w:rPr>
          <w:rFonts w:ascii="Arial" w:cs="Arial" w:eastAsia="Arial" w:hAnsi="Arial"/>
          <w:sz w:val="18"/>
          <w:szCs w:val="18"/>
          <w:color w:val="auto"/>
        </w:rPr>
        <w:t>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2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65" w:right="339" w:bottom="1440" w:gutter="0" w:footer="0" w:header="0"/>
        </w:sectPr>
      </w:pPr>
    </w:p>
    <w:bookmarkStart w:id="28" w:name="page29"/>
    <w:bookmarkEnd w:id="28"/>
    <w:p>
      <w:pPr>
        <w:jc w:val="both"/>
        <w:ind w:right="120"/>
        <w:spacing w:after="0" w:line="263" w:lineRule="auto"/>
        <w:rPr>
          <w:sz w:val="20"/>
          <w:szCs w:val="20"/>
          <w:color w:val="auto"/>
        </w:rPr>
      </w:pPr>
      <w:r>
        <w:rPr>
          <w:rFonts w:ascii="Arial" w:cs="Arial" w:eastAsia="Arial" w:hAnsi="Arial"/>
          <w:sz w:val="18"/>
          <w:szCs w:val="18"/>
          <w:color w:val="auto"/>
        </w:rPr>
        <w:t>maintain cGMP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 and exclusivity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Patient Protection and Affordable Care Act, or ACA,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BPCIA is complex and continues to be interpreted and implemented by the FDA. As a result, the ultimate impact, implementation and meaning of the BPCIA is subject to significant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United States</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European Economic Area, or EEA, which is composed of the 27 Member States of the European Union plus Norway, Iceland and Liechtenstein, and the United Kingdom (until the end of the transition period on 31 December 2020 provided for in Withdrawal Agreement between the EU and the UK) medicinal products can only be commercialized after obtaining a Marketing Authorization, or 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two types of MAs.</w:t>
      </w:r>
    </w:p>
    <w:p>
      <w:pPr>
        <w:spacing w:after="0" w:line="225" w:lineRule="exact"/>
        <w:rPr>
          <w:sz w:val="20"/>
          <w:szCs w:val="20"/>
          <w:color w:val="auto"/>
        </w:rPr>
      </w:pPr>
    </w:p>
    <w:p>
      <w:pPr>
        <w:ind w:left="660" w:right="4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w:t>
      </w:r>
    </w:p>
    <w:p>
      <w:pPr>
        <w:sectPr>
          <w:pgSz w:w="11900" w:h="16838" w:orient="portrait"/>
          <w:cols w:equalWidth="0" w:num="1">
            <w:col w:w="11240"/>
          </w:cols>
          <w:pgMar w:left="320" w:top="66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665" w:right="339" w:bottom="1440" w:gutter="0" w:footer="0" w:header="0"/>
          <w:type w:val="continuous"/>
        </w:sectPr>
      </w:pPr>
    </w:p>
    <w:bookmarkStart w:id="29" w:name="page30"/>
    <w:bookmarkEnd w:id="29"/>
    <w:p>
      <w:pPr>
        <w:ind w:left="660" w:right="220"/>
        <w:spacing w:after="0" w:line="289" w:lineRule="auto"/>
        <w:rPr>
          <w:sz w:val="20"/>
          <w:szCs w:val="20"/>
          <w:color w:val="auto"/>
        </w:rPr>
      </w:pPr>
      <w:r>
        <w:rPr>
          <w:rFonts w:ascii="Arial" w:cs="Arial" w:eastAsia="Arial" w:hAnsi="Arial"/>
          <w:sz w:val="16"/>
          <w:szCs w:val="16"/>
          <w:color w:val="auto"/>
        </w:rPr>
        <w:t>certain types of products, such as biotechnology medicinal products, orphan medicinal products, advanced therapy medicinal products (such as gene therapy, somatic cell therapy and tissue engineered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66" w:lineRule="exact"/>
        <w:rPr>
          <w:sz w:val="20"/>
          <w:szCs w:val="20"/>
          <w:color w:val="auto"/>
        </w:rPr>
      </w:pPr>
    </w:p>
    <w:p>
      <w:pPr>
        <w:ind w:left="660" w:right="30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second applicant can establish that its product, although similar, is safer, more effective or otherwise clinically superior;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applicant consents to a second orphan medicinal product application;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applicant cannot supply enough orphan medicinal product.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665" w:right="359" w:bottom="1440" w:gutter="0" w:footer="0" w:header="0"/>
        </w:sectPr>
      </w:pPr>
    </w:p>
    <w:bookmarkStart w:id="30" w:name="page31"/>
    <w:bookmarkEnd w:id="30"/>
    <w:p>
      <w:pPr>
        <w:ind w:right="40"/>
        <w:spacing w:after="0" w:line="277" w:lineRule="auto"/>
        <w:rPr>
          <w:sz w:val="20"/>
          <w:szCs w:val="20"/>
          <w:color w:val="auto"/>
        </w:rPr>
      </w:pPr>
      <w:r>
        <w:rPr>
          <w:rFonts w:ascii="Arial" w:cs="Arial" w:eastAsia="Arial" w:hAnsi="Arial"/>
          <w:sz w:val="18"/>
          <w:szCs w:val="18"/>
          <w:color w:val="auto"/>
        </w:rPr>
        <w:t>country. In all cases, again, the clinical studies are conducted in accordance with GCP and the applicable regulatory requirements and the ethical principles that have their origin in the Declaration of Helsinki.</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April 2014, the EU passed the Clinical Trials Regulation (Regulation 536/2014), which will replace the current Clinical Trials Directive. To ensure that the rules for clinical trials are identical throughout the European Union, the EU Clinical Trials Regulation was passed as a regulation that is directly applicable in all EU member states. All clinical trials performed in the European Union are required to be conducted in accordance with the Clinical Trials Directive until the Clinical Trials Regulation becomes applicable. According to the current plans of the EMA, the Clinical Trials Regulation is expected to become applicable in 2020.</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 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EUR 20 million or 4% of total global annual turnover. In addition to the foregoing, a breach of the GDPR could result in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3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In addition,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665" w:right="379" w:bottom="1440" w:gutter="0" w:footer="0" w:header="0"/>
        </w:sectPr>
      </w:pPr>
    </w:p>
    <w:bookmarkStart w:id="31" w:name="page32"/>
    <w:bookmarkEnd w:id="31"/>
    <w:p>
      <w:pPr>
        <w:ind w:right="120"/>
        <w:spacing w:after="0" w:line="289" w:lineRule="auto"/>
        <w:rPr>
          <w:sz w:val="20"/>
          <w:szCs w:val="20"/>
          <w:color w:val="auto"/>
        </w:rPr>
      </w:pPr>
      <w:r>
        <w:rPr>
          <w:rFonts w:ascii="Arial" w:cs="Arial" w:eastAsia="Arial" w:hAnsi="Arial"/>
          <w:sz w:val="16"/>
          <w:szCs w:val="16"/>
          <w:color w:val="auto"/>
        </w:rPr>
        <w:t>avoid, decrease or conceal an obligation. A claim includes “any request or demand” for money or property presented to the U.S. government. Violation of the federal Anti-Kickback Statute may also constitute a false or fraudulent claim for purposes of the federal civil False Claims Act. Actions under the civil False Claims Act may be brought by the Attorney General or as a qui tam action by a private individual in the name of the government. Violations of the civil False Claims Act can result in very significant monetary penalties and treble damages.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(defined to include doctors, dentists, optometrists, podiatrists and chiropractors), certain other health care professionals beginning in 2022,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pricing information and marketing expenditure as well as gifts, compensation and other remuneration or items of value provided to physicians and other healthcare professionals and entities.</w:t>
      </w:r>
    </w:p>
    <w:p>
      <w:pPr>
        <w:spacing w:after="0" w:line="16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Violation of any of such laws or any other governmental regulations that may apply to us can result in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p>
      <w:pPr>
        <w:spacing w:after="0" w:line="14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many of which differ from each other in significant ways and may not have the same requirements, thus complicating compliance efforts. By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65" w:right="339" w:bottom="1440" w:gutter="0" w:footer="0" w:header="0"/>
        </w:sectPr>
      </w:pPr>
    </w:p>
    <w:bookmarkStart w:id="32" w:name="page33"/>
    <w:bookmarkEnd w:id="32"/>
    <w:p>
      <w:pPr>
        <w:ind w:right="40"/>
        <w:spacing w:after="0" w:line="275" w:lineRule="auto"/>
        <w:rPr>
          <w:sz w:val="20"/>
          <w:szCs w:val="20"/>
          <w:color w:val="auto"/>
        </w:rPr>
      </w:pPr>
      <w:r>
        <w:rPr>
          <w:rFonts w:ascii="Arial" w:cs="Arial" w:eastAsia="Arial" w:hAnsi="Arial"/>
          <w:sz w:val="17"/>
          <w:szCs w:val="17"/>
          <w:color w:val="auto"/>
        </w:rPr>
        <w:t>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Moreover, for drugs and biologics administered under the supervision of a physician, obtaining coverage and adequate reimbursement may be particularly difficult because of the higher prices often associated with such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18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containment of healthcare costs is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subjected drug manufacturers to new annual fees based on pharmaceutical companies’ share of sales to federal healthcare programs; and created a new Patient Centered Outcomes Research Institute to oversee, identify priorities in, and conduct comparative clinical effectiveness research, along with funding for such research.</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was enacted, which, among other things, removes penalties for not complying with the individual mandate to carry health insurance. Further, on December 14, 2018, a U.S. District Court Judge in the Northern District of Texas, ruled that the individual mandate is a critical and inseverable feature of the ACA, and therefore, because it was repealed as part of the Tax Cuts and Jobs Acts,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law.</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This included aggregate reductions of Medicare payments to providers of 2% per fiscal year, which went into effect on April 1, 2013</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665" w:right="339" w:bottom="1440" w:gutter="0" w:footer="0" w:header="0"/>
        </w:sectPr>
      </w:pPr>
    </w:p>
    <w:bookmarkStart w:id="33" w:name="page34"/>
    <w:bookmarkEnd w:id="33"/>
    <w:p>
      <w:pPr>
        <w:spacing w:after="0" w:line="293" w:lineRule="auto"/>
        <w:rPr>
          <w:sz w:val="20"/>
          <w:szCs w:val="20"/>
          <w:color w:val="auto"/>
        </w:rPr>
      </w:pPr>
      <w:r>
        <w:rPr>
          <w:rFonts w:ascii="Arial" w:cs="Arial" w:eastAsia="Arial" w:hAnsi="Arial"/>
          <w:sz w:val="16"/>
          <w:szCs w:val="16"/>
          <w:color w:val="auto"/>
        </w:rPr>
        <w:t>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 The implementation of cost containment measures or other healthcare reforms may prevent us from being able to generate revenue, attain profitability or commercialize our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As of January 31, 2020, we had 39 full-time employees, 27 of whom were primarily engaged in research and development activities. A total of 12 employees have either one or both an M.D. or Ph.D. degree. None of our employees are represented by a labor union and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were incorporated in Delaware in 2007. Our principal executive offices are located at 480 Arsenal Way, Watertown, MA 02472 and our telephone number is (617) 923-1400. Our website address is www.selectabio.com. Information contained on or accessible through our website is not a part of this Annual Report on Form 10-K, and the inclusion of our website address in this Annual Report on Form 10-K is an inactive textual reference only.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www.selectabio.com, under “Investors,” free of charge, copies of these reports as soon as reasonably practicable after filing or furnishing these reports with the SEC.</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Since inception, we have incurred significant operating losses in every year. Our net loss was $55.4 million for the year ended December 31, 2019 and</w:t>
      </w:r>
    </w:p>
    <w:p>
      <w:pPr>
        <w:spacing w:after="0" w:line="46"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$65.3 million for each of the years ended December 31, 2018 and 2017, respectively. As of December 31, 2019, we had an accumulated deficit of $335.8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83" w:lineRule="exact"/>
        <w:rPr>
          <w:sz w:val="20"/>
          <w:szCs w:val="20"/>
          <w:color w:val="auto"/>
        </w:rPr>
      </w:pPr>
    </w:p>
    <w:p>
      <w:pPr>
        <w:ind w:left="340" w:hanging="332"/>
        <w:spacing w:after="0" w:line="207" w:lineRule="exact"/>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8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maintain and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7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ectPr>
          <w:pgSz w:w="11900" w:h="16838" w:orient="portrait"/>
          <w:cols w:equalWidth="0" w:num="1">
            <w:col w:w="11240"/>
          </w:cols>
          <w:pgMar w:left="320" w:top="66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661" w:right="339" w:bottom="1440" w:gutter="0" w:footer="0" w:header="0"/>
          <w:type w:val="continuous"/>
        </w:sectPr>
      </w:pPr>
    </w:p>
    <w:bookmarkStart w:id="35" w:name="page36"/>
    <w:bookmarkEnd w:id="35"/>
    <w:p>
      <w:pPr>
        <w:ind w:right="14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expect our expenses to increase in connection with our ongoing activities, particularly as we conduct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continue to develop our gene therapy program, including our collaboration with AskBio,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our existing cash, cash equivalents, investments, and restricted cash as of December 31, 2019 will enable us to fund our operating expenses and capital expenditure requirements into the first quarter of 2021. We plan to commence our Phase 3 clinical program in SEL-212 in the second half of 2020. Because our current operating plan does not contain sufficient resources, we will require additional external sources of capital to complete the planned Phase 3 clinical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Annual Report on Form 10-K.</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Moreover, under the terms of the MIT License, MIT may terminate the MIT License if we fail to meet a diligence obligation, including the initiation of a Phase 3 clinical trial by a specified date in the fourth quarter of 2019. If we are unable to reach an agreement with MIT regarding an acceptable amendment of the MIT License and if we are unable to cure the breach, which is currently tolled until the earlier of (i) a specified date in the second quarter of 2020 or</w:t>
      </w:r>
    </w:p>
    <w:p>
      <w:pPr>
        <w:spacing w:after="0" w:line="2" w:lineRule="exact"/>
        <w:rPr>
          <w:sz w:val="20"/>
          <w:szCs w:val="20"/>
          <w:color w:val="auto"/>
        </w:rPr>
      </w:pPr>
    </w:p>
    <w:p>
      <w:pPr>
        <w:ind w:firstLine="8"/>
        <w:spacing w:after="0" w:line="260"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date of a written amendment to the MIT Agreement, there could be a material adverse effect on our business. See “Business - Licenses and Collaborations – Massachusetts Institute of Technology.”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line="207" w:lineRule="exact"/>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40" w:hanging="332"/>
        <w:spacing w:after="0" w:line="223" w:lineRule="exact"/>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w:t>
      </w:r>
    </w:p>
    <w:p>
      <w:pPr>
        <w:sectPr>
          <w:pgSz w:w="11900" w:h="16838" w:orient="portrait"/>
          <w:cols w:equalWidth="0" w:num="1">
            <w:col w:w="11220"/>
          </w:cols>
          <w:pgMar w:left="320" w:top="665" w:right="35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665" w:right="359" w:bottom="1440" w:gutter="0" w:footer="0" w:header="0"/>
          <w:type w:val="continuous"/>
        </w:sectPr>
      </w:pPr>
    </w:p>
    <w:bookmarkStart w:id="36" w:name="page37"/>
    <w:bookmarkEnd w:id="36"/>
    <w:p>
      <w:pPr>
        <w:ind w:right="120"/>
        <w:spacing w:after="0" w:line="311" w:lineRule="auto"/>
        <w:rPr>
          <w:sz w:val="20"/>
          <w:szCs w:val="20"/>
          <w:color w:val="auto"/>
        </w:rPr>
      </w:pPr>
      <w:r>
        <w:rPr>
          <w:rFonts w:ascii="Arial" w:cs="Arial" w:eastAsia="Arial" w:hAnsi="Arial"/>
          <w:sz w:val="16"/>
          <w:szCs w:val="16"/>
          <w:color w:val="auto"/>
        </w:rPr>
        <w:t>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December 31, 2019 and December 31, 2018, we had an accumulated deficit of $335.8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Annual Report on Form 10-K.</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Because our current operating plan does not contain sufficient resources, we will require additional external sources of capital to complete the planned Phase 3 clinical program for SEL-212. If we are unable to raise sufficient capital,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commenced active operations in 2007, and our operations to date have been limited to developing and researching our ImmTOR platform and related products and programs, building our intellectual property portfolio, developing our supply chain, planning our business, raising capital and providing general and administrative support for these operations. Other than SEL-212, our lead product candidate, our other product candidates are still in preclinical development. While we have completed our early development clinical trials and a Phase 2 clinical trial for SEL</w:t>
      </w:r>
      <w:r>
        <w:rPr>
          <w:rFonts w:ascii="MS PGothic" w:cs="MS PGothic" w:eastAsia="MS PGothic" w:hAnsi="MS PGothic"/>
          <w:sz w:val="16"/>
          <w:szCs w:val="16"/>
          <w:color w:val="auto"/>
        </w:rPr>
        <w:t>‑</w:t>
      </w:r>
      <w:r>
        <w:rPr>
          <w:rFonts w:ascii="Arial" w:cs="Arial" w:eastAsia="Arial" w:hAnsi="Arial"/>
          <w:sz w:val="16"/>
          <w:szCs w:val="16"/>
          <w:color w:val="auto"/>
        </w:rPr>
        <w:t>212, we have not completed a clinical trial for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quarter and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65" w:right="339" w:bottom="1440" w:gutter="0" w:footer="0" w:header="0"/>
        </w:sectPr>
      </w:pPr>
    </w:p>
    <w:bookmarkStart w:id="37" w:name="page38"/>
    <w:bookmarkEnd w:id="37"/>
    <w:p>
      <w:pPr>
        <w:ind w:right="100"/>
        <w:spacing w:after="0" w:line="296" w:lineRule="auto"/>
        <w:rPr>
          <w:sz w:val="20"/>
          <w:szCs w:val="20"/>
          <w:color w:val="auto"/>
        </w:rPr>
      </w:pPr>
      <w:r>
        <w:rPr>
          <w:rFonts w:ascii="Arial" w:cs="Arial" w:eastAsia="Arial" w:hAnsi="Arial"/>
          <w:sz w:val="16"/>
          <w:szCs w:val="16"/>
          <w:color w:val="auto"/>
        </w:rPr>
        <w:t>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Tax Cuts and Jobs Act of 2017, or TCJA, has significantly changed the U.S. federal income taxation of U.S. corporations.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work with our tax advisors and auditors to determine the full impact that the TCJA will have on us. We urge our investors to consult with their legal and tax advisors with respect to the TCJA.</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the TCJA, although the treatment of NOLs arising on or before December 31, 2017 has generally not changed, NOLs arising on or after January 1, 2018 will generally only be able to offset 80% of taxable income. This change may require us to pay federal income taxes in future years despite generating a loss for federal income tax purposes in prior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204"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All of our product candidates are derived from our ImmTOR platform, which is an unproven approach to induce antigen</w:t>
      </w:r>
      <w:r>
        <w:rPr>
          <w:rFonts w:ascii="MS PGothic" w:cs="MS PGothic" w:eastAsia="MS PGothic" w:hAnsi="MS PGothic"/>
          <w:sz w:val="16"/>
          <w:szCs w:val="16"/>
          <w:color w:val="auto"/>
        </w:rPr>
        <w:t>‑</w:t>
      </w:r>
      <w:r>
        <w:rPr>
          <w:rFonts w:ascii="Arial" w:cs="Arial" w:eastAsia="Arial" w:hAnsi="Arial"/>
          <w:sz w:val="16"/>
          <w:szCs w:val="16"/>
          <w:color w:val="auto"/>
        </w:rPr>
        <w:t>specific immune tolerance and to mitigate the immunogenicity of biologic therapies currently being implemented to treat patients. We are primarily developing our ImmTOR platform to improve and enable activity in biologics that are designed to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212 for the treatment of chronic refractory gout. We are also leveraging our ImmTOR platform to pursue programs in additional therapeutic areas with a focus on gene therapy.</w:t>
      </w:r>
    </w:p>
    <w:p>
      <w:pPr>
        <w:spacing w:after="0" w:line="20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developing two gene therapy product candidates for rare inborn errors of metabolism. Our lead gene therapy program, known as SEL-302, is a potential gene therapy product candidate for MMA</w:t>
      </w:r>
      <w:r>
        <w:rPr>
          <w:rFonts w:ascii="Arial" w:cs="Arial" w:eastAsia="Arial" w:hAnsi="Arial"/>
          <w:sz w:val="17"/>
          <w:szCs w:val="17"/>
          <w:color w:val="333333"/>
        </w:rPr>
        <w:t>.</w:t>
      </w:r>
      <w:r>
        <w:rPr>
          <w:rFonts w:ascii="Arial" w:cs="Arial" w:eastAsia="Arial" w:hAnsi="Arial"/>
          <w:sz w:val="17"/>
          <w:szCs w:val="17"/>
          <w:color w:val="auto"/>
        </w:rPr>
        <w:t xml:space="preserve"> In August 2019, we entered into a feasibility study and license agreement with AskBio, the AskBio Collaboration Agreement, pursuant to which we and AskBio agreed to conduct proof of concept studies to potentially validate the use of our ImmTOR platform in conjunction with an AAV gene therapy for the treatment of MMA, based on SEL-302, to mitigate the formation of neutralizing anti-AAV capsid antibodies. If the proof of concept studies are successful, we will proceed with a collaboration to pursue the development and commercialization of AAV gene therapy product candidates utilizing ImmTOR for the treatment of certain agreed serious rare and orphan genetic diseases. Our second gene therapy product candidate, known as SEL-313, is being developed to treat ornithine transcarbamylase deficiency. In September 2018, we announced a collaboration with the European consortium, CureCN, for an ImmTOR+AAV gene therapy combination product candidate in Crigler-Najjar syndrome, a rare genetic disorder characterized by an inability to properly convert and clear bilirubin from the body. We expect the CureCN consortium to obtain scientific advice from the German drug regulatory authority in 2020.</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at an early stage of development of most of our product candidates and our technology has not yet led to, and may never lead to, approvable or marketable drugs. We may have problems identifying new product candidates and applying our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665" w:right="379" w:bottom="1440" w:gutter="0" w:footer="0" w:header="0"/>
        </w:sectPr>
      </w:pPr>
    </w:p>
    <w:bookmarkStart w:id="38" w:name="page39"/>
    <w:bookmarkEnd w:id="38"/>
    <w:p>
      <w:pPr>
        <w:jc w:val="both"/>
        <w:ind w:right="440"/>
        <w:spacing w:after="0" w:line="311" w:lineRule="auto"/>
        <w:rPr>
          <w:sz w:val="20"/>
          <w:szCs w:val="20"/>
          <w:color w:val="auto"/>
        </w:rPr>
      </w:pPr>
      <w:r>
        <w:rPr>
          <w:rFonts w:ascii="Arial" w:cs="Arial" w:eastAsia="Arial" w:hAnsi="Arial"/>
          <w:sz w:val="16"/>
          <w:szCs w:val="16"/>
          <w:color w:val="auto"/>
        </w:rPr>
        <w:t>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4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w:t>
      </w:r>
    </w:p>
    <w:p>
      <w:pPr>
        <w:spacing w:after="0" w:line="225" w:lineRule="exact"/>
        <w:rPr>
          <w:rFonts w:ascii="Arial" w:cs="Arial" w:eastAsia="Arial" w:hAnsi="Arial"/>
          <w:sz w:val="18"/>
          <w:szCs w:val="18"/>
          <w:color w:val="auto"/>
        </w:rPr>
      </w:pPr>
    </w:p>
    <w:p>
      <w:pPr>
        <w:ind w:left="340" w:right="10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collaborators, licensees, clinical research organizations and contract manufacturing organizations);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the unproven nature of our ImmTOR therapeutics, there may be different efficacy and safety rates in various indications;</w:t>
      </w:r>
    </w:p>
    <w:p>
      <w:pPr>
        <w:spacing w:after="0" w:line="225" w:lineRule="exact"/>
        <w:rPr>
          <w:rFonts w:ascii="Arial" w:cs="Arial" w:eastAsia="Arial" w:hAnsi="Arial"/>
          <w:sz w:val="18"/>
          <w:szCs w:val="18"/>
          <w:color w:val="auto"/>
        </w:rPr>
      </w:pPr>
    </w:p>
    <w:p>
      <w:pPr>
        <w:ind w:left="340" w:right="100" w:hanging="332"/>
        <w:spacing w:after="0" w:line="220" w:lineRule="exact"/>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4" w:lineRule="exact"/>
        <w:rPr>
          <w:rFonts w:ascii="Arial" w:cs="Arial" w:eastAsia="Arial" w:hAnsi="Arial"/>
          <w:sz w:val="18"/>
          <w:szCs w:val="18"/>
          <w:color w:val="auto"/>
        </w:rPr>
      </w:pPr>
    </w:p>
    <w:p>
      <w:pPr>
        <w:ind w:left="340" w:right="120" w:hanging="332"/>
        <w:spacing w:after="0" w:line="221" w:lineRule="exact"/>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third party manufacturers we may use, the FDA may not approve the facility for production or may make observations that will take significant time for 3SBio or such other manufacturer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platform. We may experience problems or delays in developing such product candidates and any such problems or delays (i) may result in unanticipated costs and time to develop our product candidates and/or (ii) may not be resolved in a satisfactory manner.</w:t>
      </w:r>
    </w:p>
    <w:p>
      <w:pPr>
        <w:sectPr>
          <w:pgSz w:w="11900" w:h="16838" w:orient="portrait"/>
          <w:cols w:equalWidth="0" w:num="1">
            <w:col w:w="11220"/>
          </w:cols>
          <w:pgMar w:left="320" w:top="665" w:right="359" w:bottom="1440" w:gutter="0" w:footer="0" w:header="0"/>
        </w:sect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665" w:right="359" w:bottom="1440" w:gutter="0" w:footer="0" w:header="0"/>
          <w:type w:val="continuous"/>
        </w:sectPr>
      </w:pPr>
    </w:p>
    <w:bookmarkStart w:id="39" w:name="page40"/>
    <w:bookmarkEnd w:id="39"/>
    <w:p>
      <w:pPr>
        <w:ind w:right="20"/>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similar framework is in place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665" w:right="339" w:bottom="1440" w:gutter="0" w:footer="0" w:header="0"/>
        </w:sectPr>
      </w:pPr>
    </w:p>
    <w:bookmarkStart w:id="40" w:name="page41"/>
    <w:bookmarkEnd w:id="40"/>
    <w:p>
      <w:pPr>
        <w:spacing w:after="0" w:line="279" w:lineRule="auto"/>
        <w:rPr>
          <w:sz w:val="20"/>
          <w:szCs w:val="20"/>
          <w:color w:val="auto"/>
        </w:rPr>
      </w:pPr>
      <w:r>
        <w:rPr>
          <w:rFonts w:ascii="Arial" w:cs="Arial" w:eastAsia="Arial" w:hAnsi="Arial"/>
          <w:sz w:val="17"/>
          <w:szCs w:val="17"/>
          <w:color w:val="auto"/>
        </w:rPr>
        <w:t>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8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lead product candidate, SEL-212, was evaluated in a Phase 2 clinical program that was initiated in October 2016 and the final patient's last visit occurred in January 2019. In March 2019, we initiated COMPARE, a Phase 2 clinical trial designed to directly compare the safety, efficacy and tolerability of SEL-212 to the currently FDA-approved uricase therapy, KRYSTEXXA, for the treatment of patients with chronic refractory gout, and completed our targeted enrollment of the COMPARE trial in December 2019. We are preparing for the start of a pivotal Phase 3 program for SEL-212.</w:t>
      </w:r>
    </w:p>
    <w:p>
      <w:pPr>
        <w:spacing w:after="0" w:line="15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May 2017 we licensed LMB-100, a potent immunotoxin, from the National Cancer Institute (NCI) and a Phase 1 clinical trial of LMB-100 plus ImmTOR (SEL-403) initiated in March 2018 by NCI in patients with malignant pleural or peritoneal mesothelioma who had undergone at least one regimen of chemotherapy under a Cooperative Research and Development Agreement (CRADA) between the NCI and the Company. In October 2018,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 point inhibitors, which have been reported to be associated with pneumonitis. However, the possible relationship to SVP-Rapamycin could not be excluded. Pneumonitis has been reported in patients receiving daily oral rapamycin. In addition, a Serious Adverse Event (pericardial effusion) was seen in one of the other three patients dosed in the SEL-403 clinical trial. Pericardial effusion can also be a side effect of immunotoxin therapies targeting mesothelin. The FDA placed the IND for SEL-403 on full clinical hold in response to adverse events observed during the Phase 1 trial. Selecta has terminated the license of LMB-100 from NCI, effective April 9, 2019 and is no longer pursuing this product candidate.</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18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from our Phase 2 head-to-head (COMPARE) study of SEL-212, including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65" w:right="339" w:bottom="1440" w:gutter="0" w:footer="0" w:header="0"/>
        </w:sectPr>
      </w:pPr>
    </w:p>
    <w:bookmarkStart w:id="41" w:name="page42"/>
    <w:bookmarkEnd w:id="41"/>
    <w:p>
      <w:pPr>
        <w:ind w:right="180"/>
        <w:spacing w:after="0" w:line="277" w:lineRule="auto"/>
        <w:rPr>
          <w:sz w:val="20"/>
          <w:szCs w:val="20"/>
          <w:color w:val="auto"/>
        </w:rPr>
      </w:pPr>
      <w:r>
        <w:rPr>
          <w:rFonts w:ascii="Arial" w:cs="Arial" w:eastAsia="Arial" w:hAnsi="Arial"/>
          <w:sz w:val="18"/>
          <w:szCs w:val="18"/>
          <w:color w:val="auto"/>
        </w:rPr>
        <w:t>interim results, may not be predictive of future results. Moreover, we may not be able to complete, or may be required to deviate from the current clinical trial protocol for a variety of reasons.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we cannot be certain as to what type and how many clinical trials the FDA will require us to conduct before we may gain regulatory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that we may need to conduct more than one Phase 3 trial for SEL-212 for a chronic refractory gout indication in order to gain approval from the FDA. Even if we conduct more than one Phase 3 trial for SEL-212, the FDA may not accept the data, and may delay, limit or deny approval of SEL-212. Additional clinical trials could cause us to incur significant development costs, delay or prevent the commercialization of SEL-212 or otherwise adversely affect our business.</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8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30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236"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ectPr>
          <w:pgSz w:w="11900" w:h="16838" w:orient="portrait"/>
          <w:cols w:equalWidth="0" w:num="1">
            <w:col w:w="11220"/>
          </w:cols>
          <w:pgMar w:left="320" w:top="665"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665" w:right="359" w:bottom="1440" w:gutter="0" w:footer="0" w:header="0"/>
          <w:type w:val="continuous"/>
        </w:sectPr>
      </w:pPr>
    </w:p>
    <w:bookmarkStart w:id="42" w:name="page43"/>
    <w:bookmarkEnd w:id="42"/>
    <w:p>
      <w:pPr>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71"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160,000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665" w:right="339" w:bottom="1440" w:gutter="0" w:footer="0" w:header="0"/>
          <w:type w:val="continuous"/>
        </w:sectPr>
      </w:pPr>
    </w:p>
    <w:bookmarkStart w:id="43" w:name="page44"/>
    <w:bookmarkEnd w:id="43"/>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ectPr>
          <w:pgSz w:w="11900" w:h="16838" w:orient="portrait"/>
          <w:cols w:equalWidth="0" w:num="1">
            <w:col w:w="11240"/>
          </w:cols>
          <w:pgMar w:left="320" w:top="665" w:right="339" w:bottom="628"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665" w:right="339" w:bottom="628" w:gutter="0" w:footer="0" w:header="0"/>
          <w:type w:val="continuous"/>
        </w:sectPr>
      </w:pPr>
    </w:p>
    <w:bookmarkStart w:id="44" w:name="page45"/>
    <w:bookmarkEnd w:id="44"/>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6"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665" w:right="339" w:bottom="1440"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t>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70" w:lineRule="exact"/>
        <w:rPr>
          <w:sz w:val="20"/>
          <w:szCs w:val="20"/>
          <w:color w:val="auto"/>
        </w:rPr>
      </w:pPr>
    </w:p>
    <w:p>
      <w:pPr>
        <w:ind w:left="720" w:hanging="32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720" w:right="12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6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right="42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720" w:hanging="32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720" w:hanging="321"/>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36" w:lineRule="exact"/>
        <w:rPr>
          <w:rFonts w:ascii="Arial" w:cs="Arial" w:eastAsia="Arial" w:hAnsi="Arial"/>
          <w:sz w:val="17"/>
          <w:szCs w:val="17"/>
          <w:color w:val="auto"/>
        </w:rPr>
      </w:pPr>
    </w:p>
    <w:p>
      <w:pPr>
        <w:ind w:left="720" w:right="220" w:hanging="321"/>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23" w:lineRule="exact"/>
        <w:rPr>
          <w:rFonts w:ascii="Arial" w:cs="Arial" w:eastAsia="Arial" w:hAnsi="Arial"/>
          <w:sz w:val="16"/>
          <w:szCs w:val="16"/>
          <w:color w:val="auto"/>
        </w:rPr>
      </w:pPr>
    </w:p>
    <w:p>
      <w:pPr>
        <w:ind w:left="720" w:right="20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may disagree regarding the formulation, labeling and/or the specifications of our product candidates;</w:t>
      </w:r>
    </w:p>
    <w:p>
      <w:pPr>
        <w:spacing w:after="0" w:line="170" w:lineRule="exact"/>
        <w:rPr>
          <w:rFonts w:ascii="Arial" w:cs="Arial" w:eastAsia="Arial" w:hAnsi="Arial"/>
          <w:sz w:val="18"/>
          <w:szCs w:val="18"/>
          <w:color w:val="auto"/>
        </w:rPr>
      </w:pPr>
    </w:p>
    <w:p>
      <w:pPr>
        <w:ind w:left="720" w:right="18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720" w:right="120" w:hanging="321"/>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7"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ectPr>
          <w:pgSz w:w="11900" w:h="16838" w:orient="portrait"/>
          <w:cols w:equalWidth="0" w:num="1">
            <w:col w:w="11240"/>
          </w:cols>
          <w:pgMar w:left="320" w:top="665"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665" w:right="339" w:bottom="1440" w:gutter="0" w:footer="0" w:header="0"/>
          <w:type w:val="continuous"/>
        </w:sectPr>
      </w:pPr>
    </w:p>
    <w:bookmarkStart w:id="46" w:name="page47"/>
    <w:bookmarkEnd w:id="46"/>
    <w:p>
      <w:pPr>
        <w:ind w:right="6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7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the SEL-212 multi-year clinical development program requiring multiple clinical trials resulted in the use of different formulations of ImmTOR. While we do not believe that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187" w:lineRule="exact"/>
        <w:rPr>
          <w:sz w:val="20"/>
          <w:szCs w:val="20"/>
          <w:color w:val="auto"/>
        </w:rPr>
      </w:pPr>
    </w:p>
    <w:p>
      <w:pPr>
        <w:ind w:right="12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665" w:right="33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 and</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5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204"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whether as a result of a natural disaster, public health emergency, such as the novel coronavirus, failure to comply with regulatory requirements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210"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665" w:right="339" w:bottom="1440" w:gutter="0" w:footer="0" w:header="0"/>
        </w:sectPr>
      </w:pPr>
    </w:p>
    <w:bookmarkStart w:id="48" w:name="page49"/>
    <w:bookmarkEnd w:id="48"/>
    <w:p>
      <w:pPr>
        <w:ind w:right="20"/>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300" w:hanging="332"/>
        <w:spacing w:after="0" w:line="223"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2" w:lineRule="exact"/>
        <w:rPr>
          <w:rFonts w:ascii="Arial" w:cs="Arial" w:eastAsia="Arial" w:hAnsi="Arial"/>
          <w:sz w:val="18"/>
          <w:szCs w:val="18"/>
          <w:color w:val="auto"/>
        </w:rPr>
      </w:pPr>
    </w:p>
    <w:p>
      <w:pPr>
        <w:ind w:left="340" w:right="540" w:hanging="332"/>
        <w:spacing w:after="0" w:line="223"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2"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340" w:right="140" w:hanging="332"/>
        <w:spacing w:after="0" w:line="220"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4"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novel coronavirus outbreak could adversely impact our business, financial condition and results of operations.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December 2019, a strain of novel coronavirus surfaced in Wuhan, China. In January 2020, the World Health Organization declared the novel coronavirus outbreak a “Public Health Emergency of International Concern” and the U.S. Department of State instructed travelers to avoid all nonessential travel to China. The coronavirus has impacted the global economy and may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665" w:right="339" w:bottom="1440" w:gutter="0" w:footer="0" w:header="0"/>
        </w:sectPr>
      </w:pPr>
    </w:p>
    <w:bookmarkStart w:id="49" w:name="page50"/>
    <w:bookmarkEnd w:id="49"/>
    <w:p>
      <w:pPr>
        <w:spacing w:after="0" w:line="271" w:lineRule="auto"/>
        <w:rPr>
          <w:sz w:val="20"/>
          <w:szCs w:val="20"/>
          <w:color w:val="auto"/>
        </w:rPr>
      </w:pPr>
      <w:r>
        <w:rPr>
          <w:rFonts w:ascii="Arial" w:cs="Arial" w:eastAsia="Arial" w:hAnsi="Arial"/>
          <w:sz w:val="17"/>
          <w:szCs w:val="17"/>
          <w:color w:val="auto"/>
        </w:rPr>
        <w:t>impact our operations, including the potential interruption of our clinical trial activities and our supply chain. As a result of the outbreak, certain of our suppliers and CMOs in China may be affected, which could disrupt their activities. We could therefore face difficulty sourcing key components necessary to produce supply of SEL-212, which may negatively affect our clinical development activities. While we have a back-up supplier for SEL-037 in the United States, they may not have capacity in a timely manner for our projects and they may cost more, which could affect our results of operations and financial position. If the coronavirus further impacts US business operations, including our CMOs and suppliers, we could face additional disruption to our supply chain that could affect the supply of drug product for the clinical trials. In addition, the coronavirus outbreak could delay enrollment in our clinical trials due to prioritization of hospital resources toward the outbreak, and some patients may not be able to comply with clinical trial protocols if quarantines impede patient movement or interrupt healthcare services.</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At this point in time, there is significant uncertainty relating to the potential effect of the novel coronavirus on our business. Infections may become more widespread, including in countries where we are conducting clinical trials, and manufacturing closures and travel restrictions may remain or worsen, all of which would have a negative impact on our business, financial condition and results of operations.</w:t>
      </w:r>
    </w:p>
    <w:p>
      <w:pPr>
        <w:spacing w:after="0" w:line="184"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entered into collaborations with other parties, including pharmaceutical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the Company, and certain collaborations, licenses and agreements may result in increased expenditures by the Company. Our existing collaborations, and any future collaborations we enter into, may pose a number of risks, including the following:</w:t>
      </w:r>
    </w:p>
    <w:p>
      <w:pPr>
        <w:spacing w:after="0" w:line="17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right="400" w:hanging="332"/>
        <w:spacing w:after="0" w:line="31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48" w:lineRule="exact"/>
        <w:rPr>
          <w:rFonts w:ascii="Arial" w:cs="Arial" w:eastAsia="Arial" w:hAnsi="Arial"/>
          <w:sz w:val="16"/>
          <w:szCs w:val="16"/>
          <w:color w:val="auto"/>
        </w:rPr>
      </w:pPr>
    </w:p>
    <w:p>
      <w:pPr>
        <w:ind w:left="340" w:right="36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0" w:hanging="332"/>
        <w:spacing w:after="0" w:line="31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8" w:lineRule="exact"/>
        <w:rPr>
          <w:rFonts w:ascii="Arial" w:cs="Arial" w:eastAsia="Arial" w:hAnsi="Arial"/>
          <w:sz w:val="16"/>
          <w:szCs w:val="16"/>
          <w:color w:val="auto"/>
        </w:rPr>
      </w:pPr>
    </w:p>
    <w:p>
      <w:pPr>
        <w:ind w:left="340" w:right="5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220" w:hanging="332"/>
        <w:spacing w:after="0" w:line="221" w:lineRule="exact"/>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3" w:lineRule="exact"/>
        <w:rPr>
          <w:rFonts w:ascii="Arial" w:cs="Arial" w:eastAsia="Arial" w:hAnsi="Arial"/>
          <w:sz w:val="16"/>
          <w:szCs w:val="16"/>
          <w:color w:val="auto"/>
        </w:rPr>
      </w:pPr>
    </w:p>
    <w:p>
      <w:pPr>
        <w:ind w:left="340" w:right="3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3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665" w:right="359" w:bottom="1440" w:gutter="0" w:footer="0" w:header="0"/>
        </w:sectPr>
      </w:pPr>
    </w:p>
    <w:bookmarkStart w:id="50" w:name="page51"/>
    <w:bookmarkEnd w:id="50"/>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platform and product candidates could be delayed and we may need additional resources to develop additional product candidates. All of the risks relating to product development, regulatory approval and commercialization described in this Annual Report on Form 10-K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 For example, MIT may terminate the MIT License if we fail to meet a diligence obligation, including the initiation of a Phase 3 clinical trial by a specified date in the fourth quarter of 2019. In December 2019, we entered into the MIT Amendment. Pursuant to the MIT Amendment, the provision of the MIT License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The parties agreed to negotiate in good faith to enter into a future amendment to the MIT License after we provide MIT with an amended diligence plan. However, if we are unable to reach an agreement with MIT regarding an acceptable amendment of the MIT License and if we are unable to cure the breach, there could be a material adverse effect on our business. See “Business - Licenses and Collaborations - Massachusetts Institute of Technology.”</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for our other product candidates. We also expect to rely on other third parties to store and distribute drug supplies for our clinical trials.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65" w:right="339" w:bottom="1440" w:gutter="0" w:footer="0" w:header="0"/>
        </w:sectPr>
      </w:pPr>
    </w:p>
    <w:bookmarkStart w:id="51" w:name="page52"/>
    <w:bookmarkEnd w:id="51"/>
    <w:p>
      <w:pPr>
        <w:ind w:right="380"/>
        <w:spacing w:after="0" w:line="220" w:lineRule="exact"/>
        <w:rPr>
          <w:sz w:val="20"/>
          <w:szCs w:val="20"/>
          <w:color w:val="auto"/>
        </w:rPr>
      </w:pPr>
      <w:r>
        <w:rPr>
          <w:rFonts w:ascii="Arial" w:cs="Arial" w:eastAsia="Arial" w:hAnsi="Arial"/>
          <w:sz w:val="18"/>
          <w:szCs w:val="18"/>
          <w:color w:val="auto"/>
        </w:rPr>
        <w:t>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Arial" w:cs="Arial" w:eastAsia="Arial" w:hAnsi="Arial"/>
          <w:sz w:val="18"/>
          <w:szCs w:val="18"/>
          <w:color w:val="auto"/>
        </w:rPr>
        <w:t xml:space="preserve">sponsored database, </w:t>
      </w:r>
      <w:r>
        <w:rPr>
          <w:rFonts w:ascii="Arial" w:cs="Arial" w:eastAsia="Arial" w:hAnsi="Arial"/>
          <w:sz w:val="18"/>
          <w:szCs w:val="18"/>
          <w:i w:val="1"/>
          <w:iCs w:val="1"/>
          <w:color w:val="auto"/>
        </w:rPr>
        <w:t>ClinicalTrials.gov</w:t>
      </w:r>
      <w:r>
        <w:rPr>
          <w:rFonts w:ascii="Arial" w:cs="Arial" w:eastAsia="Arial" w:hAnsi="Arial"/>
          <w:sz w:val="18"/>
          <w:szCs w:val="18"/>
          <w:color w:val="auto"/>
        </w:rPr>
        <w:t>, within specified timeframes. Failure to do so can result in fines, adverse publicity and civil and criminal sanctions.</w:t>
      </w:r>
    </w:p>
    <w:p>
      <w:pPr>
        <w:spacing w:after="0" w:line="9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4"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We have a pilot manufacturing facility at our Watertown, Massachusetts location where we conduct process development, scale</w:t>
      </w:r>
      <w:r>
        <w:rPr>
          <w:rFonts w:ascii="MS PGothic" w:cs="MS PGothic" w:eastAsia="MS PGothic" w:hAnsi="MS PGothic"/>
          <w:sz w:val="16"/>
          <w:szCs w:val="16"/>
          <w:color w:val="auto"/>
        </w:rPr>
        <w:t>‑</w:t>
      </w:r>
      <w:r>
        <w:rPr>
          <w:rFonts w:ascii="Arial" w:cs="Arial" w:eastAsia="Arial" w:hAnsi="Arial"/>
          <w:sz w:val="16"/>
          <w:szCs w:val="16"/>
          <w:color w:val="auto"/>
        </w:rPr>
        <w:t>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6"/>
          <w:szCs w:val="16"/>
          <w:color w:val="auto"/>
        </w:rPr>
        <w:t>‑</w:t>
      </w:r>
      <w:r>
        <w:rPr>
          <w:rFonts w:ascii="Arial" w:cs="Arial" w:eastAsia="Arial" w:hAnsi="Arial"/>
          <w:sz w:val="16"/>
          <w:szCs w:val="16"/>
          <w:color w:val="auto"/>
        </w:rPr>
        <w:t>time to replace our manufacturing capabilities. In such event, we would be forced to identify and rely entirely on alternative third</w:t>
      </w:r>
      <w:r>
        <w:rPr>
          <w:rFonts w:ascii="MS PGothic" w:cs="MS PGothic" w:eastAsia="MS PGothic" w:hAnsi="MS PGothic"/>
          <w:sz w:val="16"/>
          <w:szCs w:val="16"/>
          <w:color w:val="auto"/>
        </w:rPr>
        <w:t>‑</w:t>
      </w:r>
      <w:r>
        <w:rPr>
          <w:rFonts w:ascii="Arial" w:cs="Arial" w:eastAsia="Arial" w:hAnsi="Arial"/>
          <w:sz w:val="16"/>
          <w:szCs w:val="16"/>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9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w:t>
      </w:r>
      <w:r>
        <w:rPr>
          <w:rFonts w:ascii="MS PGothic" w:cs="MS PGothic" w:eastAsia="MS PGothic" w:hAnsi="MS PGothic"/>
          <w:sz w:val="17"/>
          <w:szCs w:val="17"/>
          <w:color w:val="auto"/>
        </w:rPr>
        <w:t>‑</w:t>
      </w:r>
      <w:r>
        <w:rPr>
          <w:rFonts w:ascii="Arial" w:cs="Arial" w:eastAsia="Arial" w:hAnsi="Arial"/>
          <w:sz w:val="17"/>
          <w:szCs w:val="17"/>
          <w:color w:val="auto"/>
        </w:rPr>
        <w:t>party payors and others in the medical community. If our product candidates do not achieve an adequate level of acceptance, we may not generate significant product revenues and we may not become profitable. For example, even if the statistical results from our Phase 2 head-to-head (COMPARE) trial vs. KRYSTEXXA favor SEL-212 and SEL-212 receives marketing approval, the drug may fail to gain market acceptance from physicians, patients, third-party payors and others in the medical community who may continue to favor KRYSTEXXA. The degree of market acceptance of our product candidates, if any, will depend on a number of factors, including:</w:t>
      </w:r>
    </w:p>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ectPr>
          <w:pgSz w:w="11900" w:h="16838" w:orient="portrait"/>
          <w:cols w:equalWidth="0" w:num="1">
            <w:col w:w="11240"/>
          </w:cols>
          <w:pgMar w:left="320" w:top="557"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557" w:right="339" w:bottom="1440" w:gutter="0" w:footer="0" w:header="0"/>
          <w:type w:val="continuous"/>
        </w:sectPr>
      </w:pPr>
    </w:p>
    <w:bookmarkStart w:id="52" w:name="page53"/>
    <w:bookmarkEnd w:id="52"/>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of certain types of patients, particularly with respect to certain rare diseases or conditions,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5"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77"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ectPr>
          <w:pgSz w:w="11900" w:h="16838" w:orient="portrait"/>
          <w:cols w:equalWidth="0" w:num="1">
            <w:col w:w="11220"/>
          </w:cols>
          <w:pgMar w:left="320" w:top="665" w:right="359" w:bottom="1440"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665" w:right="359" w:bottom="1440" w:gutter="0" w:footer="0" w:header="0"/>
          <w:type w:val="continuous"/>
        </w:sectPr>
      </w:pPr>
    </w:p>
    <w:bookmarkStart w:id="53" w:name="page54"/>
    <w:bookmarkEnd w:id="53"/>
    <w:p>
      <w:pPr>
        <w:ind w:right="120"/>
        <w:spacing w:after="0" w:line="219"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or biosimilar products.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60"/>
        <w:spacing w:after="0" w:line="224" w:lineRule="exact"/>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coverage or reimbursement policies, any of which would have a material adverse effect on our business.</w:t>
      </w:r>
    </w:p>
    <w:p>
      <w:pPr>
        <w:spacing w:after="0" w:line="202"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w:t>
      </w:r>
    </w:p>
    <w:p>
      <w:pPr>
        <w:spacing w:after="0" w:line="202"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8"/>
          <w:szCs w:val="18"/>
          <w:color w:val="auto"/>
        </w:rPr>
        <w:t>‑</w:t>
      </w:r>
      <w:r>
        <w:rPr>
          <w:rFonts w:ascii="Arial" w:cs="Arial" w:eastAsia="Arial" w:hAnsi="Arial"/>
          <w:sz w:val="18"/>
          <w:szCs w:val="18"/>
          <w:color w:val="auto"/>
        </w:rPr>
        <w:t>party payors. Even if we do obtain adequate levels of reimbursement,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have attempted to control costs by limiting coverage and the amount of reimbursement for particular medications. Increasingly, third</w:t>
      </w:r>
      <w:r>
        <w:rPr>
          <w:rFonts w:ascii="MS PGothic" w:cs="MS PGothic" w:eastAsia="MS PGothic" w:hAnsi="MS PGothic"/>
          <w:sz w:val="18"/>
          <w:szCs w:val="18"/>
          <w:color w:val="auto"/>
        </w:rPr>
        <w:t>‑</w:t>
      </w:r>
      <w:r>
        <w:rPr>
          <w:rFonts w:ascii="Arial" w:cs="Arial" w:eastAsia="Arial" w:hAnsi="Arial"/>
          <w:sz w:val="18"/>
          <w:szCs w:val="18"/>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665" w:right="359" w:bottom="1440" w:gutter="0" w:footer="0" w:header="0"/>
        </w:sectPr>
      </w:pPr>
    </w:p>
    <w:bookmarkStart w:id="54" w:name="page55"/>
    <w:bookmarkEnd w:id="54"/>
    <w:p>
      <w:pPr>
        <w:jc w:val="both"/>
        <w:ind w:right="520"/>
        <w:spacing w:after="0" w:line="220" w:lineRule="exact"/>
        <w:rPr>
          <w:sz w:val="20"/>
          <w:szCs w:val="20"/>
          <w:color w:val="auto"/>
        </w:rPr>
      </w:pPr>
      <w:r>
        <w:rPr>
          <w:rFonts w:ascii="Arial" w:cs="Arial" w:eastAsia="Arial" w:hAnsi="Arial"/>
          <w:sz w:val="18"/>
          <w:szCs w:val="18"/>
          <w:color w:val="auto"/>
        </w:rPr>
        <w:t>United States. Our inability to promptly obtain coverage and adequate reimbursement rates from both government</w:t>
      </w:r>
      <w:r>
        <w:rPr>
          <w:rFonts w:ascii="MS PGothic" w:cs="MS PGothic" w:eastAsia="MS PGothic" w:hAnsi="MS PGothic"/>
          <w:sz w:val="18"/>
          <w:szCs w:val="18"/>
          <w:color w:val="auto"/>
        </w:rPr>
        <w:t>‑</w:t>
      </w:r>
      <w:r>
        <w:rPr>
          <w:rFonts w:ascii="Arial" w:cs="Arial" w:eastAsia="Arial" w:hAnsi="Arial"/>
          <w:sz w:val="18"/>
          <w:szCs w:val="18"/>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4"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1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w:t>
      </w:r>
    </w:p>
    <w:p>
      <w:pPr>
        <w:sectPr>
          <w:pgSz w:w="11900" w:h="16838" w:orient="portrait"/>
          <w:cols w:equalWidth="0" w:num="1">
            <w:col w:w="11240"/>
          </w:cols>
          <w:pgMar w:left="320" w:top="66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665" w:right="339" w:bottom="1440" w:gutter="0" w:footer="0" w:header="0"/>
          <w:type w:val="continuous"/>
        </w:sectPr>
      </w:pPr>
    </w:p>
    <w:bookmarkStart w:id="55" w:name="page56"/>
    <w:bookmarkEnd w:id="55"/>
    <w:p>
      <w:pPr>
        <w:ind w:right="100"/>
        <w:spacing w:after="0" w:line="270" w:lineRule="auto"/>
        <w:rPr>
          <w:sz w:val="20"/>
          <w:szCs w:val="20"/>
          <w:color w:val="auto"/>
        </w:rPr>
      </w:pPr>
      <w:r>
        <w:rPr>
          <w:rFonts w:ascii="Arial" w:cs="Arial" w:eastAsia="Arial" w:hAnsi="Arial"/>
          <w:sz w:val="17"/>
          <w:szCs w:val="17"/>
          <w:color w:val="auto"/>
        </w:rPr>
        <w:t>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73"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240" w:hanging="332"/>
        <w:spacing w:after="0" w:line="219"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205" w:lineRule="exact"/>
        <w:rPr>
          <w:rFonts w:ascii="Arial" w:cs="Arial" w:eastAsia="Arial" w:hAnsi="Arial"/>
          <w:sz w:val="18"/>
          <w:szCs w:val="18"/>
          <w:color w:val="auto"/>
        </w:rPr>
      </w:pPr>
    </w:p>
    <w:p>
      <w:pPr>
        <w:ind w:left="340" w:right="160" w:hanging="332"/>
        <w:spacing w:after="0" w:line="220" w:lineRule="exact"/>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8"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3" w:lineRule="exact"/>
        <w:rPr>
          <w:rFonts w:ascii="Arial" w:cs="Arial" w:eastAsia="Arial" w:hAnsi="Arial"/>
          <w:sz w:val="18"/>
          <w:szCs w:val="18"/>
          <w:color w:val="auto"/>
        </w:rPr>
      </w:pPr>
    </w:p>
    <w:p>
      <w:pPr>
        <w:ind w:left="340" w:right="140" w:hanging="332"/>
        <w:spacing w:after="0" w:line="30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157" w:lineRule="exact"/>
        <w:rPr>
          <w:rFonts w:ascii="Arial" w:cs="Arial" w:eastAsia="Arial" w:hAnsi="Arial"/>
          <w:sz w:val="16"/>
          <w:szCs w:val="16"/>
          <w:color w:val="auto"/>
        </w:rPr>
      </w:pPr>
    </w:p>
    <w:p>
      <w:pPr>
        <w:ind w:left="340" w:right="300" w:hanging="332"/>
        <w:spacing w:after="0" w:line="220"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and requirements to comply with federal and pharmaceutical industry compliance guidelines;</w:t>
      </w:r>
    </w:p>
    <w:p>
      <w:pPr>
        <w:spacing w:after="0" w:line="204"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665" w:right="339" w:bottom="1440" w:gutter="0" w:footer="0" w:header="0"/>
        </w:sectPr>
      </w:pPr>
    </w:p>
    <w:bookmarkStart w:id="56" w:name="page57"/>
    <w:bookmarkEnd w:id="56"/>
    <w:p>
      <w:pPr>
        <w:ind w:left="340" w:hanging="332"/>
        <w:spacing w:after="0" w:line="271"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00"/>
        <w:spacing w:after="0" w:line="220"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specified branded prescription drugs and biologic agents;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or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ACA or our business. We</w:t>
      </w:r>
    </w:p>
    <w:p>
      <w:pPr>
        <w:sectPr>
          <w:pgSz w:w="11900" w:h="16838" w:orient="portrait"/>
          <w:cols w:equalWidth="0" w:num="1">
            <w:col w:w="11220"/>
          </w:cols>
          <w:pgMar w:left="320" w:top="665" w:right="359"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320" w:top="665"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auto"/>
        </w:rPr>
        <w:t>cannot predict the ultimate content, timing or effect of any healthcare reform legislation or the impact of potential legislation on us.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04"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665" w:right="359" w:bottom="1440" w:gutter="0" w:footer="0" w:header="0"/>
          <w:type w:val="continuous"/>
        </w:sectPr>
      </w:pPr>
    </w:p>
    <w:bookmarkStart w:id="58" w:name="page59"/>
    <w:bookmarkEnd w:id="58"/>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approved, developed or commercialized in a timely manner, which could negatively impact our business.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spacing w:after="0" w:line="221" w:lineRule="exact"/>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laws,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204"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FCPA, the U.S. domestic bribery statute contained in 18 U.S.C. § 201, the U.S. Travel Act, the USA PATRIOT Act, and other state and national anti</w:t>
      </w:r>
      <w:r>
        <w:rPr>
          <w:rFonts w:ascii="MS PGothic" w:cs="MS PGothic" w:eastAsia="MS PGothic" w:hAnsi="MS PGothic"/>
          <w:sz w:val="16"/>
          <w:szCs w:val="16"/>
          <w:color w:val="auto"/>
        </w:rPr>
        <w:t>‑</w:t>
      </w:r>
      <w:r>
        <w:rPr>
          <w:rFonts w:ascii="Arial" w:cs="Arial" w:eastAsia="Arial" w:hAnsi="Arial"/>
          <w:sz w:val="16"/>
          <w:szCs w:val="16"/>
          <w:color w:val="auto"/>
        </w:rPr>
        <w:t>bribery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in the countries in which</w:t>
      </w:r>
    </w:p>
    <w:p>
      <w:pPr>
        <w:sectPr>
          <w:pgSz w:w="11900" w:h="16838" w:orient="portrait"/>
          <w:cols w:equalWidth="0" w:num="1">
            <w:col w:w="11240"/>
          </w:cols>
          <w:pgMar w:left="320" w:top="66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665" w:right="339" w:bottom="1440" w:gutter="0" w:footer="0" w:header="0"/>
          <w:type w:val="continuous"/>
        </w:sectPr>
      </w:pPr>
    </w:p>
    <w:bookmarkStart w:id="59" w:name="page60"/>
    <w:bookmarkEnd w:id="59"/>
    <w:p>
      <w:pPr>
        <w:ind w:right="60"/>
        <w:spacing w:after="0" w:line="217" w:lineRule="exact"/>
        <w:rPr>
          <w:sz w:val="20"/>
          <w:szCs w:val="20"/>
          <w:color w:val="auto"/>
        </w:rPr>
      </w:pPr>
      <w:r>
        <w:rPr>
          <w:rFonts w:ascii="Arial" w:cs="Arial" w:eastAsia="Arial" w:hAnsi="Arial"/>
          <w:sz w:val="16"/>
          <w:szCs w:val="16"/>
          <w:color w:val="auto"/>
        </w:rPr>
        <w:t>we conduct activities. U.S. sanctions laws and regulations may govern or restrict our business and activities in certain countries and with certain persons. Anti</w:t>
      </w:r>
      <w:r>
        <w:rPr>
          <w:rFonts w:ascii="MS PGothic" w:cs="MS PGothic" w:eastAsia="MS PGothic" w:hAnsi="MS PGothic"/>
          <w:sz w:val="16"/>
          <w:szCs w:val="16"/>
          <w:color w:val="auto"/>
        </w:rPr>
        <w:t>‑</w:t>
      </w:r>
      <w:r>
        <w:rPr>
          <w:rFonts w:ascii="Arial" w:cs="Arial" w:eastAsia="Arial" w:hAnsi="Arial"/>
          <w:sz w:val="16"/>
          <w:szCs w:val="16"/>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6"/>
          <w:szCs w:val="16"/>
          <w:color w:val="auto"/>
        </w:rPr>
        <w:t>‑</w:t>
      </w:r>
      <w:r>
        <w:rPr>
          <w:rFonts w:ascii="Arial" w:cs="Arial" w:eastAsia="Arial" w:hAnsi="Arial"/>
          <w:sz w:val="16"/>
          <w:szCs w:val="16"/>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governmental authorities can take considerable time after the receipt of marketing approval for a product candidate. In addition, there can be considerable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pressure by governments and other stakeholders on prices and reimbursement levels, including as part of cost containment measures. Political,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regulatory developments may further complicate pricing negotiations, and pricing negotiations may continue after coverage and reimbursement have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 prices. To obtain reimbursement or pricing approval in some countries, we may be required to conduct a clinical trial that compares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are unavailable or limited in scope or amount, or if pricing is set at unsatisfactory levels, our business could be materially adversely affected.</w:t>
      </w:r>
    </w:p>
    <w:p>
      <w:pPr>
        <w:spacing w:after="0" w:line="23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The patent prosecution process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665" w:right="339" w:bottom="1440" w:gutter="0" w:footer="0" w:header="0"/>
        </w:sectPr>
      </w:pPr>
    </w:p>
    <w:bookmarkStart w:id="60" w:name="page61"/>
    <w:bookmarkEnd w:id="60"/>
    <w:p>
      <w:pPr>
        <w:spacing w:after="0" w:line="217" w:lineRule="exact"/>
        <w:rPr>
          <w:sz w:val="20"/>
          <w:szCs w:val="20"/>
          <w:color w:val="auto"/>
        </w:rPr>
      </w:pPr>
      <w:r>
        <w:rPr>
          <w:rFonts w:ascii="Arial" w:cs="Arial" w:eastAsia="Arial" w:hAnsi="Arial"/>
          <w:sz w:val="17"/>
          <w:szCs w:val="17"/>
          <w:color w:val="auto"/>
        </w:rPr>
        <w:t>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6" w:lineRule="exact"/>
        <w:rPr>
          <w:sz w:val="20"/>
          <w:szCs w:val="20"/>
          <w:color w:val="auto"/>
        </w:rPr>
      </w:pPr>
    </w:p>
    <w:p>
      <w:pPr>
        <w:ind w:right="280"/>
        <w:spacing w:after="0" w:line="221" w:lineRule="exact"/>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6"/>
          <w:szCs w:val="16"/>
          <w:color w:val="auto"/>
        </w:rPr>
        <w:t>‑</w:t>
      </w:r>
      <w:r>
        <w:rPr>
          <w:rFonts w:ascii="Arial" w:cs="Arial" w:eastAsia="Arial" w:hAnsi="Arial"/>
          <w:sz w:val="16"/>
          <w:szCs w:val="16"/>
          <w:color w:val="auto"/>
        </w:rPr>
        <w:t>party product. These and other factors may provide opportunities for our competitors to design around our patents.</w:t>
      </w:r>
    </w:p>
    <w:p>
      <w:pPr>
        <w:spacing w:after="0" w:line="2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5"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665" w:right="359" w:bottom="1440" w:gutter="0" w:footer="0" w:header="0"/>
        </w:sectPr>
      </w:pPr>
    </w:p>
    <w:bookmarkStart w:id="61" w:name="page62"/>
    <w:bookmarkEnd w:id="61"/>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of some foreign countries do not protect proprietary rights to the same extent or in the same manner as the laws of the United States. As a result,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encounter significant problems in protecting and defending our intellectual property globally. If we are unable to prevent unauthorized disclosure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related to our product candidates and technology to third parties, we may not be able to establish or maintain a competitive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advantage in our market, which could adversely affect our business and operations.</w:t>
      </w:r>
    </w:p>
    <w:p>
      <w:pPr>
        <w:spacing w:after="0" w:line="103"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0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w:t>
      </w:r>
      <w:r>
        <w:rPr>
          <w:rFonts w:ascii="MS PGothic" w:cs="MS PGothic" w:eastAsia="MS PGothic" w:hAnsi="MS PGothic"/>
          <w:sz w:val="17"/>
          <w:szCs w:val="17"/>
          <w:color w:val="auto"/>
        </w:rPr>
        <w:t>‑</w:t>
      </w:r>
      <w:r>
        <w:rPr>
          <w:rFonts w:ascii="Arial" w:cs="Arial" w:eastAsia="Arial" w:hAnsi="Arial"/>
          <w:sz w:val="17"/>
          <w:szCs w:val="17"/>
          <w:color w:val="auto"/>
        </w:rPr>
        <w:t>how, technology and other proprietary information, to maintain our competitive position. We seek to protect these trade secrets, in part, by entering into non</w:t>
      </w:r>
      <w:r>
        <w:rPr>
          <w:rFonts w:ascii="MS PGothic" w:cs="MS PGothic" w:eastAsia="MS PGothic" w:hAnsi="MS PGothic"/>
          <w:sz w:val="17"/>
          <w:szCs w:val="17"/>
          <w:color w:val="auto"/>
        </w:rPr>
        <w:t>‑</w:t>
      </w:r>
      <w:r>
        <w:rPr>
          <w:rFonts w:ascii="Arial" w:cs="Arial" w:eastAsia="Arial" w:hAnsi="Arial"/>
          <w:sz w:val="17"/>
          <w:szCs w:val="17"/>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patents in the biotechnology industry involves both technological and legal complexity, and is therefore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inherently uncertain.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recent patent reform legislation could further increase the uncertainties and costs surrounding the prosecution of our patent applications and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enforcement or defense of our issued patents. On September 16, 2011,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the Leahy</w:t>
      </w:r>
      <w:r>
        <w:rPr>
          <w:rFonts w:ascii="MS PGothic" w:cs="MS PGothic" w:eastAsia="MS PGothic" w:hAnsi="MS PGothic"/>
          <w:sz w:val="16"/>
          <w:szCs w:val="16"/>
          <w:color w:val="auto"/>
        </w:rPr>
        <w:t>‑</w:t>
      </w:r>
      <w:r>
        <w:rPr>
          <w:rFonts w:ascii="Arial" w:cs="Arial" w:eastAsia="Arial" w:hAnsi="Arial"/>
          <w:sz w:val="16"/>
          <w:szCs w:val="16"/>
          <w:color w:val="auto"/>
        </w:rPr>
        <w:t>Smith Act, was signed into law.</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prosecuted and may also affect patent litigation. The USPTO recently developed new regulations and procedures to govern administration of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and many of the substantive changes to patent law associated with the Leahy</w:t>
      </w:r>
      <w:r>
        <w:rPr>
          <w:rFonts w:ascii="MS PGothic" w:cs="MS PGothic" w:eastAsia="MS PGothic" w:hAnsi="MS PGothic"/>
          <w:sz w:val="16"/>
          <w:szCs w:val="16"/>
          <w:color w:val="auto"/>
        </w:rPr>
        <w:t>‑</w:t>
      </w:r>
      <w:r>
        <w:rPr>
          <w:rFonts w:ascii="Arial" w:cs="Arial" w:eastAsia="Arial" w:hAnsi="Arial"/>
          <w:sz w:val="16"/>
          <w:szCs w:val="16"/>
          <w:color w:val="auto"/>
        </w:rPr>
        <w:t>Smith Act, in particular the first to file provisions, became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on March 16, 2013. A third party that files a patent application in the USPTO after that date but before us could therefore be awarded a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an invention of ours even if we had made the invention before it was made by the third party. This requires us to be cognizant of the time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invention to filing of a patent application. Thus, for our U.S. patent applications containing a priority claim after March 16, 2013, there is a greater level of</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uncertainty in the patent law. Moreover, some of the patent applications in our portfolio will be subject to examination under the pre</w:t>
      </w:r>
      <w:r>
        <w:rPr>
          <w:rFonts w:ascii="MS PGothic" w:cs="MS PGothic" w:eastAsia="MS PGothic" w:hAnsi="MS PGothic"/>
          <w:sz w:val="16"/>
          <w:szCs w:val="16"/>
          <w:color w:val="auto"/>
        </w:rPr>
        <w:t>‑</w:t>
      </w: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regulations, while other patents applications in our portfolio will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665" w:right="359" w:bottom="1440" w:gutter="0" w:footer="0" w:header="0"/>
        </w:sectPr>
      </w:pPr>
    </w:p>
    <w:bookmarkStart w:id="62" w:name="page63"/>
    <w:bookmarkEnd w:id="62"/>
    <w:p>
      <w:pPr>
        <w:ind w:right="100"/>
        <w:spacing w:after="0" w:line="223" w:lineRule="exact"/>
        <w:rPr>
          <w:sz w:val="20"/>
          <w:szCs w:val="20"/>
          <w:color w:val="auto"/>
        </w:rPr>
      </w:pPr>
      <w:r>
        <w:rPr>
          <w:rFonts w:ascii="Arial" w:cs="Arial" w:eastAsia="Arial" w:hAnsi="Arial"/>
          <w:sz w:val="18"/>
          <w:szCs w:val="18"/>
          <w:color w:val="auto"/>
        </w:rPr>
        <w:t>be subject to examination under the law and regulations, as amended by the Leahy</w:t>
      </w:r>
      <w:r>
        <w:rPr>
          <w:rFonts w:ascii="MS PGothic" w:cs="MS PGothic" w:eastAsia="MS PGothic" w:hAnsi="MS PGothic"/>
          <w:sz w:val="18"/>
          <w:szCs w:val="18"/>
          <w:color w:val="auto"/>
        </w:rPr>
        <w:t>‑</w:t>
      </w:r>
      <w:r>
        <w:rPr>
          <w:rFonts w:ascii="Arial" w:cs="Arial" w:eastAsia="Arial" w:hAnsi="Arial"/>
          <w:sz w:val="18"/>
          <w:szCs w:val="18"/>
          <w:color w:val="auto"/>
        </w:rPr>
        <w:t>Smith Act. This introduces additional complexities into the prosecution and management of our portfolio.</w:t>
      </w:r>
    </w:p>
    <w:p>
      <w:pPr>
        <w:spacing w:after="0" w:line="203"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5"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4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78" w:lineRule="exact"/>
        <w:rPr>
          <w:sz w:val="20"/>
          <w:szCs w:val="20"/>
          <w:color w:val="auto"/>
        </w:rPr>
      </w:pPr>
    </w:p>
    <w:p>
      <w:pPr>
        <w:ind w:right="40"/>
        <w:spacing w:after="0" w:line="219" w:lineRule="exact"/>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 by court order, to cease commercializing the infringing technology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65" w:right="339" w:bottom="1440" w:gutter="0" w:footer="0" w:header="0"/>
        </w:sectPr>
      </w:pPr>
    </w:p>
    <w:bookmarkStart w:id="63" w:name="page64"/>
    <w:bookmarkEnd w:id="63"/>
    <w:p>
      <w:pPr>
        <w:ind w:right="300"/>
        <w:spacing w:after="0" w:line="259" w:lineRule="auto"/>
        <w:rPr>
          <w:sz w:val="20"/>
          <w:szCs w:val="20"/>
          <w:color w:val="auto"/>
        </w:rPr>
      </w:pPr>
      <w:r>
        <w:rPr>
          <w:rFonts w:ascii="Arial" w:cs="Arial" w:eastAsia="Arial" w:hAnsi="Arial"/>
          <w:sz w:val="18"/>
          <w:szCs w:val="18"/>
          <w:color w:val="auto"/>
        </w:rPr>
        <w:t>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7"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infringement claims to stop third</w:t>
      </w:r>
      <w:r>
        <w:rPr>
          <w:rFonts w:ascii="MS PGothic" w:cs="MS PGothic" w:eastAsia="MS PGothic" w:hAnsi="MS PGothic"/>
          <w:sz w:val="18"/>
          <w:szCs w:val="18"/>
          <w:color w:val="auto"/>
        </w:rPr>
        <w:t>‑</w:t>
      </w:r>
      <w:r>
        <w:rPr>
          <w:rFonts w:ascii="Arial" w:cs="Arial" w:eastAsia="Arial" w:hAnsi="Arial"/>
          <w:sz w:val="18"/>
          <w:szCs w:val="18"/>
          <w:color w:val="auto"/>
        </w:rPr>
        <w:t>party infringement or unauthorized use. This can be expensive, particularly for a company of our size, and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defendant could counterclaim that the patent covering our product candidate is invalid and/or unenforceable. In patent litigation 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defendant counterclaims alleging invalidity and/or unenforceability are commonplace. Grounds for a validity challenge include alleged failures to meet any</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unenforceability assertions include allegations that someone connected with the prosecution of the patent withheld relevant information from the USPTO,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made a misleading statement, during prosecution. Third parties may also raise similar claims before administrative bodies in the United States or abroad,</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even outside the context of litigation. Such mechanisms include re</w:t>
      </w:r>
      <w:r>
        <w:rPr>
          <w:rFonts w:ascii="MS PGothic" w:cs="MS PGothic" w:eastAsia="MS PGothic" w:hAnsi="MS PGothic"/>
          <w:sz w:val="17"/>
          <w:szCs w:val="17"/>
          <w:color w:val="auto"/>
        </w:rPr>
        <w:t>‑</w:t>
      </w:r>
      <w:r>
        <w:rPr>
          <w:rFonts w:ascii="Arial" w:cs="Arial" w:eastAsia="Arial" w:hAnsi="Arial"/>
          <w:sz w:val="17"/>
          <w:szCs w:val="17"/>
          <w:color w:val="auto"/>
        </w:rPr>
        <w:t>examination, post</w:t>
      </w:r>
      <w:r>
        <w:rPr>
          <w:rFonts w:ascii="MS PGothic" w:cs="MS PGothic" w:eastAsia="MS PGothic" w:hAnsi="MS PGothic"/>
          <w:sz w:val="17"/>
          <w:szCs w:val="17"/>
          <w:color w:val="auto"/>
        </w:rPr>
        <w:t>‑</w:t>
      </w:r>
      <w:r>
        <w:rPr>
          <w:rFonts w:ascii="Arial" w:cs="Arial" w:eastAsia="Arial" w:hAnsi="Arial"/>
          <w:sz w:val="17"/>
          <w:szCs w:val="17"/>
          <w:color w:val="auto"/>
        </w:rPr>
        <w:t>grant review, inter partes review, interference proceedings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equivalent proceedings in foreign jurisdictions, such as opposition proceedings. Such proceedings could result in revocation or amendment of our patents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 way that they no longer cover our product candidates or competitive products. The outcome following legal assertions of invalidity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unenforceability is unpredictable. With respect to validity, for example, we cannot be certain that there is no invalidating prior art, of which we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 examiner were unaware during prosecution. If a defendant were to prevail on a legal assertion of invalidity and/or unenforceability, we would lose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least part, and perhaps all, of the patent protection on our product candidates. Moreover, even if not found invalid or unenforceable, the claims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patents could be construed narrowly or in a manner that does not cover the allegedly infringing technology in question. Such a loss of patent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have a material adverse impact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92"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665" w:right="339" w:bottom="1440" w:gutter="0" w:footer="0" w:header="0"/>
        </w:sectPr>
      </w:pPr>
    </w:p>
    <w:bookmarkStart w:id="64" w:name="page65"/>
    <w:bookmarkEnd w:id="64"/>
    <w:p>
      <w:pPr>
        <w:ind w:right="380"/>
        <w:spacing w:after="0" w:line="277" w:lineRule="auto"/>
        <w:rPr>
          <w:sz w:val="20"/>
          <w:szCs w:val="20"/>
          <w:color w:val="auto"/>
        </w:rPr>
      </w:pPr>
      <w:r>
        <w:rPr>
          <w:rFonts w:ascii="Arial" w:cs="Arial" w:eastAsia="Arial" w:hAnsi="Arial"/>
          <w:sz w:val="18"/>
          <w:szCs w:val="18"/>
          <w:color w:val="auto"/>
        </w:rPr>
        <w:t>legalize and submit formal documents. In such an event, our competitors might be able to enter the market, which would have an adverse effect on our business.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compositions, methods of use, processes or other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from third parties that we identify as necessary for our product candidates. The licensing and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a number of more established companies are also pursuing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207"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We may also be unable to maintain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For example, MIT may terminate the MIT License if we fail to meet a diligence obligation, including the initiation of a Phase 3 clinical trial by a specified date in the fourth quarter of 2019. In December 2019, we entered into the MIT Amendment. Pursuant to the MIT Amendment, the provision of the MIT License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License. The parties agreed to negotiate in good faith to enter into a future amendment to the MIT License after we provide MIT with an amended diligence plan. However, if we are unable to reach an agreement with MIT regarding an acceptable amendment of the MIT License and if we are unable to cure the breach, there could be a material adverse effect on our business. See “Business - Licenses and Collaborations - Massachusetts Institute of Technology.”</w:t>
      </w:r>
    </w:p>
    <w:p>
      <w:pPr>
        <w:spacing w:after="0" w:line="204"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120"/>
        <w:spacing w:after="0" w:line="218" w:lineRule="exact"/>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Arial" w:cs="Arial" w:eastAsia="Arial" w:hAnsi="Arial"/>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665" w:right="359" w:bottom="1440" w:gutter="0" w:footer="0" w:header="0"/>
        </w:sectPr>
      </w:pPr>
    </w:p>
    <w:bookmarkStart w:id="65" w:name="page66"/>
    <w:bookmarkEnd w:id="65"/>
    <w:p>
      <w:pPr>
        <w:ind w:right="6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665" w:right="359" w:bottom="1440" w:gutter="0" w:footer="0" w:header="0"/>
        </w:sectPr>
      </w:pPr>
    </w:p>
    <w:bookmarkStart w:id="66" w:name="page67"/>
    <w:bookmarkEnd w:id="66"/>
    <w:p>
      <w:pPr>
        <w:spacing w:after="0" w:line="293" w:lineRule="auto"/>
        <w:rPr>
          <w:sz w:val="20"/>
          <w:szCs w:val="20"/>
          <w:color w:val="auto"/>
        </w:rPr>
      </w:pPr>
      <w:r>
        <w:rPr>
          <w:rFonts w:ascii="Arial" w:cs="Arial" w:eastAsia="Arial" w:hAnsi="Arial"/>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may not be successful.</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January 3, 2019, following a strategic business review, we announced our new strategy to focus on the development of SEL-212 for the treatment of chronic refractory gout and advancement of our ImmTOR platform in the area of gene therapy, specifically ImmTOR in combination with AAV gene therapy for the treatment of CN and MMA,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320" w:top="665" w:right="419" w:bottom="1440" w:gutter="0" w:footer="0" w:header="0"/>
        </w:sectPr>
      </w:pPr>
    </w:p>
    <w:bookmarkStart w:id="67" w:name="page68"/>
    <w:bookmarkEnd w:id="67"/>
    <w:p>
      <w:pPr>
        <w:ind w:right="60"/>
        <w:spacing w:after="0" w:line="218" w:lineRule="exact"/>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w:t>
      </w:r>
    </w:p>
    <w:p>
      <w:pPr>
        <w:spacing w:after="0" w:line="2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3" w:lineRule="exact"/>
        <w:rPr>
          <w:sz w:val="20"/>
          <w:szCs w:val="20"/>
          <w:color w:val="auto"/>
        </w:rPr>
      </w:pPr>
    </w:p>
    <w:p>
      <w:pPr>
        <w:ind w:left="340" w:right="5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3"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events of terrorism and political unrest, outbreak of disease, including the novel coronavirus boycotts, curtailment of trade and other business restrictions and economic weakness, including inflation;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557" w:right="339" w:bottom="1440" w:gutter="0" w:footer="0" w:header="0"/>
        </w:sectPr>
      </w:pPr>
    </w:p>
    <w:bookmarkStart w:id="68" w:name="page69"/>
    <w:bookmarkEnd w:id="68"/>
    <w:p>
      <w:pPr>
        <w:ind w:left="340" w:right="68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6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2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665" w:right="339" w:bottom="1440" w:gutter="0" w:footer="0" w:header="0"/>
          <w:type w:val="continuous"/>
        </w:sectPr>
      </w:pPr>
    </w:p>
    <w:bookmarkStart w:id="69" w:name="page70"/>
    <w:bookmarkEnd w:id="69"/>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45.9% of our outstanding voting stock as of December 31, 2019.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0.34 million shares of our common stock as of December 31, 2019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on June 27, 2017, we issued and sold in a private placement 3,088,791 shares of our common stock (of which 338,791 shares have continuing registration rights) and a warrant to purchase 79,130 shares of our common stock, including to certain of our affiliates. Pursuant to a registration rights agreement entered into with the investors in the private placement, on July 13, 2017, we filed a Registration Statement on Form S-3 to register the shares of common stock sold in the private</w:t>
      </w:r>
    </w:p>
    <w:p>
      <w:pPr>
        <w:sectPr>
          <w:pgSz w:w="11900" w:h="16838" w:orient="portrait"/>
          <w:cols w:equalWidth="0" w:num="1">
            <w:col w:w="11220"/>
          </w:cols>
          <w:pgMar w:left="320" w:top="665" w:right="359" w:bottom="106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20"/>
          </w:cols>
          <w:pgMar w:left="320" w:top="665" w:right="359" w:bottom="1060" w:gutter="0" w:footer="0" w:header="0"/>
          <w:type w:val="continuous"/>
        </w:sectPr>
      </w:pPr>
    </w:p>
    <w:bookmarkStart w:id="70" w:name="page71"/>
    <w:bookmarkEnd w:id="70"/>
    <w:p>
      <w:pPr>
        <w:spacing w:after="0" w:line="257" w:lineRule="auto"/>
        <w:rPr>
          <w:sz w:val="20"/>
          <w:szCs w:val="20"/>
          <w:color w:val="auto"/>
        </w:rPr>
      </w:pPr>
      <w:r>
        <w:rPr>
          <w:rFonts w:ascii="Arial" w:cs="Arial" w:eastAsia="Arial" w:hAnsi="Arial"/>
          <w:sz w:val="18"/>
          <w:szCs w:val="18"/>
          <w:color w:val="auto"/>
        </w:rPr>
        <w:t>placement and the shares of common stock issuable upon exercise of the warrant. Similarly, on December 23, 2019, we issued and sold in a private placement 37,634,883 shares of our common stock and warrants to purchase 31,330,629 shares of our common stock, including to certain of our affiliates. Pursuant to a registration rights agreement entered into with the investors in the private placement, on January 29, 2019,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 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 $1.07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3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We have, historically, relied on these exemptions, and we may continue to do so until they are no longer available to us.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Provisions in our restated certificate of incorporation and our restated bylaws, which became effective upon the closing of the initial public offering of our common stock may discourage, delay or prevent a merger, acquisition or other change in control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665" w:right="339" w:bottom="1440" w:gutter="0" w:footer="0" w:header="0"/>
        </w:sectPr>
      </w:pPr>
    </w:p>
    <w:bookmarkStart w:id="71" w:name="page72"/>
    <w:bookmarkEnd w:id="71"/>
    <w:p>
      <w:pPr>
        <w:spacing w:after="0" w:line="257" w:lineRule="auto"/>
        <w:rPr>
          <w:sz w:val="20"/>
          <w:szCs w:val="20"/>
          <w:color w:val="auto"/>
        </w:rPr>
      </w:pPr>
      <w:r>
        <w:rPr>
          <w:rFonts w:ascii="Arial" w:cs="Arial" w:eastAsia="Arial" w:hAnsi="Arial"/>
          <w:sz w:val="18"/>
          <w:szCs w:val="18"/>
          <w:color w:val="auto"/>
        </w:rPr>
        <w:t>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headquarters are currently located at 480 Arsenal Way, Watertown, Massachusetts and consist of 32,933 total square feet of leased office and laboratory space under a lease that expires in March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2019, we entered into a lease for 25,078 square feet of laboratory and office space located at 65 Grove Street, Watertown, Massachusetts, commencing in March 2020, which will serve as our new corporate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lease approximately 2,500 square feet of office and laboratory space in Moscow, Russia on a month to month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our Directors</w:t>
      </w:r>
    </w:p>
    <w:p>
      <w:pPr>
        <w:spacing w:after="0" w:line="2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Carsten Brunn, Ph.D. </w:t>
      </w:r>
      <w:r>
        <w:rPr>
          <w:rFonts w:ascii="Arial" w:cs="Arial" w:eastAsia="Arial" w:hAnsi="Arial"/>
          <w:sz w:val="17"/>
          <w:szCs w:val="17"/>
          <w:color w:val="auto"/>
        </w:rPr>
        <w:t>has served as our President, Chief Executive Officer and member of our board of directors since December 2018.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Selecta Biosciences, Inc., Dr. Brunn was the President of Pharmaceuticals for the Americas Region at Bayer and a member of the Global Pharmaceutical Executive Committee. Prior to being appointed to that role in 2017, he was the President of Bayer Pharmaceuticals in Japan, a role he held since 2013. He also served as the Chairman of the European Federation of Pharmaceutical Industries and Associations (EFPIA) Japan, an organization representing innovative pharmaceutical companies in Japan. Over the last 25 years, Dr. Brunn has held a number of senior leadership positions in Europe, Asia and the United States at leading companies such as Eli Lilly, Novartis, Basilea and Bausch and Lomb. Dr. Brunn</w:t>
      </w:r>
    </w:p>
    <w:p>
      <w:pPr>
        <w:sectPr>
          <w:pgSz w:w="11900" w:h="16838" w:orient="portrait"/>
          <w:cols w:equalWidth="0" w:num="1">
            <w:col w:w="11240"/>
          </w:cols>
          <w:pgMar w:left="320" w:top="66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665" w:right="339" w:bottom="1440" w:gutter="0" w:footer="0" w:header="0"/>
          <w:type w:val="continuous"/>
        </w:sectPr>
      </w:pPr>
    </w:p>
    <w:bookmarkStart w:id="72" w:name="page73"/>
    <w:bookmarkEnd w:id="72"/>
    <w:p>
      <w:pPr>
        <w:ind w:right="240"/>
        <w:spacing w:after="0" w:line="301" w:lineRule="auto"/>
        <w:rPr>
          <w:sz w:val="20"/>
          <w:szCs w:val="20"/>
          <w:color w:val="auto"/>
        </w:rPr>
      </w:pPr>
      <w:r>
        <w:rPr>
          <w:rFonts w:ascii="Arial" w:cs="Arial" w:eastAsia="Arial" w:hAnsi="Arial"/>
          <w:sz w:val="16"/>
          <w:szCs w:val="16"/>
          <w:color w:val="auto"/>
        </w:rPr>
        <w:t>graduated from the University of Freiburg in Germany with a Master of Science in Pharmaceutical Sciences. In addition, he studied at the University of Washington under a research scholarship. He received his Ph.D. in Chemistry from the University of Hamburg, Germany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our company.</w:t>
      </w:r>
    </w:p>
    <w:p>
      <w:pPr>
        <w:spacing w:after="0" w:line="1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Carrie S. Cox </w:t>
      </w:r>
      <w:r>
        <w:rPr>
          <w:rFonts w:ascii="Arial" w:cs="Arial" w:eastAsia="Arial" w:hAnsi="Arial"/>
          <w:sz w:val="16"/>
          <w:szCs w:val="16"/>
          <w:color w:val="auto"/>
        </w:rPr>
        <w:t>has served as a member of our board of directors and as chairman of the board of directors since November 2019. Ms. Cox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Chief Executive Officer of Humacyte, Inc., a regenerative medicine company based in Durham, North Carolina, from 2010 to June 2018, and has served as a member of its board of directors since 2010, serving as chairman from 2011 to June 2019. Ms. Cox has served on the boards of directors of Texas Instruments Incorporated since 2004 and Cardinal Health, Inc. since 2009, and as the chairman of the board of directors of electroCore, Inc. since July 2018. Ms. Cox previously served on the board of directors of Celgene Corporation from 2009 to November 2019 and as chairman of the board of directors of Array BioPharma, Inc. from August 2018 to July 2019. Ms. Cox received a B.S. from the Massachusetts College of Pharmacy, and was a registered pharmacist. Ms. Cox’s vast experience as a pharmaceutical executive and member of multiple boards of directors in the biotechnology industry as well as her knowledge of corporate strategy qualifies her to serve as a director of our company.</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Timothy C. Barabe </w:t>
      </w:r>
      <w:r>
        <w:rPr>
          <w:rFonts w:ascii="Arial" w:cs="Arial" w:eastAsia="Arial" w:hAnsi="Arial"/>
          <w:sz w:val="17"/>
          <w:szCs w:val="17"/>
          <w:color w:val="auto"/>
        </w:rPr>
        <w:t>has served as a member of our board of directors since July 2016. Mr. Barabe also serves on the boards of Veeva Systems Inc. and</w:t>
      </w:r>
      <w:r>
        <w:rPr>
          <w:rFonts w:ascii="Arial" w:cs="Arial" w:eastAsia="Arial" w:hAnsi="Arial"/>
          <w:sz w:val="17"/>
          <w:szCs w:val="17"/>
          <w:i w:val="1"/>
          <w:iCs w:val="1"/>
          <w:color w:val="auto"/>
        </w:rPr>
        <w:t xml:space="preserve"> </w:t>
      </w:r>
      <w:r>
        <w:rPr>
          <w:rFonts w:ascii="Arial" w:cs="Arial" w:eastAsia="Arial" w:hAnsi="Arial"/>
          <w:sz w:val="17"/>
          <w:szCs w:val="17"/>
          <w:color w:val="auto"/>
        </w:rPr>
        <w:t>Vigilant Biosciences, Inc., a private company. From 2001 to January 2020, Mr. Barabe served on the board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Scott D. Myers </w:t>
      </w:r>
      <w:r>
        <w:rPr>
          <w:rFonts w:ascii="Arial" w:cs="Arial" w:eastAsia="Arial" w:hAnsi="Arial"/>
          <w:sz w:val="17"/>
          <w:szCs w:val="17"/>
          <w:color w:val="auto"/>
        </w:rPr>
        <w:t>has served as a member of our board of directors since June 2019. Mr. Myers most recently served as Chief Executive Officer,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Chairman of the Board of Rainier Therapeutics, a clinical-stage biotechnology company focused on metastatic bladder cancer, from June 2018 to January 2020. Prior to Rainier Therapeutics, Mr. Myers served as Chief Executive Officer and as a member of the board of directors of Cascadian Therapeutics, an oncology company, from April 2016 until it was acquired by Seattle Genetics in March 2018. Prior to Cascadian, Mr. Myers served as Chief Executive Officer of Aerocrine AB, a medical device company, from 2011 through its acquisition by Circassia Pharmaceuticals plc in July 2015. Mr. Myers held senior commercial operations, general management, and information management positions for UCB SA, a Belgium-based biopharmaceutical company, and Johnson &amp; Johnson. He currently serves on the board of directors of Harpoon Therapeutics. Mr. Myers earned his B.A. in biology from Northwestern University and his M.B.A. from the University of Chicago Booth School of Business. Mr. Myers’ experience as a senior executive of life sciences companies and knowledge of the pharmaceutical and biotech industries contributed to our board of directors’ conclusion that he should serve as a director of our company.</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Amir Nashat, Ph.D. </w:t>
      </w:r>
      <w:r>
        <w:rPr>
          <w:rFonts w:ascii="Arial" w:cs="Arial" w:eastAsia="Arial" w:hAnsi="Arial"/>
          <w:sz w:val="16"/>
          <w:szCs w:val="16"/>
          <w:color w:val="auto"/>
        </w:rPr>
        <w:t>has served as a member of our board of directors since 2008. Dr. Nashat has been a Partner at Polaris Partners,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2009 and focuses on investments in the life sciences. He currently serves on the board of directors of Fate Therapeutics, Inc., Syros Pharmaceuticals, Scholar Rock Inc., and several private companies. Dr. Nashat has also served as a director of Receptos, Inc., BIND Therapeutics, Inc., aTyr Pharma, as well as Adnexus Therapeutics, Inc. (acquired by Bristol-Myers Squibb Company) and other private companies. Dr. Nashat completed his Ph.D. as a Hertz Fellow in Chemical Engineering at MIT with a minor in biology.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Aymeric Sallin, M.S. </w:t>
      </w:r>
      <w:r>
        <w:rPr>
          <w:rFonts w:ascii="Arial" w:cs="Arial" w:eastAsia="Arial" w:hAnsi="Arial"/>
          <w:sz w:val="17"/>
          <w:szCs w:val="17"/>
          <w:color w:val="auto"/>
        </w:rPr>
        <w:t>has served as a member of our board of directors since 2008. Mr. Sallin has served as the Chief Executive Officer of NanoDimension,</w:t>
      </w:r>
      <w:r>
        <w:rPr>
          <w:rFonts w:ascii="Arial" w:cs="Arial" w:eastAsia="Arial" w:hAnsi="Arial"/>
          <w:sz w:val="17"/>
          <w:szCs w:val="17"/>
          <w:i w:val="1"/>
          <w:iCs w:val="1"/>
          <w:color w:val="auto"/>
        </w:rPr>
        <w:t xml:space="preserve"> </w:t>
      </w:r>
      <w:r>
        <w:rPr>
          <w:rFonts w:ascii="Arial" w:cs="Arial" w:eastAsia="Arial" w:hAnsi="Arial"/>
          <w:sz w:val="17"/>
          <w:szCs w:val="17"/>
          <w:color w:val="auto"/>
        </w:rPr>
        <w:t>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H55, Inc., View, Inc., CROCUS Technology and Tarveda Therapeutics. Mr. Sallin is also a member of the Swiss Academy of Engineering Science. Mr. Sallin received his Masters in Physical Engineering from EPFL in Lausanne, Switzerland. Mr. Sallins' extensive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665"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knowledge of our business and the nanomedicine field contributed to our board of directors’ conclusion that he should serve as a director of our company.</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Timothy A. Springer, Ph.D. </w:t>
      </w:r>
      <w:r>
        <w:rPr>
          <w:rFonts w:ascii="Arial" w:cs="Arial" w:eastAsia="Arial" w:hAnsi="Arial"/>
          <w:sz w:val="16"/>
          <w:szCs w:val="16"/>
          <w:color w:val="auto"/>
        </w:rPr>
        <w:t>has served as a member of our board of directors since June 2016 and as a scientific advisor to us since December 2008.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Patrick Zenner </w:t>
      </w:r>
      <w:r>
        <w:rPr>
          <w:rFonts w:ascii="Arial" w:cs="Arial" w:eastAsia="Arial" w:hAnsi="Arial"/>
          <w:sz w:val="17"/>
          <w:szCs w:val="17"/>
          <w:color w:val="auto"/>
        </w:rPr>
        <w:t>has served as a member of our board of directors since June 2017. Mr. Zenner retired in 2001 from the position of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Bradford D. Dahms </w:t>
      </w:r>
      <w:r>
        <w:rPr>
          <w:rFonts w:ascii="Arial" w:cs="Arial" w:eastAsia="Arial" w:hAnsi="Arial"/>
          <w:sz w:val="18"/>
          <w:szCs w:val="18"/>
          <w:color w:val="auto"/>
        </w:rPr>
        <w:t>has served as our Chief Financial Officer since September 2019. Prior to joining Selecta Biosciences, Mr. Dahms was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 the Healthcare Group at Cantor Fitzgerald &amp; Co. from April 2014 to August 2019, focused on providing strategic and financial advice to life sciences companies. Prior to joining Cantor, Mr. Dahms worked as an investment banker at RBC Capital Markets from 2012 to 2014, covering the healthcare sector. Previously, he worked in the Corporate and Investment Banking Group at J.P. Morgan. Mr. Dahms received his a B.S. in Economics, with honors, from the Ohio State University.</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Lloyd Johnston, Ph.D. </w:t>
      </w:r>
      <w:r>
        <w:rPr>
          <w:rFonts w:ascii="Arial" w:cs="Arial" w:eastAsia="Arial" w:hAnsi="Arial"/>
          <w:sz w:val="17"/>
          <w:szCs w:val="17"/>
          <w:color w:val="auto"/>
        </w:rPr>
        <w:t>has served as our Chief Operating Officer and Senior Vice President, Research and Development since January 2014. Dr. Johnston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Senior Vice President of Pharmaceutical Research, Development and Operations from January 2011 to December 2013 and Vice President of Pharmaceutical Research from July 2008 to January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Takashi Kei Kishimoto, Ph.D. </w:t>
      </w:r>
      <w:r>
        <w:rPr>
          <w:rFonts w:ascii="Arial" w:cs="Arial" w:eastAsia="Arial" w:hAnsi="Arial"/>
          <w:sz w:val="17"/>
          <w:szCs w:val="17"/>
          <w:color w:val="auto"/>
        </w:rPr>
        <w:t>has served as our Chief Scientific Officer since June 2011. Prior to joining Selecta, Dr. Kishimoto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665" w:right="359" w:bottom="1440" w:gutter="0" w:footer="0" w:header="0"/>
        </w:sectPr>
      </w:pPr>
    </w:p>
    <w:bookmarkStart w:id="74" w:name="page75"/>
    <w:bookmarkEnd w:id="74"/>
    <w:p>
      <w:pPr>
        <w:spacing w:after="0" w:line="270" w:lineRule="auto"/>
        <w:rPr>
          <w:sz w:val="20"/>
          <w:szCs w:val="20"/>
          <w:color w:val="auto"/>
        </w:rPr>
      </w:pPr>
      <w:r>
        <w:rPr>
          <w:rFonts w:ascii="Arial" w:cs="Arial" w:eastAsia="Arial" w:hAnsi="Arial"/>
          <w:sz w:val="17"/>
          <w:szCs w:val="17"/>
          <w:i w:val="1"/>
          <w:iCs w:val="1"/>
          <w:color w:val="auto"/>
        </w:rPr>
        <w:t xml:space="preserve">Elona Kogan, J.D. </w:t>
      </w:r>
      <w:r>
        <w:rPr>
          <w:rFonts w:ascii="Arial" w:cs="Arial" w:eastAsia="Arial" w:hAnsi="Arial"/>
          <w:sz w:val="17"/>
          <w:szCs w:val="17"/>
          <w:color w:val="auto"/>
        </w:rPr>
        <w:t>has served as our General Counsel and Secretary since March 2019. Ms. Kogan most recently served as General Counsel and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Relations at ARIAD Pharmaceuticals, a rare disease oncology company, from July 2016 to April 2017, where she was a key executive through the acquisition of the company by Takeda Pharmaceuticals Company Ltd. Prior to joining ARIAD, from May 2011 to August 2015, Ms. Kogan led the legal and government affairs functions of a publicly traded pharmaceutical company dedicated to developing treatments for central nervous system disorders, where she played a central role in the strategic acquisition of the company by Otsuka Pharmaceutical Co. Ltd. Prior roles included positions of increasing responsibility at King Pharmaceuticals, Bristol-Myers Squibb, and Bergen Brunswig Corporation. Ms. Kogan is also a member of the board of directors of Cardax, Inc., a biotechnology company, and serves as the Chairperson of the Compensation Committee, and a member of the Audit Committee. Ms. Kogan is a graduate of the SCALE program at Southwestern University School of Law. Ms. Kogan graduated cum laude from Columbia University, Barnard College, with a degree in economics.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Alison D. Schecter, M.D</w:t>
      </w:r>
      <w:r>
        <w:rPr>
          <w:rFonts w:ascii="Arial" w:cs="Arial" w:eastAsia="Arial" w:hAnsi="Arial"/>
          <w:sz w:val="18"/>
          <w:szCs w:val="18"/>
          <w:color w:val="auto"/>
        </w:rPr>
        <w:t>. has served as our Chief Medical Officer since July 2019. Prior to joining Selecta, Dr. Schecter served as Global Project Head</w:t>
      </w:r>
      <w:r>
        <w:rPr>
          <w:rFonts w:ascii="Arial" w:cs="Arial" w:eastAsia="Arial" w:hAnsi="Arial"/>
          <w:sz w:val="18"/>
          <w:szCs w:val="18"/>
          <w:i w:val="1"/>
          <w:iCs w:val="1"/>
          <w:color w:val="auto"/>
        </w:rPr>
        <w:t xml:space="preserve"> </w:t>
      </w:r>
      <w:r>
        <w:rPr>
          <w:rFonts w:ascii="Arial" w:cs="Arial" w:eastAsia="Arial" w:hAnsi="Arial"/>
          <w:sz w:val="18"/>
          <w:szCs w:val="18"/>
          <w:color w:val="auto"/>
        </w:rPr>
        <w:t>(GPH), Rare Diseases at Sanofi, a pharmaceutical company, from January 2017 to July 2019. She also was the primary BD strategy liaison in Rare Disease. Prior to Sanofi, Dr. Schecter was GPH at Baxalta, a pharmaceutical company, from September 2016 to December 2017. Prior to Baxalta, she was VP of Cardiovascular and Metabolism (CVM) at the J&amp;J Innovation Center, a pharmaceutical company, from January 2015 to September 2016. Previously, she led translational medicine in CVM at Novartis from April 2008 to December 2014. Earlier, Dr. Schecter was Associate Professor in Immunology and Medicine at Mount Sinai. Her innovative academic translational research led to a successful career in biotechnology. She completed her internal medicine residency at Johns Hopkins Hospital, cardiology fellowship at Massachusetts General Hospital, and a research fellowship at Mount Sinai. She earned her M.D. from SUNY Downstate.</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Stephen Smolinski </w:t>
      </w:r>
      <w:r>
        <w:rPr>
          <w:rFonts w:ascii="Arial" w:cs="Arial" w:eastAsia="Arial" w:hAnsi="Arial"/>
          <w:sz w:val="18"/>
          <w:szCs w:val="18"/>
          <w:color w:val="auto"/>
        </w:rPr>
        <w:t>has served as our Chief Commercial Officer since October 2017. Mr. Smolinski previously served as the Vice President and Head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American Rheumatology Business Unit of Sanofi/Genzyme, a pharmaceutical company from June 2015 to August 2017, where he led the development of the company’s commercialization plans for the rheumatoid arthritis medicine KEVZARA®. Prior to this, he served as Group Vice President of Immunology &amp; Inflammation, Global Strategic Unit at Sanofi a pharmaceutical company, from July 2013 to June 2015. Mr. Smolinski also previously held senior commercial roles at Roche-Genentech, Bristol-Myers Squibb, Johnson &amp; Johnson and Savient Pharmaceuticals. Mr. Smolinski received a B.S. in health care administration from Oregon State University.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665" w:right="3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publicly traded on The Nasdaq Global Market under the symbol “SELB.”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March 6, 2020, there were approximately 86,420,195 shares of our common stock outstanding held by approximately 60 holders of record. The actual number of stockholders is greater than this number of record holders, and includes stockholders who are beneficial owners, but whose shares are held in street name by brokers and other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loan and security agreement with SVB currently prohibits us from paying dividends on our equity securities, and any future debt agreements may likewise preclude us from paying dividends. See “Management’s Discussion and Analysis of Financial Condition and Results of Operations-Liquidity and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2019, with the cumulative total return of (a) the Nasdaq Composite Index and (b) the Nasdaq Biotechnology Index, over the same period. This graph assumes the investment of $100 at the market close on June 21, 2016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TOTAL RETURN SELECTA BIOSCIENCES,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213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quarter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ectPr>
          <w:pgSz w:w="11900" w:h="16838" w:orient="portrait"/>
          <w:cols w:equalWidth="0" w:num="1">
            <w:col w:w="11220"/>
          </w:cols>
          <w:pgMar w:left="320" w:top="661" w:right="3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20"/>
          </w:cols>
          <w:pgMar w:left="320" w:top="661" w:right="359" w:bottom="1440" w:gutter="0" w:footer="0" w:header="0"/>
          <w:type w:val="continuous"/>
        </w:sectPr>
      </w:pPr>
    </w:p>
    <w:bookmarkStart w:id="76" w:name="page77"/>
    <w:bookmarkEnd w:id="76"/>
    <w:p>
      <w:pPr>
        <w:ind w:right="20"/>
        <w:spacing w:after="0" w:line="270" w:lineRule="auto"/>
        <w:rPr>
          <w:sz w:val="20"/>
          <w:szCs w:val="20"/>
          <w:color w:val="auto"/>
        </w:rPr>
      </w:pPr>
      <w:r>
        <w:rPr>
          <w:rFonts w:ascii="Arial" w:cs="Arial" w:eastAsia="Arial" w:hAnsi="Arial"/>
          <w:sz w:val="17"/>
          <w:szCs w:val="17"/>
          <w:color w:val="auto"/>
        </w:rPr>
        <w:t>On December 18, 2019, we entered into a Securities Purchase Agreement (the “2019 Purchase Agreement”) with the purchasers named therein (each, an “Investor” and, collectively, the “Investors”), including certain members of our board of directors. Pursuant to the 2019 Purchase Agreement, we sold (i) an aggregate of 37,634,883 shares of our common stock at a purchase price of $1.46 per share, which was equal to the most recent consolidated closing bid price on the Nasdaq Global Market on December 18, 2019, (ii) warrants to purchase an aggregate of 22,988,501 shares of common stock at a purchase price equal to $0.125 per share underlying each warrant, and (iii) pre-funded warrants to purchase an aggregate of 8,342,128 shares of common stock at a purchase price equal to $1.46 per share underlying each pre-funded warrant, for aggregate net proceeds of approximately $65.6 million, after deducting approximately $4.4 million in placement agent commissions and other transaction costs. Each warrant has an exercise price per share of common stock equal to $1.46 per share. Each pre-funded warrant has an exercise price per share of common stock equal to $0.0001 per share. The closing of the offering occurred on December 23, 2019.</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transaction was exempt from registration pursuant to Section 4(a)(2) of the Securities Act and Rule 506 of Regulation D promulgated thereunder, as a transaction by an issuer not involving a public offering. Each Investor has represented that it is an accredited investor, as defined in Regulation D, and has acquired the securities for investment only and not with a view to or for sale in connection with any distribution thereof, and appropriate legends have been affixed to the securities issued in this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and with the “Management’s Discussion and Analysis of Financial Condition and Results of Operations” section of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derived the consolidated statement of operations and comprehensive loss data for the years ended December 31, 2019, 2018, and 2017, and the consolidated balance sheet data as of December 31, 2019, and 2018, from our audited consolidated financial statements included elsewhere in this Annual Report on Form 10-K. The consolidated statement of operations and comprehensive loss for the years ended December 31, 2016 and 2015 the consolidated balance sheet data as of December 31, 2017, 2016 and 2015 are derived from our audited consolidated financial statements that are not included in this Annual Report. Our historical results are not necessarily indicative of the results that should be expected in the future.</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share and per share data)</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Statement of Operations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Grant and collaboration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fair value of warrant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per share:</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Balance Sheet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cash equivalents, short-term deposits and investments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Loans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Warrant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Redeemable convertible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stockholders' equity (deficit)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23495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6,677</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8,083</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6,011</w:t>
            </w:r>
          </w:p>
        </w:tc>
      </w:tr>
      <w:tr>
        <w:trPr>
          <w:trHeight w:val="276"/>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59,132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65,925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63,991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42,753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31,315</w:t>
            </w:r>
          </w:p>
        </w:tc>
      </w:tr>
      <w:tr>
        <w:trPr>
          <w:trHeight w:val="244"/>
        </w:trPr>
        <w:tc>
          <w:tcPr>
            <w:tcW w:w="2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(52,455)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(65,022)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(25,304)</w:t>
            </w:r>
          </w:p>
        </w:tc>
      </w:tr>
      <w:tr>
        <w:trPr>
          <w:trHeight w:val="270"/>
        </w:trPr>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r>
      <w:tr>
        <w:trPr>
          <w:trHeight w:val="236"/>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(55,350)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(65,336)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7"/>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540"/>
        </w:trPr>
        <w:tc>
          <w:tcPr>
            <w:tcW w:w="24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45,548,511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22,389,286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20,425,050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10,493,939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2,150,422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-1851660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-1508760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-1165860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-823595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-462915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-120015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230505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131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46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89,893</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37,403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96,562</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84,141</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36,462</w:t>
            </w: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99,569</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44,482</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101,100</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89,301</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42,824</w:t>
            </w: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18,905</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21,385</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21,042</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12,044</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11,855</w:t>
            </w: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41,549</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137,482</w:t>
            </w: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8,397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(5,418)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51,814</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54,957</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-1157605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-805815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-462915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-120015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4020" w:space="720"/>
            <w:col w:w="6500"/>
          </w:cols>
          <w:pgMar w:left="320" w:top="665" w:right="339" w:bottom="1440" w:gutter="0" w:footer="0" w:header="0"/>
          <w:type w:val="continuous"/>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66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“Item 6. Selected Consolidated Financial Data” and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Item 1A “Risk Factors.” A discussion of the year ended December 31, 2018 compared to the year ended December 31, 2017 has been reported previously in our Annual Report on Form 10-K for the year ended December 31, 2018, filed with the SEC on March 15, 2019, under the heading “Management’s Discussion and Analysis of Financial Condition and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proprietary tolerogenic ImmTOR platform encapsulates an immunomodulator in biodegradable nanoparticles and is designed to mitigate the formation of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Refractory Gout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lead product candidate, 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Phase 1/2 clinical data, we believe that SEL-212 has the potential to control SUA levels and mitigate the formation of ADAs in response to the therapeutic enzyme.</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Phase 1 data provided evidence that ImmTOR mitigated the formation of ADAs against pegadricase in a dose-dependent manner after a single dose of SEL-212. In our Phase 2 trial, ImmTOR inhibited the formation of ADAs in patients with up to five monthly doses, resulting in sustained reduction of SUA levels. We also observed a lower-than-expected rate of gout flares in the first months after initiation of SEL-212 treatment, with further reductions observed in months three to five. SEL-212, if successfully developed and approved, has the potential to offer a unique treatment for patients with chronic refractory gout, including reduced immunogenicity, improved efficacy, and monthly dosing compared to other FDA-approved treatments, and provide clinical evidence supporting the utility of our ImmTOR platform in providing patients with antigenic specific tolerance.</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March 2019, we initiated a Phase 2 head-to-head clinical trial of SEL-212 (COMPARE), in which SEL-212 is being compared against the current FDA-approved therapy for chronic refractory gout, KRYSTEXXA, in multiple clinical sites in the United States. We completed enrollment of our Phase 2 head-to-head (COMPARE) clinical study against KRYSTEXXA in December 2019 and expect to report top-line data in the third quarter of 2020. The two-armed, open label trial has enrolled approximately 150 patients, randomized 1:1, with one arm receiving KRYSTEXXA (as set forth in the prescribing information) and the other arm receiving six monthly doses of SEL-212. The primary endpoint in the study is the percentage of patients in each arm that maintain SUA control below 6.0 mg/dL, for at least 80% of the time during months three and six. We plan to commence the Phase 3 clinical program in SEL-212 in the second half of 2020. We will require additional resources to complete the planned Phase 3 clinical program for SEL-212.</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expect our clinical and, if approved, marketing strategy for SEL-212 to initially focus on the estimated 160,000 patients in the United States with chronic refractory gout, and to focus on those patients that are being treated by rheumatologists.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Therapy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093" w:right="339" w:bottom="1440" w:gutter="0" w:footer="0" w:header="0"/>
        </w:sectPr>
      </w:pPr>
    </w:p>
    <w:bookmarkStart w:id="78" w:name="page79"/>
    <w:bookmarkEnd w:id="78"/>
    <w:p>
      <w:pPr>
        <w:spacing w:after="0" w:line="254" w:lineRule="auto"/>
        <w:rPr>
          <w:sz w:val="20"/>
          <w:szCs w:val="20"/>
          <w:color w:val="auto"/>
        </w:rPr>
      </w:pPr>
      <w:r>
        <w:rPr>
          <w:rFonts w:ascii="Arial" w:cs="Arial" w:eastAsia="Arial" w:hAnsi="Arial"/>
          <w:sz w:val="18"/>
          <w:szCs w:val="18"/>
          <w:color w:val="auto"/>
        </w:rPr>
        <w:t>In August 2019, we entered into a feasibility study and license agreement with AskBio, the AskBio Collaboration Agreement, pursuant to which we and AskBio will conduct proof of concept studies to potentially validate the use of our ImmTOR platform in conjunction with an AAV gene therapy to mitigate the formation of neutralizing anti-AAV capsid antibodies, which currently precludes redosing.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based on SEL-302 and will leverage that previous work within the collaboration. If the proof of concept studies are successful, we will proceed with a collaboration to pursue the development and commercialization of AAV gene therapy product candidates utilizing ImmTOR for the treatment of certain agreed serious rare and orphan genetic diseases. We plan to enter the clinic under this collaboration in 2020.</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in December 2019 we entered into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September 2018, we announced a collaboration with the European consortium, CureCN, for an ImmTOR+AAV gene therapy combination product candidate in Crigler-Najjar syndrome, a rare genetic disorder characterized by an inability to properly convert and clear bilirubin from the body. We expect the CureCN consortium to obtain scientific advice from the German drug regulatory authority in 2020.</w:t>
      </w:r>
    </w:p>
    <w:p>
      <w:pPr>
        <w:spacing w:after="0" w:line="18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December 2016, we entered into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proprietary gene therapy product candidate, SEL-313, is being developed to treat OTC deficiency and is currently in preclinical development.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$55.4 million and $65.3 million for the years ended December 31, 2019 and 2018, respectively. As of December 31, 2019, we had an accumulated deficit of $335.8 million. We expect to continue to incur significant expenses and operating losses for at least the next several years as we:</w:t>
      </w:r>
    </w:p>
    <w:p>
      <w:pPr>
        <w:spacing w:after="0" w:line="184" w:lineRule="exact"/>
        <w:rPr>
          <w:sz w:val="20"/>
          <w:szCs w:val="20"/>
          <w:color w:val="auto"/>
        </w:rPr>
      </w:pPr>
    </w:p>
    <w:p>
      <w:pPr>
        <w:ind w:left="340" w:hanging="332"/>
        <w:spacing w:after="0" w:line="207" w:lineRule="exact"/>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right="78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23" w:lineRule="exact"/>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7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ectPr>
          <w:pgSz w:w="11900" w:h="16838" w:orient="portrait"/>
          <w:cols w:equalWidth="0" w:num="1">
            <w:col w:w="11220"/>
          </w:cols>
          <w:pgMar w:left="320" w:top="665" w:right="359"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20"/>
          </w:cols>
          <w:pgMar w:left="320" w:top="665" w:right="359" w:bottom="1440" w:gutter="0" w:footer="0" w:header="0"/>
          <w:type w:val="continuous"/>
        </w:sectPr>
      </w:pPr>
    </w:p>
    <w:bookmarkStart w:id="79" w:name="page80"/>
    <w:bookmarkEnd w:id="79"/>
    <w:p>
      <w:pPr>
        <w:ind w:right="20"/>
        <w:spacing w:after="0" w:line="269" w:lineRule="auto"/>
        <w:rPr>
          <w:sz w:val="20"/>
          <w:szCs w:val="20"/>
          <w:color w:val="auto"/>
        </w:rPr>
      </w:pPr>
      <w:r>
        <w:rPr>
          <w:rFonts w:ascii="Arial" w:cs="Arial" w:eastAsia="Arial" w:hAnsi="Arial"/>
          <w:sz w:val="17"/>
          <w:szCs w:val="17"/>
          <w:color w:val="auto"/>
        </w:rPr>
        <w:t>We will require additional external sources of capital to complete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specified date in the fourth quarter of 2019. On December 13, 2019, we entered into the Fourth Amendment, which we refer to as the MIT Amendment, to the Exclusive Patent License Agreement by and between us and the Massachusetts Institute of Technology, or the MIT Agreement. Pursuant to the MIT Amendment, a provision of the MIT Agreement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we provide MIT with an amended diligence plan. If we are unable to reach an agreement with MIT regarding an acceptable amendment of the MIT License and if we are unable to cure the breach, there could be a material adverse effect on our business.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existing cash, cash equivalents, investments, and restricted cash as of December 31, 2019 will enable us to fund our operating expenses and capital expenditure requirements into the first quarter of 2021. Because our current operating plan does not contain sufficient resources, we will require additional external sources of capital to complete the planned Phase 3 clinical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Annual Report on Form 10-K. For additional information, see “Liquidity and Capital Resources.”</w:t>
      </w:r>
    </w:p>
    <w:p>
      <w:pPr>
        <w:spacing w:after="0" w:line="17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12 to our consolidated financial statements included elsewhere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20" w:lineRule="exact"/>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and primarily include CMO 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4"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We have incurred a total of $240.8 million in research and development expenses from inception through December 31, 2019,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candidate, and the remainder being spent on our various discovery and preclinical stage product candidate programs and the general expansion of our technology.</w:t>
      </w:r>
    </w:p>
    <w:p>
      <w:pPr>
        <w:spacing w:after="0" w:line="2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connection with our intention to focus on advancing our ImmTOR platform, as stated in January 2019, we have ceased ongoing work on our immune stimulation programs SELA-070 and SEL-701, and currently do not have plans to move these programs forward or to perform any additional work on either of these programs.</w:t>
      </w:r>
    </w:p>
    <w:p>
      <w:pPr>
        <w:spacing w:after="0" w:line="18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As we expand the clinical development of SEL</w:t>
      </w:r>
      <w:r>
        <w:rPr>
          <w:rFonts w:ascii="MS PGothic" w:cs="MS PGothic" w:eastAsia="MS PGothic" w:hAnsi="MS PGothic"/>
          <w:sz w:val="17"/>
          <w:szCs w:val="17"/>
          <w:color w:val="auto"/>
        </w:rPr>
        <w:t>‑</w:t>
      </w:r>
      <w:r>
        <w:rPr>
          <w:rFonts w:ascii="Arial" w:cs="Arial" w:eastAsia="Arial" w:hAnsi="Arial"/>
          <w:sz w:val="17"/>
          <w:szCs w:val="17"/>
          <w:color w:val="auto"/>
        </w:rPr>
        <w:t>212 and our gene therapy programs, we expect our research and development expenses to increase.</w:t>
      </w:r>
    </w:p>
    <w:p>
      <w:pPr>
        <w:spacing w:after="0" w:line="237"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665" w:right="379" w:bottom="1440" w:gutter="0" w:footer="0" w:header="0"/>
        </w:sectPr>
      </w:pPr>
    </w:p>
    <w:bookmarkStart w:id="80" w:name="page81"/>
    <w:bookmarkEnd w:id="80"/>
    <w:p>
      <w:pPr>
        <w:ind w:right="40"/>
        <w:spacing w:after="0" w:line="219" w:lineRule="exact"/>
        <w:rPr>
          <w:sz w:val="20"/>
          <w:szCs w:val="20"/>
          <w:color w:val="auto"/>
        </w:rPr>
      </w:pPr>
      <w:r>
        <w:rPr>
          <w:rFonts w:ascii="Arial" w:cs="Arial" w:eastAsia="Arial" w:hAnsi="Arial"/>
          <w:sz w:val="16"/>
          <w:szCs w:val="16"/>
          <w:color w:val="auto"/>
        </w:rPr>
        <w:t>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9"/>
        </w:trPr>
        <w:tc>
          <w:tcPr>
            <w:tcW w:w="5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80"/>
              <w:spacing w:after="0"/>
              <w:rPr>
                <w:sz w:val="20"/>
                <w:szCs w:val="20"/>
                <w:color w:val="auto"/>
              </w:rPr>
            </w:pPr>
            <w:r>
              <w:rPr>
                <w:rFonts w:ascii="Arial" w:cs="Arial" w:eastAsia="Arial" w:hAnsi="Arial"/>
                <w:sz w:val="14"/>
                <w:szCs w:val="14"/>
                <w:color w:val="auto"/>
              </w:rPr>
              <w:t>SEL-212</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25,489</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ind w:right="48"/>
              <w:spacing w:after="0"/>
              <w:rPr>
                <w:sz w:val="20"/>
                <w:szCs w:val="20"/>
                <w:color w:val="auto"/>
              </w:rPr>
            </w:pPr>
            <w:r>
              <w:rPr>
                <w:rFonts w:ascii="Arial" w:cs="Arial" w:eastAsia="Arial" w:hAnsi="Arial"/>
                <w:sz w:val="14"/>
                <w:szCs w:val="14"/>
                <w:color w:val="auto"/>
              </w:rPr>
              <w:t>22,770</w:t>
            </w:r>
          </w:p>
        </w:tc>
        <w:tc>
          <w:tcPr>
            <w:tcW w:w="10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19,593</w:t>
            </w:r>
          </w:p>
        </w:tc>
        <w:tc>
          <w:tcPr>
            <w:tcW w:w="0" w:type="dxa"/>
            <w:vAlign w:val="bottom"/>
          </w:tcPr>
          <w:p>
            <w:pPr>
              <w:spacing w:after="0"/>
              <w:rPr>
                <w:sz w:val="1"/>
                <w:szCs w:val="1"/>
                <w:color w:val="auto"/>
              </w:rPr>
            </w:pPr>
          </w:p>
        </w:tc>
      </w:tr>
      <w:tr>
        <w:trPr>
          <w:trHeight w:val="73"/>
        </w:trPr>
        <w:tc>
          <w:tcPr>
            <w:tcW w:w="5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w:t>
            </w:r>
          </w:p>
        </w:tc>
        <w:tc>
          <w:tcPr>
            <w:tcW w:w="4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80"/>
        </w:trPr>
        <w:tc>
          <w:tcPr>
            <w:tcW w:w="5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4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1,614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vMerge w:val="restart"/>
          </w:tcPr>
          <w:p>
            <w:pPr>
              <w:jc w:val="right"/>
              <w:ind w:right="48"/>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73"/>
        </w:trPr>
        <w:tc>
          <w:tcPr>
            <w:tcW w:w="5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4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20,692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80"/>
        </w:trPr>
        <w:tc>
          <w:tcPr>
            <w:tcW w:w="52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22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42,743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47,687</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45,165</w:t>
            </w:r>
          </w:p>
        </w:tc>
        <w:tc>
          <w:tcPr>
            <w:tcW w:w="0" w:type="dxa"/>
            <w:vAlign w:val="bottom"/>
          </w:tcPr>
          <w:p>
            <w:pPr>
              <w:spacing w:after="0"/>
              <w:rPr>
                <w:sz w:val="1"/>
                <w:szCs w:val="1"/>
                <w:color w:val="auto"/>
              </w:rPr>
            </w:pPr>
          </w:p>
        </w:tc>
      </w:tr>
      <w:tr>
        <w:trPr>
          <w:trHeight w:val="53"/>
        </w:trPr>
        <w:tc>
          <w:tcPr>
            <w:tcW w:w="5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(expense) consists primarily of issuance fees associated with warrant liabilities for the year ended December 31, 2019, and was de minimis for each of the years ended December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each of December 31, 2019 and December 31, 2018, we maintained cash of $0.4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w:t>
      </w:r>
    </w:p>
    <w:p>
      <w:pPr>
        <w:sectPr>
          <w:pgSz w:w="11900" w:h="16838" w:orient="portrait"/>
          <w:cols w:equalWidth="0" w:num="1">
            <w:col w:w="11220"/>
          </w:cols>
          <w:pgMar w:left="320" w:top="665" w:right="35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20"/>
          </w:cols>
          <w:pgMar w:left="320" w:top="665" w:right="359" w:bottom="1440" w:gutter="0" w:footer="0" w:header="0"/>
          <w:type w:val="continuous"/>
        </w:sectPr>
      </w:pPr>
    </w:p>
    <w:bookmarkStart w:id="81" w:name="page82"/>
    <w:bookmarkEnd w:id="81"/>
    <w:p>
      <w:pPr>
        <w:jc w:val="both"/>
        <w:ind w:right="140"/>
        <w:spacing w:after="0" w:line="263" w:lineRule="auto"/>
        <w:rPr>
          <w:sz w:val="20"/>
          <w:szCs w:val="20"/>
          <w:color w:val="auto"/>
        </w:rPr>
      </w:pPr>
      <w:r>
        <w:rPr>
          <w:rFonts w:ascii="Arial" w:cs="Arial" w:eastAsia="Arial" w:hAnsi="Arial"/>
          <w:sz w:val="18"/>
          <w:szCs w:val="18"/>
          <w:color w:val="auto"/>
        </w:rPr>
        <w:t>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Annual Report on Form 10-K) will be satisfied over time, and revenue will be recognized using the output method, based on the proportion of actual deliveries to the total expected deliveries over the initial term.</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We currently generate our revenue through grants, collaboration and license agreements with strategic collaborators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commercialization of product candidates. Grants and license agreements with customers are accounted for in accordance with ASC</w:t>
      </w: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We analyze collaboration arrangements by first assessing whether they are within the scope of ASC Topic 808, </w:t>
      </w:r>
      <w:r>
        <w:rPr>
          <w:rFonts w:ascii="Arial" w:cs="Arial" w:eastAsia="Arial" w:hAnsi="Arial"/>
          <w:sz w:val="16"/>
          <w:szCs w:val="16"/>
          <w:i w:val="1"/>
          <w:iCs w:val="1"/>
          <w:color w:val="auto"/>
        </w:rPr>
        <w:t>Collaborative Arrangements (ASC</w:t>
      </w:r>
    </w:p>
    <w:p>
      <w:pPr>
        <w:spacing w:after="0" w:line="32"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808)</w:t>
      </w:r>
      <w:r>
        <w:rPr>
          <w:rFonts w:ascii="Arial" w:cs="Arial" w:eastAsia="Arial" w:hAnsi="Arial"/>
          <w:sz w:val="16"/>
          <w:szCs w:val="16"/>
          <w:color w:val="auto"/>
        </w:rPr>
        <w:t>, and evaluate whether such arrangements involve joint operating activities performed by parties that are both active participants in the activities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xml:space="preserve">, which provides guidance on evaluating certain transactions between collaborative arrangement 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(ASC 730)</w:t>
      </w:r>
      <w:r>
        <w:rPr>
          <w:rFonts w:ascii="Arial" w:cs="Arial" w:eastAsia="Arial" w:hAnsi="Arial"/>
          <w:sz w:val="16"/>
          <w:szCs w:val="16"/>
          <w:color w:val="auto"/>
        </w:rPr>
        <w:t>, and record reimbursements from counterparties as an offset to the related costs. In determining the appropriate amount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recognized as it fulfills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66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selling price, which may include market conditions, reimbursement rates for personnel costs, development timelines and probabilities of regulatory success.</w:t>
      </w:r>
    </w:p>
    <w:p>
      <w:pPr>
        <w:spacing w:after="0" w:line="24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our intellectual property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9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2019, we issued common warrants in connection with the 2019 Purchase Agreement. Pursuant to the terms of these common warrants, we could be required to settle the common warrants in cash in the event of certain acquisitions of the Company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As of December 31, 2019, the fair value of the common warrants of $41.5 million was recorded as a long-term liability on our balance sheet, which resulted in a change in fair value of $0.9 million for the year ended December 31, 2019. Additionally, we allocated $1.2 million of the transaction costs associated with the 2019 Purchase Agreement to financing expense on our statement of operations. The remaining $3.2 million of transaction costs were offset against the proceeds allocated to our common stock and pre-funded warrants.</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We account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employees using a fair value method.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is measured at the grant date fair value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and is recognized over the requisite service period of the awards, usually the vesting period,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net of estimated forfeitures. We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665" w:right="339" w:bottom="1440" w:gutter="0" w:footer="0" w:header="0"/>
        </w:sectPr>
      </w:pPr>
    </w:p>
    <w:bookmarkStart w:id="83" w:name="page84"/>
    <w:bookmarkEnd w:id="83"/>
    <w:p>
      <w:pPr>
        <w:ind w:right="600"/>
        <w:spacing w:after="0" w:line="220" w:lineRule="exact"/>
        <w:rPr>
          <w:sz w:val="20"/>
          <w:szCs w:val="20"/>
          <w:color w:val="auto"/>
        </w:rPr>
      </w:pPr>
      <w:r>
        <w:rPr>
          <w:rFonts w:ascii="Arial" w:cs="Arial" w:eastAsia="Arial" w:hAnsi="Arial"/>
          <w:sz w:val="18"/>
          <w:szCs w:val="18"/>
          <w:color w:val="auto"/>
        </w:rPr>
        <w:t>reduce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estimated forfeitures. To the extent that actual forfeitures differ from management’s estimates, the differences are recorded as a cumulative adjustment in the period the estimates were adjusted.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2019 and 2018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vMerge w:val="restart"/>
          </w:tcPr>
          <w:p>
            <w:pPr>
              <w:jc w:val="center"/>
              <w:ind w:left="208"/>
              <w:spacing w:after="0"/>
              <w:rPr>
                <w:sz w:val="20"/>
                <w:szCs w:val="20"/>
                <w:color w:val="auto"/>
              </w:rPr>
            </w:pPr>
            <w:r>
              <w:rPr>
                <w:rFonts w:ascii="Arial" w:cs="Arial" w:eastAsia="Arial" w:hAnsi="Arial"/>
                <w:sz w:val="14"/>
                <w:szCs w:val="14"/>
                <w:b w:val="1"/>
                <w:bCs w:val="1"/>
                <w:color w:val="auto"/>
                <w:w w:val="87"/>
              </w:rPr>
              <w:t>Increase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Collaboration revenue</w:t>
            </w:r>
          </w:p>
        </w:tc>
        <w:tc>
          <w:tcPr>
            <w:tcW w:w="84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6,677</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6,677</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84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6,677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During the year ended December 31, 2019, we recognized $6.7 million in revenue upon expiration of the term for Spark to exercise additional target options that represented material rights and less than $0.1 million of revenue for two shipments to Spark under our collaboration agreement. During the year ended December 31, 2018, we recognized the remaining $0.9 million in grant revenues from NIDA after receiving final approval from NIDA.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8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42,743</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47,687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(4,944)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During the year ended December 31, 2019</w:t>
      </w:r>
      <w:r>
        <w:rPr>
          <w:rFonts w:ascii="Arial" w:cs="Arial" w:eastAsia="Arial" w:hAnsi="Arial"/>
          <w:sz w:val="16"/>
          <w:szCs w:val="16"/>
          <w:color w:val="2C2C2C"/>
        </w:rPr>
        <w:t>, our research and development expenses decreased by $5.0 million, or 10%, as com</w:t>
      </w:r>
      <w:r>
        <w:rPr>
          <w:rFonts w:ascii="Arial" w:cs="Arial" w:eastAsia="Arial" w:hAnsi="Arial"/>
          <w:sz w:val="16"/>
          <w:szCs w:val="16"/>
          <w:color w:val="auto"/>
        </w:rPr>
        <w:t>pared to 2018. The decrease reflects reduced costs in 2019 resulting from the completion of prior programs in 2018 combined with reduced salaries and benefits resulting from the headcount reduction in early 2019. The cost reductions were offset by an overall increase in costs incurred on our lead product candidate, SEL-212.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66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2019 and 2018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8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16,389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18,238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(1,849)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year ended December 31, 2019, our general and administrative expenses decreased by $1.8 million, or 10%, as compared to 2018. The decrease is the result of lower salary and stock compensation expense resulting from a reduction in headcount at the end of 2018, and lower patent and professional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remained relatively unchanged during the years ended December 31, 2019 as compared to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recognized minimal foreign currency losses of less than $0.1 million and gains of $0.1 million during the year ended December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was $1.5 million for each of the years ended December 31, 2019 and 2018,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recognized $0.9 million as a change in the fair value of warrant liabilities utilizing a Black-Scholes valuation methodology, for the year ended December 31, 2019, primarily driven by an increase in the share price from issuance (see Note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Other (expense) income was $1.3 million and less than $0.1 million for the years ended December 31, 2019 and 2018, respectively. The increase in the other expense during 2019 was the result of $1.2 million of fees incurred as a result of the issuance of liability classified common warrants in our December 2019 private placement (see Note 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2019 was $55.4 million compared to $65.3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From our inception through December 31, 2019, we have raised an aggregate of $416.0 million to fund our operations, which includes $118.5 million from the sale of preferred stock, $11.1 million in government grant funding, $25.3 million from borrowings under our credit facility, $46.3 million from our collaborations and license agreements, $64.5 million in combined net proceeds from our initial public offering $118.4 million in combined net proceeds from private placements of our common stock in June 2017 and August and December 2019, $30.9 million from an underwritten follow-on offering of our common stock in January 2019, and $1.0 million in aggregate net proceeds from "at-the-market" offerings of our common stock in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December 17, 2019, we entered into the AskBio License Agreement. Pursuant to the AskBio License Agreement, AskBio has exercised its option to exclusively license the Company’s intellectual property rights covering ImmTOR to research, develop, and commercialize certain AAV genetherapy products utilizing ImmTOR, and targeting the GAA gene, or derivatives thereof, to treat Pompe Disease. As of December 31, 2019, AskBio paid $2.0 million of the aggregate $7.0 million of upfront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December 23, 2019, we sold an aggregate of 37,634,883 shares of our common stock at a purchase price of $1.46 per share, warrants to purchase an aggregate of 22,988,501 shares of common stock at a purchase price of $0.125 per share underlying</w:t>
      </w:r>
    </w:p>
    <w:p>
      <w:pPr>
        <w:sectPr>
          <w:pgSz w:w="11900" w:h="16838" w:orient="portrait"/>
          <w:cols w:equalWidth="0" w:num="1">
            <w:col w:w="11240"/>
          </w:cols>
          <w:pgMar w:left="320" w:top="665" w:right="339" w:bottom="736"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665" w:right="339" w:bottom="736" w:gutter="0" w:footer="0" w:header="0"/>
          <w:type w:val="continuous"/>
        </w:sectPr>
      </w:pPr>
    </w:p>
    <w:bookmarkStart w:id="85" w:name="page86"/>
    <w:bookmarkEnd w:id="85"/>
    <w:p>
      <w:pPr>
        <w:ind w:right="220"/>
        <w:spacing w:after="0" w:line="277" w:lineRule="auto"/>
        <w:rPr>
          <w:sz w:val="20"/>
          <w:szCs w:val="20"/>
          <w:color w:val="auto"/>
        </w:rPr>
      </w:pPr>
      <w:r>
        <w:rPr>
          <w:rFonts w:ascii="Arial" w:cs="Arial" w:eastAsia="Arial" w:hAnsi="Arial"/>
          <w:sz w:val="18"/>
          <w:szCs w:val="18"/>
          <w:color w:val="auto"/>
        </w:rPr>
        <w:t>each common warrant, and pre-funded warrants to purchase an aggregate of 8,342,128 shares of common stock at a purchase price of $1.46 per share for net proceeds of $65.6 million, after deducting commissions and other transaction costs.</w:t>
      </w:r>
    </w:p>
    <w:p>
      <w:pPr>
        <w:spacing w:after="0" w:line="17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On August 19, 2019, we sold 3,178,174 shares of its common stock pursuant to a Stock Purchase Agreement to individual investors, including certain of our executive officers and members of our board of directors for aggregate net proceeds of approximately $5.7 million, after deducting transaction costs.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January 25, 2019, we completed a public offering of 20,000,000 shares of our common stock at a public offering price of $1.50 per share. 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January 29, 2019, an additional 2,188,706 shares were sold at a public offering price of $1.50 per share. The total net proceeds from the offering were $30.9 million, after deducting underwriting discounts and commissions.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August 2017, we entered into a sales agreement, or the Sales Agreement, with Jefferies LLC, as sales agent, pursuant to which we may,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time, issue and sell common stock with an aggregate value of up to $50 million in an "at-the-market" offering. Sales of common stock, if any,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Sales Agreement, may be made in sales deemed to be an “at the market offering” as defined in Rule 415(a) of the Securities Act, including sales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through the Nasdaq Global Market or on any other existing trading market for our common stock. We intend to use the proceeds from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working capital and other general corporate purposes. We may suspend or terminate the Sales Agreement at any time.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sold 615,453 shares of our common stock pursuant to the Sales Agreement at an average price of approximately $1.84 per share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net proceeds of $1.0 million, after deducting commissions and other transaction costs.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December 31, 2019, our cash, cash equivalents, and restricted cash were $91.6 million, of which $1.7 million was restricted cash related to lease commitments and $0.4 million was held by our Russian subsidiary designated solely for use in its operations. Our Russian subsidiary cash is consolidated for financial reporting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existing cash equivalents, we receive research and development funding pursuant to our research grants and collaboration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Currently, funding from research grants and payments under our collaboration agreements represent our only source of committed external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the date of this Annual Report on Form 10-K,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665" w:right="339" w:bottom="1440" w:gutter="0" w:footer="0" w:header="0"/>
        </w:sectPr>
      </w:pPr>
    </w:p>
    <w:bookmarkStart w:id="86" w:name="page87"/>
    <w:bookmarkEnd w:id="86"/>
    <w:p>
      <w:pPr>
        <w:ind w:right="420"/>
        <w:spacing w:after="0" w:line="277" w:lineRule="auto"/>
        <w:rPr>
          <w:sz w:val="20"/>
          <w:szCs w:val="20"/>
          <w:color w:val="auto"/>
        </w:rPr>
      </w:pPr>
      <w:r>
        <w:rPr>
          <w:rFonts w:ascii="Arial" w:cs="Arial" w:eastAsia="Arial" w:hAnsi="Arial"/>
          <w:sz w:val="18"/>
          <w:szCs w:val="18"/>
          <w:color w:val="auto"/>
        </w:rPr>
        <w:t>complications, delays and other unknown factors that may adversely affect our business. We expect that we will need substantial additional funding to support our continuing operations.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2019 and December 31, 2018, we had an accumulated deficit of $335.8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will require additional external sources of capital to complete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specified date in the fourth quarter of 2019. On December 13, 2019, we entered into the Fourth Amendment, which we refer to as the MIT Amendment, to the Exclusive Patent License Agreement by and between us and the Massachusetts Institute of Technology, or the MIT Agreement. Pursuant to the MIT Amendment, a provision of the MIT Agreement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we provide MIT with an amended diligence plan. If we are unable to reach an agreement with MIT regarding an acceptable amendment of the MIT License and if we are unable to cure the breach, there could be a material adverse effect on our business.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that our existing cash, cash equivalents, investments, and restricted cash as of December 31, 2019 will enable us to fund our operating expenses and capital expenditure requirements into the first quarter of 2021. We plan to commence our Phase 3 clinical program in SEL-212 in the second half of 2020. Because our current operating plan does not contain sufficient resources, we will require additional external sources of capital to complete the planned Phase 3 clinical program for SEL-212.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665" w:right="339" w:bottom="1440" w:gutter="0" w:footer="0" w:header="0"/>
          <w:type w:val="continuous"/>
        </w:sectPr>
      </w:pPr>
    </w:p>
    <w:bookmarkStart w:id="87" w:name="page88"/>
    <w:bookmarkEnd w:id="87"/>
    <w:p>
      <w:pPr>
        <w:ind w:left="340" w:right="20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(59,161)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(52,026)</w:t>
            </w:r>
          </w:p>
        </w:tc>
      </w:tr>
      <w:tr>
        <w:trPr>
          <w:trHeight w:val="264"/>
        </w:trPr>
        <w:tc>
          <w:tcPr>
            <w:tcW w:w="596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25,272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(2,098)</w:t>
            </w: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105,041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66,023</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53,869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in operating activities for the year ended December 31, 2019 was $51.4 million compared to $59.2 million in the same period in 2018, a decrease of $7.8 million. The decrease in net cash used in operating activities was primarily due to a $10.0 million decrease in recorded net loss, a decrease of $5.8 million in prepaid expenses, and a decrease of $1.4 million resulting from non-cash charges which were offset by an increase of $4.9 million in accrued expenses and other liabilities, and an increase of $5.0 million in accounts receivable. The change in deferred revenue is due to the receipt of $2.0 million and a receivable of $5.0 million in proceeds from AskBio offset by $6.7 million from the expiration of the term for Spark to exercise additional target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Net cash provided by investing activities for the year ended December 31, 2019 was $0.2 million compared to net cash provided from investing activities of $25.3 million in the same period in 2018. The net cash provided by investing activities in 2019 was the result of purchases of short-term investments of $18.2 million, offset by $16.4 million of maturities and $2.0 million of sales of short term investments.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net cash provided by investing activities in 2018 was primarily due to receipts of $41.7 million from maturities of short-term investments, offset by $15.6 million of purchases of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2019 was $105.0 million compared to $0.7 million in the same period in 2018. The net cash provided by financing activities in 2019 was the result of $30.9 million net proceeds from an underwritten follow-on offering of our common stock in January, $75.7 million net proceeds from private placement offerings in August and December and $1.0 million net proceeds from "at-the-market" offerings, offset by $2.8 million principal payment on outstanding debt.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net cash provided by financing activities in 2018 was due to $0.2 million from the issuance of common stock under the ESPP and $0.5 million from the exercise of employee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principal contractual obligations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Later</w:t>
            </w:r>
          </w:p>
        </w:tc>
      </w:tr>
      <w:tr>
        <w:trPr>
          <w:trHeight w:val="256"/>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leases obligations (1)</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16,169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9,006</w:t>
            </w: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Research and development contract obligations (2)</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obligations (3)</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20,261</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9,084</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8,716</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2,461</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5300" w:type="dxa"/>
            <w:vAlign w:val="bottom"/>
          </w:tcPr>
          <w:p>
            <w:pPr>
              <w:ind w:left="220"/>
              <w:spacing w:after="0"/>
              <w:rPr>
                <w:sz w:val="20"/>
                <w:szCs w:val="20"/>
                <w:color w:val="auto"/>
              </w:rPr>
            </w:pPr>
            <w:r>
              <w:rPr>
                <w:rFonts w:ascii="Arial" w:cs="Arial" w:eastAsia="Arial" w:hAnsi="Arial"/>
                <w:sz w:val="14"/>
                <w:szCs w:val="14"/>
                <w:color w:val="auto"/>
              </w:rPr>
              <w:t>Total contractual obligations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36,610</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10,710</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10,587</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4,386</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9,006</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60" w:firstLine="8"/>
        <w:spacing w:after="0" w:line="273" w:lineRule="auto"/>
        <w:tabs>
          <w:tab w:leader="none" w:pos="204" w:val="left"/>
        </w:tabs>
        <w:numPr>
          <w:ilvl w:val="0"/>
          <w:numId w:val="53"/>
        </w:numPr>
        <w:rPr>
          <w:rFonts w:ascii="Arial" w:cs="Arial" w:eastAsia="Arial" w:hAnsi="Arial"/>
          <w:sz w:val="14"/>
          <w:szCs w:val="14"/>
          <w:color w:val="auto"/>
        </w:rPr>
      </w:pPr>
      <w:r>
        <w:rPr>
          <w:rFonts w:ascii="Arial" w:cs="Arial" w:eastAsia="Arial" w:hAnsi="Arial"/>
          <w:sz w:val="14"/>
          <w:szCs w:val="14"/>
          <w:color w:val="auto"/>
        </w:rPr>
        <w:t>Operating lease obligations represent future minimum lease payments under noncancellable property leases in Watertown, Massachusetts. The minimum lease payments do not include common area maintenance charges, real estate taxes or any sublease income we may earn.</w:t>
      </w:r>
    </w:p>
    <w:p>
      <w:pPr>
        <w:spacing w:after="0" w:line="119" w:lineRule="exact"/>
        <w:rPr>
          <w:rFonts w:ascii="Arial" w:cs="Arial" w:eastAsia="Arial" w:hAnsi="Arial"/>
          <w:sz w:val="14"/>
          <w:szCs w:val="14"/>
          <w:color w:val="auto"/>
        </w:rPr>
      </w:pPr>
    </w:p>
    <w:p>
      <w:pPr>
        <w:ind w:right="80" w:firstLine="8"/>
        <w:spacing w:after="0" w:line="273" w:lineRule="auto"/>
        <w:tabs>
          <w:tab w:leader="none" w:pos="204"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Research and development contract obligations represent minimum annual license fees payable to universities or partners under our license agreements. Under our license agreement with the Massachusetts Institute of Technology, or MIT, milestone payments are due upon the occurrence of certain events and</w:t>
      </w:r>
    </w:p>
    <w:p>
      <w:pPr>
        <w:sectPr>
          <w:pgSz w:w="11900" w:h="16838" w:orient="portrait"/>
          <w:cols w:equalWidth="0" w:num="1">
            <w:col w:w="11240"/>
          </w:cols>
          <w:pgMar w:left="320" w:top="66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665" w:right="339" w:bottom="1440" w:gutter="0" w:footer="0" w:header="0"/>
          <w:type w:val="continuous"/>
        </w:sectPr>
      </w:pPr>
    </w:p>
    <w:bookmarkStart w:id="88" w:name="page89"/>
    <w:bookmarkEnd w:id="88"/>
    <w:p>
      <w:pPr>
        <w:ind w:right="160"/>
        <w:spacing w:after="0" w:line="273" w:lineRule="auto"/>
        <w:rPr>
          <w:sz w:val="20"/>
          <w:szCs w:val="20"/>
          <w:color w:val="auto"/>
        </w:rPr>
      </w:pPr>
      <w:r>
        <w:rPr>
          <w:rFonts w:ascii="Arial" w:cs="Arial" w:eastAsia="Arial" w:hAnsi="Arial"/>
          <w:sz w:val="14"/>
          <w:szCs w:val="14"/>
          <w:color w:val="auto"/>
        </w:rPr>
        <w:t>royalty payments commence upon our commercialization of a product. For purposes of presenting our contractual obligations under the MIT agreement, we have assumed license payments are fully offset by royalty payments in 2023.</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(3) Debt obligations payments are based on the contractual payment dates.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refer to Part IV, Note 2 to our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2019, we did not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2019 and December 31, 2018, we had cash, cash equivalents, restricted cash and investments of $91.6 million and $37.7 million, respectively, consisting of non</w:t>
      </w:r>
      <w:r>
        <w:rPr>
          <w:rFonts w:ascii="MS PGothic" w:cs="MS PGothic" w:eastAsia="MS PGothic" w:hAnsi="MS PGothic"/>
          <w:sz w:val="18"/>
          <w:szCs w:val="18"/>
          <w:color w:val="auto"/>
        </w:rPr>
        <w:t>‑</w:t>
      </w:r>
      <w:r>
        <w:rPr>
          <w:rFonts w:ascii="Arial" w:cs="Arial" w:eastAsia="Arial" w:hAnsi="Arial"/>
          <w:sz w:val="18"/>
          <w:szCs w:val="18"/>
          <w:color w:val="auto"/>
        </w:rPr>
        <w:t>interest and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Arial" w:cs="Arial" w:eastAsia="Arial" w:hAnsi="Arial"/>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December 31, 2019, we held cash and cash equivalents totaling $0.4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7"/>
          <w:szCs w:val="17"/>
          <w:b w:val="1"/>
          <w:bCs w:val="1"/>
          <w:color w:val="auto"/>
        </w:rPr>
        <w:t>tem 8. Financial Statements and Supplementary Data</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consolidated financial statements together with the report of our independent registered public company accounting firm, required to be filed pursuant to this Item 8 are appended to this Annual Report on Form 10-K. An index of those consolidated financial statements is found in Item 15 of this Annual Report on Form 10-K.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ectPr>
          <w:pgSz w:w="11900" w:h="16838" w:orient="portrait"/>
          <w:cols w:equalWidth="0" w:num="1">
            <w:col w:w="11220"/>
          </w:cols>
          <w:pgMar w:left="320" w:top="553" w:right="3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553" w:right="359" w:bottom="1440" w:gutter="0" w:footer="0" w:header="0"/>
          <w:type w:val="continuous"/>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Based on this assessment, our management concluded that, as of December 31, 2019, our internal control over financial reporting was effective.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2019 that have materially affected, or are reasonably likely to materially affect, our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320" w:top="665" w:right="39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www.selectabio.com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is contained in part under the caption “Information about our Executive Officers” at the end of Part I of this Annual Report on Form 10-K. The remainder of the response to this item will be included in our definitive Proxy Statement for the 2020 Annual Meeting of Stockholders under the headings “Proposal 1-Election of Directors,” “Delinquent Section 16(a) Reports,” and “Committees of the Board”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required by this Item regarding executive compensation will be included in our definitive Proxy Statement for the 2020 Annual Meeting of Stockholders under the headings “Executive and Director Compensation” and “Compensation Committee Interlocks and Insider Participation” and is incorporated herein by reference, as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under the headings “Security Ownership of Certain Beneficial Owners and Management” and “Executive and Director Compensation-Equity Compensation Plan Information”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Stockholders under the headings “Corporate Governance,” “Committees of the Board” and “Certain Relationships” and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included in our definitive Proxy Statement for the 2020 Annual Meeting of Stockholders under the heading “Independent Registered Public Accounting Firm Fees and Other Matters”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66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4"/>
          </w:tcPr>
          <w:p>
            <w:pPr>
              <w:ind w:left="58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0"/>
                <w:szCs w:val="20"/>
                <w:color w:val="auto"/>
              </w:rPr>
            </w:pPr>
          </w:p>
        </w:tc>
      </w:tr>
      <w:tr>
        <w:trPr>
          <w:trHeight w:val="432"/>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60" w:type="dxa"/>
            <w:vAlign w:val="bottom"/>
          </w:tcPr>
          <w:p>
            <w:pPr>
              <w:spacing w:after="0"/>
              <w:rPr>
                <w:sz w:val="24"/>
                <w:szCs w:val="24"/>
                <w:color w:val="auto"/>
              </w:rPr>
            </w:pPr>
          </w:p>
        </w:tc>
      </w:tr>
      <w:tr>
        <w:trPr>
          <w:trHeight w:val="864"/>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260" w:type="dxa"/>
            <w:vAlign w:val="bottom"/>
          </w:tcPr>
          <w:p>
            <w:pPr>
              <w:spacing w:after="0"/>
              <w:rPr>
                <w:sz w:val="24"/>
                <w:szCs w:val="24"/>
                <w:color w:val="auto"/>
              </w:rPr>
            </w:pPr>
          </w:p>
        </w:tc>
      </w:tr>
      <w:tr>
        <w:trPr>
          <w:trHeight w:val="432"/>
        </w:trPr>
        <w:tc>
          <w:tcPr>
            <w:tcW w:w="10420" w:type="dxa"/>
            <w:vAlign w:val="bottom"/>
            <w:gridSpan w:val="8"/>
          </w:tcPr>
          <w:p>
            <w:pPr>
              <w:spacing w:after="0"/>
              <w:rPr>
                <w:sz w:val="20"/>
                <w:szCs w:val="20"/>
                <w:color w:val="auto"/>
              </w:rPr>
            </w:pPr>
            <w:r>
              <w:rPr>
                <w:rFonts w:ascii="Arial" w:cs="Arial" w:eastAsia="Arial" w:hAnsi="Arial"/>
                <w:sz w:val="18"/>
                <w:szCs w:val="18"/>
                <w:color w:val="auto"/>
              </w:rPr>
              <w:t>The financial statements listed below are filed as part of this Annual Report on Form 10-K.</w:t>
            </w:r>
          </w:p>
        </w:tc>
        <w:tc>
          <w:tcPr>
            <w:tcW w:w="260" w:type="dxa"/>
            <w:vAlign w:val="bottom"/>
          </w:tcPr>
          <w:p>
            <w:pPr>
              <w:spacing w:after="0"/>
              <w:rPr>
                <w:sz w:val="24"/>
                <w:szCs w:val="24"/>
                <w:color w:val="auto"/>
              </w:rPr>
            </w:pPr>
          </w:p>
        </w:tc>
      </w:tr>
      <w:tr>
        <w:trPr>
          <w:trHeight w:val="864"/>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60" w:type="dxa"/>
            <w:vAlign w:val="bottom"/>
          </w:tcPr>
          <w:p>
            <w:pPr>
              <w:spacing w:after="0"/>
              <w:rPr>
                <w:sz w:val="24"/>
                <w:szCs w:val="24"/>
                <w:color w:val="auto"/>
              </w:rPr>
            </w:pPr>
          </w:p>
        </w:tc>
      </w:tr>
      <w:tr>
        <w:trPr>
          <w:trHeight w:val="553"/>
        </w:trPr>
        <w:tc>
          <w:tcPr>
            <w:tcW w:w="40" w:type="dxa"/>
            <w:vAlign w:val="bottom"/>
          </w:tcPr>
          <w:p>
            <w:pPr>
              <w:spacing w:after="0"/>
              <w:rPr>
                <w:sz w:val="24"/>
                <w:szCs w:val="24"/>
                <w:color w:val="auto"/>
              </w:rPr>
            </w:pPr>
          </w:p>
        </w:tc>
        <w:tc>
          <w:tcPr>
            <w:tcW w:w="452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99">
              <w:r>
                <w:rPr>
                  <w:rFonts w:ascii="Arial" w:cs="Arial" w:eastAsia="Arial" w:hAnsi="Arial"/>
                  <w:sz w:val="18"/>
                  <w:szCs w:val="18"/>
                  <w:b w:val="1"/>
                  <w:bCs w:val="1"/>
                  <w:color w:val="0000EE"/>
                  <w:w w:val="90"/>
                </w:rPr>
                <w:t>Report of Independent Registered Public Accounting Firm</w:t>
              </w:r>
            </w:hyperlink>
          </w:p>
        </w:tc>
        <w:tc>
          <w:tcPr>
            <w:tcW w:w="5860" w:type="dxa"/>
            <w:vAlign w:val="bottom"/>
            <w:gridSpan w:val="5"/>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99">
              <w:r>
                <w:rPr>
                  <w:rFonts w:ascii="Arial" w:cs="Arial" w:eastAsia="Arial" w:hAnsi="Arial"/>
                  <w:sz w:val="18"/>
                  <w:szCs w:val="18"/>
                  <w:b w:val="1"/>
                  <w:bCs w:val="1"/>
                  <w:color w:val="0000EE"/>
                  <w:w w:val="88"/>
                </w:rPr>
                <w:t>F-1</w:t>
              </w:r>
            </w:hyperlink>
          </w:p>
        </w:tc>
      </w:tr>
      <w:tr>
        <w:trPr>
          <w:trHeight w:val="372"/>
        </w:trPr>
        <w:tc>
          <w:tcPr>
            <w:tcW w:w="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Consolidated Balance Sheets at December 31, 2019 and 2018</w:t>
              </w:r>
            </w:hyperlink>
          </w:p>
        </w:tc>
        <w:tc>
          <w:tcPr>
            <w:tcW w:w="260" w:type="dxa"/>
            <w:vAlign w:val="bottom"/>
          </w:tcPr>
          <w:p>
            <w:pPr>
              <w:spacing w:after="0"/>
              <w:rPr>
                <w:rFonts w:ascii="Arial" w:cs="Arial" w:eastAsia="Arial" w:hAnsi="Arial"/>
                <w:sz w:val="18"/>
                <w:szCs w:val="18"/>
                <w:b w:val="1"/>
                <w:bCs w:val="1"/>
                <w:color w:val="0000EE"/>
                <w:w w:val="88"/>
              </w:rPr>
            </w:pPr>
            <w:hyperlink w:anchor="page100">
              <w:r>
                <w:rPr>
                  <w:rFonts w:ascii="Arial" w:cs="Arial" w:eastAsia="Arial" w:hAnsi="Arial"/>
                  <w:sz w:val="18"/>
                  <w:szCs w:val="18"/>
                  <w:b w:val="1"/>
                  <w:bCs w:val="1"/>
                  <w:color w:val="0000EE"/>
                  <w:w w:val="88"/>
                </w:rPr>
                <w:t>F-2</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101">
              <w:r>
                <w:rPr>
                  <w:rFonts w:ascii="Arial" w:cs="Arial" w:eastAsia="Arial" w:hAnsi="Arial"/>
                  <w:sz w:val="18"/>
                  <w:szCs w:val="18"/>
                  <w:b w:val="1"/>
                  <w:bCs w:val="1"/>
                  <w:color w:val="0000EE"/>
                  <w:w w:val="88"/>
                </w:rPr>
                <w:t>Consolidated Statements of Operations and Comprehensive Loss for the years ended December 31, 2019, 2018 and 2017</w:t>
              </w:r>
            </w:hyperlink>
          </w:p>
        </w:tc>
        <w:tc>
          <w:tcPr>
            <w:tcW w:w="1180" w:type="dxa"/>
            <w:vAlign w:val="bottom"/>
            <w:gridSpan w:val="2"/>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1">
              <w:r>
                <w:rPr>
                  <w:rFonts w:ascii="Arial" w:cs="Arial" w:eastAsia="Arial" w:hAnsi="Arial"/>
                  <w:sz w:val="18"/>
                  <w:szCs w:val="18"/>
                  <w:b w:val="1"/>
                  <w:bCs w:val="1"/>
                  <w:color w:val="0000EE"/>
                  <w:w w:val="88"/>
                </w:rPr>
                <w:t>F-3</w:t>
              </w:r>
            </w:hyperlink>
          </w:p>
        </w:tc>
      </w:tr>
      <w:tr>
        <w:trPr>
          <w:trHeight w:val="372"/>
        </w:trPr>
        <w:tc>
          <w:tcPr>
            <w:tcW w:w="4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b w:val="1"/>
                <w:bCs w:val="1"/>
                <w:color w:val="0000EE"/>
                <w:w w:val="97"/>
              </w:rPr>
            </w:pPr>
            <w:hyperlink w:anchor="page102">
              <w:r>
                <w:rPr>
                  <w:rFonts w:ascii="Arial" w:cs="Arial" w:eastAsia="Arial" w:hAnsi="Arial"/>
                  <w:sz w:val="18"/>
                  <w:szCs w:val="18"/>
                  <w:b w:val="1"/>
                  <w:bCs w:val="1"/>
                  <w:color w:val="0000EE"/>
                  <w:w w:val="97"/>
                </w:rPr>
                <w:t>Consolidated Statements of Changes in Stockholders' Equity (Deficit) for the years ended December 31, 2019, 2018 and 2017</w:t>
              </w:r>
            </w:hyperlink>
          </w:p>
        </w:tc>
        <w:tc>
          <w:tcPr>
            <w:tcW w:w="260" w:type="dxa"/>
            <w:vAlign w:val="bottom"/>
          </w:tcPr>
          <w:p>
            <w:pPr>
              <w:spacing w:after="0"/>
              <w:rPr>
                <w:rFonts w:ascii="Arial" w:cs="Arial" w:eastAsia="Arial" w:hAnsi="Arial"/>
                <w:sz w:val="18"/>
                <w:szCs w:val="18"/>
                <w:b w:val="1"/>
                <w:bCs w:val="1"/>
                <w:color w:val="0000EE"/>
                <w:w w:val="88"/>
              </w:rPr>
            </w:pPr>
            <w:hyperlink w:anchor="page102">
              <w:r>
                <w:rPr>
                  <w:rFonts w:ascii="Arial" w:cs="Arial" w:eastAsia="Arial" w:hAnsi="Arial"/>
                  <w:sz w:val="18"/>
                  <w:szCs w:val="18"/>
                  <w:b w:val="1"/>
                  <w:bCs w:val="1"/>
                  <w:color w:val="0000EE"/>
                  <w:w w:val="88"/>
                </w:rPr>
                <w:t>F-4</w:t>
              </w:r>
            </w:hyperlink>
          </w:p>
        </w:tc>
      </w:tr>
      <w:tr>
        <w:trPr>
          <w:trHeight w:val="371"/>
        </w:trPr>
        <w:tc>
          <w:tcPr>
            <w:tcW w:w="40" w:type="dxa"/>
            <w:vAlign w:val="bottom"/>
          </w:tcPr>
          <w:p>
            <w:pPr>
              <w:spacing w:after="0"/>
              <w:rPr>
                <w:sz w:val="24"/>
                <w:szCs w:val="24"/>
                <w:color w:val="auto"/>
              </w:rPr>
            </w:pPr>
          </w:p>
        </w:tc>
        <w:tc>
          <w:tcPr>
            <w:tcW w:w="954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Consolidated Statements of Cash Flows for the years ended December 31, 2019, 2018 and 2017</w:t>
              </w:r>
            </w:hyperlink>
          </w:p>
        </w:tc>
        <w:tc>
          <w:tcPr>
            <w:tcW w:w="840" w:type="dxa"/>
            <w:vAlign w:val="bottom"/>
          </w:tcPr>
          <w:p>
            <w:pPr>
              <w:spacing w:after="0"/>
              <w:rPr>
                <w:sz w:val="24"/>
                <w:szCs w:val="24"/>
                <w:color w:val="auto"/>
              </w:rPr>
            </w:pPr>
          </w:p>
        </w:tc>
        <w:tc>
          <w:tcPr>
            <w:tcW w:w="260" w:type="dxa"/>
            <w:vAlign w:val="bottom"/>
            <w:tcBorders>
              <w:top w:val="single" w:sz="8" w:color="0000EE"/>
            </w:tcBorders>
          </w:tcPr>
          <w:p>
            <w:pPr>
              <w:spacing w:after="0"/>
              <w:rPr>
                <w:rFonts w:ascii="Arial" w:cs="Arial" w:eastAsia="Arial" w:hAnsi="Arial"/>
                <w:sz w:val="18"/>
                <w:szCs w:val="18"/>
                <w:b w:val="1"/>
                <w:bCs w:val="1"/>
                <w:color w:val="0000EE"/>
                <w:w w:val="88"/>
              </w:rPr>
            </w:pPr>
            <w:hyperlink w:anchor="page103">
              <w:r>
                <w:rPr>
                  <w:rFonts w:ascii="Arial" w:cs="Arial" w:eastAsia="Arial" w:hAnsi="Arial"/>
                  <w:sz w:val="18"/>
                  <w:szCs w:val="18"/>
                  <w:b w:val="1"/>
                  <w:bCs w:val="1"/>
                  <w:color w:val="0000EE"/>
                  <w:w w:val="88"/>
                </w:rPr>
                <w:t>F-5</w:t>
              </w:r>
            </w:hyperlink>
          </w:p>
        </w:tc>
      </w:tr>
      <w:tr>
        <w:trPr>
          <w:trHeight w:val="372"/>
        </w:trPr>
        <w:tc>
          <w:tcPr>
            <w:tcW w:w="40" w:type="dxa"/>
            <w:vAlign w:val="bottom"/>
          </w:tcPr>
          <w:p>
            <w:pPr>
              <w:spacing w:after="0"/>
              <w:rPr>
                <w:sz w:val="24"/>
                <w:szCs w:val="24"/>
                <w:color w:val="auto"/>
              </w:rPr>
            </w:pPr>
          </w:p>
        </w:tc>
        <w:tc>
          <w:tcPr>
            <w:tcW w:w="72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Notes to Consolidated Financial Statements</w:t>
              </w:r>
            </w:hyperlink>
          </w:p>
        </w:tc>
        <w:tc>
          <w:tcPr>
            <w:tcW w:w="3140" w:type="dxa"/>
            <w:vAlign w:val="bottom"/>
            <w:gridSpan w:val="3"/>
          </w:tcPr>
          <w:p>
            <w:pPr>
              <w:spacing w:after="0"/>
              <w:rPr>
                <w:sz w:val="24"/>
                <w:szCs w:val="24"/>
                <w:color w:val="auto"/>
              </w:rPr>
            </w:pPr>
          </w:p>
        </w:tc>
        <w:tc>
          <w:tcPr>
            <w:tcW w:w="260" w:type="dxa"/>
            <w:vAlign w:val="bottom"/>
            <w:tcBorders>
              <w:top w:val="single" w:sz="8" w:color="0000EE"/>
            </w:tcBorders>
          </w:tcPr>
          <w:p>
            <w:pPr>
              <w:spacing w:after="0"/>
              <w:rPr>
                <w:rFonts w:ascii="Arial" w:cs="Arial" w:eastAsia="Arial" w:hAnsi="Arial"/>
                <w:sz w:val="18"/>
                <w:szCs w:val="18"/>
                <w:b w:val="1"/>
                <w:bCs w:val="1"/>
                <w:color w:val="0000EE"/>
                <w:w w:val="88"/>
              </w:rPr>
            </w:pPr>
            <w:hyperlink w:anchor="page105">
              <w:r>
                <w:rPr>
                  <w:rFonts w:ascii="Arial" w:cs="Arial" w:eastAsia="Arial" w:hAnsi="Arial"/>
                  <w:sz w:val="18"/>
                  <w:szCs w:val="18"/>
                  <w:b w:val="1"/>
                  <w:bCs w:val="1"/>
                  <w:color w:val="0000EE"/>
                  <w:w w:val="88"/>
                </w:rPr>
                <w:t>F-7</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4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Filing</w:t>
            </w:r>
          </w:p>
        </w:tc>
        <w:tc>
          <w:tcPr>
            <w:tcW w:w="11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1"/>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800" w:type="dxa"/>
            <w:vAlign w:val="bottom"/>
            <w:gridSpan w:val="2"/>
          </w:tcPr>
          <w:p>
            <w:pPr>
              <w:jc w:val="center"/>
              <w:ind w:left="496"/>
              <w:spacing w:after="0" w:line="202"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13"/>
          </w:tcPr>
          <w:p>
            <w:pPr>
              <w:spacing w:after="0" w:line="202"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Restated Certificate of Incorporation of Selecta</w:t>
              </w:r>
            </w:hyperlink>
          </w:p>
        </w:tc>
        <w:tc>
          <w:tcPr>
            <w:tcW w:w="10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0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Biosciences, Inc.</w:t>
              </w:r>
            </w:hyperlink>
          </w:p>
        </w:tc>
        <w:tc>
          <w:tcPr>
            <w:tcW w:w="2160" w:type="dxa"/>
            <w:vAlign w:val="bottom"/>
            <w:tcBorders>
              <w:top w:val="single" w:sz="8" w:color="0000FF"/>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jc w:val="center"/>
              <w:ind w:left="496"/>
              <w:spacing w:after="0"/>
              <w:rPr>
                <w:rFonts w:ascii="Arial" w:cs="Arial" w:eastAsia="Arial" w:hAnsi="Arial"/>
                <w:sz w:val="18"/>
                <w:szCs w:val="18"/>
                <w:color w:val="0000FF"/>
                <w:w w:val="87"/>
              </w:rPr>
            </w:pPr>
            <w:hyperlink r:id="rId3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gridSpan w:val="13"/>
          </w:tcPr>
          <w:p>
            <w:pPr>
              <w:spacing w:after="0"/>
              <w:rPr>
                <w:rFonts w:ascii="Arial" w:cs="Arial" w:eastAsia="Arial" w:hAnsi="Arial"/>
                <w:sz w:val="18"/>
                <w:szCs w:val="18"/>
                <w:color w:val="0000FF"/>
              </w:rPr>
            </w:pPr>
            <w:hyperlink r:id="rId36">
              <w:r>
                <w:rPr>
                  <w:rFonts w:ascii="Arial" w:cs="Arial" w:eastAsia="Arial" w:hAnsi="Arial"/>
                  <w:sz w:val="18"/>
                  <w:szCs w:val="18"/>
                  <w:color w:val="0000FF"/>
                </w:rPr>
                <w:t>Amended and Restated By-laws of Selecta</w:t>
              </w:r>
            </w:hyperlink>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8-K</w:t>
            </w:r>
          </w:p>
        </w:tc>
        <w:tc>
          <w:tcPr>
            <w:tcW w:w="144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Biosciences, Inc.</w:t>
              </w:r>
            </w:hyperlink>
          </w:p>
        </w:tc>
        <w:tc>
          <w:tcPr>
            <w:tcW w:w="1860" w:type="dxa"/>
            <w:vAlign w:val="bottom"/>
            <w:tcBorders>
              <w:top w:val="single" w:sz="8" w:color="0000FF"/>
            </w:tcBorders>
            <w:gridSpan w:val="5"/>
          </w:tcPr>
          <w:p>
            <w:pPr>
              <w:spacing w:after="0"/>
              <w:rPr>
                <w:sz w:val="17"/>
                <w:szCs w:val="17"/>
                <w:color w:val="auto"/>
              </w:rPr>
            </w:pPr>
          </w:p>
        </w:tc>
        <w:tc>
          <w:tcPr>
            <w:tcW w:w="4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jc w:val="center"/>
              <w:ind w:left="496"/>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gridSpan w:val="13"/>
          </w:tcPr>
          <w:p>
            <w:pPr>
              <w:spacing w:after="0"/>
              <w:rPr>
                <w:rFonts w:ascii="Arial" w:cs="Arial" w:eastAsia="Arial" w:hAnsi="Arial"/>
                <w:sz w:val="18"/>
                <w:szCs w:val="18"/>
                <w:color w:val="0000FF"/>
                <w:w w:val="97"/>
              </w:rPr>
            </w:pPr>
            <w:hyperlink r:id="rId37">
              <w:r>
                <w:rPr>
                  <w:rFonts w:ascii="Arial" w:cs="Arial" w:eastAsia="Arial" w:hAnsi="Arial"/>
                  <w:sz w:val="18"/>
                  <w:szCs w:val="18"/>
                  <w:color w:val="0000FF"/>
                  <w:w w:val="97"/>
                </w:rPr>
                <w:t>Fifth Amended and Restated Investors' Rights</w:t>
              </w:r>
            </w:hyperlink>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440" w:type="dxa"/>
            <w:vAlign w:val="bottom"/>
          </w:tcPr>
          <w:p>
            <w:pPr>
              <w:ind w:left="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6/8/2016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top w:val="single" w:sz="8" w:color="0000FF"/>
            </w:tcBorders>
            <w:gridSpan w:val="9"/>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Agreement, dated as of August 26, 2015, by</w:t>
              </w:r>
            </w:hyperlink>
          </w:p>
        </w:tc>
        <w:tc>
          <w:tcPr>
            <w:tcW w:w="2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and between the Registrant and each of the</w:t>
              </w:r>
            </w:hyperlink>
          </w:p>
        </w:tc>
        <w:tc>
          <w:tcPr>
            <w:tcW w:w="80" w:type="dxa"/>
            <w:vAlign w:val="bottom"/>
            <w:tcBorders>
              <w:top w:val="single" w:sz="8" w:color="0000FF"/>
            </w:tcBorders>
          </w:tcPr>
          <w:p>
            <w:pPr>
              <w:spacing w:after="0"/>
              <w:rPr>
                <w:sz w:val="17"/>
                <w:szCs w:val="17"/>
                <w:color w:val="auto"/>
              </w:rPr>
            </w:pPr>
          </w:p>
        </w:tc>
        <w:tc>
          <w:tcPr>
            <w:tcW w:w="4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stockholders party thereto, as amended by</w:t>
              </w:r>
            </w:hyperlink>
          </w:p>
        </w:tc>
        <w:tc>
          <w:tcPr>
            <w:tcW w:w="5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Amendment No. 1 to Fifth Amended and</w:t>
              </w:r>
            </w:hyperlink>
          </w:p>
        </w:tc>
        <w:tc>
          <w:tcPr>
            <w:tcW w:w="6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Restated Investors Rights Agreement, dated as</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of June 7, 2016</w:t>
              </w:r>
            </w:hyperlink>
          </w:p>
        </w:tc>
        <w:tc>
          <w:tcPr>
            <w:tcW w:w="2240" w:type="dxa"/>
            <w:vAlign w:val="bottom"/>
            <w:tcBorders>
              <w:top w:val="single" w:sz="8" w:color="0000FF"/>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jc w:val="center"/>
              <w:ind w:left="496"/>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gridSpan w:val="13"/>
          </w:tcPr>
          <w:p>
            <w:pPr>
              <w:spacing w:after="0"/>
              <w:rPr>
                <w:rFonts w:ascii="Arial" w:cs="Arial" w:eastAsia="Arial" w:hAnsi="Arial"/>
                <w:sz w:val="18"/>
                <w:szCs w:val="18"/>
                <w:color w:val="0000FF"/>
              </w:rPr>
            </w:pPr>
            <w:hyperlink r:id="rId38">
              <w:r>
                <w:rPr>
                  <w:rFonts w:ascii="Arial" w:cs="Arial" w:eastAsia="Arial" w:hAnsi="Arial"/>
                  <w:sz w:val="18"/>
                  <w:szCs w:val="18"/>
                  <w:color w:val="0000FF"/>
                </w:rPr>
                <w:t>Specimen Stock Certificate evidencing the</w:t>
              </w:r>
            </w:hyperlink>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440" w:type="dxa"/>
            <w:vAlign w:val="bottom"/>
          </w:tcPr>
          <w:p>
            <w:pPr>
              <w:ind w:left="2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5/24/2016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shares of common stock</w:t>
              </w:r>
            </w:hyperlink>
          </w:p>
        </w:tc>
        <w:tc>
          <w:tcPr>
            <w:tcW w:w="5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7"/>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4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661" w:right="35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jc w:val="center"/>
              <w:ind w:left="110"/>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Form of Warrant to Purchase Shares of Series</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4.5</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D Preferred Stock, dated August 9, 2013 or</w:t>
              </w:r>
            </w:hyperlink>
          </w:p>
        </w:tc>
        <w:tc>
          <w:tcPr>
            <w:tcW w:w="140" w:type="dxa"/>
            <w:vAlign w:val="bottom"/>
            <w:tcBorders>
              <w:top w:val="single" w:sz="8" w:color="0000FF"/>
            </w:tcBorders>
            <w:gridSpan w:val="7"/>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July 25, 2014, issued by the Registrant to</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Oxford Finance LLC and Square One Bank,</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together with a schedule of warrant holders</w:t>
              </w:r>
            </w:hyperlink>
          </w:p>
        </w:tc>
        <w:tc>
          <w:tcPr>
            <w:tcW w:w="20" w:type="dxa"/>
            <w:vAlign w:val="bottom"/>
            <w:tcBorders>
              <w:top w:val="single" w:sz="8" w:color="0000FF"/>
            </w:tcBorders>
          </w:tcPr>
          <w:p>
            <w:pPr>
              <w:spacing w:after="0"/>
              <w:rPr>
                <w:sz w:val="17"/>
                <w:szCs w:val="17"/>
                <w:color w:val="auto"/>
              </w:rPr>
            </w:pPr>
          </w:p>
        </w:tc>
        <w:tc>
          <w:tcPr>
            <w:tcW w:w="3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w w:val="94"/>
              </w:rPr>
            </w:pPr>
            <w:hyperlink r:id="rId40">
              <w:r>
                <w:rPr>
                  <w:rFonts w:ascii="Arial" w:cs="Arial" w:eastAsia="Arial" w:hAnsi="Arial"/>
                  <w:sz w:val="18"/>
                  <w:szCs w:val="18"/>
                  <w:color w:val="0000FF"/>
                  <w:w w:val="94"/>
                </w:rPr>
                <w:t>Form of Warrant to Purchase Shares of Series</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4.6</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28"/>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E Preferred Stock, dated December 31, 2015,</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2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issued by the Registrant to Oxford Finance</w:t>
              </w:r>
            </w:hyperlink>
          </w:p>
        </w:tc>
        <w:tc>
          <w:tcPr>
            <w:tcW w:w="3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LLC and Square One Bank, together with a</w:t>
              </w:r>
            </w:hyperlink>
          </w:p>
        </w:tc>
        <w:tc>
          <w:tcPr>
            <w:tcW w:w="34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schedule of warrant holders</w:t>
              </w:r>
            </w:hyperlink>
          </w:p>
        </w:tc>
        <w:tc>
          <w:tcPr>
            <w:tcW w:w="150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Common Stock Purchase Warrant, dated June</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4.1</w:t>
            </w:r>
          </w:p>
        </w:tc>
        <w:tc>
          <w:tcPr>
            <w:tcW w:w="2680" w:type="dxa"/>
            <w:vAlign w:val="bottom"/>
          </w:tcPr>
          <w:p>
            <w:pPr>
              <w:ind w:left="280"/>
              <w:spacing w:after="0"/>
              <w:rPr>
                <w:sz w:val="20"/>
                <w:szCs w:val="20"/>
                <w:color w:val="auto"/>
              </w:rPr>
            </w:pPr>
            <w:r>
              <w:rPr>
                <w:rFonts w:ascii="Arial" w:cs="Arial" w:eastAsia="Arial" w:hAnsi="Arial"/>
                <w:sz w:val="18"/>
                <w:szCs w:val="18"/>
                <w:color w:val="auto"/>
              </w:rPr>
              <w:t>6/28/2017</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top w:val="single" w:sz="8" w:color="0000FF"/>
            </w:tcBorders>
            <w:gridSpan w:val="29"/>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27, 2017, by and between the Registrant and</w:t>
              </w:r>
            </w:hyperlink>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Timothy Springer, Ph.D.</w:t>
              </w:r>
            </w:hyperlink>
          </w:p>
        </w:tc>
        <w:tc>
          <w:tcPr>
            <w:tcW w:w="1420" w:type="dxa"/>
            <w:vAlign w:val="bottom"/>
            <w:tcBorders>
              <w:top w:val="single" w:sz="8" w:color="0000FF"/>
            </w:tcBorders>
            <w:gridSpan w:val="17"/>
          </w:tcPr>
          <w:p>
            <w:pPr>
              <w:spacing w:after="0"/>
              <w:rPr>
                <w:sz w:val="17"/>
                <w:szCs w:val="17"/>
                <w:color w:val="auto"/>
              </w:rPr>
            </w:pPr>
          </w:p>
        </w:tc>
        <w:tc>
          <w:tcPr>
            <w:tcW w:w="3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Registration Rights Agreement, dated June 27,</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w:t>
            </w:r>
          </w:p>
        </w:tc>
        <w:tc>
          <w:tcPr>
            <w:tcW w:w="2680" w:type="dxa"/>
            <w:vAlign w:val="bottom"/>
          </w:tcPr>
          <w:p>
            <w:pPr>
              <w:ind w:left="280"/>
              <w:spacing w:after="0"/>
              <w:rPr>
                <w:sz w:val="20"/>
                <w:szCs w:val="20"/>
                <w:color w:val="auto"/>
              </w:rPr>
            </w:pPr>
            <w:r>
              <w:rPr>
                <w:rFonts w:ascii="Arial" w:cs="Arial" w:eastAsia="Arial" w:hAnsi="Arial"/>
                <w:sz w:val="18"/>
                <w:szCs w:val="18"/>
                <w:color w:val="auto"/>
              </w:rPr>
              <w:t>6/28/2017</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2017, by and among the Registrant and the</w:t>
              </w:r>
            </w:hyperlink>
          </w:p>
        </w:tc>
        <w:tc>
          <w:tcPr>
            <w:tcW w:w="260" w:type="dxa"/>
            <w:vAlign w:val="bottom"/>
            <w:tcBorders>
              <w:top w:val="single" w:sz="8" w:color="0000FF"/>
            </w:tcBorders>
            <w:gridSpan w:val="1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Investors named therein.</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rPr>
            </w:pPr>
            <w:hyperlink r:id="rId43">
              <w:r>
                <w:rPr>
                  <w:rFonts w:ascii="Arial" w:cs="Arial" w:eastAsia="Arial" w:hAnsi="Arial"/>
                  <w:sz w:val="18"/>
                  <w:szCs w:val="18"/>
                  <w:color w:val="0000FF"/>
                </w:rPr>
                <w:t>Registration Rights Agreement, dated</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10.2</w:t>
            </w:r>
          </w:p>
        </w:tc>
        <w:tc>
          <w:tcPr>
            <w:tcW w:w="2680" w:type="dxa"/>
            <w:vAlign w:val="bottom"/>
          </w:tcPr>
          <w:p>
            <w:pPr>
              <w:ind w:left="280"/>
              <w:spacing w:after="0"/>
              <w:rPr>
                <w:sz w:val="20"/>
                <w:szCs w:val="20"/>
                <w:color w:val="auto"/>
              </w:rPr>
            </w:pPr>
            <w:r>
              <w:rPr>
                <w:rFonts w:ascii="Arial" w:cs="Arial" w:eastAsia="Arial" w:hAnsi="Arial"/>
                <w:sz w:val="18"/>
                <w:szCs w:val="18"/>
                <w:color w:val="auto"/>
              </w:rPr>
              <w:t>12/26/2019</w:t>
            </w: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December 23, 2019, by and among the</w:t>
              </w:r>
            </w:hyperlink>
          </w:p>
        </w:tc>
        <w:tc>
          <w:tcPr>
            <w:tcW w:w="700" w:type="dxa"/>
            <w:vAlign w:val="bottom"/>
            <w:gridSpan w:val="18"/>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Registrant and the Investors named therein</w:t>
              </w:r>
            </w:hyperlink>
          </w:p>
        </w:tc>
        <w:tc>
          <w:tcPr>
            <w:tcW w:w="40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rPr>
            </w:pPr>
            <w:hyperlink r:id="rId44">
              <w:r>
                <w:rPr>
                  <w:rFonts w:ascii="Arial" w:cs="Arial" w:eastAsia="Arial" w:hAnsi="Arial"/>
                  <w:sz w:val="18"/>
                  <w:szCs w:val="18"/>
                  <w:color w:val="0000FF"/>
                </w:rPr>
                <w:t>Form of Common Stock Purchase Warrant,</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4.1</w:t>
            </w:r>
          </w:p>
        </w:tc>
        <w:tc>
          <w:tcPr>
            <w:tcW w:w="2680" w:type="dxa"/>
            <w:vAlign w:val="bottom"/>
          </w:tcPr>
          <w:p>
            <w:pPr>
              <w:ind w:left="280"/>
              <w:spacing w:after="0"/>
              <w:rPr>
                <w:sz w:val="20"/>
                <w:szCs w:val="20"/>
                <w:color w:val="auto"/>
              </w:rPr>
            </w:pPr>
            <w:r>
              <w:rPr>
                <w:rFonts w:ascii="Arial" w:cs="Arial" w:eastAsia="Arial" w:hAnsi="Arial"/>
                <w:sz w:val="18"/>
                <w:szCs w:val="18"/>
                <w:color w:val="auto"/>
              </w:rPr>
              <w:t>12/26/2019</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dated December 23, 2019</w:t>
              </w:r>
            </w:hyperlink>
          </w:p>
        </w:tc>
        <w:tc>
          <w:tcPr>
            <w:tcW w:w="1280" w:type="dxa"/>
            <w:vAlign w:val="bottom"/>
            <w:tcBorders>
              <w:top w:val="single" w:sz="8" w:color="0000FF"/>
            </w:tcBorders>
            <w:gridSpan w:val="12"/>
          </w:tcPr>
          <w:p>
            <w:pPr>
              <w:spacing w:after="0"/>
              <w:rPr>
                <w:sz w:val="17"/>
                <w:szCs w:val="17"/>
                <w:color w:val="auto"/>
              </w:rPr>
            </w:pPr>
          </w:p>
        </w:tc>
        <w:tc>
          <w:tcPr>
            <w:tcW w:w="3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420" w:type="dxa"/>
            <w:vAlign w:val="bottom"/>
            <w:gridSpan w:val="2"/>
          </w:tcPr>
          <w:p>
            <w:pPr>
              <w:jc w:val="center"/>
              <w:ind w:left="110"/>
              <w:spacing w:after="0"/>
              <w:rPr>
                <w:rFonts w:ascii="Arial" w:cs="Arial" w:eastAsia="Arial" w:hAnsi="Arial"/>
                <w:sz w:val="18"/>
                <w:szCs w:val="18"/>
                <w:color w:val="0000FF"/>
                <w:w w:val="87"/>
              </w:rPr>
            </w:pPr>
            <w:hyperlink r:id="rId4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Form of Pre-Funded Common Stock Purchase</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4.2</w:t>
            </w:r>
          </w:p>
        </w:tc>
        <w:tc>
          <w:tcPr>
            <w:tcW w:w="2680" w:type="dxa"/>
            <w:vAlign w:val="bottom"/>
          </w:tcPr>
          <w:p>
            <w:pPr>
              <w:ind w:left="280"/>
              <w:spacing w:after="0"/>
              <w:rPr>
                <w:sz w:val="20"/>
                <w:szCs w:val="20"/>
                <w:color w:val="auto"/>
              </w:rPr>
            </w:pPr>
            <w:r>
              <w:rPr>
                <w:rFonts w:ascii="Arial" w:cs="Arial" w:eastAsia="Arial" w:hAnsi="Arial"/>
                <w:sz w:val="18"/>
                <w:szCs w:val="18"/>
                <w:color w:val="auto"/>
              </w:rPr>
              <w:t>12/26/2019</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8"/>
              </w:rPr>
            </w:pPr>
            <w:hyperlink r:id="rId45">
              <w:r>
                <w:rPr>
                  <w:rFonts w:ascii="Arial" w:cs="Arial" w:eastAsia="Arial" w:hAnsi="Arial"/>
                  <w:sz w:val="18"/>
                  <w:szCs w:val="18"/>
                  <w:color w:val="0000FF"/>
                  <w:w w:val="88"/>
                </w:rPr>
                <w:t>Warrant, dated December 23, 2019</w:t>
              </w:r>
            </w:hyperlink>
          </w:p>
        </w:tc>
        <w:tc>
          <w:tcPr>
            <w:tcW w:w="840" w:type="dxa"/>
            <w:vAlign w:val="bottom"/>
            <w:tcBorders>
              <w:top w:val="single" w:sz="8" w:color="0000FF"/>
            </w:tcBorders>
            <w:gridSpan w:val="20"/>
          </w:tcPr>
          <w:p>
            <w:pPr>
              <w:spacing w:after="0"/>
              <w:rPr>
                <w:sz w:val="17"/>
                <w:szCs w:val="17"/>
                <w:color w:val="auto"/>
              </w:rPr>
            </w:pPr>
          </w:p>
        </w:tc>
        <w:tc>
          <w:tcPr>
            <w:tcW w:w="1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0" w:type="dxa"/>
            <w:vAlign w:val="bottom"/>
          </w:tcPr>
          <w:p>
            <w:pPr>
              <w:spacing w:after="0"/>
              <w:rPr>
                <w:sz w:val="21"/>
                <w:szCs w:val="21"/>
                <w:color w:val="auto"/>
              </w:rPr>
            </w:pPr>
          </w:p>
        </w:tc>
        <w:tc>
          <w:tcPr>
            <w:tcW w:w="300" w:type="dxa"/>
            <w:vAlign w:val="bottom"/>
            <w:tcBorders>
              <w:bottom w:val="single" w:sz="8" w:color="0000FF"/>
            </w:tcBorders>
            <w:gridSpan w:val="2"/>
          </w:tcPr>
          <w:p>
            <w:pPr>
              <w:jc w:val="center"/>
              <w:ind w:right="40"/>
              <w:spacing w:after="0"/>
              <w:rPr>
                <w:rFonts w:ascii="Arial" w:cs="Arial" w:eastAsia="Arial" w:hAnsi="Arial"/>
                <w:sz w:val="18"/>
                <w:szCs w:val="18"/>
                <w:color w:val="0000FF"/>
                <w:w w:val="74"/>
              </w:rPr>
            </w:pPr>
            <w:hyperlink w:anchor="page135">
              <w:r>
                <w:rPr>
                  <w:rFonts w:ascii="Arial" w:cs="Arial" w:eastAsia="Arial" w:hAnsi="Arial"/>
                  <w:sz w:val="18"/>
                  <w:szCs w:val="18"/>
                  <w:color w:val="0000FF"/>
                  <w:w w:val="74"/>
                </w:rPr>
                <w:t>4.</w:t>
              </w:r>
              <w:r>
                <w:rPr>
                  <w:rFonts w:ascii="Arial" w:cs="Arial" w:eastAsia="Arial" w:hAnsi="Arial"/>
                  <w:sz w:val="18"/>
                  <w:szCs w:val="18"/>
                  <w:u w:val="single" w:color="auto"/>
                  <w:color w:val="0000FF"/>
                  <w:w w:val="74"/>
                </w:rPr>
                <w:t>10</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35">
              <w:r>
                <w:rPr>
                  <w:rFonts w:ascii="Arial" w:cs="Arial" w:eastAsia="Arial" w:hAnsi="Arial"/>
                  <w:sz w:val="18"/>
                  <w:szCs w:val="18"/>
                  <w:color w:val="0000FF"/>
                  <w:w w:val="91"/>
                </w:rPr>
                <w:t>Description of Securities</w:t>
              </w:r>
            </w:hyperlink>
          </w:p>
        </w:tc>
        <w:tc>
          <w:tcPr>
            <w:tcW w:w="1700" w:type="dxa"/>
            <w:vAlign w:val="bottom"/>
            <w:gridSpan w:val="25"/>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80" w:type="dxa"/>
            <w:vAlign w:val="bottom"/>
          </w:tcPr>
          <w:p>
            <w:pPr>
              <w:ind w:left="2600"/>
              <w:spacing w:after="0"/>
              <w:rPr>
                <w:sz w:val="20"/>
                <w:szCs w:val="20"/>
                <w:color w:val="auto"/>
              </w:rPr>
            </w:pPr>
            <w:r>
              <w:rPr>
                <w:rFonts w:ascii="Arial" w:cs="Arial" w:eastAsia="Arial" w:hAnsi="Arial"/>
                <w:sz w:val="18"/>
                <w:szCs w:val="18"/>
                <w:color w:val="auto"/>
                <w:w w:val="84"/>
              </w:rPr>
              <w:t>*</w:t>
            </w:r>
          </w:p>
        </w:tc>
      </w:tr>
      <w:tr>
        <w:trPr>
          <w:trHeight w:val="250"/>
        </w:trPr>
        <w:tc>
          <w:tcPr>
            <w:tcW w:w="200" w:type="dxa"/>
            <w:vAlign w:val="bottom"/>
          </w:tcPr>
          <w:p>
            <w:pPr>
              <w:spacing w:after="0"/>
              <w:rPr>
                <w:sz w:val="21"/>
                <w:szCs w:val="21"/>
                <w:color w:val="auto"/>
              </w:rPr>
            </w:pPr>
          </w:p>
        </w:tc>
        <w:tc>
          <w:tcPr>
            <w:tcW w:w="300" w:type="dxa"/>
            <w:vAlign w:val="bottom"/>
            <w:tcBorders>
              <w:bottom w:val="single" w:sz="8" w:color="0000FF"/>
            </w:tcBorders>
            <w:gridSpan w:val="2"/>
          </w:tcPr>
          <w:p>
            <w:pPr>
              <w:jc w:val="center"/>
              <w:spacing w:after="0"/>
              <w:rPr>
                <w:rFonts w:ascii="Arial" w:cs="Arial" w:eastAsia="Arial" w:hAnsi="Arial"/>
                <w:sz w:val="17"/>
                <w:szCs w:val="17"/>
                <w:color w:val="0000FF"/>
                <w:w w:val="70"/>
              </w:rPr>
            </w:pPr>
            <w:hyperlink r:id="rId46">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60" w:type="dxa"/>
            <w:vAlign w:val="bottom"/>
            <w:tcBorders>
              <w:bottom w:val="single" w:sz="8" w:color="0000FF"/>
            </w:tcBorders>
            <w:gridSpan w:val="31"/>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2016 Incentive Award Plan and form of award</w:t>
              </w:r>
            </w:hyperlink>
          </w:p>
        </w:tc>
        <w:tc>
          <w:tcPr>
            <w:tcW w:w="140" w:type="dxa"/>
            <w:vAlign w:val="bottom"/>
            <w:gridSpan w:val="2"/>
          </w:tcPr>
          <w:p>
            <w:pPr>
              <w:spacing w:after="0"/>
              <w:rPr>
                <w:sz w:val="21"/>
                <w:szCs w:val="21"/>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S-1/A</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10.2</w:t>
            </w:r>
          </w:p>
        </w:tc>
        <w:tc>
          <w:tcPr>
            <w:tcW w:w="268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line="196" w:lineRule="exact"/>
              <w:rPr>
                <w:rFonts w:ascii="Arial" w:cs="Arial" w:eastAsia="Arial" w:hAnsi="Arial"/>
                <w:sz w:val="18"/>
                <w:szCs w:val="18"/>
                <w:color w:val="0000FF"/>
                <w:w w:val="86"/>
              </w:rPr>
            </w:pPr>
            <w:hyperlink r:id="rId46">
              <w:r>
                <w:rPr>
                  <w:rFonts w:ascii="Arial" w:cs="Arial" w:eastAsia="Arial" w:hAnsi="Arial"/>
                  <w:sz w:val="18"/>
                  <w:szCs w:val="18"/>
                  <w:color w:val="0000FF"/>
                  <w:w w:val="86"/>
                </w:rPr>
                <w:t>agreements thereunder</w:t>
              </w:r>
            </w:hyperlink>
          </w:p>
        </w:tc>
        <w:tc>
          <w:tcPr>
            <w:tcW w:w="186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0" w:type="dxa"/>
            <w:vAlign w:val="bottom"/>
          </w:tcPr>
          <w:p>
            <w:pPr>
              <w:spacing w:after="0"/>
              <w:rPr>
                <w:sz w:val="21"/>
                <w:szCs w:val="21"/>
                <w:color w:val="auto"/>
              </w:rPr>
            </w:pPr>
          </w:p>
        </w:tc>
        <w:tc>
          <w:tcPr>
            <w:tcW w:w="300" w:type="dxa"/>
            <w:vAlign w:val="bottom"/>
            <w:tcBorders>
              <w:bottom w:val="single" w:sz="8" w:color="0000FF"/>
            </w:tcBorders>
            <w:gridSpan w:val="2"/>
          </w:tcPr>
          <w:p>
            <w:pPr>
              <w:jc w:val="center"/>
              <w:spacing w:after="0"/>
              <w:rPr>
                <w:rFonts w:ascii="Arial" w:cs="Arial" w:eastAsia="Arial" w:hAnsi="Arial"/>
                <w:sz w:val="17"/>
                <w:szCs w:val="17"/>
                <w:color w:val="0000FF"/>
                <w:w w:val="70"/>
              </w:rPr>
            </w:pPr>
            <w:hyperlink r:id="rId47">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20" w:type="dxa"/>
            <w:vAlign w:val="bottom"/>
            <w:tcBorders>
              <w:bottom w:val="single" w:sz="8" w:color="0000FF"/>
            </w:tcBorders>
            <w:gridSpan w:val="13"/>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2016 Employee Stock Purchase Plan</w:t>
              </w:r>
            </w:hyperlink>
          </w:p>
        </w:tc>
        <w:tc>
          <w:tcPr>
            <w:tcW w:w="780" w:type="dxa"/>
            <w:vAlign w:val="bottom"/>
            <w:gridSpan w:val="20"/>
          </w:tcPr>
          <w:p>
            <w:pPr>
              <w:spacing w:after="0"/>
              <w:rPr>
                <w:sz w:val="21"/>
                <w:szCs w:val="21"/>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S-1/A</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10.3</w:t>
            </w:r>
          </w:p>
        </w:tc>
        <w:tc>
          <w:tcPr>
            <w:tcW w:w="268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250"/>
        </w:trPr>
        <w:tc>
          <w:tcPr>
            <w:tcW w:w="200" w:type="dxa"/>
            <w:vAlign w:val="bottom"/>
          </w:tcPr>
          <w:p>
            <w:pPr>
              <w:spacing w:after="0"/>
              <w:rPr>
                <w:sz w:val="21"/>
                <w:szCs w:val="21"/>
                <w:color w:val="auto"/>
              </w:rPr>
            </w:pPr>
          </w:p>
        </w:tc>
        <w:tc>
          <w:tcPr>
            <w:tcW w:w="300" w:type="dxa"/>
            <w:vAlign w:val="bottom"/>
            <w:gridSpan w:val="2"/>
          </w:tcPr>
          <w:p>
            <w:pPr>
              <w:jc w:val="center"/>
              <w:spacing w:after="0"/>
              <w:rPr>
                <w:rFonts w:ascii="Arial" w:cs="Arial" w:eastAsia="Arial" w:hAnsi="Arial"/>
                <w:sz w:val="17"/>
                <w:szCs w:val="17"/>
                <w:color w:val="0000FF"/>
                <w:w w:val="70"/>
              </w:rPr>
            </w:pPr>
            <w:hyperlink r:id="rId48">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3#</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rPr>
            </w:pPr>
            <w:hyperlink r:id="rId48">
              <w:r>
                <w:rPr>
                  <w:rFonts w:ascii="Arial" w:cs="Arial" w:eastAsia="Arial" w:hAnsi="Arial"/>
                  <w:sz w:val="18"/>
                  <w:szCs w:val="18"/>
                  <w:color w:val="0000FF"/>
                </w:rPr>
                <w:t>2018 Employment Inducement Incentive</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S-8</w:t>
            </w:r>
          </w:p>
        </w:tc>
        <w:tc>
          <w:tcPr>
            <w:tcW w:w="1420" w:type="dxa"/>
            <w:vAlign w:val="bottom"/>
          </w:tcPr>
          <w:p>
            <w:pPr>
              <w:ind w:left="200"/>
              <w:spacing w:after="0"/>
              <w:rPr>
                <w:sz w:val="20"/>
                <w:szCs w:val="20"/>
                <w:color w:val="auto"/>
              </w:rPr>
            </w:pPr>
            <w:r>
              <w:rPr>
                <w:rFonts w:ascii="Arial" w:cs="Arial" w:eastAsia="Arial" w:hAnsi="Arial"/>
                <w:sz w:val="18"/>
                <w:szCs w:val="18"/>
                <w:color w:val="auto"/>
              </w:rPr>
              <w:t>333-230501</w:t>
            </w:r>
          </w:p>
        </w:tc>
        <w:tc>
          <w:tcPr>
            <w:tcW w:w="1160" w:type="dxa"/>
            <w:vAlign w:val="bottom"/>
          </w:tcPr>
          <w:p>
            <w:pPr>
              <w:ind w:left="340"/>
              <w:spacing w:after="0"/>
              <w:rPr>
                <w:sz w:val="20"/>
                <w:szCs w:val="20"/>
                <w:color w:val="auto"/>
              </w:rPr>
            </w:pPr>
            <w:r>
              <w:rPr>
                <w:rFonts w:ascii="Arial" w:cs="Arial" w:eastAsia="Arial" w:hAnsi="Arial"/>
                <w:sz w:val="18"/>
                <w:szCs w:val="18"/>
                <w:color w:val="auto"/>
              </w:rPr>
              <w:t>10.1</w:t>
            </w:r>
          </w:p>
        </w:tc>
        <w:tc>
          <w:tcPr>
            <w:tcW w:w="2680" w:type="dxa"/>
            <w:vAlign w:val="bottom"/>
          </w:tcPr>
          <w:p>
            <w:pPr>
              <w:ind w:left="280"/>
              <w:spacing w:after="0"/>
              <w:rPr>
                <w:sz w:val="20"/>
                <w:szCs w:val="20"/>
                <w:color w:val="auto"/>
              </w:rPr>
            </w:pPr>
            <w:r>
              <w:rPr>
                <w:rFonts w:ascii="Arial" w:cs="Arial" w:eastAsia="Arial" w:hAnsi="Arial"/>
                <w:sz w:val="18"/>
                <w:szCs w:val="18"/>
                <w:color w:val="auto"/>
              </w:rPr>
              <w:t>3/25/2019</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Award Plan, amended and restated, and forms</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agreement thereunder</w:t>
              </w:r>
            </w:hyperlink>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300" w:type="dxa"/>
            <w:vAlign w:val="bottom"/>
            <w:tcBorders>
              <w:bottom w:val="single" w:sz="8" w:color="0000FF"/>
            </w:tcBorders>
            <w:gridSpan w:val="2"/>
          </w:tcPr>
          <w:p>
            <w:pPr>
              <w:jc w:val="center"/>
              <w:spacing w:after="0"/>
              <w:rPr>
                <w:rFonts w:ascii="Arial" w:cs="Arial" w:eastAsia="Arial" w:hAnsi="Arial"/>
                <w:sz w:val="17"/>
                <w:szCs w:val="17"/>
                <w:color w:val="0000FF"/>
                <w:w w:val="70"/>
              </w:rPr>
            </w:pPr>
            <w:hyperlink r:id="rId49">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4#</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tcBorders>
              <w:bottom w:val="single" w:sz="8" w:color="0000FF"/>
            </w:tcBorders>
            <w:gridSpan w:val="28"/>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2008 Stock Incentive Plan and form of award</w:t>
              </w:r>
            </w:hyperlink>
          </w:p>
        </w:tc>
        <w:tc>
          <w:tcPr>
            <w:tcW w:w="220" w:type="dxa"/>
            <w:vAlign w:val="bottom"/>
            <w:gridSpan w:val="5"/>
          </w:tcPr>
          <w:p>
            <w:pPr>
              <w:spacing w:after="0"/>
              <w:rPr>
                <w:sz w:val="21"/>
                <w:szCs w:val="21"/>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S-1/A</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10.1</w:t>
            </w:r>
          </w:p>
        </w:tc>
        <w:tc>
          <w:tcPr>
            <w:tcW w:w="2680" w:type="dxa"/>
            <w:vAlign w:val="bottom"/>
          </w:tcPr>
          <w:p>
            <w:pPr>
              <w:ind w:left="280"/>
              <w:spacing w:after="0"/>
              <w:rPr>
                <w:sz w:val="20"/>
                <w:szCs w:val="20"/>
                <w:color w:val="auto"/>
              </w:rPr>
            </w:pPr>
            <w:r>
              <w:rPr>
                <w:rFonts w:ascii="Arial" w:cs="Arial" w:eastAsia="Arial" w:hAnsi="Arial"/>
                <w:sz w:val="18"/>
                <w:szCs w:val="18"/>
                <w:color w:val="auto"/>
              </w:rPr>
              <w:t>6/20/2016</w:t>
            </w: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line="196" w:lineRule="exact"/>
              <w:rPr>
                <w:rFonts w:ascii="Arial" w:cs="Arial" w:eastAsia="Arial" w:hAnsi="Arial"/>
                <w:sz w:val="18"/>
                <w:szCs w:val="18"/>
                <w:color w:val="0000FF"/>
                <w:w w:val="86"/>
              </w:rPr>
            </w:pPr>
            <w:hyperlink r:id="rId49">
              <w:r>
                <w:rPr>
                  <w:rFonts w:ascii="Arial" w:cs="Arial" w:eastAsia="Arial" w:hAnsi="Arial"/>
                  <w:sz w:val="18"/>
                  <w:szCs w:val="18"/>
                  <w:color w:val="0000FF"/>
                  <w:w w:val="86"/>
                </w:rPr>
                <w:t>agreements thereunder</w:t>
              </w:r>
            </w:hyperlink>
          </w:p>
        </w:tc>
        <w:tc>
          <w:tcPr>
            <w:tcW w:w="1860" w:type="dxa"/>
            <w:vAlign w:val="bottom"/>
            <w:gridSpan w:val="27"/>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0" w:type="dxa"/>
            <w:vAlign w:val="bottom"/>
          </w:tcPr>
          <w:p>
            <w:pPr>
              <w:spacing w:after="0"/>
              <w:rPr>
                <w:sz w:val="21"/>
                <w:szCs w:val="21"/>
                <w:color w:val="auto"/>
              </w:rPr>
            </w:pPr>
          </w:p>
        </w:tc>
        <w:tc>
          <w:tcPr>
            <w:tcW w:w="300" w:type="dxa"/>
            <w:vAlign w:val="bottom"/>
            <w:tcBorders>
              <w:bottom w:val="single" w:sz="8" w:color="0000FF"/>
            </w:tcBorders>
            <w:gridSpan w:val="2"/>
          </w:tcPr>
          <w:p>
            <w:pPr>
              <w:jc w:val="center"/>
              <w:spacing w:after="0"/>
              <w:rPr>
                <w:rFonts w:ascii="Arial" w:cs="Arial" w:eastAsia="Arial" w:hAnsi="Arial"/>
                <w:sz w:val="17"/>
                <w:szCs w:val="17"/>
                <w:color w:val="0000FF"/>
                <w:w w:val="70"/>
              </w:rPr>
            </w:pPr>
            <w:hyperlink r:id="rId50">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40" w:type="dxa"/>
            <w:vAlign w:val="bottom"/>
            <w:tcBorders>
              <w:bottom w:val="single" w:sz="8" w:color="0000FF"/>
            </w:tcBorders>
            <w:gridSpan w:val="16"/>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Non-Employee Director Compensation</w:t>
              </w:r>
            </w:hyperlink>
          </w:p>
        </w:tc>
        <w:tc>
          <w:tcPr>
            <w:tcW w:w="660" w:type="dxa"/>
            <w:vAlign w:val="bottom"/>
            <w:gridSpan w:val="17"/>
          </w:tcPr>
          <w:p>
            <w:pPr>
              <w:spacing w:after="0"/>
              <w:rPr>
                <w:sz w:val="21"/>
                <w:szCs w:val="21"/>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w:t>
            </w:r>
          </w:p>
        </w:tc>
        <w:tc>
          <w:tcPr>
            <w:tcW w:w="2680" w:type="dxa"/>
            <w:vAlign w:val="bottom"/>
          </w:tcPr>
          <w:p>
            <w:pPr>
              <w:ind w:left="280"/>
              <w:spacing w:after="0"/>
              <w:rPr>
                <w:sz w:val="20"/>
                <w:szCs w:val="20"/>
                <w:color w:val="auto"/>
              </w:rPr>
            </w:pPr>
            <w:r>
              <w:rPr>
                <w:rFonts w:ascii="Arial" w:cs="Arial" w:eastAsia="Arial" w:hAnsi="Arial"/>
                <w:sz w:val="18"/>
                <w:szCs w:val="18"/>
                <w:color w:val="auto"/>
              </w:rPr>
              <w:t>8/8/2018</w:t>
            </w: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Program</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300" w:type="dxa"/>
            <w:vAlign w:val="bottom"/>
            <w:gridSpan w:val="2"/>
          </w:tcPr>
          <w:p>
            <w:pPr>
              <w:jc w:val="center"/>
              <w:spacing w:after="0"/>
              <w:rPr>
                <w:rFonts w:ascii="Arial" w:cs="Arial" w:eastAsia="Arial" w:hAnsi="Arial"/>
                <w:sz w:val="17"/>
                <w:szCs w:val="17"/>
                <w:color w:val="0000FF"/>
                <w:w w:val="70"/>
              </w:rPr>
            </w:pPr>
            <w:hyperlink r:id="rId51">
              <w:r>
                <w:rPr>
                  <w:rFonts w:ascii="Arial" w:cs="Arial" w:eastAsia="Arial" w:hAnsi="Arial"/>
                  <w:sz w:val="17"/>
                  <w:szCs w:val="17"/>
                  <w:color w:val="0000FF"/>
                  <w:w w:val="70"/>
                </w:rPr>
                <w:t>10.</w:t>
              </w:r>
              <w:r>
                <w:rPr>
                  <w:rFonts w:ascii="Arial" w:cs="Arial" w:eastAsia="Arial" w:hAnsi="Arial"/>
                  <w:sz w:val="17"/>
                  <w:szCs w:val="17"/>
                  <w:u w:val="single" w:color="auto"/>
                  <w:color w:val="0000FF"/>
                  <w:w w:val="70"/>
                </w:rPr>
                <w:t>6#</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rPr>
            </w:pPr>
            <w:hyperlink r:id="rId51">
              <w:r>
                <w:rPr>
                  <w:rFonts w:ascii="Arial" w:cs="Arial" w:eastAsia="Arial" w:hAnsi="Arial"/>
                  <w:sz w:val="18"/>
                  <w:szCs w:val="18"/>
                  <w:color w:val="0000FF"/>
                </w:rPr>
                <w:t>Form of Indemnification Agreement for</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10.5</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Directors and Officers</w:t>
              </w:r>
            </w:hyperlink>
          </w:p>
        </w:tc>
        <w:tc>
          <w:tcPr>
            <w:tcW w:w="1320" w:type="dxa"/>
            <w:vAlign w:val="bottom"/>
            <w:tcBorders>
              <w:top w:val="single" w:sz="8" w:color="0000FF"/>
            </w:tcBorders>
            <w:gridSpan w:val="12"/>
          </w:tcPr>
          <w:p>
            <w:pPr>
              <w:spacing w:after="0"/>
              <w:rPr>
                <w:sz w:val="17"/>
                <w:szCs w:val="17"/>
                <w:color w:val="auto"/>
              </w:rPr>
            </w:pPr>
          </w:p>
        </w:tc>
        <w:tc>
          <w:tcPr>
            <w:tcW w:w="5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1120" w:type="dxa"/>
            <w:vAlign w:val="bottom"/>
            <w:gridSpan w:val="6"/>
          </w:tcPr>
          <w:p>
            <w:pPr>
              <w:jc w:val="center"/>
              <w:ind w:right="520"/>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7(a)†</w:t>
              </w:r>
            </w:hyperlink>
          </w:p>
        </w:tc>
        <w:tc>
          <w:tcPr>
            <w:tcW w:w="3500" w:type="dxa"/>
            <w:vAlign w:val="bottom"/>
            <w:gridSpan w:val="33"/>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Exclusive Patent License Agreement, dated as</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10.7(a)</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of November 25, 2008, by and between the</w:t>
              </w:r>
            </w:hyperlink>
          </w:p>
        </w:tc>
        <w:tc>
          <w:tcPr>
            <w:tcW w:w="220" w:type="dxa"/>
            <w:vAlign w:val="bottom"/>
            <w:tcBorders>
              <w:top w:val="single" w:sz="8" w:color="0000FF"/>
            </w:tcBorders>
            <w:gridSpan w:val="10"/>
          </w:tcPr>
          <w:p>
            <w:pPr>
              <w:spacing w:after="0"/>
              <w:rPr>
                <w:sz w:val="17"/>
                <w:szCs w:val="17"/>
                <w:color w:val="auto"/>
              </w:rPr>
            </w:pPr>
          </w:p>
        </w:tc>
        <w:tc>
          <w:tcPr>
            <w:tcW w:w="1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Registrant and the Massachusetts Institute of</w:t>
              </w:r>
            </w:hyperlink>
          </w:p>
        </w:tc>
        <w:tc>
          <w:tcPr>
            <w:tcW w:w="2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Technology</w:t>
              </w:r>
            </w:hyperlink>
          </w:p>
        </w:tc>
        <w:tc>
          <w:tcPr>
            <w:tcW w:w="2640" w:type="dxa"/>
            <w:vAlign w:val="bottom"/>
            <w:gridSpan w:val="30"/>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620" w:type="dxa"/>
            <w:vAlign w:val="bottom"/>
            <w:gridSpan w:val="5"/>
          </w:tcPr>
          <w:p>
            <w:pPr>
              <w:jc w:val="cente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7(b)†</w:t>
              </w:r>
            </w:hyperlink>
          </w:p>
        </w:tc>
        <w:tc>
          <w:tcPr>
            <w:tcW w:w="500" w:type="dxa"/>
            <w:vAlign w:val="bottom"/>
          </w:tcPr>
          <w:p>
            <w:pPr>
              <w:spacing w:after="0"/>
              <w:rPr>
                <w:sz w:val="21"/>
                <w:szCs w:val="21"/>
                <w:color w:val="auto"/>
              </w:rPr>
            </w:pPr>
          </w:p>
        </w:tc>
        <w:tc>
          <w:tcPr>
            <w:tcW w:w="3500" w:type="dxa"/>
            <w:vAlign w:val="bottom"/>
            <w:gridSpan w:val="33"/>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First Amendment to Exclusive Patent License</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10.7(b)</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Agreement, dated as of January 12, 2010, by</w:t>
              </w:r>
            </w:hyperlink>
          </w:p>
        </w:tc>
        <w:tc>
          <w:tcPr>
            <w:tcW w:w="60" w:type="dxa"/>
            <w:vAlign w:val="bottom"/>
            <w:tcBorders>
              <w:top w:val="single" w:sz="8" w:color="0000FF"/>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and between the Registrant and the</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Massachusetts Institute of Technology</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120" w:type="dxa"/>
            <w:vAlign w:val="bottom"/>
            <w:gridSpan w:val="6"/>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00" w:type="dxa"/>
            <w:vAlign w:val="bottom"/>
            <w:gridSpan w:val="11"/>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1120" w:type="dxa"/>
            <w:vAlign w:val="bottom"/>
            <w:gridSpan w:val="6"/>
          </w:tcPr>
          <w:p>
            <w:pPr>
              <w:jc w:val="center"/>
              <w:ind w:right="520"/>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7(c)†</w:t>
              </w:r>
            </w:hyperlink>
          </w:p>
        </w:tc>
        <w:tc>
          <w:tcPr>
            <w:tcW w:w="3500" w:type="dxa"/>
            <w:vAlign w:val="bottom"/>
            <w:gridSpan w:val="33"/>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Letter Agreement, dated as of November 27,</w:t>
              </w:r>
            </w:hyperlink>
          </w:p>
        </w:tc>
        <w:tc>
          <w:tcPr>
            <w:tcW w:w="920" w:type="dxa"/>
            <w:vAlign w:val="bottom"/>
          </w:tcPr>
          <w:p>
            <w:pPr>
              <w:ind w:left="12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10.7(c)</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2012, by and among the Registrant,</w:t>
              </w:r>
            </w:hyperlink>
          </w:p>
        </w:tc>
        <w:tc>
          <w:tcPr>
            <w:tcW w:w="640" w:type="dxa"/>
            <w:vAlign w:val="bottom"/>
            <w:tcBorders>
              <w:top w:val="single" w:sz="8" w:color="0000FF"/>
            </w:tcBorders>
            <w:gridSpan w:val="13"/>
          </w:tcPr>
          <w:p>
            <w:pPr>
              <w:spacing w:after="0"/>
              <w:rPr>
                <w:sz w:val="17"/>
                <w:szCs w:val="17"/>
                <w:color w:val="auto"/>
              </w:rPr>
            </w:pPr>
          </w:p>
        </w:tc>
        <w:tc>
          <w:tcPr>
            <w:tcW w:w="28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Massachusetts Institute of Technology and</w:t>
              </w:r>
            </w:hyperlink>
          </w:p>
        </w:tc>
        <w:tc>
          <w:tcPr>
            <w:tcW w:w="4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00" w:type="dxa"/>
            <w:vAlign w:val="bottom"/>
            <w:gridSpan w:val="3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Sanofi</w:t>
              </w:r>
            </w:hyperlink>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588"/>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91</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0800"/>
          </w:cols>
          <w:pgMar w:left="700" w:top="810" w:right="3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Borders>
              <w:bottom w:val="single" w:sz="8" w:color="0000FF"/>
            </w:tcBorders>
            <w:gridSpan w:val="5"/>
          </w:tcPr>
          <w:p>
            <w:pPr>
              <w:jc w:val="cente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7(d)†</w:t>
              </w:r>
            </w:hyperlink>
          </w:p>
        </w:tc>
        <w:tc>
          <w:tcPr>
            <w:tcW w:w="500" w:type="dxa"/>
            <w:vAlign w:val="bottom"/>
          </w:tcPr>
          <w:p>
            <w:pPr>
              <w:spacing w:after="0"/>
              <w:rPr>
                <w:sz w:val="17"/>
                <w:szCs w:val="17"/>
                <w:color w:val="auto"/>
              </w:rPr>
            </w:pPr>
          </w:p>
        </w:tc>
        <w:tc>
          <w:tcPr>
            <w:tcW w:w="3320" w:type="dxa"/>
            <w:vAlign w:val="bottom"/>
            <w:tcBorders>
              <w:bottom w:val="single" w:sz="8" w:color="0000FF"/>
            </w:tcBorders>
            <w:gridSpan w:val="27"/>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Letter Amendment, dated as of November 27,</w:t>
              </w:r>
            </w:hyperlink>
          </w:p>
        </w:tc>
        <w:tc>
          <w:tcPr>
            <w:tcW w:w="200" w:type="dxa"/>
            <w:vAlign w:val="bottom"/>
            <w:gridSpan w:val="5"/>
          </w:tcPr>
          <w:p>
            <w:pPr>
              <w:spacing w:after="0"/>
              <w:rPr>
                <w:sz w:val="17"/>
                <w:szCs w:val="17"/>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10.7(d)</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7"/>
              </w:rPr>
            </w:pPr>
            <w:hyperlink r:id="rId55">
              <w:r>
                <w:rPr>
                  <w:rFonts w:ascii="Arial" w:cs="Arial" w:eastAsia="Arial" w:hAnsi="Arial"/>
                  <w:sz w:val="18"/>
                  <w:szCs w:val="18"/>
                  <w:color w:val="0000FF"/>
                  <w:w w:val="97"/>
                </w:rPr>
                <w:t>2012, by and between the Registrant and the</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Massachusetts Institute of Technology</w:t>
              </w:r>
            </w:hyperlink>
          </w:p>
        </w:tc>
        <w:tc>
          <w:tcPr>
            <w:tcW w:w="32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1120" w:type="dxa"/>
            <w:vAlign w:val="bottom"/>
            <w:gridSpan w:val="6"/>
          </w:tcPr>
          <w:p>
            <w:pPr>
              <w:jc w:val="center"/>
              <w:ind w:right="520"/>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7(e)†</w:t>
              </w:r>
            </w:hyperlink>
          </w:p>
        </w:tc>
        <w:tc>
          <w:tcPr>
            <w:tcW w:w="3520" w:type="dxa"/>
            <w:vAlign w:val="bottom"/>
            <w:gridSpan w:val="32"/>
          </w:tcPr>
          <w:p>
            <w:pPr>
              <w:spacing w:after="0"/>
              <w:rPr>
                <w:rFonts w:ascii="Arial" w:cs="Arial" w:eastAsia="Arial" w:hAnsi="Arial"/>
                <w:sz w:val="18"/>
                <w:szCs w:val="18"/>
                <w:color w:val="0000FF"/>
              </w:rPr>
            </w:pPr>
            <w:hyperlink r:id="rId56">
              <w:r>
                <w:rPr>
                  <w:rFonts w:ascii="Arial" w:cs="Arial" w:eastAsia="Arial" w:hAnsi="Arial"/>
                  <w:sz w:val="18"/>
                  <w:szCs w:val="18"/>
                  <w:color w:val="0000FF"/>
                </w:rPr>
                <w:t>Second Amendment to Exclusive Patent</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10.7(e)</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20"/>
        </w:trPr>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License Agreement, dated as of August 29,</w:t>
              </w:r>
            </w:hyperlink>
          </w:p>
        </w:tc>
        <w:tc>
          <w:tcPr>
            <w:tcW w:w="3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2013, by and between the Registrant and the</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Massachusetts Institute of Technology</w:t>
              </w:r>
            </w:hyperlink>
          </w:p>
        </w:tc>
        <w:tc>
          <w:tcPr>
            <w:tcW w:w="32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1120" w:type="dxa"/>
            <w:vAlign w:val="bottom"/>
            <w:gridSpan w:val="6"/>
          </w:tcPr>
          <w:p>
            <w:pPr>
              <w:jc w:val="center"/>
              <w:ind w:right="500"/>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7(f)†</w:t>
              </w:r>
            </w:hyperlink>
          </w:p>
        </w:tc>
        <w:tc>
          <w:tcPr>
            <w:tcW w:w="3520" w:type="dxa"/>
            <w:vAlign w:val="bottom"/>
            <w:gridSpan w:val="32"/>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Third Amendment to Exclusive Patent License</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8-K/A</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10.3(a)</w:t>
            </w:r>
          </w:p>
        </w:tc>
        <w:tc>
          <w:tcPr>
            <w:tcW w:w="2680" w:type="dxa"/>
            <w:vAlign w:val="bottom"/>
          </w:tcPr>
          <w:p>
            <w:pPr>
              <w:ind w:left="280"/>
              <w:spacing w:after="0"/>
              <w:rPr>
                <w:sz w:val="20"/>
                <w:szCs w:val="20"/>
                <w:color w:val="auto"/>
              </w:rPr>
            </w:pPr>
            <w:r>
              <w:rPr>
                <w:rFonts w:ascii="Arial" w:cs="Arial" w:eastAsia="Arial" w:hAnsi="Arial"/>
                <w:sz w:val="18"/>
                <w:szCs w:val="18"/>
                <w:color w:val="auto"/>
              </w:rPr>
              <w:t>12/14/2016</w:t>
            </w:r>
          </w:p>
        </w:tc>
      </w:tr>
      <w:tr>
        <w:trPr>
          <w:trHeight w:val="196"/>
        </w:trPr>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Agreement, entered into on November 21,</w:t>
              </w:r>
            </w:hyperlink>
          </w:p>
        </w:tc>
        <w:tc>
          <w:tcPr>
            <w:tcW w:w="320" w:type="dxa"/>
            <w:vAlign w:val="bottom"/>
            <w:tcBorders>
              <w:top w:val="single" w:sz="8" w:color="0000FF"/>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2016 and effective as of November 18, 2016,</w:t>
              </w:r>
            </w:hyperlink>
          </w:p>
        </w:tc>
        <w:tc>
          <w:tcPr>
            <w:tcW w:w="2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2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by and between the Massachusetts Institute of</w:t>
              </w:r>
            </w:hyperlink>
          </w:p>
        </w:tc>
        <w:tc>
          <w:tcPr>
            <w:tcW w:w="2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Technology and the Registrant</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620" w:type="dxa"/>
            <w:vAlign w:val="bottom"/>
            <w:tcBorders>
              <w:bottom w:val="single" w:sz="8" w:color="0000FF"/>
            </w:tcBorders>
            <w:gridSpan w:val="5"/>
          </w:tcPr>
          <w:p>
            <w:pPr>
              <w:jc w:val="cente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7(g)†</w:t>
              </w:r>
            </w:hyperlink>
          </w:p>
        </w:tc>
        <w:tc>
          <w:tcPr>
            <w:tcW w:w="500" w:type="dxa"/>
            <w:vAlign w:val="bottom"/>
          </w:tcPr>
          <w:p>
            <w:pPr>
              <w:spacing w:after="0"/>
              <w:rPr>
                <w:sz w:val="21"/>
                <w:szCs w:val="21"/>
                <w:color w:val="auto"/>
              </w:rPr>
            </w:pPr>
          </w:p>
        </w:tc>
        <w:tc>
          <w:tcPr>
            <w:tcW w:w="3120" w:type="dxa"/>
            <w:vAlign w:val="bottom"/>
            <w:tcBorders>
              <w:bottom w:val="single" w:sz="8" w:color="0000FF"/>
            </w:tcBorders>
            <w:gridSpan w:val="18"/>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Letter Agreement, dated as of December 2,</w:t>
              </w:r>
            </w:hyperlink>
          </w:p>
        </w:tc>
        <w:tc>
          <w:tcPr>
            <w:tcW w:w="400" w:type="dxa"/>
            <w:vAlign w:val="bottom"/>
            <w:gridSpan w:val="14"/>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8-K/A</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10.3(b)</w:t>
            </w:r>
          </w:p>
        </w:tc>
        <w:tc>
          <w:tcPr>
            <w:tcW w:w="2680" w:type="dxa"/>
            <w:vAlign w:val="bottom"/>
          </w:tcPr>
          <w:p>
            <w:pPr>
              <w:ind w:left="280"/>
              <w:spacing w:after="0"/>
              <w:rPr>
                <w:sz w:val="20"/>
                <w:szCs w:val="20"/>
                <w:color w:val="auto"/>
              </w:rPr>
            </w:pPr>
            <w:r>
              <w:rPr>
                <w:rFonts w:ascii="Arial" w:cs="Arial" w:eastAsia="Arial" w:hAnsi="Arial"/>
                <w:sz w:val="18"/>
                <w:szCs w:val="18"/>
                <w:color w:val="auto"/>
              </w:rPr>
              <w:t>12/14/2016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tcBorders>
              <w:bottom w:val="single" w:sz="8" w:color="0000FF"/>
            </w:tcBorders>
            <w:gridSpan w:val="14"/>
          </w:tcPr>
          <w:p>
            <w:pPr>
              <w:spacing w:after="0" w:line="196"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2016, by and between the Massachusetts</w:t>
              </w:r>
            </w:hyperlink>
          </w:p>
        </w:tc>
        <w:tc>
          <w:tcPr>
            <w:tcW w:w="58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Institute of Technology and the Registrant</w:t>
              </w:r>
            </w:hyperlink>
          </w:p>
        </w:tc>
        <w:tc>
          <w:tcPr>
            <w:tcW w:w="4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620" w:type="dxa"/>
            <w:vAlign w:val="bottom"/>
            <w:tcBorders>
              <w:bottom w:val="single" w:sz="8" w:color="0000FF"/>
            </w:tcBorders>
            <w:gridSpan w:val="5"/>
          </w:tcPr>
          <w:p>
            <w:pPr>
              <w:jc w:val="cente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7(h)†</w:t>
              </w:r>
            </w:hyperlink>
          </w:p>
        </w:tc>
        <w:tc>
          <w:tcPr>
            <w:tcW w:w="500" w:type="dxa"/>
            <w:vAlign w:val="bottom"/>
          </w:tcPr>
          <w:p>
            <w:pPr>
              <w:spacing w:after="0"/>
              <w:rPr>
                <w:sz w:val="21"/>
                <w:szCs w:val="21"/>
                <w:color w:val="auto"/>
              </w:rPr>
            </w:pPr>
          </w:p>
        </w:tc>
        <w:tc>
          <w:tcPr>
            <w:tcW w:w="3120" w:type="dxa"/>
            <w:vAlign w:val="bottom"/>
            <w:tcBorders>
              <w:bottom w:val="single" w:sz="8" w:color="0000FF"/>
            </w:tcBorders>
            <w:gridSpan w:val="18"/>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Letter Agreement, dated as of December 2,</w:t>
              </w:r>
            </w:hyperlink>
          </w:p>
        </w:tc>
        <w:tc>
          <w:tcPr>
            <w:tcW w:w="400" w:type="dxa"/>
            <w:vAlign w:val="bottom"/>
            <w:gridSpan w:val="14"/>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8-K/A</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10.3(c)</w:t>
            </w:r>
          </w:p>
        </w:tc>
        <w:tc>
          <w:tcPr>
            <w:tcW w:w="2680" w:type="dxa"/>
            <w:vAlign w:val="bottom"/>
          </w:tcPr>
          <w:p>
            <w:pPr>
              <w:ind w:left="280"/>
              <w:spacing w:after="0"/>
              <w:rPr>
                <w:sz w:val="20"/>
                <w:szCs w:val="20"/>
                <w:color w:val="auto"/>
              </w:rPr>
            </w:pPr>
            <w:r>
              <w:rPr>
                <w:rFonts w:ascii="Arial" w:cs="Arial" w:eastAsia="Arial" w:hAnsi="Arial"/>
                <w:sz w:val="18"/>
                <w:szCs w:val="18"/>
                <w:color w:val="auto"/>
              </w:rPr>
              <w:t>12/14/2016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4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2016, by and among Spark Therapeutics, Inc.,</w:t>
              </w:r>
            </w:hyperlink>
          </w:p>
        </w:tc>
        <w:tc>
          <w:tcPr>
            <w:tcW w:w="1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4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the Massachusetts Institute of Technology and</w:t>
              </w:r>
            </w:hyperlink>
          </w:p>
        </w:tc>
        <w:tc>
          <w:tcPr>
            <w:tcW w:w="1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the Registrant</w:t>
              </w:r>
            </w:hyperlink>
          </w:p>
        </w:tc>
        <w:tc>
          <w:tcPr>
            <w:tcW w:w="250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80" w:type="dxa"/>
            <w:vAlign w:val="bottom"/>
            <w:tcBorders>
              <w:bottom w:val="single" w:sz="8" w:color="0000FF"/>
            </w:tcBorders>
            <w:gridSpan w:val="3"/>
          </w:tcPr>
          <w:p>
            <w:pPr>
              <w:jc w:val="center"/>
              <w:spacing w:after="0"/>
              <w:rPr>
                <w:rFonts w:ascii="Arial" w:cs="Arial" w:eastAsia="Arial" w:hAnsi="Arial"/>
                <w:sz w:val="18"/>
                <w:szCs w:val="18"/>
                <w:color w:val="0000FF"/>
                <w:w w:val="94"/>
              </w:rPr>
            </w:pPr>
            <w:hyperlink w:anchor="page139">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7(i)†</w:t>
              </w:r>
            </w:hyperlink>
          </w:p>
        </w:tc>
        <w:tc>
          <w:tcPr>
            <w:tcW w:w="520" w:type="dxa"/>
            <w:vAlign w:val="bottom"/>
            <w:gridSpan w:val="2"/>
          </w:tcPr>
          <w:p>
            <w:pPr>
              <w:spacing w:after="0"/>
              <w:rPr>
                <w:sz w:val="21"/>
                <w:szCs w:val="21"/>
                <w:color w:val="auto"/>
              </w:rPr>
            </w:pPr>
          </w:p>
        </w:tc>
        <w:tc>
          <w:tcPr>
            <w:tcW w:w="29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39">
              <w:r>
                <w:rPr>
                  <w:rFonts w:ascii="Arial" w:cs="Arial" w:eastAsia="Arial" w:hAnsi="Arial"/>
                  <w:sz w:val="18"/>
                  <w:szCs w:val="18"/>
                  <w:color w:val="0000FF"/>
                  <w:w w:val="91"/>
                </w:rPr>
                <w:t>Fourth Amendment to Exclusive Patent</w:t>
              </w:r>
            </w:hyperlink>
          </w:p>
        </w:tc>
        <w:tc>
          <w:tcPr>
            <w:tcW w:w="620" w:type="dxa"/>
            <w:vAlign w:val="bottom"/>
            <w:gridSpan w:val="19"/>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80" w:type="dxa"/>
            <w:vAlign w:val="bottom"/>
          </w:tcPr>
          <w:p>
            <w:pPr>
              <w:ind w:left="2600"/>
              <w:spacing w:after="0"/>
              <w:rPr>
                <w:sz w:val="20"/>
                <w:szCs w:val="20"/>
                <w:color w:val="auto"/>
              </w:rPr>
            </w:pPr>
            <w:r>
              <w:rPr>
                <w:rFonts w:ascii="Arial" w:cs="Arial" w:eastAsia="Arial" w:hAnsi="Arial"/>
                <w:sz w:val="18"/>
                <w:szCs w:val="18"/>
                <w:color w:val="auto"/>
                <w:w w:val="84"/>
              </w:rPr>
              <w:t>*</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3"/>
              </w:rPr>
            </w:pPr>
            <w:hyperlink w:anchor="page139">
              <w:r>
                <w:rPr>
                  <w:rFonts w:ascii="Arial" w:cs="Arial" w:eastAsia="Arial" w:hAnsi="Arial"/>
                  <w:sz w:val="18"/>
                  <w:szCs w:val="18"/>
                  <w:color w:val="0000FF"/>
                  <w:w w:val="93"/>
                </w:rPr>
                <w:t>License Agreement, entered into on December</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88"/>
              </w:rPr>
            </w:pPr>
            <w:hyperlink w:anchor="page139">
              <w:r>
                <w:rPr>
                  <w:rFonts w:ascii="Arial" w:cs="Arial" w:eastAsia="Arial" w:hAnsi="Arial"/>
                  <w:sz w:val="18"/>
                  <w:szCs w:val="18"/>
                  <w:color w:val="0000FF"/>
                  <w:w w:val="88"/>
                </w:rPr>
                <w:t>13, 2019, by and between the Massachusetts</w:t>
              </w:r>
            </w:hyperlink>
          </w:p>
        </w:tc>
        <w:tc>
          <w:tcPr>
            <w:tcW w:w="140" w:type="dxa"/>
            <w:vAlign w:val="bottom"/>
            <w:tcBorders>
              <w:top w:val="single" w:sz="8" w:color="0000FF"/>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Institute of Technology and the Registrant</w:t>
              </w:r>
            </w:hyperlink>
          </w:p>
        </w:tc>
        <w:tc>
          <w:tcPr>
            <w:tcW w:w="4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center"/>
              <w:ind w:right="620"/>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8†</w:t>
              </w:r>
            </w:hyperlink>
          </w:p>
        </w:tc>
        <w:tc>
          <w:tcPr>
            <w:tcW w:w="3520" w:type="dxa"/>
            <w:vAlign w:val="bottom"/>
            <w:gridSpan w:val="32"/>
          </w:tcPr>
          <w:p>
            <w:pPr>
              <w:spacing w:after="0"/>
              <w:rPr>
                <w:rFonts w:ascii="Arial" w:cs="Arial" w:eastAsia="Arial" w:hAnsi="Arial"/>
                <w:sz w:val="18"/>
                <w:szCs w:val="18"/>
                <w:color w:val="0000FF"/>
                <w:w w:val="98"/>
              </w:rPr>
            </w:pPr>
            <w:hyperlink r:id="rId60">
              <w:r>
                <w:rPr>
                  <w:rFonts w:ascii="Arial" w:cs="Arial" w:eastAsia="Arial" w:hAnsi="Arial"/>
                  <w:sz w:val="18"/>
                  <w:szCs w:val="18"/>
                  <w:color w:val="0000FF"/>
                  <w:w w:val="98"/>
                </w:rPr>
                <w:t>Amended and Restated License Agreement,</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10.6</w:t>
            </w:r>
          </w:p>
        </w:tc>
        <w:tc>
          <w:tcPr>
            <w:tcW w:w="2680" w:type="dxa"/>
            <w:vAlign w:val="bottom"/>
          </w:tcPr>
          <w:p>
            <w:pPr>
              <w:ind w:left="280"/>
              <w:spacing w:after="0"/>
              <w:rPr>
                <w:sz w:val="20"/>
                <w:szCs w:val="20"/>
                <w:color w:val="auto"/>
              </w:rPr>
            </w:pPr>
            <w:r>
              <w:rPr>
                <w:rFonts w:ascii="Arial" w:cs="Arial" w:eastAsia="Arial" w:hAnsi="Arial"/>
                <w:sz w:val="18"/>
                <w:szCs w:val="18"/>
                <w:color w:val="auto"/>
              </w:rPr>
              <w:t>8/11/2017</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2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dated as of May 31, 2017, by and between the</w:t>
              </w:r>
            </w:hyperlink>
          </w:p>
        </w:tc>
        <w:tc>
          <w:tcPr>
            <w:tcW w:w="2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Registrant and Shenyang Sunshine</w:t>
              </w:r>
            </w:hyperlink>
          </w:p>
        </w:tc>
        <w:tc>
          <w:tcPr>
            <w:tcW w:w="10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Pharmaceutical Co., Ltd.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center"/>
              <w:ind w:right="620"/>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9†</w:t>
              </w:r>
            </w:hyperlink>
          </w:p>
        </w:tc>
        <w:tc>
          <w:tcPr>
            <w:tcW w:w="3520" w:type="dxa"/>
            <w:vAlign w:val="bottom"/>
            <w:gridSpan w:val="32"/>
          </w:tcPr>
          <w:p>
            <w:pPr>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Manufacturing Services Agreement, dated as</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10.10</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of August 1, 2014, by and between the</w:t>
              </w:r>
            </w:hyperlink>
          </w:p>
        </w:tc>
        <w:tc>
          <w:tcPr>
            <w:tcW w:w="2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Registrant and Shenyang Sunshine</w:t>
              </w:r>
            </w:hyperlink>
          </w:p>
        </w:tc>
        <w:tc>
          <w:tcPr>
            <w:tcW w:w="260" w:type="dxa"/>
            <w:vAlign w:val="bottom"/>
            <w:tcBorders>
              <w:top w:val="single" w:sz="8" w:color="0000FF"/>
            </w:tcBorders>
            <w:gridSpan w:val="4"/>
          </w:tcPr>
          <w:p>
            <w:pPr>
              <w:spacing w:after="0"/>
              <w:rPr>
                <w:sz w:val="17"/>
                <w:szCs w:val="17"/>
                <w:color w:val="auto"/>
              </w:rPr>
            </w:pPr>
          </w:p>
        </w:tc>
        <w:tc>
          <w:tcPr>
            <w:tcW w:w="74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Pharmaceutical Co., Ltd.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center"/>
              <w:spacing w:after="0"/>
              <w:rPr>
                <w:rFonts w:ascii="Arial" w:cs="Arial" w:eastAsia="Arial" w:hAnsi="Arial"/>
                <w:sz w:val="18"/>
                <w:szCs w:val="18"/>
                <w:color w:val="0000FF"/>
                <w:w w:val="83"/>
              </w:rPr>
            </w:pPr>
            <w:hyperlink r:id="rId62">
              <w:r>
                <w:rPr>
                  <w:rFonts w:ascii="Arial" w:cs="Arial" w:eastAsia="Arial" w:hAnsi="Arial"/>
                  <w:sz w:val="18"/>
                  <w:szCs w:val="18"/>
                  <w:color w:val="0000FF"/>
                  <w:w w:val="83"/>
                </w:rPr>
                <w:t>10.</w:t>
              </w:r>
              <w:r>
                <w:rPr>
                  <w:rFonts w:ascii="Arial" w:cs="Arial" w:eastAsia="Arial" w:hAnsi="Arial"/>
                  <w:sz w:val="18"/>
                  <w:szCs w:val="18"/>
                  <w:u w:val="single" w:color="auto"/>
                  <w:color w:val="0000FF"/>
                  <w:w w:val="83"/>
                </w:rPr>
                <w:t>10†</w:t>
              </w:r>
            </w:hyperlink>
          </w:p>
        </w:tc>
        <w:tc>
          <w:tcPr>
            <w:tcW w:w="620" w:type="dxa"/>
            <w:vAlign w:val="bottom"/>
            <w:gridSpan w:val="3"/>
          </w:tcPr>
          <w:p>
            <w:pPr>
              <w:spacing w:after="0"/>
              <w:rPr>
                <w:sz w:val="21"/>
                <w:szCs w:val="21"/>
                <w:color w:val="auto"/>
              </w:rPr>
            </w:pPr>
          </w:p>
        </w:tc>
        <w:tc>
          <w:tcPr>
            <w:tcW w:w="3520" w:type="dxa"/>
            <w:vAlign w:val="bottom"/>
            <w:gridSpan w:val="32"/>
          </w:tcPr>
          <w:p>
            <w:pPr>
              <w:spacing w:after="0"/>
              <w:rPr>
                <w:rFonts w:ascii="Arial" w:cs="Arial" w:eastAsia="Arial" w:hAnsi="Arial"/>
                <w:sz w:val="18"/>
                <w:szCs w:val="18"/>
                <w:color w:val="0000FF"/>
              </w:rPr>
            </w:pPr>
            <w:hyperlink r:id="rId62">
              <w:r>
                <w:rPr>
                  <w:rFonts w:ascii="Arial" w:cs="Arial" w:eastAsia="Arial" w:hAnsi="Arial"/>
                  <w:sz w:val="18"/>
                  <w:szCs w:val="18"/>
                  <w:color w:val="0000FF"/>
                </w:rPr>
                <w:t>Lease, dated as of September 30, 2008, as</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10.13</w:t>
            </w:r>
          </w:p>
        </w:tc>
        <w:tc>
          <w:tcPr>
            <w:tcW w:w="268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amended by the First Amendment, dated as of</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July 12, 2011, the Second Amendment, dated</w:t>
              </w:r>
            </w:hyperlink>
          </w:p>
        </w:tc>
        <w:tc>
          <w:tcPr>
            <w:tcW w:w="40" w:type="dxa"/>
            <w:vAlign w:val="bottom"/>
            <w:tcBorders>
              <w:top w:val="single" w:sz="8" w:color="0000FF"/>
            </w:tcBorders>
            <w:gridSpan w:val="2"/>
          </w:tcPr>
          <w:p>
            <w:pPr>
              <w:spacing w:after="0"/>
              <w:rPr>
                <w:sz w:val="17"/>
                <w:szCs w:val="17"/>
                <w:color w:val="auto"/>
              </w:rPr>
            </w:pPr>
          </w:p>
        </w:tc>
        <w:tc>
          <w:tcPr>
            <w:tcW w:w="2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as of October 11, 2011 and the Third</w:t>
              </w:r>
            </w:hyperlink>
          </w:p>
        </w:tc>
        <w:tc>
          <w:tcPr>
            <w:tcW w:w="84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Amendment, dated as of April 6, 2015, by and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between the Registrant and ARE-480 Arsenal</w:t>
              </w:r>
            </w:hyperlink>
          </w:p>
        </w:tc>
        <w:tc>
          <w:tcPr>
            <w:tcW w:w="40" w:type="dxa"/>
            <w:vAlign w:val="bottom"/>
            <w:tcBorders>
              <w:top w:val="single" w:sz="8" w:color="0000FF"/>
            </w:tcBorders>
            <w:gridSpan w:val="2"/>
          </w:tcPr>
          <w:p>
            <w:pPr>
              <w:spacing w:after="0"/>
              <w:rPr>
                <w:sz w:val="17"/>
                <w:szCs w:val="17"/>
                <w:color w:val="auto"/>
              </w:rPr>
            </w:pPr>
          </w:p>
        </w:tc>
        <w:tc>
          <w:tcPr>
            <w:tcW w:w="1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Street, LLC</w:t>
              </w:r>
            </w:hyperlink>
          </w:p>
        </w:tc>
        <w:tc>
          <w:tcPr>
            <w:tcW w:w="2660" w:type="dxa"/>
            <w:vAlign w:val="bottom"/>
            <w:gridSpan w:val="3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center"/>
              <w:ind w:right="580"/>
              <w:spacing w:after="0"/>
              <w:rPr>
                <w:rFonts w:ascii="Arial" w:cs="Arial" w:eastAsia="Arial" w:hAnsi="Arial"/>
                <w:sz w:val="18"/>
                <w:szCs w:val="18"/>
                <w:color w:val="0000FF"/>
                <w:w w:val="79"/>
              </w:rPr>
            </w:pPr>
            <w:hyperlink r:id="rId63">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11†</w:t>
              </w:r>
            </w:hyperlink>
          </w:p>
        </w:tc>
        <w:tc>
          <w:tcPr>
            <w:tcW w:w="3520" w:type="dxa"/>
            <w:vAlign w:val="bottom"/>
            <w:gridSpan w:val="32"/>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Fourth Amendment to Lease, dated August 21,</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10.1</w:t>
            </w:r>
          </w:p>
        </w:tc>
        <w:tc>
          <w:tcPr>
            <w:tcW w:w="2680" w:type="dxa"/>
            <w:vAlign w:val="bottom"/>
          </w:tcPr>
          <w:p>
            <w:pPr>
              <w:ind w:left="280"/>
              <w:spacing w:after="0"/>
              <w:rPr>
                <w:sz w:val="20"/>
                <w:szCs w:val="20"/>
                <w:color w:val="auto"/>
              </w:rPr>
            </w:pPr>
            <w:r>
              <w:rPr>
                <w:rFonts w:ascii="Arial" w:cs="Arial" w:eastAsia="Arial" w:hAnsi="Arial"/>
                <w:sz w:val="18"/>
                <w:szCs w:val="18"/>
                <w:color w:val="auto"/>
              </w:rPr>
              <w:t>9/14/2016</w:t>
            </w: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gridSpan w:val="1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2016, by and between ARE-480 Arsenal Street</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8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LLC and Selecta Biosciences, Inc.</w:t>
              </w:r>
            </w:hyperlink>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100" w:type="dxa"/>
            <w:vAlign w:val="bottom"/>
            <w:gridSpan w:val="2"/>
          </w:tcPr>
          <w:p>
            <w:pPr>
              <w:spacing w:after="0"/>
              <w:rPr>
                <w:sz w:val="21"/>
                <w:szCs w:val="21"/>
                <w:color w:val="auto"/>
              </w:rPr>
            </w:pPr>
          </w:p>
        </w:tc>
        <w:tc>
          <w:tcPr>
            <w:tcW w:w="400" w:type="dxa"/>
            <w:vAlign w:val="bottom"/>
          </w:tcPr>
          <w:p>
            <w:pPr>
              <w:jc w:val="center"/>
              <w:spacing w:after="0"/>
              <w:rPr>
                <w:rFonts w:ascii="Arial" w:cs="Arial" w:eastAsia="Arial" w:hAnsi="Arial"/>
                <w:sz w:val="18"/>
                <w:szCs w:val="18"/>
                <w:color w:val="0000FF"/>
                <w:w w:val="88"/>
              </w:rPr>
            </w:pPr>
            <w:hyperlink r:id="rId6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20" w:type="dxa"/>
            <w:vAlign w:val="bottom"/>
            <w:gridSpan w:val="32"/>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Lease Agreement by and between BRE-BMR</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10.3</w:t>
            </w:r>
          </w:p>
        </w:tc>
        <w:tc>
          <w:tcPr>
            <w:tcW w:w="2680" w:type="dxa"/>
            <w:vAlign w:val="bottom"/>
          </w:tcPr>
          <w:p>
            <w:pPr>
              <w:ind w:left="280"/>
              <w:spacing w:after="0"/>
              <w:rPr>
                <w:sz w:val="20"/>
                <w:szCs w:val="20"/>
                <w:color w:val="auto"/>
              </w:rPr>
            </w:pPr>
            <w:r>
              <w:rPr>
                <w:rFonts w:ascii="Arial" w:cs="Arial" w:eastAsia="Arial" w:hAnsi="Arial"/>
                <w:sz w:val="18"/>
                <w:szCs w:val="18"/>
                <w:color w:val="auto"/>
              </w:rPr>
              <w:t>11/8/2019</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gridSpan w:val="12"/>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2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Grove LLC and Selecta Biosciences, Inc. dated</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July 23, 2019</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600" w:type="dxa"/>
            <w:vAlign w:val="bottom"/>
            <w:gridSpan w:val="4"/>
          </w:tcPr>
          <w:p>
            <w:pPr>
              <w:jc w:val="cente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13#</w:t>
              </w:r>
            </w:hyperlink>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20" w:type="dxa"/>
            <w:vAlign w:val="bottom"/>
            <w:gridSpan w:val="32"/>
          </w:tcPr>
          <w:p>
            <w:pPr>
              <w:spacing w:after="0"/>
              <w:rPr>
                <w:rFonts w:ascii="Arial" w:cs="Arial" w:eastAsia="Arial" w:hAnsi="Arial"/>
                <w:sz w:val="18"/>
                <w:szCs w:val="18"/>
                <w:color w:val="0000FF"/>
              </w:rPr>
            </w:pPr>
            <w:hyperlink r:id="rId65">
              <w:r>
                <w:rPr>
                  <w:rFonts w:ascii="Arial" w:cs="Arial" w:eastAsia="Arial" w:hAnsi="Arial"/>
                  <w:sz w:val="18"/>
                  <w:szCs w:val="18"/>
                  <w:color w:val="0000FF"/>
                </w:rPr>
                <w:t>Employment Agreement, dated as of</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40"/>
              <w:spacing w:after="0"/>
              <w:rPr>
                <w:sz w:val="20"/>
                <w:szCs w:val="20"/>
                <w:color w:val="auto"/>
              </w:rPr>
            </w:pPr>
            <w:r>
              <w:rPr>
                <w:rFonts w:ascii="Arial" w:cs="Arial" w:eastAsia="Arial" w:hAnsi="Arial"/>
                <w:sz w:val="18"/>
                <w:szCs w:val="18"/>
                <w:color w:val="auto"/>
              </w:rPr>
              <w:t>10.2</w:t>
            </w:r>
          </w:p>
        </w:tc>
        <w:tc>
          <w:tcPr>
            <w:tcW w:w="2680" w:type="dxa"/>
            <w:vAlign w:val="bottom"/>
          </w:tcPr>
          <w:p>
            <w:pPr>
              <w:ind w:left="280"/>
              <w:spacing w:after="0"/>
              <w:rPr>
                <w:sz w:val="20"/>
                <w:szCs w:val="20"/>
                <w:color w:val="auto"/>
              </w:rPr>
            </w:pPr>
            <w:r>
              <w:rPr>
                <w:rFonts w:ascii="Arial" w:cs="Arial" w:eastAsia="Arial" w:hAnsi="Arial"/>
                <w:sz w:val="18"/>
                <w:szCs w:val="18"/>
                <w:color w:val="auto"/>
              </w:rPr>
              <w:t>9/27/2018</w:t>
            </w: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5"/>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tcBorders>
              <w:bottom w:val="single" w:sz="8" w:color="0000FF"/>
            </w:tcBorders>
            <w:gridSpan w:val="14"/>
          </w:tcPr>
          <w:p>
            <w:pPr>
              <w:spacing w:after="0" w:line="19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September 25, 2018, by and between the</w:t>
              </w:r>
            </w:hyperlink>
          </w:p>
        </w:tc>
        <w:tc>
          <w:tcPr>
            <w:tcW w:w="58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Registrant and Carsten Brunn, Ph.D.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600" w:type="dxa"/>
            <w:vAlign w:val="bottom"/>
            <w:gridSpan w:val="4"/>
          </w:tcPr>
          <w:p>
            <w:pPr>
              <w:jc w:val="cente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14#</w:t>
              </w:r>
            </w:hyperlink>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20" w:type="dxa"/>
            <w:vAlign w:val="bottom"/>
            <w:gridSpan w:val="32"/>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Employment Agreement, dated as of June 6,</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S-1/A</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40"/>
              <w:spacing w:after="0"/>
              <w:rPr>
                <w:sz w:val="20"/>
                <w:szCs w:val="20"/>
                <w:color w:val="auto"/>
              </w:rPr>
            </w:pPr>
            <w:r>
              <w:rPr>
                <w:rFonts w:ascii="Arial" w:cs="Arial" w:eastAsia="Arial" w:hAnsi="Arial"/>
                <w:sz w:val="18"/>
                <w:szCs w:val="18"/>
                <w:color w:val="auto"/>
              </w:rPr>
              <w:t>10.18</w:t>
            </w:r>
          </w:p>
        </w:tc>
        <w:tc>
          <w:tcPr>
            <w:tcW w:w="268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2016, by and between the Registrant and</w:t>
              </w:r>
            </w:hyperlink>
          </w:p>
        </w:tc>
        <w:tc>
          <w:tcPr>
            <w:tcW w:w="260" w:type="dxa"/>
            <w:vAlign w:val="bottom"/>
            <w:tcBorders>
              <w:top w:val="single" w:sz="8" w:color="0000FF"/>
            </w:tcBorders>
            <w:gridSpan w:val="7"/>
          </w:tcPr>
          <w:p>
            <w:pPr>
              <w:spacing w:after="0"/>
              <w:rPr>
                <w:sz w:val="17"/>
                <w:szCs w:val="17"/>
                <w:color w:val="auto"/>
              </w:rPr>
            </w:pPr>
          </w:p>
        </w:tc>
        <w:tc>
          <w:tcPr>
            <w:tcW w:w="32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20" w:type="dxa"/>
            <w:vAlign w:val="bottom"/>
            <w:gridSpan w:val="3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Takashi Kei Kishimoto</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5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92</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0800"/>
          </w:cols>
          <w:pgMar w:left="700" w:top="810" w:right="3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jc w:val="cente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15#</w:t>
              </w:r>
            </w:hyperlink>
          </w:p>
        </w:tc>
        <w:tc>
          <w:tcPr>
            <w:tcW w:w="620" w:type="dxa"/>
            <w:vAlign w:val="bottom"/>
          </w:tcPr>
          <w:p>
            <w:pPr>
              <w:spacing w:after="0"/>
              <w:rPr>
                <w:sz w:val="17"/>
                <w:szCs w:val="17"/>
                <w:color w:val="auto"/>
              </w:rPr>
            </w:pPr>
          </w:p>
        </w:tc>
        <w:tc>
          <w:tcPr>
            <w:tcW w:w="3520" w:type="dxa"/>
            <w:vAlign w:val="bottom"/>
            <w:gridSpan w:val="33"/>
          </w:tcPr>
          <w:p>
            <w:pPr>
              <w:spacing w:after="0"/>
              <w:rPr>
                <w:rFonts w:ascii="Arial" w:cs="Arial" w:eastAsia="Arial" w:hAnsi="Arial"/>
                <w:sz w:val="18"/>
                <w:szCs w:val="18"/>
                <w:color w:val="0000FF"/>
                <w:w w:val="98"/>
              </w:rPr>
            </w:pPr>
            <w:hyperlink r:id="rId67">
              <w:r>
                <w:rPr>
                  <w:rFonts w:ascii="Arial" w:cs="Arial" w:eastAsia="Arial" w:hAnsi="Arial"/>
                  <w:sz w:val="18"/>
                  <w:szCs w:val="18"/>
                  <w:color w:val="0000FF"/>
                  <w:w w:val="98"/>
                </w:rPr>
                <w:t>Employment Agreement, dated as of June 6,</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S-1/A</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00" w:type="dxa"/>
            <w:vAlign w:val="bottom"/>
          </w:tcPr>
          <w:p>
            <w:pPr>
              <w:ind w:left="340"/>
              <w:spacing w:after="0"/>
              <w:rPr>
                <w:sz w:val="20"/>
                <w:szCs w:val="20"/>
                <w:color w:val="auto"/>
              </w:rPr>
            </w:pPr>
            <w:r>
              <w:rPr>
                <w:rFonts w:ascii="Arial" w:cs="Arial" w:eastAsia="Arial" w:hAnsi="Arial"/>
                <w:sz w:val="18"/>
                <w:szCs w:val="18"/>
                <w:color w:val="auto"/>
              </w:rPr>
              <w:t>10.21</w:t>
            </w:r>
          </w:p>
        </w:tc>
        <w:tc>
          <w:tcPr>
            <w:tcW w:w="2740" w:type="dxa"/>
            <w:vAlign w:val="bottom"/>
          </w:tcPr>
          <w:p>
            <w:pPr>
              <w:ind w:left="340"/>
              <w:spacing w:after="0"/>
              <w:rPr>
                <w:sz w:val="20"/>
                <w:szCs w:val="20"/>
                <w:color w:val="auto"/>
              </w:rPr>
            </w:pPr>
            <w:r>
              <w:rPr>
                <w:rFonts w:ascii="Arial" w:cs="Arial" w:eastAsia="Arial" w:hAnsi="Arial"/>
                <w:sz w:val="18"/>
                <w:szCs w:val="18"/>
                <w:color w:val="auto"/>
              </w:rPr>
              <w:t>6/8/2016</w:t>
            </w:r>
          </w:p>
        </w:tc>
      </w:tr>
      <w:tr>
        <w:trPr>
          <w:trHeight w:val="20"/>
        </w:trPr>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2016, by and between the Registrant and Lloyd</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P. M. Johnston, Ph.D.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16#</w:t>
              </w:r>
            </w:hyperlink>
          </w:p>
        </w:tc>
        <w:tc>
          <w:tcPr>
            <w:tcW w:w="620" w:type="dxa"/>
            <w:vAlign w:val="bottom"/>
          </w:tcPr>
          <w:p>
            <w:pPr>
              <w:spacing w:after="0"/>
              <w:rPr>
                <w:sz w:val="21"/>
                <w:szCs w:val="21"/>
                <w:color w:val="auto"/>
              </w:rPr>
            </w:pPr>
          </w:p>
        </w:tc>
        <w:tc>
          <w:tcPr>
            <w:tcW w:w="3220" w:type="dxa"/>
            <w:vAlign w:val="bottom"/>
            <w:tcBorders>
              <w:bottom w:val="single" w:sz="8" w:color="0000FF"/>
            </w:tcBorders>
            <w:gridSpan w:val="25"/>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Employment Agreement, dated as of August</w:t>
              </w:r>
            </w:hyperlink>
          </w:p>
        </w:tc>
        <w:tc>
          <w:tcPr>
            <w:tcW w:w="300" w:type="dxa"/>
            <w:vAlign w:val="bottom"/>
            <w:gridSpan w:val="8"/>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10.1</w:t>
            </w:r>
          </w:p>
        </w:tc>
        <w:tc>
          <w:tcPr>
            <w:tcW w:w="2740" w:type="dxa"/>
            <w:vAlign w:val="bottom"/>
          </w:tcPr>
          <w:p>
            <w:pPr>
              <w:ind w:left="340"/>
              <w:spacing w:after="0"/>
              <w:rPr>
                <w:sz w:val="20"/>
                <w:szCs w:val="20"/>
                <w:color w:val="auto"/>
              </w:rPr>
            </w:pPr>
            <w:r>
              <w:rPr>
                <w:rFonts w:ascii="Arial" w:cs="Arial" w:eastAsia="Arial" w:hAnsi="Arial"/>
                <w:sz w:val="18"/>
                <w:szCs w:val="18"/>
                <w:color w:val="auto"/>
              </w:rPr>
              <w:t>11/8/2019</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12, 2019, by and between the Registrant and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Bradford D. Dahms</w:t>
              </w:r>
            </w:hyperlink>
          </w:p>
        </w:tc>
        <w:tc>
          <w:tcPr>
            <w:tcW w:w="1760" w:type="dxa"/>
            <w:vAlign w:val="bottom"/>
            <w:tcBorders>
              <w:top w:val="single" w:sz="8" w:color="0000FF"/>
            </w:tcBorders>
            <w:gridSpan w:val="20"/>
          </w:tcPr>
          <w:p>
            <w:pPr>
              <w:spacing w:after="0"/>
              <w:rPr>
                <w:sz w:val="17"/>
                <w:szCs w:val="17"/>
                <w:color w:val="auto"/>
              </w:rPr>
            </w:pPr>
          </w:p>
        </w:tc>
        <w:tc>
          <w:tcPr>
            <w:tcW w:w="3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17#</w:t>
              </w:r>
            </w:hyperlink>
          </w:p>
        </w:tc>
        <w:tc>
          <w:tcPr>
            <w:tcW w:w="620" w:type="dxa"/>
            <w:vAlign w:val="bottom"/>
          </w:tcPr>
          <w:p>
            <w:pPr>
              <w:spacing w:after="0"/>
              <w:rPr>
                <w:sz w:val="21"/>
                <w:szCs w:val="21"/>
                <w:color w:val="auto"/>
              </w:rPr>
            </w:pPr>
          </w:p>
        </w:tc>
        <w:tc>
          <w:tcPr>
            <w:tcW w:w="3300" w:type="dxa"/>
            <w:vAlign w:val="bottom"/>
            <w:tcBorders>
              <w:bottom w:val="single" w:sz="8" w:color="0000FF"/>
            </w:tcBorders>
            <w:gridSpan w:val="28"/>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Employment Agreement, dated as of June 21,</w:t>
              </w:r>
            </w:hyperlink>
          </w:p>
        </w:tc>
        <w:tc>
          <w:tcPr>
            <w:tcW w:w="220" w:type="dxa"/>
            <w:vAlign w:val="bottom"/>
            <w:gridSpan w:val="5"/>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10.2</w:t>
            </w:r>
          </w:p>
        </w:tc>
        <w:tc>
          <w:tcPr>
            <w:tcW w:w="2740" w:type="dxa"/>
            <w:vAlign w:val="bottom"/>
          </w:tcPr>
          <w:p>
            <w:pPr>
              <w:ind w:left="340"/>
              <w:spacing w:after="0"/>
              <w:rPr>
                <w:sz w:val="20"/>
                <w:szCs w:val="20"/>
                <w:color w:val="auto"/>
              </w:rPr>
            </w:pPr>
            <w:r>
              <w:rPr>
                <w:rFonts w:ascii="Arial" w:cs="Arial" w:eastAsia="Arial" w:hAnsi="Arial"/>
                <w:sz w:val="18"/>
                <w:szCs w:val="18"/>
                <w:color w:val="auto"/>
              </w:rPr>
              <w:t>8/8/2019</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2019, by and between the Registrant and</w:t>
              </w:r>
            </w:hyperlink>
          </w:p>
        </w:tc>
        <w:tc>
          <w:tcPr>
            <w:tcW w:w="5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Alison D. Schecter, M.D</w:t>
              </w:r>
            </w:hyperlink>
          </w:p>
        </w:tc>
        <w:tc>
          <w:tcPr>
            <w:tcW w:w="172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18#</w:t>
              </w:r>
            </w:hyperlink>
          </w:p>
        </w:tc>
        <w:tc>
          <w:tcPr>
            <w:tcW w:w="620" w:type="dxa"/>
            <w:vAlign w:val="bottom"/>
          </w:tcPr>
          <w:p>
            <w:pPr>
              <w:spacing w:after="0"/>
              <w:rPr>
                <w:sz w:val="21"/>
                <w:szCs w:val="21"/>
                <w:color w:val="auto"/>
              </w:rPr>
            </w:pPr>
          </w:p>
        </w:tc>
        <w:tc>
          <w:tcPr>
            <w:tcW w:w="3440" w:type="dxa"/>
            <w:vAlign w:val="bottom"/>
            <w:tcBorders>
              <w:bottom w:val="single" w:sz="8" w:color="0000FF"/>
            </w:tcBorders>
            <w:gridSpan w:val="32"/>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Employment Agreement, dated as of March 19,</w:t>
              </w:r>
            </w:hyperlink>
          </w:p>
        </w:tc>
        <w:tc>
          <w:tcPr>
            <w:tcW w:w="80" w:type="dxa"/>
            <w:vAlign w:val="bottom"/>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10.2</w:t>
            </w:r>
          </w:p>
        </w:tc>
        <w:tc>
          <w:tcPr>
            <w:tcW w:w="2740" w:type="dxa"/>
            <w:vAlign w:val="bottom"/>
          </w:tcPr>
          <w:p>
            <w:pPr>
              <w:ind w:left="340"/>
              <w:spacing w:after="0"/>
              <w:rPr>
                <w:sz w:val="20"/>
                <w:szCs w:val="20"/>
                <w:color w:val="auto"/>
              </w:rPr>
            </w:pPr>
            <w:r>
              <w:rPr>
                <w:rFonts w:ascii="Arial" w:cs="Arial" w:eastAsia="Arial" w:hAnsi="Arial"/>
                <w:sz w:val="18"/>
                <w:szCs w:val="18"/>
                <w:color w:val="auto"/>
              </w:rPr>
              <w:t>5/8/2019</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2019, by and between the Registrant and Elona</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Kogan</w:t>
              </w:r>
            </w:hyperlink>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19#</w:t>
              </w:r>
            </w:hyperlink>
          </w:p>
        </w:tc>
        <w:tc>
          <w:tcPr>
            <w:tcW w:w="620" w:type="dxa"/>
            <w:vAlign w:val="bottom"/>
          </w:tcPr>
          <w:p>
            <w:pPr>
              <w:spacing w:after="0"/>
              <w:rPr>
                <w:sz w:val="21"/>
                <w:szCs w:val="21"/>
                <w:color w:val="auto"/>
              </w:rPr>
            </w:pPr>
          </w:p>
        </w:tc>
        <w:tc>
          <w:tcPr>
            <w:tcW w:w="3200" w:type="dxa"/>
            <w:vAlign w:val="bottom"/>
            <w:tcBorders>
              <w:bottom w:val="single" w:sz="8" w:color="0000FF"/>
            </w:tcBorders>
            <w:gridSpan w:val="24"/>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Employment Agreement, dated October 26,</w:t>
              </w:r>
            </w:hyperlink>
          </w:p>
        </w:tc>
        <w:tc>
          <w:tcPr>
            <w:tcW w:w="320" w:type="dxa"/>
            <w:vAlign w:val="bottom"/>
            <w:gridSpan w:val="9"/>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10.3</w:t>
            </w:r>
          </w:p>
        </w:tc>
        <w:tc>
          <w:tcPr>
            <w:tcW w:w="2740" w:type="dxa"/>
            <w:vAlign w:val="bottom"/>
          </w:tcPr>
          <w:p>
            <w:pPr>
              <w:ind w:left="340"/>
              <w:spacing w:after="0"/>
              <w:rPr>
                <w:sz w:val="20"/>
                <w:szCs w:val="20"/>
                <w:color w:val="auto"/>
              </w:rPr>
            </w:pPr>
            <w:r>
              <w:rPr>
                <w:rFonts w:ascii="Arial" w:cs="Arial" w:eastAsia="Arial" w:hAnsi="Arial"/>
                <w:sz w:val="18"/>
                <w:szCs w:val="18"/>
                <w:color w:val="auto"/>
              </w:rPr>
              <w:t>11/7/2017</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2017, by and between the Registrant and</w:t>
              </w:r>
            </w:hyperlink>
          </w:p>
        </w:tc>
        <w:tc>
          <w:tcPr>
            <w:tcW w:w="5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Stephen Smolinski</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20†</w:t>
              </w:r>
            </w:hyperlink>
          </w:p>
        </w:tc>
        <w:tc>
          <w:tcPr>
            <w:tcW w:w="620" w:type="dxa"/>
            <w:vAlign w:val="bottom"/>
          </w:tcPr>
          <w:p>
            <w:pPr>
              <w:spacing w:after="0"/>
              <w:rPr>
                <w:sz w:val="21"/>
                <w:szCs w:val="21"/>
                <w:color w:val="auto"/>
              </w:rPr>
            </w:pPr>
          </w:p>
        </w:tc>
        <w:tc>
          <w:tcPr>
            <w:tcW w:w="3140" w:type="dxa"/>
            <w:vAlign w:val="bottom"/>
            <w:tcBorders>
              <w:bottom w:val="single" w:sz="8" w:color="0000FF"/>
            </w:tcBorders>
            <w:gridSpan w:val="23"/>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License and Option Agreement, dated as of</w:t>
              </w:r>
            </w:hyperlink>
          </w:p>
        </w:tc>
        <w:tc>
          <w:tcPr>
            <w:tcW w:w="380" w:type="dxa"/>
            <w:vAlign w:val="bottom"/>
            <w:gridSpan w:val="10"/>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8-K/A</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10.1</w:t>
            </w:r>
          </w:p>
        </w:tc>
        <w:tc>
          <w:tcPr>
            <w:tcW w:w="2740" w:type="dxa"/>
            <w:vAlign w:val="bottom"/>
          </w:tcPr>
          <w:p>
            <w:pPr>
              <w:ind w:left="340"/>
              <w:spacing w:after="0"/>
              <w:rPr>
                <w:sz w:val="20"/>
                <w:szCs w:val="20"/>
                <w:color w:val="auto"/>
              </w:rPr>
            </w:pPr>
            <w:r>
              <w:rPr>
                <w:rFonts w:ascii="Arial" w:cs="Arial" w:eastAsia="Arial" w:hAnsi="Arial"/>
                <w:sz w:val="18"/>
                <w:szCs w:val="18"/>
                <w:color w:val="auto"/>
              </w:rPr>
              <w:t>2/14/2017</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72">
              <w:r>
                <w:rPr>
                  <w:rFonts w:ascii="Arial" w:cs="Arial" w:eastAsia="Arial" w:hAnsi="Arial"/>
                  <w:sz w:val="18"/>
                  <w:szCs w:val="18"/>
                  <w:color w:val="0000FF"/>
                  <w:w w:val="88"/>
                </w:rPr>
                <w:t>December 2, 2016, by and between Spark</w:t>
              </w:r>
            </w:hyperlink>
          </w:p>
        </w:tc>
        <w:tc>
          <w:tcPr>
            <w:tcW w:w="5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Therapeutics, Inc. and the Registrant</w:t>
              </w:r>
            </w:hyperlink>
          </w:p>
        </w:tc>
        <w:tc>
          <w:tcPr>
            <w:tcW w:w="86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440" w:type="dxa"/>
            <w:vAlign w:val="bottom"/>
            <w:gridSpan w:val="2"/>
          </w:tcPr>
          <w:p>
            <w:pPr>
              <w:jc w:val="cente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21†</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rPr>
            </w:pPr>
            <w:hyperlink r:id="rId73">
              <w:r>
                <w:rPr>
                  <w:rFonts w:ascii="Arial" w:cs="Arial" w:eastAsia="Arial" w:hAnsi="Arial"/>
                  <w:sz w:val="18"/>
                  <w:szCs w:val="18"/>
                  <w:color w:val="0000FF"/>
                </w:rPr>
                <w:t>Stock Purchase Agreement, dated as of</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8-K/A</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10.2</w:t>
            </w:r>
          </w:p>
        </w:tc>
        <w:tc>
          <w:tcPr>
            <w:tcW w:w="2740" w:type="dxa"/>
            <w:vAlign w:val="bottom"/>
          </w:tcPr>
          <w:p>
            <w:pPr>
              <w:ind w:left="340"/>
              <w:spacing w:after="0"/>
              <w:rPr>
                <w:sz w:val="20"/>
                <w:szCs w:val="20"/>
                <w:color w:val="auto"/>
              </w:rPr>
            </w:pPr>
            <w:r>
              <w:rPr>
                <w:rFonts w:ascii="Arial" w:cs="Arial" w:eastAsia="Arial" w:hAnsi="Arial"/>
                <w:sz w:val="18"/>
                <w:szCs w:val="18"/>
                <w:color w:val="auto"/>
              </w:rPr>
              <w:t>12/14/2016</w:t>
            </w:r>
          </w:p>
        </w:tc>
      </w:tr>
      <w:tr>
        <w:trPr>
          <w:trHeight w:val="20"/>
        </w:trPr>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December 2, 2016, by and between Spark</w:t>
              </w:r>
            </w:hyperlink>
          </w:p>
        </w:tc>
        <w:tc>
          <w:tcPr>
            <w:tcW w:w="5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Therapeutics, Inc. and the Registrant</w:t>
              </w:r>
            </w:hyperlink>
          </w:p>
        </w:tc>
        <w:tc>
          <w:tcPr>
            <w:tcW w:w="86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440" w:type="dxa"/>
            <w:vAlign w:val="bottom"/>
            <w:tcBorders>
              <w:bottom w:val="single" w:sz="8" w:color="0000FF"/>
            </w:tcBorders>
            <w:gridSpan w:val="2"/>
          </w:tcPr>
          <w:p>
            <w:pPr>
              <w:jc w:val="cente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22†</w:t>
              </w:r>
            </w:hyperlink>
          </w:p>
        </w:tc>
        <w:tc>
          <w:tcPr>
            <w:tcW w:w="620" w:type="dxa"/>
            <w:vAlign w:val="bottom"/>
          </w:tcPr>
          <w:p>
            <w:pPr>
              <w:spacing w:after="0"/>
              <w:rPr>
                <w:sz w:val="21"/>
                <w:szCs w:val="21"/>
                <w:color w:val="auto"/>
              </w:rPr>
            </w:pPr>
          </w:p>
        </w:tc>
        <w:tc>
          <w:tcPr>
            <w:tcW w:w="3300" w:type="dxa"/>
            <w:vAlign w:val="bottom"/>
            <w:tcBorders>
              <w:bottom w:val="single" w:sz="8" w:color="0000FF"/>
            </w:tcBorders>
            <w:gridSpan w:val="28"/>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Letter Agreement, dated June 6, 2017, by and</w:t>
              </w:r>
            </w:hyperlink>
          </w:p>
        </w:tc>
        <w:tc>
          <w:tcPr>
            <w:tcW w:w="220" w:type="dxa"/>
            <w:vAlign w:val="bottom"/>
            <w:gridSpan w:val="5"/>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10.7</w:t>
            </w:r>
          </w:p>
        </w:tc>
        <w:tc>
          <w:tcPr>
            <w:tcW w:w="2740" w:type="dxa"/>
            <w:vAlign w:val="bottom"/>
          </w:tcPr>
          <w:p>
            <w:pPr>
              <w:ind w:left="340"/>
              <w:spacing w:after="0"/>
              <w:rPr>
                <w:sz w:val="20"/>
                <w:szCs w:val="20"/>
                <w:color w:val="auto"/>
              </w:rPr>
            </w:pPr>
            <w:r>
              <w:rPr>
                <w:rFonts w:ascii="Arial" w:cs="Arial" w:eastAsia="Arial" w:hAnsi="Arial"/>
                <w:sz w:val="18"/>
                <w:szCs w:val="18"/>
                <w:color w:val="auto"/>
              </w:rPr>
              <w:t>8/11/2017</w:t>
            </w: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between the Registrant and Spark</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Therapeutics, Inc.</w:t>
              </w:r>
            </w:hyperlink>
          </w:p>
        </w:tc>
        <w:tc>
          <w:tcPr>
            <w:tcW w:w="11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440" w:type="dxa"/>
            <w:vAlign w:val="bottom"/>
            <w:gridSpan w:val="2"/>
          </w:tcPr>
          <w:p>
            <w:pPr>
              <w:jc w:val="cente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23†</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Feasibility Study and License Agreement by</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10-Q</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10.2</w:t>
            </w:r>
          </w:p>
        </w:tc>
        <w:tc>
          <w:tcPr>
            <w:tcW w:w="2740" w:type="dxa"/>
            <w:vAlign w:val="bottom"/>
          </w:tcPr>
          <w:p>
            <w:pPr>
              <w:ind w:left="340"/>
              <w:spacing w:after="0"/>
              <w:rPr>
                <w:sz w:val="20"/>
                <w:szCs w:val="20"/>
                <w:color w:val="auto"/>
              </w:rPr>
            </w:pPr>
            <w:r>
              <w:rPr>
                <w:rFonts w:ascii="Arial" w:cs="Arial" w:eastAsia="Arial" w:hAnsi="Arial"/>
                <w:sz w:val="18"/>
                <w:szCs w:val="18"/>
                <w:color w:val="auto"/>
              </w:rPr>
              <w:t>11/8/2019</w:t>
            </w:r>
          </w:p>
        </w:tc>
      </w:tr>
      <w:tr>
        <w:trPr>
          <w:trHeight w:val="196"/>
        </w:trPr>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and between Asklepios BioPharmaceutical,</w:t>
              </w:r>
            </w:hyperlink>
          </w:p>
        </w:tc>
        <w:tc>
          <w:tcPr>
            <w:tcW w:w="60" w:type="dxa"/>
            <w:vAlign w:val="bottom"/>
            <w:tcBorders>
              <w:top w:val="single" w:sz="8" w:color="0000FF"/>
            </w:tcBorders>
          </w:tcPr>
          <w:p>
            <w:pPr>
              <w:spacing w:after="0"/>
              <w:rPr>
                <w:sz w:val="17"/>
                <w:szCs w:val="17"/>
                <w:color w:val="auto"/>
              </w:rPr>
            </w:pPr>
          </w:p>
        </w:tc>
        <w:tc>
          <w:tcPr>
            <w:tcW w:w="3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20" w:type="dxa"/>
            <w:vAlign w:val="bottom"/>
            <w:gridSpan w:val="33"/>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Inc. and Selecta Biosciences, Inc. dated August</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75">
              <w:r>
                <w:rPr>
                  <w:rFonts w:ascii="Arial" w:cs="Arial" w:eastAsia="Arial" w:hAnsi="Arial"/>
                  <w:sz w:val="18"/>
                  <w:szCs w:val="18"/>
                  <w:color w:val="0000FF"/>
                  <w:w w:val="86"/>
                </w:rPr>
                <w:t>6, 2019</w:t>
              </w:r>
            </w:hyperlink>
          </w:p>
        </w:tc>
        <w:tc>
          <w:tcPr>
            <w:tcW w:w="7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60" w:type="dxa"/>
            <w:vAlign w:val="bottom"/>
          </w:tcPr>
          <w:p>
            <w:pPr>
              <w:jc w:val="center"/>
              <w:spacing w:after="0"/>
              <w:rPr>
                <w:rFonts w:ascii="Arial" w:cs="Arial" w:eastAsia="Arial" w:hAnsi="Arial"/>
                <w:sz w:val="18"/>
                <w:szCs w:val="18"/>
                <w:color w:val="0000FF"/>
                <w:w w:val="79"/>
              </w:rPr>
            </w:pPr>
            <w:hyperlink r:id="rId7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24</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Securities Purchase Agreement, dated June 26,</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10.2</w:t>
            </w:r>
          </w:p>
        </w:tc>
        <w:tc>
          <w:tcPr>
            <w:tcW w:w="2740" w:type="dxa"/>
            <w:vAlign w:val="bottom"/>
          </w:tcPr>
          <w:p>
            <w:pPr>
              <w:ind w:left="340"/>
              <w:spacing w:after="0"/>
              <w:rPr>
                <w:sz w:val="20"/>
                <w:szCs w:val="20"/>
                <w:color w:val="auto"/>
              </w:rPr>
            </w:pPr>
            <w:r>
              <w:rPr>
                <w:rFonts w:ascii="Arial" w:cs="Arial" w:eastAsia="Arial" w:hAnsi="Arial"/>
                <w:sz w:val="18"/>
                <w:szCs w:val="18"/>
                <w:color w:val="auto"/>
              </w:rPr>
              <w:t>6/28/2017</w:t>
            </w:r>
          </w:p>
        </w:tc>
      </w:tr>
      <w:tr>
        <w:trPr>
          <w:trHeight w:val="196"/>
        </w:trPr>
        <w:tc>
          <w:tcPr>
            <w:tcW w:w="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2017, by and between the Registrant and</w:t>
              </w:r>
            </w:hyperlink>
          </w:p>
        </w:tc>
        <w:tc>
          <w:tcPr>
            <w:tcW w:w="420" w:type="dxa"/>
            <w:vAlign w:val="bottom"/>
            <w:tcBorders>
              <w:top w:val="single" w:sz="8" w:color="0000FF"/>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Timothy Springer, Ph.D.</w:t>
              </w:r>
            </w:hyperlink>
          </w:p>
        </w:tc>
        <w:tc>
          <w:tcPr>
            <w:tcW w:w="174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66"/>
        </w:trPr>
        <w:tc>
          <w:tcPr>
            <w:tcW w:w="8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FF"/>
                <w:w w:val="79"/>
              </w:rPr>
            </w:pPr>
            <w:hyperlink r:id="rId77">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25</w:t>
              </w:r>
            </w:hyperlink>
          </w:p>
        </w:tc>
        <w:tc>
          <w:tcPr>
            <w:tcW w:w="620" w:type="dxa"/>
            <w:vAlign w:val="bottom"/>
          </w:tcPr>
          <w:p>
            <w:pPr>
              <w:spacing w:after="0"/>
              <w:rPr>
                <w:sz w:val="24"/>
                <w:szCs w:val="24"/>
                <w:color w:val="auto"/>
              </w:rPr>
            </w:pPr>
          </w:p>
        </w:tc>
        <w:tc>
          <w:tcPr>
            <w:tcW w:w="3520" w:type="dxa"/>
            <w:vAlign w:val="bottom"/>
            <w:gridSpan w:val="33"/>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Stock Purchase Agreement, dated August 19,</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10.1</w:t>
            </w:r>
          </w:p>
        </w:tc>
        <w:tc>
          <w:tcPr>
            <w:tcW w:w="2740" w:type="dxa"/>
            <w:vAlign w:val="bottom"/>
          </w:tcPr>
          <w:p>
            <w:pPr>
              <w:ind w:left="340"/>
              <w:spacing w:after="0"/>
              <w:rPr>
                <w:sz w:val="20"/>
                <w:szCs w:val="20"/>
                <w:color w:val="auto"/>
              </w:rPr>
            </w:pPr>
            <w:r>
              <w:rPr>
                <w:rFonts w:ascii="Arial" w:cs="Arial" w:eastAsia="Arial" w:hAnsi="Arial"/>
                <w:sz w:val="18"/>
                <w:szCs w:val="18"/>
                <w:color w:val="auto"/>
              </w:rPr>
              <w:t>8/20/2019</w:t>
            </w:r>
          </w:p>
        </w:tc>
      </w:tr>
      <w:tr>
        <w:trPr>
          <w:trHeight w:val="196"/>
        </w:trPr>
        <w:tc>
          <w:tcPr>
            <w:tcW w:w="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2019, by and among the Registrant and the</w:t>
              </w:r>
            </w:hyperlink>
          </w:p>
        </w:tc>
        <w:tc>
          <w:tcPr>
            <w:tcW w:w="140" w:type="dxa"/>
            <w:vAlign w:val="bottom"/>
            <w:tcBorders>
              <w:top w:val="single" w:sz="8" w:color="0000FF"/>
            </w:tcBorders>
            <w:gridSpan w:val="5"/>
          </w:tcPr>
          <w:p>
            <w:pPr>
              <w:spacing w:after="0"/>
              <w:rPr>
                <w:sz w:val="17"/>
                <w:szCs w:val="17"/>
                <w:color w:val="auto"/>
              </w:rPr>
            </w:pPr>
          </w:p>
        </w:tc>
        <w:tc>
          <w:tcPr>
            <w:tcW w:w="2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Investors named therein</w:t>
              </w:r>
            </w:hyperlink>
          </w:p>
        </w:tc>
        <w:tc>
          <w:tcPr>
            <w:tcW w:w="178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60" w:type="dxa"/>
            <w:vAlign w:val="bottom"/>
          </w:tcPr>
          <w:p>
            <w:pPr>
              <w:jc w:val="center"/>
              <w:spacing w:after="0"/>
              <w:rPr>
                <w:rFonts w:ascii="Arial" w:cs="Arial" w:eastAsia="Arial" w:hAnsi="Arial"/>
                <w:sz w:val="18"/>
                <w:szCs w:val="18"/>
                <w:color w:val="0000FF"/>
                <w:w w:val="79"/>
              </w:rPr>
            </w:pPr>
            <w:hyperlink r:id="rId78">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26</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rPr>
            </w:pPr>
            <w:hyperlink r:id="rId78">
              <w:r>
                <w:rPr>
                  <w:rFonts w:ascii="Arial" w:cs="Arial" w:eastAsia="Arial" w:hAnsi="Arial"/>
                  <w:sz w:val="18"/>
                  <w:szCs w:val="18"/>
                  <w:color w:val="0000FF"/>
                </w:rPr>
                <w:t>Securities Purchase Agreement, dated</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10.1</w:t>
            </w:r>
          </w:p>
        </w:tc>
        <w:tc>
          <w:tcPr>
            <w:tcW w:w="2740" w:type="dxa"/>
            <w:vAlign w:val="bottom"/>
          </w:tcPr>
          <w:p>
            <w:pPr>
              <w:ind w:left="340"/>
              <w:spacing w:after="0"/>
              <w:rPr>
                <w:sz w:val="20"/>
                <w:szCs w:val="20"/>
                <w:color w:val="auto"/>
              </w:rPr>
            </w:pPr>
            <w:r>
              <w:rPr>
                <w:rFonts w:ascii="Arial" w:cs="Arial" w:eastAsia="Arial" w:hAnsi="Arial"/>
                <w:sz w:val="18"/>
                <w:szCs w:val="18"/>
                <w:color w:val="auto"/>
              </w:rPr>
              <w:t>12/26/2019</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2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December 18, 2019, by and among the</w:t>
              </w:r>
            </w:hyperlink>
          </w:p>
        </w:tc>
        <w:tc>
          <w:tcPr>
            <w:tcW w:w="7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0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Registrant and the Investors named therein</w:t>
              </w:r>
            </w:hyperlink>
          </w:p>
        </w:tc>
        <w:tc>
          <w:tcPr>
            <w:tcW w:w="42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60" w:type="dxa"/>
            <w:vAlign w:val="bottom"/>
          </w:tcPr>
          <w:p>
            <w:pPr>
              <w:jc w:val="center"/>
              <w:spacing w:after="0"/>
              <w:rPr>
                <w:rFonts w:ascii="Arial" w:cs="Arial" w:eastAsia="Arial" w:hAnsi="Arial"/>
                <w:sz w:val="18"/>
                <w:szCs w:val="18"/>
                <w:color w:val="0000FF"/>
                <w:w w:val="79"/>
              </w:rPr>
            </w:pPr>
            <w:hyperlink r:id="rId7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27</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rPr>
            </w:pPr>
            <w:hyperlink r:id="rId79">
              <w:r>
                <w:rPr>
                  <w:rFonts w:ascii="Arial" w:cs="Arial" w:eastAsia="Arial" w:hAnsi="Arial"/>
                  <w:sz w:val="18"/>
                  <w:szCs w:val="18"/>
                  <w:color w:val="0000FF"/>
                </w:rPr>
                <w:t>Loan and Security Agreement, dated</w:t>
              </w:r>
            </w:hyperlink>
          </w:p>
        </w:tc>
        <w:tc>
          <w:tcPr>
            <w:tcW w:w="900" w:type="dxa"/>
            <w:vAlign w:val="bottom"/>
          </w:tcPr>
          <w:p>
            <w:pPr>
              <w:ind w:left="100"/>
              <w:spacing w:after="0"/>
              <w:rPr>
                <w:sz w:val="20"/>
                <w:szCs w:val="20"/>
                <w:color w:val="auto"/>
              </w:rPr>
            </w:pPr>
            <w:r>
              <w:rPr>
                <w:rFonts w:ascii="Arial" w:cs="Arial" w:eastAsia="Arial" w:hAnsi="Arial"/>
                <w:sz w:val="18"/>
                <w:szCs w:val="18"/>
                <w:color w:val="auto"/>
              </w:rPr>
              <w:t>8-K</w:t>
            </w:r>
          </w:p>
        </w:tc>
        <w:tc>
          <w:tcPr>
            <w:tcW w:w="142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00" w:type="dxa"/>
            <w:vAlign w:val="bottom"/>
          </w:tcPr>
          <w:p>
            <w:pPr>
              <w:ind w:left="340"/>
              <w:spacing w:after="0"/>
              <w:rPr>
                <w:sz w:val="20"/>
                <w:szCs w:val="20"/>
                <w:color w:val="auto"/>
              </w:rPr>
            </w:pPr>
            <w:r>
              <w:rPr>
                <w:rFonts w:ascii="Arial" w:cs="Arial" w:eastAsia="Arial" w:hAnsi="Arial"/>
                <w:sz w:val="18"/>
                <w:szCs w:val="18"/>
                <w:color w:val="auto"/>
              </w:rPr>
              <w:t>10.1</w:t>
            </w:r>
          </w:p>
        </w:tc>
        <w:tc>
          <w:tcPr>
            <w:tcW w:w="2740" w:type="dxa"/>
            <w:vAlign w:val="bottom"/>
          </w:tcPr>
          <w:p>
            <w:pPr>
              <w:ind w:left="340"/>
              <w:spacing w:after="0"/>
              <w:rPr>
                <w:sz w:val="20"/>
                <w:szCs w:val="20"/>
                <w:color w:val="auto"/>
              </w:rPr>
            </w:pPr>
            <w:r>
              <w:rPr>
                <w:rFonts w:ascii="Arial" w:cs="Arial" w:eastAsia="Arial" w:hAnsi="Arial"/>
                <w:sz w:val="18"/>
                <w:szCs w:val="18"/>
                <w:color w:val="auto"/>
              </w:rPr>
              <w:t>9/13/2017</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September 12, 2017, by and between the</w:t>
              </w:r>
            </w:hyperlink>
          </w:p>
        </w:tc>
        <w:tc>
          <w:tcPr>
            <w:tcW w:w="5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Registrant and Silicon Valley Bank</w:t>
              </w:r>
            </w:hyperlink>
          </w:p>
        </w:tc>
        <w:tc>
          <w:tcPr>
            <w:tcW w:w="9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620" w:type="dxa"/>
            <w:vAlign w:val="bottom"/>
          </w:tcPr>
          <w:p>
            <w:pPr>
              <w:spacing w:after="0"/>
              <w:rPr>
                <w:sz w:val="21"/>
                <w:szCs w:val="21"/>
                <w:color w:val="auto"/>
              </w:rPr>
            </w:pPr>
          </w:p>
        </w:tc>
        <w:tc>
          <w:tcPr>
            <w:tcW w:w="2920" w:type="dxa"/>
            <w:vAlign w:val="bottom"/>
            <w:tcBorders>
              <w:bottom w:val="single" w:sz="8" w:color="0000FF"/>
            </w:tcBorders>
            <w:gridSpan w:val="16"/>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Subsidiaries of Selecta Biosciences, Inc.</w:t>
              </w:r>
            </w:hyperlink>
          </w:p>
        </w:tc>
        <w:tc>
          <w:tcPr>
            <w:tcW w:w="600" w:type="dxa"/>
            <w:vAlign w:val="bottom"/>
            <w:gridSpan w:val="17"/>
          </w:tcPr>
          <w:p>
            <w:pPr>
              <w:spacing w:after="0"/>
              <w:rPr>
                <w:sz w:val="21"/>
                <w:szCs w:val="21"/>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S-1</w:t>
            </w:r>
          </w:p>
        </w:tc>
        <w:tc>
          <w:tcPr>
            <w:tcW w:w="142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00" w:type="dxa"/>
            <w:vAlign w:val="bottom"/>
          </w:tcPr>
          <w:p>
            <w:pPr>
              <w:ind w:left="340"/>
              <w:spacing w:after="0"/>
              <w:rPr>
                <w:sz w:val="20"/>
                <w:szCs w:val="20"/>
                <w:color w:val="auto"/>
              </w:rPr>
            </w:pPr>
            <w:r>
              <w:rPr>
                <w:rFonts w:ascii="Arial" w:cs="Arial" w:eastAsia="Arial" w:hAnsi="Arial"/>
                <w:sz w:val="18"/>
                <w:szCs w:val="18"/>
                <w:color w:val="auto"/>
              </w:rPr>
              <w:t>21.1</w:t>
            </w:r>
          </w:p>
        </w:tc>
        <w:tc>
          <w:tcPr>
            <w:tcW w:w="2740" w:type="dxa"/>
            <w:vAlign w:val="bottom"/>
          </w:tcPr>
          <w:p>
            <w:pPr>
              <w:ind w:left="340"/>
              <w:spacing w:after="0"/>
              <w:rPr>
                <w:sz w:val="20"/>
                <w:szCs w:val="20"/>
                <w:color w:val="auto"/>
              </w:rPr>
            </w:pPr>
            <w:r>
              <w:rPr>
                <w:rFonts w:ascii="Arial" w:cs="Arial" w:eastAsia="Arial" w:hAnsi="Arial"/>
                <w:sz w:val="18"/>
                <w:szCs w:val="18"/>
                <w:color w:val="auto"/>
              </w:rPr>
              <w:t>5/24/2016</w:t>
            </w:r>
          </w:p>
        </w:tc>
      </w:tr>
      <w:tr>
        <w:trPr>
          <w:trHeight w:val="250"/>
        </w:trPr>
        <w:tc>
          <w:tcPr>
            <w:tcW w:w="80" w:type="dxa"/>
            <w:vAlign w:val="bottom"/>
          </w:tcPr>
          <w:p>
            <w:pPr>
              <w:spacing w:after="0"/>
              <w:rPr>
                <w:sz w:val="21"/>
                <w:szCs w:val="21"/>
                <w:color w:val="auto"/>
              </w:rPr>
            </w:pPr>
          </w:p>
        </w:tc>
        <w:tc>
          <w:tcPr>
            <w:tcW w:w="360" w:type="dxa"/>
            <w:vAlign w:val="bottom"/>
          </w:tcPr>
          <w:p>
            <w:pPr>
              <w:jc w:val="center"/>
              <w:spacing w:after="0"/>
              <w:rPr>
                <w:rFonts w:ascii="Arial" w:cs="Arial" w:eastAsia="Arial" w:hAnsi="Arial"/>
                <w:sz w:val="18"/>
                <w:szCs w:val="18"/>
                <w:color w:val="0000FF"/>
                <w:w w:val="91"/>
              </w:rPr>
            </w:pPr>
            <w:hyperlink w:anchor="page141">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w w:val="98"/>
              </w:rPr>
            </w:pPr>
            <w:hyperlink w:anchor="page141">
              <w:r>
                <w:rPr>
                  <w:rFonts w:ascii="Arial" w:cs="Arial" w:eastAsia="Arial" w:hAnsi="Arial"/>
                  <w:sz w:val="18"/>
                  <w:szCs w:val="18"/>
                  <w:color w:val="0000FF"/>
                  <w:w w:val="98"/>
                </w:rPr>
                <w:t>Consent of Ernst &amp; Young LLP, Independent</w:t>
              </w:r>
            </w:hyperlink>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40" w:type="dxa"/>
            <w:vAlign w:val="bottom"/>
          </w:tcPr>
          <w:p>
            <w:pPr>
              <w:ind w:left="2660"/>
              <w:spacing w:after="0"/>
              <w:rPr>
                <w:sz w:val="20"/>
                <w:szCs w:val="20"/>
                <w:color w:val="auto"/>
              </w:rPr>
            </w:pPr>
            <w:r>
              <w:rPr>
                <w:rFonts w:ascii="Arial" w:cs="Arial" w:eastAsia="Arial" w:hAnsi="Arial"/>
                <w:sz w:val="18"/>
                <w:szCs w:val="18"/>
                <w:color w:val="auto"/>
                <w:w w:val="84"/>
              </w:rPr>
              <w:t>*</w:t>
            </w:r>
          </w:p>
        </w:tc>
      </w:tr>
      <w:tr>
        <w:trPr>
          <w:trHeight w:val="196"/>
        </w:trPr>
        <w:tc>
          <w:tcPr>
            <w:tcW w:w="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2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w:anchor="page141">
              <w:r>
                <w:rPr>
                  <w:rFonts w:ascii="Arial" w:cs="Arial" w:eastAsia="Arial" w:hAnsi="Arial"/>
                  <w:sz w:val="18"/>
                  <w:szCs w:val="18"/>
                  <w:color w:val="0000FF"/>
                </w:rPr>
                <w:t>Registered Public Accounting Firm</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60" w:type="dxa"/>
            <w:vAlign w:val="bottom"/>
          </w:tcPr>
          <w:p>
            <w:pPr>
              <w:jc w:val="cente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620" w:type="dxa"/>
            <w:vAlign w:val="bottom"/>
          </w:tcPr>
          <w:p>
            <w:pPr>
              <w:spacing w:after="0"/>
              <w:rPr>
                <w:sz w:val="21"/>
                <w:szCs w:val="21"/>
                <w:color w:val="auto"/>
              </w:rPr>
            </w:pPr>
          </w:p>
        </w:tc>
        <w:tc>
          <w:tcPr>
            <w:tcW w:w="3520" w:type="dxa"/>
            <w:vAlign w:val="bottom"/>
            <w:gridSpan w:val="33"/>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Rule 13a-14(a) / 15d-14(a) Certification of</w:t>
              </w:r>
            </w:hyperlink>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40" w:type="dxa"/>
            <w:vAlign w:val="bottom"/>
          </w:tcPr>
          <w:p>
            <w:pPr>
              <w:ind w:left="2660"/>
              <w:spacing w:after="0"/>
              <w:rPr>
                <w:sz w:val="20"/>
                <w:szCs w:val="20"/>
                <w:color w:val="auto"/>
              </w:rPr>
            </w:pPr>
            <w:r>
              <w:rPr>
                <w:rFonts w:ascii="Arial" w:cs="Arial" w:eastAsia="Arial" w:hAnsi="Arial"/>
                <w:sz w:val="18"/>
                <w:szCs w:val="18"/>
                <w:color w:val="auto"/>
                <w:w w:val="84"/>
              </w:rPr>
              <w:t>*</w:t>
            </w:r>
          </w:p>
        </w:tc>
      </w:tr>
      <w:tr>
        <w:trPr>
          <w:trHeight w:val="196"/>
        </w:trPr>
        <w:tc>
          <w:tcPr>
            <w:tcW w:w="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0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142">
              <w:r>
                <w:rPr>
                  <w:rFonts w:ascii="Arial" w:cs="Arial" w:eastAsia="Arial" w:hAnsi="Arial"/>
                  <w:sz w:val="18"/>
                  <w:szCs w:val="18"/>
                  <w:color w:val="0000FF"/>
                </w:rPr>
                <w:t>Chief Executive Officer</w:t>
              </w:r>
            </w:hyperlink>
          </w:p>
        </w:tc>
        <w:tc>
          <w:tcPr>
            <w:tcW w:w="4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87"/>
        </w:trPr>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93</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0740"/>
          </w:cols>
          <w:pgMar w:left="760" w:top="810" w:right="3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gridSpan w:val="2"/>
          </w:tcPr>
          <w:p>
            <w:pPr>
              <w:jc w:val="center"/>
              <w:ind w:right="660"/>
              <w:spacing w:after="0"/>
              <w:rPr>
                <w:rFonts w:ascii="Arial" w:cs="Arial" w:eastAsia="Arial" w:hAnsi="Arial"/>
                <w:sz w:val="18"/>
                <w:szCs w:val="18"/>
                <w:color w:val="0000FF"/>
                <w:w w:val="91"/>
              </w:rPr>
            </w:pPr>
            <w:hyperlink w:anchor="page14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6420" w:type="dxa"/>
            <w:vAlign w:val="bottom"/>
            <w:gridSpan w:val="6"/>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Rule 13a-14(a) / 15d-14(a) Certification of</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144">
              <w:r>
                <w:rPr>
                  <w:rFonts w:ascii="Arial" w:cs="Arial" w:eastAsia="Arial" w:hAnsi="Arial"/>
                  <w:sz w:val="18"/>
                  <w:szCs w:val="18"/>
                  <w:color w:val="0000FF"/>
                </w:rPr>
                <w:t>Chief Financial Officer</w:t>
              </w:r>
            </w:hyperlink>
          </w:p>
        </w:tc>
        <w:tc>
          <w:tcPr>
            <w:tcW w:w="3340" w:type="dxa"/>
            <w:vAlign w:val="bottom"/>
            <w:gridSpan w:val="3"/>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jc w:val="center"/>
              <w:ind w:right="660"/>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6420" w:type="dxa"/>
            <w:vAlign w:val="bottom"/>
            <w:gridSpan w:val="6"/>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Section 1350 Certification of Chief Executive</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33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145">
              <w:r>
                <w:rPr>
                  <w:rFonts w:ascii="Arial" w:cs="Arial" w:eastAsia="Arial" w:hAnsi="Arial"/>
                  <w:sz w:val="18"/>
                  <w:szCs w:val="18"/>
                  <w:color w:val="0000FF"/>
                </w:rPr>
                <w:t>Officer</w:t>
              </w:r>
            </w:hyperlink>
          </w:p>
        </w:tc>
        <w:tc>
          <w:tcPr>
            <w:tcW w:w="312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jc w:val="center"/>
              <w:ind w:right="660"/>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6420" w:type="dxa"/>
            <w:vAlign w:val="bottom"/>
            <w:gridSpan w:val="6"/>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Section 1350 Certification of Chief Financial</w:t>
              </w:r>
            </w:hyperlink>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32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Officer</w:t>
              </w:r>
            </w:hyperlink>
          </w:p>
        </w:tc>
        <w:tc>
          <w:tcPr>
            <w:tcW w:w="3160" w:type="dxa"/>
            <w:vAlign w:val="bottom"/>
            <w:gridSpan w:val="2"/>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76"/>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101.INS</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Instance Document - the Instance</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Document does not appear in the interactive</w:t>
            </w:r>
          </w:p>
        </w:tc>
        <w:tc>
          <w:tcPr>
            <w:tcW w:w="32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data file because its XBRL tags are embedded</w:t>
            </w:r>
          </w:p>
        </w:tc>
        <w:tc>
          <w:tcPr>
            <w:tcW w:w="326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3260" w:type="dxa"/>
            <w:vAlign w:val="bottom"/>
          </w:tcPr>
          <w:p>
            <w:pPr>
              <w:spacing w:after="0"/>
              <w:rPr>
                <w:sz w:val="20"/>
                <w:szCs w:val="20"/>
                <w:color w:val="auto"/>
              </w:rPr>
            </w:pPr>
          </w:p>
        </w:tc>
      </w:tr>
      <w:tr>
        <w:trPr>
          <w:trHeight w:val="256"/>
        </w:trPr>
        <w:tc>
          <w:tcPr>
            <w:tcW w:w="11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101.SCH</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3260" w:type="dxa"/>
            <w:vAlign w:val="bottom"/>
          </w:tcPr>
          <w:p>
            <w:pPr>
              <w:spacing w:after="0"/>
              <w:rPr>
                <w:sz w:val="20"/>
                <w:szCs w:val="20"/>
                <w:color w:val="auto"/>
              </w:rPr>
            </w:pPr>
          </w:p>
        </w:tc>
      </w:tr>
      <w:tr>
        <w:trPr>
          <w:trHeight w:val="256"/>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101.CAL</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r>
        <w:trPr>
          <w:trHeight w:val="256"/>
        </w:trPr>
        <w:tc>
          <w:tcPr>
            <w:tcW w:w="116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101.DEF</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r>
        <w:trPr>
          <w:trHeight w:val="256"/>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101.LAB</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3260" w:type="dxa"/>
            <w:vAlign w:val="bottom"/>
          </w:tcPr>
          <w:p>
            <w:pPr>
              <w:spacing w:after="0"/>
              <w:rPr>
                <w:sz w:val="20"/>
                <w:szCs w:val="20"/>
                <w:color w:val="auto"/>
              </w:rPr>
            </w:pPr>
          </w:p>
        </w:tc>
      </w:tr>
      <w:tr>
        <w:trPr>
          <w:trHeight w:val="256"/>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101.PRE</w:t>
            </w: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Presentation Linkbase Document</w:t>
            </w:r>
          </w:p>
        </w:tc>
        <w:tc>
          <w:tcPr>
            <w:tcW w:w="3260" w:type="dxa"/>
            <w:vAlign w:val="bottom"/>
          </w:tcPr>
          <w:p>
            <w:pPr>
              <w:spacing w:after="0"/>
              <w:rPr>
                <w:sz w:val="20"/>
                <w:szCs w:val="20"/>
                <w:color w:val="auto"/>
              </w:rPr>
            </w:pPr>
          </w:p>
        </w:tc>
      </w:tr>
      <w:tr>
        <w:trPr>
          <w:trHeight w:val="256"/>
        </w:trPr>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104</w:t>
            </w:r>
          </w:p>
        </w:tc>
        <w:tc>
          <w:tcPr>
            <w:tcW w:w="660" w:type="dxa"/>
            <w:vAlign w:val="bottom"/>
          </w:tcPr>
          <w:p>
            <w:pPr>
              <w:spacing w:after="0"/>
              <w:rPr>
                <w:sz w:val="22"/>
                <w:szCs w:val="22"/>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Inline XBRL and contained in Exhibit 101)</w:t>
            </w:r>
          </w:p>
        </w:tc>
        <w:tc>
          <w:tcPr>
            <w:tcW w:w="326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ind w:left="600" w:hanging="446"/>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600" w:hanging="446"/>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9" w:lineRule="exact"/>
        <w:rPr>
          <w:rFonts w:ascii="Arial" w:cs="Arial" w:eastAsia="Arial" w:hAnsi="Arial"/>
          <w:sz w:val="18"/>
          <w:szCs w:val="18"/>
          <w:color w:val="auto"/>
        </w:rPr>
      </w:pPr>
    </w:p>
    <w:p>
      <w:pPr>
        <w:ind w:left="600" w:hanging="446"/>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79" w:lineRule="exact"/>
        <w:rPr>
          <w:sz w:val="20"/>
          <w:szCs w:val="20"/>
          <w:color w:val="auto"/>
        </w:rPr>
      </w:pPr>
    </w:p>
    <w:p>
      <w:pPr>
        <w:ind w:left="600" w:hanging="446"/>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79" w:lineRule="exact"/>
        <w:rPr>
          <w:sz w:val="20"/>
          <w:szCs w:val="20"/>
          <w:color w:val="auto"/>
        </w:rPr>
      </w:pPr>
    </w:p>
    <w:p>
      <w:pPr>
        <w:ind w:left="600" w:hanging="446"/>
        <w:spacing w:after="0" w:line="182" w:lineRule="auto"/>
        <w:tabs>
          <w:tab w:leader="none" w:pos="600" w:val="left"/>
        </w:tabs>
        <w:numPr>
          <w:ilvl w:val="0"/>
          <w:numId w:val="58"/>
        </w:numPr>
        <w:rPr>
          <w:rFonts w:ascii="Arial" w:cs="Arial" w:eastAsia="Arial" w:hAnsi="Arial"/>
          <w:sz w:val="34"/>
          <w:szCs w:val="34"/>
          <w:color w:val="auto"/>
          <w:vertAlign w:val="subscript"/>
        </w:rPr>
      </w:pPr>
      <w:r>
        <w:rPr>
          <w:rFonts w:ascii="Arial" w:cs="Arial" w:eastAsia="Arial" w:hAnsi="Arial"/>
          <w:sz w:val="17"/>
          <w:szCs w:val="17"/>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60"/>
          </w:cols>
          <w:pgMar w:left="660" w:top="810"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139"/>
          </w:cols>
          <w:pgMar w:left="320" w:top="661"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00" w:type="dxa"/>
            <w:vAlign w:val="bottom"/>
            <w:gridSpan w:val="2"/>
          </w:tcPr>
          <w:p>
            <w:pPr>
              <w:ind w:left="280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380" w:type="dxa"/>
            <w:vAlign w:val="bottom"/>
          </w:tcPr>
          <w:p>
            <w:pPr>
              <w:spacing w:after="0"/>
              <w:rPr>
                <w:sz w:val="20"/>
                <w:szCs w:val="20"/>
                <w:color w:val="auto"/>
              </w:rPr>
            </w:pPr>
            <w:r>
              <w:rPr>
                <w:rFonts w:ascii="Arial" w:cs="Arial" w:eastAsia="Arial" w:hAnsi="Arial"/>
                <w:sz w:val="18"/>
                <w:szCs w:val="18"/>
                <w:color w:val="auto"/>
              </w:rPr>
              <w:t>Date: March 12, 2020</w:t>
            </w:r>
          </w:p>
        </w:tc>
        <w:tc>
          <w:tcPr>
            <w:tcW w:w="3220" w:type="dxa"/>
            <w:vAlign w:val="bottom"/>
          </w:tcPr>
          <w:p>
            <w:pPr>
              <w:ind w:left="280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7"/>
        </w:trPr>
        <w:tc>
          <w:tcPr>
            <w:tcW w:w="43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bl>
    <w:p>
      <w:pPr>
        <w:spacing w:after="0" w:line="40"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9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2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President and Chief Executive Officer, and 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2"/>
              </w:rPr>
              <w:t>/s/ Bradford D. Dahms</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6"/>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2"/>
              </w:rPr>
              <w:t>Bradford D. Dahms</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/s/ Carrie S. Cox</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Carrie S. Cox</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/s/ Timothy C. Barabe</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2"/>
              </w:rPr>
              <w:t>/s/ Scott D. Myers</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3"/>
              </w:rPr>
              <w:t>Scott D. Myers</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2"/>
              </w:rPr>
              <w:t>/s/ Amir Nashat, Ph.D</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Timothy Springer, Ph.D.</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2680" w:type="dxa"/>
            <w:vAlign w:val="bottom"/>
            <w:gridSpan w:val="3"/>
          </w:tcPr>
          <w:p>
            <w:pPr>
              <w:jc w:val="center"/>
              <w:ind w:left="1450"/>
              <w:spacing w:after="0"/>
              <w:rPr>
                <w:sz w:val="20"/>
                <w:szCs w:val="20"/>
                <w:color w:val="auto"/>
              </w:rPr>
            </w:pPr>
            <w:r>
              <w:rPr>
                <w:rFonts w:ascii="Arial" w:cs="Arial" w:eastAsia="Arial" w:hAnsi="Arial"/>
                <w:sz w:val="18"/>
                <w:szCs w:val="18"/>
                <w:color w:val="auto"/>
                <w:w w:val="91"/>
              </w:rPr>
              <w:t>March 12, 2020</w:t>
            </w:r>
          </w:p>
        </w:tc>
      </w:tr>
      <w:tr>
        <w:trPr>
          <w:trHeight w:val="27"/>
        </w:trPr>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6"/>
        </w:trPr>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67"/>
        </w:trPr>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20" w:type="dxa"/>
            <w:vAlign w:val="bottom"/>
          </w:tcPr>
          <w:p>
            <w:pPr>
              <w:ind w:left="294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8" w:name="page99"/>
    <w:bookmarkEnd w:id="98"/>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Selecta Biosciences,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Selecta Biosciences, Inc. and subsidiaries (the Company) as of December 31, 2019 and 2018, the related consolidated statements of operations and comprehensive loss, changes in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recurring losses from operations and insufficient cash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As discussed in Note 12 to the consolidated financial statements, the Company changed its method of accounting for revenue in 2018 due to the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the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 xml:space="preserve">As discussed in Note 8 to the consolidated financial statements, the Company changed its method of accounting for leases in 2019 due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the related amendments.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77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20"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23495</wp:posOffset>
            </wp:positionV>
            <wp:extent cx="1637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3" w:lineRule="exact"/>
        <w:rPr>
          <w:sz w:val="20"/>
          <w:szCs w:val="20"/>
          <w:color w:val="auto"/>
        </w:rPr>
      </w:pPr>
    </w:p>
    <w:p>
      <w:pPr>
        <w:ind w:left="9140"/>
        <w:spacing w:after="0"/>
        <w:tabs>
          <w:tab w:leader="none" w:pos="10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23495</wp:posOffset>
            </wp:positionV>
            <wp:extent cx="1637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shd w:val="clear" w:color="auto" w:fill="CCEEFF"/>
        </w:rPr>
        <w:t>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Cash and cash equivalents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89,893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215"/>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Long-term restricted cash</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99,569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Loan payable</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18,905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21,385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Deferred revenue</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Warrant liabilities</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41,549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3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91,172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49,900</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17)</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w w:val="92"/>
              </w:rPr>
              <w:t>Preferred stock, $0.0001 par value; 10,000,000 shares authorized; no shares issued and outstanding at December 31, 2019 and December 31, 2018,</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620" w:type="dxa"/>
            <w:vAlign w:val="bottom"/>
          </w:tcPr>
          <w:p>
            <w:pPr>
              <w:spacing w:after="0" w:line="157" w:lineRule="exact"/>
              <w:rPr>
                <w:sz w:val="20"/>
                <w:szCs w:val="20"/>
                <w:color w:val="auto"/>
              </w:rPr>
            </w:pPr>
            <w:r>
              <w:rPr>
                <w:rFonts w:ascii="Arial" w:cs="Arial" w:eastAsia="Arial" w:hAnsi="Arial"/>
                <w:sz w:val="14"/>
                <w:szCs w:val="14"/>
                <w:color w:val="auto"/>
                <w:w w:val="94"/>
              </w:rPr>
              <w:t>Common stock, $0.0001 par value; 200,000,000 shares authorized; 86,325,547 and 22,471,776 shares issued and outstanding as of December 31,</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2019 and December 31, 2018, respectively</w:t>
            </w:r>
          </w:p>
        </w:tc>
        <w:tc>
          <w:tcPr>
            <w:tcW w:w="36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348,664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279,539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Accumulated deficit</w:t>
            </w:r>
          </w:p>
        </w:tc>
        <w:tc>
          <w:tcPr>
            <w:tcW w:w="3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(335,753)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(280,403)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equity (deficit)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 (deficit)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99,569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90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6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6,677</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42,743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47,687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45,165</w:t>
            </w:r>
          </w:p>
        </w:tc>
        <w:tc>
          <w:tcPr>
            <w:tcW w:w="0" w:type="dxa"/>
            <w:vAlign w:val="bottom"/>
          </w:tcPr>
          <w:p>
            <w:pPr>
              <w:spacing w:after="0"/>
              <w:rPr>
                <w:sz w:val="1"/>
                <w:szCs w:val="1"/>
                <w:color w:val="auto"/>
              </w:rPr>
            </w:pPr>
          </w:p>
        </w:tc>
      </w:tr>
      <w:tr>
        <w:trPr>
          <w:trHeight w:val="276"/>
        </w:trPr>
        <w:tc>
          <w:tcPr>
            <w:tcW w:w="40" w:type="dxa"/>
            <w:vAlign w:val="bottom"/>
            <w:tcBorders>
              <w:bottom w:val="single" w:sz="8" w:color="CCEEFF"/>
            </w:tcBorders>
            <w:shd w:val="clear" w:color="auto" w:fill="CCEEFF"/>
          </w:tcPr>
          <w:p>
            <w:pPr>
              <w:spacing w:after="0"/>
              <w:rPr>
                <w:sz w:val="24"/>
                <w:szCs w:val="24"/>
                <w:color w:val="auto"/>
              </w:rPr>
            </w:pPr>
          </w:p>
        </w:tc>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General and administrative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16,389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18,238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18,826</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59,132</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65,925</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63,991</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(52,455)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(63,784)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on extinguishment of debt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gain on securities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(55,316)</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(65,473)</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(65,223)</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66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Net loss per share: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0" w:type="dxa"/>
            <w:vAlign w:val="bottom"/>
            <w:shd w:val="clear" w:color="auto" w:fill="CCEEFF"/>
          </w:tcPr>
          <w:p>
            <w:pPr>
              <w:spacing w:after="0"/>
              <w:rPr>
                <w:sz w:val="22"/>
                <w:szCs w:val="22"/>
                <w:color w:val="auto"/>
              </w:rPr>
            </w:pPr>
          </w:p>
        </w:tc>
        <w:tc>
          <w:tcPr>
            <w:tcW w:w="6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 and 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66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45,548,511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22,389,286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20,425,050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909"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3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23"/>
                <w:szCs w:val="23"/>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Stockholders’</w:t>
            </w:r>
          </w:p>
        </w:tc>
      </w:tr>
      <w:tr>
        <w:trPr>
          <w:trHeight w:val="276"/>
        </w:trPr>
        <w:tc>
          <w:tcPr>
            <w:tcW w:w="3040" w:type="dxa"/>
            <w:vAlign w:val="bottom"/>
          </w:tcPr>
          <w:p>
            <w:pPr>
              <w:spacing w:after="0"/>
              <w:rPr>
                <w:sz w:val="24"/>
                <w:szCs w:val="24"/>
                <w:color w:val="auto"/>
              </w:rPr>
            </w:pPr>
          </w:p>
        </w:tc>
        <w:tc>
          <w:tcPr>
            <w:tcW w:w="20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line="161" w:lineRule="exact"/>
              <w:rPr>
                <w:sz w:val="20"/>
                <w:szCs w:val="20"/>
                <w:color w:val="auto"/>
              </w:rPr>
            </w:pPr>
            <w:r>
              <w:rPr>
                <w:rFonts w:ascii="Arial" w:cs="Arial" w:eastAsia="Arial" w:hAnsi="Arial"/>
                <w:sz w:val="14"/>
                <w:szCs w:val="14"/>
                <w:b w:val="1"/>
                <w:bCs w:val="1"/>
                <w:color w:val="auto"/>
                <w:w w:val="96"/>
              </w:rPr>
              <w:t>paid</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in</w:t>
            </w: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24"/>
                <w:szCs w:val="2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r>
      <w:tr>
        <w:trPr>
          <w:trHeight w:val="250"/>
        </w:trPr>
        <w:tc>
          <w:tcPr>
            <w:tcW w:w="3040" w:type="dxa"/>
            <w:vAlign w:val="bottom"/>
          </w:tcPr>
          <w:p>
            <w:pPr>
              <w:spacing w:after="0"/>
              <w:rPr>
                <w:sz w:val="21"/>
                <w:szCs w:val="21"/>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21"/>
                <w:szCs w:val="2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21"/>
                <w:szCs w:val="21"/>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(Deficit)</w:t>
            </w:r>
          </w:p>
        </w:tc>
      </w:tr>
      <w:tr>
        <w:trPr>
          <w:trHeight w:val="256"/>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18,438,742</w:t>
            </w:r>
          </w:p>
        </w:tc>
        <w:tc>
          <w:tcPr>
            <w:tcW w:w="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211,125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(151,576)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54,957</w:t>
            </w:r>
          </w:p>
        </w:tc>
      </w:tr>
      <w:tr>
        <w:trPr>
          <w:trHeight w:val="157"/>
        </w:trPr>
        <w:tc>
          <w:tcPr>
            <w:tcW w:w="3040" w:type="dxa"/>
            <w:vAlign w:val="bottom"/>
          </w:tcPr>
          <w:p>
            <w:pPr>
              <w:ind w:left="40"/>
              <w:spacing w:after="0" w:line="157" w:lineRule="exact"/>
              <w:rPr>
                <w:sz w:val="20"/>
                <w:szCs w:val="20"/>
                <w:color w:val="auto"/>
              </w:rPr>
            </w:pPr>
            <w:r>
              <w:rPr>
                <w:rFonts w:ascii="Arial" w:cs="Arial" w:eastAsia="Arial" w:hAnsi="Arial"/>
                <w:sz w:val="14"/>
                <w:szCs w:val="14"/>
                <w:color w:val="auto"/>
                <w:w w:val="95"/>
              </w:rPr>
              <w:t>Issuance of common stock under Employee Stock</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3040" w:type="dxa"/>
            <w:vAlign w:val="bottom"/>
          </w:tcPr>
          <w:p>
            <w:pPr>
              <w:ind w:left="40"/>
              <w:spacing w:after="0"/>
              <w:rPr>
                <w:sz w:val="20"/>
                <w:szCs w:val="20"/>
                <w:color w:val="auto"/>
              </w:rPr>
            </w:pPr>
            <w:r>
              <w:rPr>
                <w:rFonts w:ascii="Arial" w:cs="Arial" w:eastAsia="Arial" w:hAnsi="Arial"/>
                <w:sz w:val="14"/>
                <w:szCs w:val="14"/>
                <w:color w:val="auto"/>
              </w:rPr>
              <w:t>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16,263</w:t>
            </w:r>
          </w:p>
        </w:tc>
        <w:tc>
          <w:tcPr>
            <w:tcW w:w="24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Issuance of common stock upon exercise of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269,842</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w:t>
            </w:r>
          </w:p>
        </w:tc>
      </w:tr>
      <w:tr>
        <w:trPr>
          <w:trHeight w:val="264"/>
        </w:trPr>
        <w:tc>
          <w:tcPr>
            <w:tcW w:w="304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4,080</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license agreement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529,616</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r>
      <w:tr>
        <w:trPr>
          <w:trHeight w:val="157"/>
        </w:trPr>
        <w:tc>
          <w:tcPr>
            <w:tcW w:w="304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through private</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3040" w:type="dxa"/>
            <w:vAlign w:val="bottom"/>
          </w:tcPr>
          <w:p>
            <w:pPr>
              <w:ind w:left="40"/>
              <w:spacing w:after="0"/>
              <w:rPr>
                <w:sz w:val="20"/>
                <w:szCs w:val="20"/>
                <w:color w:val="auto"/>
              </w:rPr>
            </w:pPr>
            <w:r>
              <w:rPr>
                <w:rFonts w:ascii="Arial" w:cs="Arial" w:eastAsia="Arial" w:hAnsi="Arial"/>
                <w:sz w:val="14"/>
                <w:szCs w:val="14"/>
                <w:color w:val="auto"/>
              </w:rPr>
              <w:t>placement,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3,088,791</w:t>
            </w:r>
          </w:p>
        </w:tc>
        <w:tc>
          <w:tcPr>
            <w:tcW w:w="2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47,113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47,115</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Unrealized gains on securities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(65,321)</w:t>
            </w:r>
          </w:p>
        </w:tc>
      </w:tr>
      <w:tr>
        <w:trPr>
          <w:trHeight w:val="283"/>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22,343,254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273,128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(216,897)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51,814</w:t>
            </w:r>
          </w:p>
        </w:tc>
      </w:tr>
      <w:tr>
        <w:trPr>
          <w:trHeight w:val="223"/>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Adoption of new accounting principle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1,830</w:t>
            </w:r>
          </w:p>
        </w:tc>
      </w:tr>
      <w:tr>
        <w:trPr>
          <w:trHeight w:val="157"/>
        </w:trPr>
        <w:tc>
          <w:tcPr>
            <w:tcW w:w="3040" w:type="dxa"/>
            <w:vAlign w:val="bottom"/>
          </w:tcPr>
          <w:p>
            <w:pPr>
              <w:ind w:left="40"/>
              <w:spacing w:after="0" w:line="157" w:lineRule="exact"/>
              <w:rPr>
                <w:sz w:val="20"/>
                <w:szCs w:val="20"/>
                <w:color w:val="auto"/>
              </w:rPr>
            </w:pPr>
            <w:r>
              <w:rPr>
                <w:rFonts w:ascii="Arial" w:cs="Arial" w:eastAsia="Arial" w:hAnsi="Arial"/>
                <w:sz w:val="14"/>
                <w:szCs w:val="14"/>
                <w:color w:val="auto"/>
                <w:w w:val="95"/>
              </w:rPr>
              <w:t>Issuance of common stock under Employee Stock</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3040" w:type="dxa"/>
            <w:vAlign w:val="bottom"/>
          </w:tcPr>
          <w:p>
            <w:pPr>
              <w:ind w:left="40"/>
              <w:spacing w:after="0"/>
              <w:rPr>
                <w:sz w:val="20"/>
                <w:szCs w:val="20"/>
                <w:color w:val="auto"/>
              </w:rPr>
            </w:pPr>
            <w:r>
              <w:rPr>
                <w:rFonts w:ascii="Arial" w:cs="Arial" w:eastAsia="Arial" w:hAnsi="Arial"/>
                <w:sz w:val="14"/>
                <w:szCs w:val="14"/>
                <w:color w:val="auto"/>
              </w:rPr>
              <w:t>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24,738</w:t>
            </w:r>
          </w:p>
        </w:tc>
        <w:tc>
          <w:tcPr>
            <w:tcW w:w="24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Issuance of common stock upon exercise of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103,784</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r>
      <w:tr>
        <w:trPr>
          <w:trHeight w:val="264"/>
        </w:trPr>
        <w:tc>
          <w:tcPr>
            <w:tcW w:w="304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5,714</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rPr>
              <w:t>Unrealized gains on securities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(65,336)</w:t>
            </w:r>
          </w:p>
        </w:tc>
      </w:tr>
      <w:tr>
        <w:trPr>
          <w:trHeight w:val="283"/>
        </w:trPr>
        <w:tc>
          <w:tcPr>
            <w:tcW w:w="3040" w:type="dxa"/>
            <w:vAlign w:val="bottom"/>
          </w:tcPr>
          <w:p>
            <w:pPr>
              <w:ind w:left="40"/>
              <w:spacing w:after="0"/>
              <w:rPr>
                <w:sz w:val="20"/>
                <w:szCs w:val="20"/>
                <w:color w:val="auto"/>
              </w:rPr>
            </w:pPr>
            <w:r>
              <w:rPr>
                <w:rFonts w:ascii="Arial" w:cs="Arial" w:eastAsia="Arial" w:hAnsi="Arial"/>
                <w:sz w:val="14"/>
                <w:szCs w:val="14"/>
                <w:color w:val="auto"/>
              </w:rPr>
              <w:t>Balance at December 31, 2018</w:t>
            </w:r>
          </w:p>
        </w:tc>
        <w:tc>
          <w:tcPr>
            <w:tcW w:w="980" w:type="dxa"/>
            <w:vAlign w:val="bottom"/>
          </w:tcPr>
          <w:p>
            <w:pPr>
              <w:jc w:val="right"/>
              <w:spacing w:after="0"/>
              <w:rPr>
                <w:sz w:val="20"/>
                <w:szCs w:val="20"/>
                <w:color w:val="auto"/>
              </w:rPr>
            </w:pPr>
            <w:r>
              <w:rPr>
                <w:rFonts w:ascii="Arial" w:cs="Arial" w:eastAsia="Arial" w:hAnsi="Arial"/>
                <w:sz w:val="14"/>
                <w:szCs w:val="14"/>
                <w:color w:val="auto"/>
              </w:rPr>
              <w:t>22,471,776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279,539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(280,403)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(5,418)</w:t>
            </w:r>
          </w:p>
        </w:tc>
      </w:tr>
      <w:tr>
        <w:trPr>
          <w:trHeight w:val="110"/>
        </w:trPr>
        <w:tc>
          <w:tcPr>
            <w:tcW w:w="304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Issuance of common stock under Employee Stock</w:t>
            </w:r>
          </w:p>
        </w:tc>
        <w:tc>
          <w:tcPr>
            <w:tcW w:w="9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r>
      <w:tr>
        <w:trPr>
          <w:trHeight w:val="194"/>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w w:val="92"/>
              </w:rPr>
              <w:t>Issuance of common stock upon exercise of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125,600</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vested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040" w:type="dxa"/>
            <w:vAlign w:val="bottom"/>
          </w:tcPr>
          <w:p>
            <w:pPr>
              <w:ind w:left="40"/>
              <w:spacing w:after="0"/>
              <w:rPr>
                <w:sz w:val="20"/>
                <w:szCs w:val="20"/>
                <w:color w:val="auto"/>
              </w:rPr>
            </w:pPr>
            <w:r>
              <w:rPr>
                <w:rFonts w:ascii="Arial" w:cs="Arial" w:eastAsia="Arial" w:hAnsi="Arial"/>
                <w:sz w:val="14"/>
                <w:szCs w:val="14"/>
                <w:color w:val="auto"/>
                <w:w w:val="97"/>
              </w:rPr>
              <w:t>Issuance of common stock,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22,188,706</w:t>
            </w:r>
          </w:p>
        </w:tc>
        <w:tc>
          <w:tcPr>
            <w:tcW w:w="24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30,940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30,942</w:t>
            </w:r>
          </w:p>
        </w:tc>
      </w:tr>
      <w:tr>
        <w:trPr>
          <w:trHeight w:val="163"/>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common stock through at-the-market</w:t>
            </w: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4"/>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offering, net of issuance costs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615,453</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r>
      <w:tr>
        <w:trPr>
          <w:trHeight w:val="157"/>
        </w:trPr>
        <w:tc>
          <w:tcPr>
            <w:tcW w:w="304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through private</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8"/>
        </w:trPr>
        <w:tc>
          <w:tcPr>
            <w:tcW w:w="3040" w:type="dxa"/>
            <w:vAlign w:val="bottom"/>
          </w:tcPr>
          <w:p>
            <w:pPr>
              <w:ind w:left="40"/>
              <w:spacing w:after="0"/>
              <w:rPr>
                <w:sz w:val="20"/>
                <w:szCs w:val="20"/>
                <w:color w:val="auto"/>
              </w:rPr>
            </w:pPr>
            <w:r>
              <w:rPr>
                <w:rFonts w:ascii="Arial" w:cs="Arial" w:eastAsia="Arial" w:hAnsi="Arial"/>
                <w:sz w:val="14"/>
                <w:szCs w:val="14"/>
                <w:color w:val="auto"/>
              </w:rPr>
              <w:t>placement, net of 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3,178,174</w:t>
            </w:r>
          </w:p>
        </w:tc>
        <w:tc>
          <w:tcPr>
            <w:tcW w:w="24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5,715</w:t>
            </w:r>
          </w:p>
        </w:tc>
      </w:tr>
      <w:tr>
        <w:trPr>
          <w:trHeight w:val="163"/>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common stock, pre-funded warrants</w:t>
            </w: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48"/>
        </w:trPr>
        <w:tc>
          <w:tcPr>
            <w:tcW w:w="3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and warrants through private placement, net of</w:t>
            </w: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94"/>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37,634,883</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26,129</w:t>
            </w:r>
          </w:p>
        </w:tc>
      </w:tr>
      <w:tr>
        <w:trPr>
          <w:trHeight w:val="264"/>
        </w:trPr>
        <w:tc>
          <w:tcPr>
            <w:tcW w:w="304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5,161</w:t>
            </w:r>
          </w:p>
        </w:tc>
      </w:tr>
      <w:tr>
        <w:trPr>
          <w:trHeight w:val="276"/>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(55,350)</w:t>
            </w:r>
          </w:p>
        </w:tc>
      </w:tr>
      <w:tr>
        <w:trPr>
          <w:trHeight w:val="242"/>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86,325,547</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348,664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ectPr>
          <w:pgSz w:w="11900" w:h="16838" w:orient="portrait"/>
          <w:cols w:equalWidth="0" w:num="1">
            <w:col w:w="11240"/>
          </w:cols>
          <w:pgMar w:left="320" w:top="9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240"/>
          </w:cols>
          <w:pgMar w:left="320" w:top="909" w:right="339" w:bottom="1440" w:gutter="0" w:footer="0" w:header="0"/>
          <w:type w:val="continuous"/>
        </w:sectPr>
      </w:pPr>
    </w:p>
    <w:bookmarkStart w:id="102" w:name="page103"/>
    <w:bookmarkEnd w:id="102"/>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9"/>
        </w:trPr>
        <w:tc>
          <w:tcPr>
            <w:tcW w:w="6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90"/>
        </w:trPr>
        <w:tc>
          <w:tcPr>
            <w:tcW w:w="6980" w:type="dxa"/>
            <w:vAlign w:val="bottom"/>
            <w:vMerge w:val="restart"/>
          </w:tcPr>
          <w:p>
            <w:pPr>
              <w:ind w:left="280"/>
              <w:spacing w:after="0"/>
              <w:rPr>
                <w:sz w:val="20"/>
                <w:szCs w:val="20"/>
                <w:color w:val="auto"/>
              </w:rPr>
            </w:pPr>
            <w:r>
              <w:rPr>
                <w:rFonts w:ascii="Arial" w:cs="Arial" w:eastAsia="Arial" w:hAnsi="Arial"/>
                <w:sz w:val="14"/>
                <w:szCs w:val="14"/>
                <w:color w:val="auto"/>
              </w:rPr>
              <w:t>Amortization of premiums (accretion of discounts) on investments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73"/>
        </w:trPr>
        <w:tc>
          <w:tcPr>
            <w:tcW w:w="6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right-of-use assets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260"/>
              <w:spacing w:after="0"/>
              <w:rPr>
                <w:sz w:val="20"/>
                <w:szCs w:val="20"/>
                <w:color w:val="auto"/>
              </w:rPr>
            </w:pPr>
            <w:r>
              <w:rPr>
                <w:rFonts w:ascii="Arial" w:cs="Arial" w:eastAsia="Arial" w:hAnsi="Arial"/>
                <w:sz w:val="14"/>
                <w:szCs w:val="14"/>
                <w:color w:val="auto"/>
              </w:rPr>
              <w:t>Loss (gain) on disposal of property and equipment</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264"/>
        </w:trPr>
        <w:tc>
          <w:tcPr>
            <w:tcW w:w="6980" w:type="dxa"/>
            <w:vAlign w:val="bottom"/>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 liabilities revaluation</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realized losses on investments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Prepaid expenses, deposits and other assets</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3,179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2,432</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(59,161)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(52,026)</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Receipts from the maturity of short-term investments</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16,350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41,655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60,158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(61,527)</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Sale of short term investments</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1,992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the sale of property and equipment</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25,272</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long-term debt, net of expenses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20,957</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Repayments of principal on outstanding debt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(12,934)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 common stock</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30,942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proceeds from issuance of common stock- at-the-market offering</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 common stock- private placement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47,114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proceeds from issuance of common stock, common warrants, and pre-funded warrants</w:t>
            </w: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70,000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105,041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66,023</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53,869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11,977</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37,682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71,027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59,050</w:t>
            </w:r>
          </w:p>
        </w:tc>
        <w:tc>
          <w:tcPr>
            <w:tcW w:w="0" w:type="dxa"/>
            <w:vAlign w:val="bottom"/>
          </w:tcPr>
          <w:p>
            <w:pPr>
              <w:spacing w:after="0"/>
              <w:rPr>
                <w:sz w:val="1"/>
                <w:szCs w:val="1"/>
                <w:color w:val="auto"/>
              </w:rPr>
            </w:pPr>
          </w:p>
        </w:tc>
      </w:tr>
      <w:tr>
        <w:trPr>
          <w:trHeight w:val="242"/>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91,551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37,682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71,027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Supplement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not yet paid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w w:val="97"/>
              </w:rPr>
              <w:t>Issuance costs in connection with common stock, common warrants, and pre-funded warrants in accrued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4,381</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9" w:right="339" w:bottom="518"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240"/>
          </w:cols>
          <w:pgMar w:left="320" w:top="909" w:right="339" w:bottom="518"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r>
        <w:rPr>
          <w:rFonts w:ascii="Arial" w:cs="Arial" w:eastAsia="Arial" w:hAnsi="Arial"/>
          <w:sz w:val="14"/>
          <w:szCs w:val="14"/>
          <w:b w:val="1"/>
          <w:bCs w:val="1"/>
          <w:color w:val="auto"/>
        </w:rPr>
        <w:t>.</w:t>
      </w:r>
    </w:p>
    <w:p>
      <w:pPr>
        <w:sectPr>
          <w:pgSz w:w="11900" w:h="16838" w:orient="portrait"/>
          <w:cols w:equalWidth="0" w:num="1">
            <w:col w:w="9019"/>
          </w:cols>
          <w:pgMar w:left="1440" w:top="666"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019"/>
          </w:cols>
          <w:pgMar w:left="1440" w:top="666" w:right="1440"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Selecta Biosciences, Inc. (the “Company”) was incorporated in Delaware on December 10, 2007, and is based in Watertown, Massachusetts. The Company is a clinical-stage biotechnology company focused on unlocking the full potential of biologic therapies based on its immune tolerance technology (ImmTOR™) platform.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16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18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a private placement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2019, the Company’s cash, cash equivalents and restricted cash were $91.6 million, of which $1.7 million was restricted cash related to lease commitments and $0.4 million was held by its Russian subsidiary designated solely for use in its operations. The Company has incurred losses and negative cash flows from operating activities since inception. As of December 31, 2019 and December 31, 2018, the Company had an accumulated deficit of $335.8 million and $280.4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931"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substantial doubt about the Company's ability to continue as a going concern within one year after the date that the financial statements are issued.</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is actively exploring licenses and other strategic collaborations that have the potential to provide non-dilutive capital and accelerate the development of new or existing product candidates incorporating the Company’s ImmTOR platform. Additionally, the Company may seek to fund its operations through issuances of equity and other securities. If the Company enters into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Company requires additional external sources of capital to complete the planned Phase 3 clinical program for SEL-212. If the Company is unable to raise sufficient capital through strategic collaborations and the sale of equity or other securities,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capital resources at December 31, 2019, management has concluded that substantial doubt exists with respect to the Company's ability to continue as a going concern within one year after the date of the filing of this Annual Report on Form 10-K.</w:t>
      </w:r>
    </w:p>
    <w:p>
      <w:pPr>
        <w:spacing w:after="0" w:line="1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All amounts due under the 2017 Term Loan (see Note 9) have been classified as a current liability as of December 31, 2019 due to the considerations discussed above and the assessment that the material adverse change clause under the 2017 Term Loan is not within the Company's control. The Company has not been notified of an event of default by the Lender as of the date of the filing of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61" w:lineRule="exact"/>
        <w:rPr>
          <w:sz w:val="20"/>
          <w:szCs w:val="20"/>
          <w:color w:val="auto"/>
        </w:rPr>
      </w:pPr>
    </w:p>
    <w:p>
      <w:pPr>
        <w:ind w:right="7620" w:firstLine="8"/>
        <w:spacing w:after="0" w:line="503" w:lineRule="auto"/>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jc w:val="both"/>
        <w:ind w:right="22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equity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the valuation of its warrant liabilities and estimating accrued research and development expenses. The Company assesses the above estimates on an ongoing basis; however, actual results could materially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557" w:right="399" w:bottom="1440" w:gutter="0" w:footer="0" w:header="0"/>
        </w:sectPr>
      </w:pPr>
    </w:p>
    <w:bookmarkStart w:id="106" w:name="page107"/>
    <w:bookmarkEnd w:id="106"/>
    <w:p>
      <w:pPr>
        <w:ind w:right="6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marketable securities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year ended December 31, 2019, there were de minimis realized losses on sales of investments, and no investments were adjusted for other than temporary declines in fair value.</w:t>
      </w:r>
    </w:p>
    <w:p>
      <w:pPr>
        <w:spacing w:after="0" w:line="4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December 31, 2019, the Company had restricted cash balances relating to secured letters of credit in connection with its current Headquarters Lease and New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263"/>
        </w:trPr>
        <w:tc>
          <w:tcPr>
            <w:tcW w:w="7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70,622</w:t>
            </w:r>
          </w:p>
        </w:tc>
      </w:tr>
      <w:tr>
        <w:trPr>
          <w:trHeight w:val="264"/>
        </w:trPr>
        <w:tc>
          <w:tcPr>
            <w:tcW w:w="79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76</w:t>
            </w: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r>
      <w:tr>
        <w:trPr>
          <w:trHeight w:val="243"/>
        </w:trPr>
        <w:tc>
          <w:tcPr>
            <w:tcW w:w="790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91,551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37,682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71,027</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December 31, 2019, the Company maintained approximately $0.4 million in Russian bank accounts, all of which was held in U.S. dollars.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December 31, 2019 and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and common warrants. The carrying amounts of cash equivalents, restricted cash, accounts receivable, and accounts payable approximate their estimated fair value due to their short-term maturities. At December 31, 2019, the carrying amount of the Company's loan payable approximates its estimated fair value due to the short-term nature of the instrument.</w:t>
      </w:r>
    </w:p>
    <w:p>
      <w:pPr>
        <w:spacing w:after="0" w:line="187"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665" w:right="339" w:bottom="1440" w:gutter="0" w:footer="0" w:header="0"/>
        </w:sectPr>
      </w:pPr>
    </w:p>
    <w:bookmarkStart w:id="107" w:name="page108"/>
    <w:bookmarkEnd w:id="107"/>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were determined using Level 3 inputs.</w:t>
      </w:r>
    </w:p>
    <w:p>
      <w:pPr>
        <w:spacing w:after="0" w:line="18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2019 or December 31,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The Company reviews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years ended December 31, 2019 and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recognized through net income.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66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Foreign currency translation</w:t>
            </w: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Unrealized gains (losses)</w:t>
            </w:r>
          </w:p>
        </w:tc>
        <w:tc>
          <w:tcPr>
            <w:tcW w:w="240" w:type="dxa"/>
            <w:vAlign w:val="bottom"/>
          </w:tcPr>
          <w:p>
            <w:pPr>
              <w:spacing w:after="0"/>
              <w:rPr>
                <w:sz w:val="14"/>
                <w:szCs w:val="14"/>
                <w:color w:val="auto"/>
              </w:rPr>
            </w:pP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adjustment</w:t>
            </w: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marketable securities</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1"/>
              </w:rPr>
              <w:t>comprehensive income (loss)</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(4,482)</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during the year</w:t>
            </w: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(4,404)</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year</w:t>
            </w: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during the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r>
      <w:tr>
        <w:trPr>
          <w:trHeight w:val="242"/>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1" w:lineRule="exact"/>
        <w:rPr>
          <w:sz w:val="20"/>
          <w:szCs w:val="20"/>
          <w:color w:val="auto"/>
        </w:rPr>
      </w:pPr>
    </w:p>
    <w:p>
      <w:pPr>
        <w:ind w:right="20" w:firstLine="8"/>
        <w:spacing w:after="0" w:line="286"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and AskBio (see Note 12) will be satisfied over time, and revenue will be recognized using the output method, based on the proportion of actual deliveries to the total expected deliveries over the initial term.</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The Company currently generates its revenue through grants, collaboration and license agreements with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w:t>
      </w:r>
      <w:r>
        <w:rPr>
          <w:rFonts w:ascii="Arial" w:cs="Arial" w:eastAsia="Arial" w:hAnsi="Arial"/>
          <w:sz w:val="16"/>
          <w:szCs w:val="16"/>
          <w:i w:val="1"/>
          <w:iCs w:val="1"/>
          <w:color w:val="auto"/>
        </w:rPr>
        <w:t>Collaborative Arrangements (ASC 808</w:t>
      </w:r>
      <w:r>
        <w:rPr>
          <w:rFonts w:ascii="Arial" w:cs="Arial" w:eastAsia="Arial" w:hAnsi="Arial"/>
          <w:sz w:val="16"/>
          <w:szCs w:val="16"/>
          <w:color w:val="auto"/>
        </w:rPr>
        <w:t>), and evaluates whether such arrangements involve joint operating activities performed by parties that are both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 ASU No. 2018-18, </w:t>
      </w:r>
      <w:r>
        <w:rPr>
          <w:rFonts w:ascii="Arial" w:cs="Arial" w:eastAsia="Arial" w:hAnsi="Arial"/>
          <w:sz w:val="16"/>
          <w:szCs w:val="16"/>
          <w:i w:val="1"/>
          <w:iCs w:val="1"/>
          <w:color w:val="auto"/>
        </w:rPr>
        <w:t>Collaborative Arrangements (Topic 808):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Interaction between Topic 808 and Topic 606</w:t>
      </w:r>
      <w:r>
        <w:rPr>
          <w:rFonts w:ascii="Arial" w:cs="Arial" w:eastAsia="Arial" w:hAnsi="Arial"/>
          <w:sz w:val="16"/>
          <w:szCs w:val="16"/>
          <w:color w:val="auto"/>
        </w:rPr>
        <w:t>, which provides guidance on evaluating certain transactions between collaborative arrangement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terms of the Company’s arrangements typically include one or more of the following: (i) up-front fees; (ii) milestone payments related to the achievement of development, regulatory, or commercial goals; (iii) royalties on net sales of licensed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665" w:right="339" w:bottom="1440" w:gutter="0" w:footer="0" w:header="0"/>
        </w:sectPr>
      </w:pPr>
    </w:p>
    <w:bookmarkStart w:id="109" w:name="page110"/>
    <w:bookmarkEnd w:id="109"/>
    <w:p>
      <w:pPr>
        <w:ind w:right="660"/>
        <w:spacing w:after="0" w:line="277" w:lineRule="auto"/>
        <w:rPr>
          <w:sz w:val="20"/>
          <w:szCs w:val="20"/>
          <w:color w:val="auto"/>
        </w:rPr>
      </w:pPr>
      <w:r>
        <w:rPr>
          <w:rFonts w:ascii="Arial" w:cs="Arial" w:eastAsia="Arial" w:hAnsi="Arial"/>
          <w:sz w:val="18"/>
          <w:szCs w:val="18"/>
          <w:color w:val="auto"/>
        </w:rPr>
        <w:t>products; (iv) reimbursements or cost-sharing of research and development (R&amp;D) expenses; and (v) profit/loss sharing arising from co-promotion arrangements.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665" w:right="339" w:bottom="1440" w:gutter="0" w:footer="0" w:header="0"/>
        </w:sectPr>
      </w:pPr>
    </w:p>
    <w:bookmarkStart w:id="110" w:name="page111"/>
    <w:bookmarkEnd w:id="110"/>
    <w:p>
      <w:pPr>
        <w:ind w:right="80"/>
        <w:spacing w:after="0" w:line="277" w:lineRule="auto"/>
        <w:rPr>
          <w:sz w:val="20"/>
          <w:szCs w:val="20"/>
          <w:color w:val="auto"/>
        </w:rPr>
      </w:pPr>
      <w:r>
        <w:rPr>
          <w:rFonts w:ascii="Arial" w:cs="Arial" w:eastAsia="Arial" w:hAnsi="Arial"/>
          <w:sz w:val="18"/>
          <w:szCs w:val="18"/>
          <w:color w:val="auto"/>
        </w:rPr>
        <w:t>reporting period. Actual results could differ from the estimates made by the Company. The historical clinical accrual estimates made by the Company have not been materially different from the actual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8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16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and pre-funded warrants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2019 and December 31, 2018,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665" w:right="339" w:bottom="1440" w:gutter="0" w:footer="0" w:header="0"/>
        </w:sectPr>
      </w:pPr>
    </w:p>
    <w:bookmarkStart w:id="111" w:name="page112"/>
    <w:bookmarkEnd w:id="111"/>
    <w:p>
      <w:pPr>
        <w:ind w:right="40"/>
        <w:spacing w:after="0" w:line="254" w:lineRule="auto"/>
        <w:rPr>
          <w:sz w:val="20"/>
          <w:szCs w:val="20"/>
          <w:color w:val="auto"/>
        </w:rPr>
      </w:pPr>
      <w:r>
        <w:rPr>
          <w:rFonts w:ascii="Arial" w:cs="Arial" w:eastAsia="Arial" w:hAnsi="Arial"/>
          <w:sz w:val="18"/>
          <w:szCs w:val="18"/>
          <w:color w:val="auto"/>
        </w:rPr>
        <w:t xml:space="preserve">Under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which was adopted January 1, 2019,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 See Note 8 for details.</w:t>
      </w:r>
    </w:p>
    <w:p>
      <w:pPr>
        <w:spacing w:after="0" w:line="166" w:lineRule="exact"/>
        <w:rPr>
          <w:sz w:val="20"/>
          <w:szCs w:val="20"/>
          <w:color w:val="auto"/>
        </w:rPr>
      </w:pPr>
    </w:p>
    <w:p>
      <w:pPr>
        <w:ind w:right="160"/>
        <w:spacing w:after="0" w:line="224" w:lineRule="exact"/>
        <w:rPr>
          <w:sz w:val="20"/>
          <w:szCs w:val="20"/>
          <w:color w:val="auto"/>
        </w:rPr>
      </w:pPr>
      <w:r>
        <w:rPr>
          <w:rFonts w:ascii="Arial" w:cs="Arial" w:eastAsia="Arial" w:hAnsi="Arial"/>
          <w:sz w:val="16"/>
          <w:szCs w:val="16"/>
          <w:color w:val="auto"/>
        </w:rPr>
        <w:t>Under prior guidance, rent expense and lease incentives from operating leases were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The difference between rent expense recognized and rental payments was recorded as deferred rent in the accompanying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No.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requires lessees to recognize most leases on their balance sheet as a right-of-use asset and a lease liability. Leases are classified as either operating or finance based on criteria similar to current lease accounting, with the classification affecting the pattern and classification of expense recognition in the statement of operations.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Subsequently, in July 2018, the FASB issued ASU No. 2018-11, </w:t>
      </w:r>
      <w:r>
        <w:rPr>
          <w:rFonts w:ascii="Arial" w:cs="Arial" w:eastAsia="Arial" w:hAnsi="Arial"/>
          <w:sz w:val="17"/>
          <w:szCs w:val="17"/>
          <w:i w:val="1"/>
          <w:iCs w:val="1"/>
          <w:color w:val="auto"/>
        </w:rPr>
        <w:t>Leases (Topic 842): Targeted Improvements (ASU 2018-11)</w:t>
      </w:r>
      <w:r>
        <w:rPr>
          <w:rFonts w:ascii="Arial" w:cs="Arial" w:eastAsia="Arial" w:hAnsi="Arial"/>
          <w:sz w:val="17"/>
          <w:szCs w:val="17"/>
          <w:color w:val="auto"/>
        </w:rPr>
        <w:t>, which includes certain amendments to ASU 2016-02 intended to provide relief in implementing the new standard. Among these amendments is the option to not restate comparative periods presented in the financial statements. The Company has elected this transition approach, using a cumulative-effect adjustment on the effective date of the standard, with comparative periods presented in accordance with the existing guidance in ASC 840.</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adopted the new standard as of the required effective date of January 1, 2019 resulting in the recognition of a net additional lease liability and right-of-use asset. The standard did not impact the Company's consolidated net loss. See Note 8 for details.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(ASU 2018-18), which provides guidance on whether certain transactions between collaborative arrangement participants should be accounted for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under Topic 606. The new standard is effective for fiscal years beginning after December 15, 2019, including interim periods within those fiscal years with early adoption permitted. The Company early adopted the new standard effective September 30, 2019, and there was no impact on its consolidated financial statements. See Note 14 for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 Simplifying the Accounting for Income Taxes.</w:t>
      </w:r>
      <w:r>
        <w:rPr>
          <w:rFonts w:ascii="Arial" w:cs="Arial" w:eastAsia="Arial" w:hAnsi="Arial"/>
          <w:sz w:val="16"/>
          <w:szCs w:val="16"/>
          <w:color w:val="auto"/>
        </w:rPr>
        <w:t xml:space="preserve"> ASU 2019-12 simplifies the accounting for income taxes by removing certain exceptions to the general principles in Topic 740. This ASU is effective for public entities for fiscal years beginning after December 15, 2020. The Company is assessing the impact this standard will have on its consolidated financial statements and disclosures.</w:t>
      </w:r>
    </w:p>
    <w:p>
      <w:pPr>
        <w:spacing w:after="0" w:line="1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Subsequently, in November 2018, the FASB issued ASU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665" w:right="359" w:bottom="1440" w:gutter="0" w:footer="0" w:header="0"/>
        </w:sectPr>
      </w:pPr>
    </w:p>
    <w:bookmarkStart w:id="112" w:name="page113"/>
    <w:bookmarkEnd w:id="112"/>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which changes the fair value measurement disclosure requirements of ASC 820. Entities will no longer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the amount of, and reasons for, transfers between Level 1 and Level 2 of the fair value hierarchy, the policy of timing of transfers between levels of the fair value hierarchy and the valuation processes for Level 3 fair value measurements. This ASU is effective for public entities for fiscal years beginning after December 15, 2019, with early adoption permitted. The Company is assessing the impact this standard will have on its consolidated financial statements and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December 31, 2018, the Company did not have marketable securities.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The Company has reported a net loss for the years ended December 31, 2019, 2018, and 2017. For this reason basic and diluted net loss per share are the same for all periods presented. Since the shares underlying the 8,342,128 pre-funded warrants are issuable for little or no consideration, they are considered outstanding for both basic and diluted earnings per share.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39"/>
        </w:trPr>
        <w:tc>
          <w:tcPr>
            <w:tcW w:w="6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93"/>
        </w:trPr>
        <w:tc>
          <w:tcPr>
            <w:tcW w:w="698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(55,350)</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(65,336)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(65,321)</w:t>
            </w:r>
          </w:p>
        </w:tc>
      </w:tr>
      <w:tr>
        <w:trPr>
          <w:trHeight w:val="93"/>
        </w:trPr>
        <w:tc>
          <w:tcPr>
            <w:tcW w:w="69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44"/>
        </w:trPr>
        <w:tc>
          <w:tcPr>
            <w:tcW w:w="69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80"/>
        </w:trPr>
        <w:tc>
          <w:tcPr>
            <w:tcW w:w="69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90"/>
        </w:trPr>
        <w:tc>
          <w:tcPr>
            <w:tcW w:w="698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and pre-funded warrants outstanding—basic and diluted</w:t>
            </w: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45,548,511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22,389,286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20,425,050</w:t>
            </w:r>
          </w:p>
        </w:tc>
      </w:tr>
      <w:tr>
        <w:trPr>
          <w:trHeight w:val="80"/>
        </w:trPr>
        <w:tc>
          <w:tcPr>
            <w:tcW w:w="69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4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217"/>
        </w:trPr>
        <w:tc>
          <w:tcPr>
            <w:tcW w:w="6760" w:type="dxa"/>
            <w:vAlign w:val="bottom"/>
          </w:tcPr>
          <w:p>
            <w:pPr>
              <w:spacing w:after="0"/>
              <w:rPr>
                <w:sz w:val="18"/>
                <w:szCs w:val="18"/>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39"/>
        </w:trPr>
        <w:tc>
          <w:tcPr>
            <w:tcW w:w="67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6,796,669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4,093,979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2,657,187</w:t>
            </w:r>
          </w:p>
        </w:tc>
      </w:tr>
      <w:tr>
        <w:trPr>
          <w:trHeight w:val="66"/>
        </w:trPr>
        <w:tc>
          <w:tcPr>
            <w:tcW w:w="676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190"/>
        </w:trPr>
        <w:tc>
          <w:tcPr>
            <w:tcW w:w="676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400" w:type="dxa"/>
            <w:vAlign w:val="bottom"/>
          </w:tcPr>
          <w:p>
            <w:pPr>
              <w:jc w:val="right"/>
              <w:spacing w:after="0"/>
              <w:rPr>
                <w:sz w:val="20"/>
                <w:szCs w:val="20"/>
                <w:color w:val="auto"/>
              </w:rPr>
            </w:pPr>
            <w:r>
              <w:rPr>
                <w:rFonts w:ascii="Arial" w:cs="Arial" w:eastAsia="Arial" w:hAnsi="Arial"/>
                <w:sz w:val="14"/>
                <w:szCs w:val="14"/>
                <w:color w:val="auto"/>
              </w:rPr>
              <w:t>181,250</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175,000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67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9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23,084,120</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95,619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r>
      <w:tr>
        <w:trPr>
          <w:trHeight w:val="80"/>
        </w:trPr>
        <w:tc>
          <w:tcPr>
            <w:tcW w:w="6760" w:type="dxa"/>
            <w:vAlign w:val="bottom"/>
            <w:shd w:val="clear" w:color="auto" w:fill="CCEEFF"/>
          </w:tcPr>
          <w:p>
            <w:pPr>
              <w:spacing w:after="0"/>
              <w:rPr>
                <w:sz w:val="6"/>
                <w:szCs w:val="6"/>
                <w:color w:val="auto"/>
              </w:rPr>
            </w:pPr>
          </w:p>
        </w:tc>
        <w:tc>
          <w:tcPr>
            <w:tcW w:w="140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r>
      <w:tr>
        <w:trPr>
          <w:trHeight w:val="236"/>
        </w:trPr>
        <w:tc>
          <w:tcPr>
            <w:tcW w:w="6760" w:type="dxa"/>
            <w:vAlign w:val="bottom"/>
          </w:tcPr>
          <w:p>
            <w:pPr>
              <w:ind w:left="28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color w:val="auto"/>
              </w:rPr>
              <w:t>30,062,039</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4,364,598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2,833,619</w:t>
            </w:r>
          </w:p>
        </w:tc>
      </w:tr>
      <w:tr>
        <w:trPr>
          <w:trHeight w:val="20"/>
        </w:trPr>
        <w:tc>
          <w:tcPr>
            <w:tcW w:w="67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December 31, 2019 and December 31, 2018, and indicate the level within the fair value hierarchy where each measurement is classified. Below is a summary of assets and liabilities measured at fair value on a recurring basis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50,401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50,401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Warrant liabilities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41,549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40"/>
          </w:cols>
          <w:pgMar w:left="320" w:top="665"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10,123</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10,123</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each of December 31, 2019 and December 31, 2018, the money market funds were classified as cash and cash equivalent on the accompanying consolidated balance sheet as they mature within 90 days from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Used in Determining Fair Value of Common Warrants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December 2019, we issued common warrants in connection with our private placement of common shares. Pursuant to the terms of the common warrants, we could be required to settle the common warrants in cash in the event of certain acquisitions of the Company and, as a result, the common warrants are required to be measured at fair value and reported as a liability on the balance sheet. We recorded the fair value of the common warrants upon issuance using the Black-Scholes valuation model and are required to revalue the common warrants at each reporting date with any changes in fair value recorded on our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warrants is determined using Level 3 inputs inherent in the Black Scholes simulation valuation.</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17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Black Scholes pricing model assumptions used to record the fair value of the warrants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Issued on December 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14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2019</w:t>
            </w:r>
          </w:p>
        </w:tc>
      </w:tr>
      <w:tr>
        <w:trPr>
          <w:trHeight w:val="256"/>
        </w:trPr>
        <w:tc>
          <w:tcPr>
            <w:tcW w:w="8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264"/>
        </w:trPr>
        <w:tc>
          <w:tcPr>
            <w:tcW w:w="8140" w:type="dxa"/>
            <w:vAlign w:val="bottom"/>
            <w:gridSpan w:val="2"/>
          </w:tcPr>
          <w:p>
            <w:pPr>
              <w:ind w:left="40"/>
              <w:spacing w:after="0"/>
              <w:rPr>
                <w:sz w:val="20"/>
                <w:szCs w:val="20"/>
                <w:color w:val="auto"/>
              </w:rPr>
            </w:pPr>
            <w:r>
              <w:rPr>
                <w:rFonts w:ascii="Arial" w:cs="Arial" w:eastAsia="Arial" w:hAnsi="Arial"/>
                <w:sz w:val="14"/>
                <w:szCs w:val="14"/>
                <w:color w:val="auto"/>
              </w:rPr>
              <w:t>Dividend yield</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5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r>
      <w:tr>
        <w:trPr>
          <w:trHeight w:val="258"/>
        </w:trPr>
        <w:tc>
          <w:tcPr>
            <w:tcW w:w="8140" w:type="dxa"/>
            <w:vAlign w:val="bottom"/>
            <w:gridSpan w:val="2"/>
          </w:tcPr>
          <w:p>
            <w:pPr>
              <w:ind w:left="40"/>
              <w:spacing w:after="0"/>
              <w:rPr>
                <w:sz w:val="20"/>
                <w:szCs w:val="20"/>
                <w:color w:val="auto"/>
              </w:rPr>
            </w:pPr>
            <w:r>
              <w:rPr>
                <w:rFonts w:ascii="Arial" w:cs="Arial" w:eastAsia="Arial" w:hAnsi="Arial"/>
                <w:sz w:val="14"/>
                <w:szCs w:val="14"/>
                <w:color w:val="auto"/>
              </w:rPr>
              <w:t>Expected volatility</w:t>
            </w:r>
          </w:p>
        </w:tc>
        <w:tc>
          <w:tcPr>
            <w:tcW w:w="500" w:type="dxa"/>
            <w:vAlign w:val="bottom"/>
          </w:tcPr>
          <w:p>
            <w:pPr>
              <w:jc w:val="right"/>
              <w:spacing w:after="0"/>
              <w:rPr>
                <w:sz w:val="20"/>
                <w:szCs w:val="20"/>
                <w:color w:val="auto"/>
              </w:rPr>
            </w:pPr>
            <w:r>
              <w:rPr>
                <w:rFonts w:ascii="Arial" w:cs="Arial" w:eastAsia="Arial" w:hAnsi="Arial"/>
                <w:sz w:val="14"/>
                <w:szCs w:val="14"/>
                <w:color w:val="auto"/>
                <w:w w:val="92"/>
              </w:rPr>
              <w:t>87.29%</w:t>
            </w:r>
          </w:p>
        </w:tc>
        <w:tc>
          <w:tcPr>
            <w:tcW w:w="10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87.74%</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change in the Company’s Level 3 warrant liabilities, (see Note 10), for the year ended December 31, 2019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Warrant liabilities</w:t>
            </w:r>
          </w:p>
        </w:tc>
      </w:tr>
      <w:tr>
        <w:trPr>
          <w:trHeight w:val="215"/>
        </w:trPr>
        <w:tc>
          <w:tcPr>
            <w:tcW w:w="9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as of December 31, 2018</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9340" w:type="dxa"/>
            <w:vAlign w:val="bottom"/>
          </w:tcPr>
          <w:p>
            <w:pPr>
              <w:ind w:left="220"/>
              <w:spacing w:after="0"/>
              <w:rPr>
                <w:sz w:val="20"/>
                <w:szCs w:val="20"/>
                <w:color w:val="auto"/>
              </w:rPr>
            </w:pPr>
            <w:r>
              <w:rPr>
                <w:rFonts w:ascii="Arial" w:cs="Arial" w:eastAsia="Arial" w:hAnsi="Arial"/>
                <w:sz w:val="14"/>
                <w:szCs w:val="14"/>
                <w:color w:val="auto"/>
              </w:rPr>
              <w:t>Warrants issued in connection with December 2019 private placement</w:t>
            </w:r>
          </w:p>
        </w:tc>
        <w:tc>
          <w:tcPr>
            <w:tcW w:w="240" w:type="dxa"/>
            <w:vAlign w:val="bottom"/>
          </w:tcPr>
          <w:p>
            <w:pPr>
              <w:spacing w:after="0"/>
              <w:rPr>
                <w:sz w:val="18"/>
                <w:szCs w:val="18"/>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40,692</w:t>
            </w: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r>
      <w:tr>
        <w:trPr>
          <w:trHeight w:val="215"/>
        </w:trPr>
        <w:tc>
          <w:tcPr>
            <w:tcW w:w="9340" w:type="dxa"/>
            <w:vAlign w:val="bottom"/>
          </w:tcPr>
          <w:p>
            <w:pPr>
              <w:ind w:left="40"/>
              <w:spacing w:after="0"/>
              <w:rPr>
                <w:sz w:val="20"/>
                <w:szCs w:val="20"/>
                <w:color w:val="auto"/>
              </w:rPr>
            </w:pPr>
            <w:r>
              <w:rPr>
                <w:rFonts w:ascii="Arial" w:cs="Arial" w:eastAsia="Arial" w:hAnsi="Arial"/>
                <w:sz w:val="14"/>
                <w:szCs w:val="14"/>
                <w:color w:val="auto"/>
              </w:rPr>
              <w:t>Fair value as of December 31, 2019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r>
      <w:tr>
        <w:trPr>
          <w:trHeight w:val="20"/>
        </w:trPr>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886" w:right="339" w:bottom="497"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6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5,379</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561</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6,679</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w:t>
            </w:r>
          </w:p>
        </w:tc>
      </w:tr>
      <w:tr>
        <w:trPr>
          <w:trHeight w:val="216"/>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Depreciation expense was $0.7 million, $1.0 million and $0.8 million for the years ended December 31, 2019, 2018, and 2017, respectively. The Company recorded accelerated depreciation costs of $0.04 million in the reported property and equipment for the year ended December 31, 2019 relating to the upcoming new corporate headquarters move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4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1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1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994</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December financing</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w:t>
            </w:r>
          </w:p>
        </w:tc>
      </w:tr>
      <w:tr>
        <w:trPr>
          <w:trHeight w:val="215"/>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11,700</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 2019, the Company adopted ASC 842 using the modified retrospective approach. The Company recorded operating lease assets (right-of-use assets) of $1.6 million and operating lease liabilities of $1.8 million and reversed a lease liability of $0.2 million related to straight-line rent and incentives. There was no impact to accumulated deficit upon adoption of ASC 842. The underlying assets of the Company’s leases are primarily office space. The Company determines if an arrangement qualifies as a lease at its inception.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practical expedient permitted under ASC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 On January 1, 2019, the discount rate used on existing operating leases at adoption, which had remaining lease terms of 15 months, was 10.0%. For new or renewed leases starting in 2020, the discount rate is determined based on the Company’s incremental borrowing rate adjusted for the lease term including any reasonably certain renewal periods.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665" w:right="339" w:bottom="1024" w:gutter="0" w:footer="0" w:header="0"/>
        </w:sectPr>
      </w:pPr>
    </w:p>
    <w:bookmarkStart w:id="115" w:name="page116"/>
    <w:bookmarkEnd w:id="115"/>
    <w:p>
      <w:pPr>
        <w:ind w:right="220"/>
        <w:spacing w:after="0" w:line="257" w:lineRule="auto"/>
        <w:rPr>
          <w:sz w:val="20"/>
          <w:szCs w:val="20"/>
          <w:color w:val="auto"/>
        </w:rPr>
      </w:pPr>
      <w:r>
        <w:rPr>
          <w:rFonts w:ascii="Arial" w:cs="Arial" w:eastAsia="Arial" w:hAnsi="Arial"/>
          <w:sz w:val="18"/>
          <w:szCs w:val="18"/>
          <w:color w:val="auto"/>
        </w:rPr>
        <w:t>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Leases with an initial term of 12 months or less are not recorded on the balance sheet; the Company recognizes lease expense for these leases on a straight-line basis over the lease term. For lease agreements entered into or reassessed after the adoption of ASC 842, lease and non-lease components are combined.</w:t>
      </w:r>
    </w:p>
    <w:p>
      <w:pPr>
        <w:spacing w:after="0" w:line="184"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leasehold improvements are capitalized as a component of property and equipment. In connection with the Headquarters Lease, the Company secured a letter of credit for $0.3 million which renews automatically each year and is classified in restricted cash. In August 2016, the Company signed an amendment to the Headquarters Lease, which extends the term through March 31, 2020.</w:t>
      </w:r>
    </w:p>
    <w:p>
      <w:pPr>
        <w:spacing w:after="0" w:line="204"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In October 2017, the Company entered into a lease for approximately 5,100 square feet of additional office space located at 75 North Beacon Street, Watertown, Massachusetts (the “75 North Beacon Lease”). On January 11, 2019, the Company vacated 75 North Beacon Street, Watertown, MA and consolidated all employees at its corporate headquarters at 480 Arsenal Way, Watertown, MA. The right-of-use asset carrying amount of $0.2 million attributable to the 75 North Beacon Lease was written down to zero during the first quarter of 2019.</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office. Rent expense is recognized as incurred.</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2018 and prior to the adoption of ASC 842, the aggregate future minimum lease payments related to leases are as follows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00" w:type="dxa"/>
            <w:vAlign w:val="bottom"/>
          </w:tcPr>
          <w:p>
            <w:pPr>
              <w:ind w:left="40"/>
              <w:spacing w:after="0"/>
              <w:rPr>
                <w:sz w:val="20"/>
                <w:szCs w:val="20"/>
                <w:color w:val="auto"/>
              </w:rPr>
            </w:pPr>
            <w:r>
              <w:rPr>
                <w:rFonts w:ascii="Arial" w:cs="Arial" w:eastAsia="Arial" w:hAnsi="Arial"/>
                <w:sz w:val="14"/>
                <w:szCs w:val="14"/>
                <w:color w:val="auto"/>
              </w:rPr>
              <w:t>Year ending December 31,</w:t>
            </w: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9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9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w:t>
            </w:r>
          </w:p>
        </w:tc>
      </w:tr>
      <w:tr>
        <w:trPr>
          <w:trHeight w:val="210"/>
        </w:trPr>
        <w:tc>
          <w:tcPr>
            <w:tcW w:w="9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r>
      <w:tr>
        <w:trPr>
          <w:trHeight w:val="210"/>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lease payments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1,857</w:t>
            </w: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July 2019, the Company entered into a lease for 25,078 square feet of laboratory and office space located at 65 Grove Street, Watertown, Massachusetts (the “New Headquarters Lease”). The Company estimates that it will incur $0.8 million in non-reimbursable lessee-paid construction costs for lessor assets. None of these costs were incurred as of December 31, 2019. The lease begins in March 2020, consistent with when the Company takes control of the office space and the expected lease term is 8 years, therefore the right-of-use asset and lease liability is not recorded on the balance sheet as of December 31, 2019. Rent payments are expected to occur in May 2020, and the base rent for the first year is $0.2 million per month. The total minimum rental commitments for the New Headquarters Lease are $15.8 million. In connection with the New Headquarters Lease, the Company secured a letter of credit from Silicon Valley Bank for $1.4 million which renews automatically each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minimum rental commitments for the New Headquarters Lease as of December 31, 2019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7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1,191</w:t>
            </w:r>
          </w:p>
        </w:tc>
      </w:tr>
      <w:tr>
        <w:trPr>
          <w:trHeight w:val="210"/>
        </w:trPr>
        <w:tc>
          <w:tcPr>
            <w:tcW w:w="9780" w:type="dxa"/>
            <w:vAlign w:val="bottom"/>
          </w:tcPr>
          <w:p>
            <w:pPr>
              <w:ind w:left="4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1,811</w:t>
            </w:r>
          </w:p>
        </w:tc>
      </w:tr>
      <w:tr>
        <w:trPr>
          <w:trHeight w:val="222"/>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1,865</w:t>
            </w:r>
          </w:p>
        </w:tc>
      </w:tr>
      <w:tr>
        <w:trPr>
          <w:trHeight w:val="210"/>
        </w:trPr>
        <w:tc>
          <w:tcPr>
            <w:tcW w:w="9780" w:type="dxa"/>
            <w:vAlign w:val="bottom"/>
          </w:tcPr>
          <w:p>
            <w:pPr>
              <w:ind w:left="4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1,921</w:t>
            </w:r>
          </w:p>
        </w:tc>
      </w:tr>
      <w:tr>
        <w:trPr>
          <w:trHeight w:val="222"/>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w:t>
            </w:r>
          </w:p>
        </w:tc>
      </w:tr>
      <w:tr>
        <w:trPr>
          <w:trHeight w:val="210"/>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7,027</w:t>
            </w:r>
          </w:p>
        </w:tc>
      </w:tr>
      <w:tr>
        <w:trPr>
          <w:trHeight w:val="215"/>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New Headquarters Lease commitment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15,794</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 and lease liability has not been recorded as of December 31, 2019 as lease commencement will occur in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66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Rent expense for the years ended December 31, 2019, 2018 and 2017 was $2.1 million, $2.0 million and $1.9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the components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lease expense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Short-term lease expense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December 31,</w:t>
      </w:r>
    </w:p>
    <w:p>
      <w:pPr>
        <w:spacing w:after="0" w:line="26" w:lineRule="exact"/>
        <w:rPr>
          <w:sz w:val="20"/>
          <w:szCs w:val="20"/>
          <w:color w:val="auto"/>
        </w:rPr>
      </w:pPr>
    </w:p>
    <w:p>
      <w:pPr>
        <w:ind w:left="551"/>
        <w:spacing w:after="0"/>
        <w:rPr>
          <w:sz w:val="20"/>
          <w:szCs w:val="20"/>
          <w:color w:val="auto"/>
        </w:rPr>
      </w:pPr>
      <w:r>
        <w:rPr>
          <w:rFonts w:ascii="Arial" w:cs="Arial" w:eastAsia="Arial" w:hAnsi="Arial"/>
          <w:sz w:val="14"/>
          <w:szCs w:val="14"/>
          <w:b w:val="1"/>
          <w:bCs w:val="1"/>
          <w:color w:val="auto"/>
        </w:rPr>
        <w:t>2019</w:t>
      </w:r>
    </w:p>
    <w:p>
      <w:pPr>
        <w:spacing w:after="0" w:line="140" w:lineRule="exact"/>
        <w:rPr>
          <w:sz w:val="20"/>
          <w:szCs w:val="20"/>
          <w:color w:val="auto"/>
        </w:rPr>
      </w:pPr>
    </w:p>
    <w:p>
      <w:pPr>
        <w:ind w:left="991" w:hanging="991"/>
        <w:spacing w:after="0"/>
        <w:tabs>
          <w:tab w:leader="none" w:pos="991" w:val="left"/>
        </w:tabs>
        <w:numPr>
          <w:ilvl w:val="0"/>
          <w:numId w:val="61"/>
        </w:numPr>
        <w:rPr>
          <w:rFonts w:ascii="Arial" w:cs="Arial" w:eastAsia="Arial" w:hAnsi="Arial"/>
          <w:sz w:val="13"/>
          <w:szCs w:val="13"/>
          <w:color w:val="auto"/>
        </w:rPr>
      </w:pPr>
      <w:r>
        <w:rPr>
          <w:rFonts w:ascii="Arial" w:cs="Arial" w:eastAsia="Arial" w:hAnsi="Arial"/>
          <w:sz w:val="13"/>
          <w:szCs w:val="13"/>
          <w:color w:val="auto"/>
        </w:rPr>
        <w:t>1,365</w:t>
      </w:r>
    </w:p>
    <w:p>
      <w:pPr>
        <w:spacing w:after="0" w:line="66" w:lineRule="exact"/>
        <w:rPr>
          <w:rFonts w:ascii="Arial" w:cs="Arial" w:eastAsia="Arial" w:hAnsi="Arial"/>
          <w:sz w:val="13"/>
          <w:szCs w:val="13"/>
          <w:color w:val="auto"/>
        </w:rPr>
      </w:pPr>
    </w:p>
    <w:p>
      <w:pPr>
        <w:ind w:left="1111"/>
        <w:spacing w:after="0"/>
        <w:rPr>
          <w:rFonts w:ascii="Arial" w:cs="Arial" w:eastAsia="Arial" w:hAnsi="Arial"/>
          <w:sz w:val="13"/>
          <w:szCs w:val="13"/>
          <w:color w:val="auto"/>
        </w:rPr>
      </w:pPr>
      <w:r>
        <w:rPr>
          <w:rFonts w:ascii="Arial" w:cs="Arial" w:eastAsia="Arial" w:hAnsi="Arial"/>
          <w:sz w:val="13"/>
          <w:szCs w:val="13"/>
          <w:color w:val="auto"/>
        </w:rPr>
        <w:t>828</w:t>
      </w:r>
    </w:p>
    <w:p>
      <w:pPr>
        <w:spacing w:after="0" w:line="66" w:lineRule="exact"/>
        <w:rPr>
          <w:rFonts w:ascii="Arial" w:cs="Arial" w:eastAsia="Arial" w:hAnsi="Arial"/>
          <w:sz w:val="13"/>
          <w:szCs w:val="13"/>
          <w:color w:val="auto"/>
        </w:rPr>
      </w:pPr>
    </w:p>
    <w:p>
      <w:pPr>
        <w:ind w:left="1171"/>
        <w:spacing w:after="0"/>
        <w:rPr>
          <w:rFonts w:ascii="Arial" w:cs="Arial" w:eastAsia="Arial" w:hAnsi="Arial"/>
          <w:sz w:val="13"/>
          <w:szCs w:val="13"/>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9258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49" w:lineRule="exact"/>
        <w:rPr>
          <w:sz w:val="20"/>
          <w:szCs w:val="20"/>
          <w:color w:val="auto"/>
        </w:rPr>
      </w:pPr>
    </w:p>
    <w:p>
      <w:pPr>
        <w:ind w:left="991" w:hanging="991"/>
        <w:spacing w:after="0"/>
        <w:tabs>
          <w:tab w:leader="none" w:pos="991" w:val="left"/>
        </w:tabs>
        <w:numPr>
          <w:ilvl w:val="0"/>
          <w:numId w:val="62"/>
        </w:numPr>
        <w:rPr>
          <w:rFonts w:ascii="Arial" w:cs="Arial" w:eastAsia="Arial" w:hAnsi="Arial"/>
          <w:sz w:val="13"/>
          <w:szCs w:val="13"/>
          <w:color w:val="auto"/>
        </w:rPr>
      </w:pPr>
      <w:r>
        <w:rPr>
          <w:rFonts w:ascii="Arial" w:cs="Arial" w:eastAsia="Arial" w:hAnsi="Arial"/>
          <w:sz w:val="13"/>
          <w:szCs w:val="13"/>
          <w:color w:val="auto"/>
        </w:rPr>
        <w:t>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25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7">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45720</wp:posOffset>
            </wp:positionV>
            <wp:extent cx="925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400" w:space="409"/>
            <w:col w:w="1431"/>
          </w:cols>
          <w:pgMar w:left="320" w:top="665" w:right="3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Company's operating lease liabilities as of December 31,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9"/>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256"/>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future minimum lease payments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r>
      <w:tr>
        <w:trPr>
          <w:trHeight w:val="191"/>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55"/>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r>
      <w:tr>
        <w:trPr>
          <w:trHeight w:val="251"/>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Included in the condensed consolidated balance sheet: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6"/>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r>
      <w:tr>
        <w:trPr>
          <w:trHeight w:val="191"/>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operating lease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5"/>
        </w:trPr>
        <w:tc>
          <w:tcPr>
            <w:tcW w:w="9780" w:type="dxa"/>
            <w:vAlign w:val="bottom"/>
          </w:tcPr>
          <w:p>
            <w:pPr>
              <w:ind w:left="4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Year Ended</w:t>
            </w:r>
          </w:p>
        </w:tc>
      </w:tr>
      <w:tr>
        <w:trPr>
          <w:trHeight w:val="186"/>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December 31,</w:t>
            </w:r>
          </w:p>
        </w:tc>
      </w:tr>
      <w:tr>
        <w:trPr>
          <w:trHeight w:val="209"/>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2019</w:t>
            </w:r>
          </w:p>
        </w:tc>
      </w:tr>
      <w:tr>
        <w:trPr>
          <w:trHeight w:val="26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15"/>
        </w:trPr>
        <w:tc>
          <w:tcPr>
            <w:tcW w:w="9780" w:type="dxa"/>
            <w:vAlign w:val="bottom"/>
          </w:tcPr>
          <w:p>
            <w:pPr>
              <w:ind w:left="280"/>
              <w:spacing w:after="0"/>
              <w:rPr>
                <w:sz w:val="20"/>
                <w:szCs w:val="20"/>
                <w:color w:val="auto"/>
              </w:rPr>
            </w:pPr>
            <w:r>
              <w:rPr>
                <w:rFonts w:ascii="Arial" w:cs="Arial" w:eastAsia="Arial" w:hAnsi="Arial"/>
                <w:sz w:val="14"/>
                <w:szCs w:val="14"/>
                <w:color w:val="auto"/>
              </w:rPr>
              <w:t>Operating cash flows from operating leases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1,482</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changes in the Company’s right-of-use asset and lease liability for the year ended December 31, 2019 are reflected in the changes in prepaid expenses, deposits and other assets and accrued expenses and other liabilities, respectively, in the consolidated statements of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9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leases:</w:t>
            </w: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15"/>
        </w:trPr>
        <w:tc>
          <w:tcPr>
            <w:tcW w:w="9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remaining lease term</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 years</w:t>
            </w:r>
          </w:p>
        </w:tc>
      </w:tr>
      <w:tr>
        <w:trPr>
          <w:trHeight w:val="191"/>
        </w:trPr>
        <w:tc>
          <w:tcPr>
            <w:tcW w:w="976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665" w:right="339" w:bottom="1440" w:gutter="0" w:footer="0" w:header="0"/>
          <w:type w:val="continuous"/>
        </w:sectPr>
      </w:pPr>
    </w:p>
    <w:bookmarkStart w:id="117" w:name="page118"/>
    <w:bookmarkEnd w:id="117"/>
    <w:p>
      <w:pPr>
        <w:jc w:val="both"/>
        <w:ind w:right="80"/>
        <w:spacing w:after="0" w:line="263"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provided for interest-only payments monthly until August 31, 2019. On September 1, 2019, the Company began making amortization payments on the Term Loan, which will continue to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 (ii) pays on the date of such prepayment for all outstanding principal plus accrued and unpaid interest, 1% if prepaid after the second anniversary.</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All deposits in operating, depository and securities accounts are required to be maintained with SVB in an amount equal to the lessor of (i) 100% of the Company's cash balance or (ii) 105% of the dollar amount of the then outstanding obligations.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2019 and December 31, 2018, the outstanding principal balance under the 2017 Term Loan was $18.2 million and $21.0 million, respectively.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665"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Future minimum principal and interest payments on the 2017 Term Loan as of December 31, 2019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9,084</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8,716</w:t>
            </w:r>
          </w:p>
        </w:tc>
      </w:tr>
      <w:tr>
        <w:trPr>
          <w:trHeight w:val="26"/>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2,461</w:t>
            </w:r>
          </w:p>
        </w:tc>
      </w:tr>
      <w:tr>
        <w:trPr>
          <w:trHeight w:val="184"/>
        </w:trPr>
        <w:tc>
          <w:tcPr>
            <w:tcW w:w="978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20,261</w:t>
            </w:r>
          </w:p>
        </w:tc>
      </w:tr>
      <w:tr>
        <w:trPr>
          <w:trHeight w:val="26"/>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r>
      <w:tr>
        <w:trPr>
          <w:trHeight w:val="196"/>
        </w:trPr>
        <w:tc>
          <w:tcPr>
            <w:tcW w:w="978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(18,905)</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amounts due under the 2017 Term Loan have been classified as a current liability as of December 31, 2019 due to the considerations discussed in Note 1 and the assessment that the material adverse change clause under the 2017 Term Loan is not within the Company's control. The Company has not been notified of an event of default by SVB as of the date of the filing of this Annual Report on Form 10-K.</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years ended December 31, 2019, 2018 and 2017, the Company recognized $1.5 million, $1.5 million and $1.2 million respectively of interest expense related to the 2017 Term Loan.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Financing</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18, 2019, the Company entered into a private purchase agreement (the "2019 Purchase Agreement"), and closed the Offering on December 23, 2019.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The exercise price of the pre-funded warrants was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we are required to account for the common warrants as liabilities and record them at fair value, while the pre-funded warrants met the criteria to be classified as permanent equity. We recorded the fair value of the common warrants of $40.7 million upon issuance using the Black-Scholes valuation model. The common warrants were revalued as of December 31, 2019 at $41.5 million; the change in fair value of $0.9 million was recorded in our statement of operations for the year ended December 31, 2019.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that were accrued at December 31, 2019.</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Pursuant to the Registration Rights Agreement, the Company agreed to prepare and file a registration statement with the Securities and Exchange Commission (the “SEC”) within 45 days after the closing of the Offering for purposes of registering the resale of the Shares, shares of Common Stock issuable upon exercise of the Warrants, and any shares of Common Stock issued as a dividend or other distribution with respect to the Shares or shares of Common Stock issuable upon exercise of the Warrants. If the Company did not file such registration statement by the 45-day filing deadline, the Company would have been required to make pro-rata payments to each investor in an amount equal to 1% of the aggregate amount paid pursuant to the stock purchase agreement entered into by such investor for each 30-day period or pro-rata portion thereof following the filing deadline. The Company filed a registration statement on Form S-3 on January 29, 2020, which became effective on February 6, 2020, so no such payments were required.</w:t>
      </w:r>
    </w:p>
    <w:p>
      <w:pPr>
        <w:spacing w:after="0" w:line="16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agreed, among other things,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2019 Financing</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August 19, 2019, the Company sold 3,178,174 shares of its common stock pursuant to a stock purchase agreement (the "2019 Private Placement") to individual investors, including certain executive officers and members of the board of directors of the Company for aggregate net proceeds of approximately $5.7 million, after deducting transaction costs, at a purchase price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665" w:right="33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18"/>
          <w:szCs w:val="18"/>
          <w:color w:val="auto"/>
        </w:rPr>
        <w:t>equal to $1.81 per share, which was equal to the most recent consolidated closing bid price on the Nasdaq Global Market on August 19, 2019. The shares in the 2019 Private Placement were issued as “restricted securities” (as defined in Rule 144 of the Securities Act) and carry no registration rights that require or permit the filing of any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2019 Financing</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On January 25, 2019, the Company completed an underwritten public offering (the “2019 Follow-On”) of 20,000,000 shares of its common stock at a public offering price of $1.50 per share. On January 29, 2019, an additional 2,188,706 shares were sold at a public offering price of $1.50 per share pursuant to the underwriters’ exercise of an over allotment option. The total net proceeds from the offering were $30.9 million, after deducting underwriting discounts, transaction costs and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“At-the-Market” Offerings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Concurrent with the filing of the shelf registration statement, the Company entered into a sales agreement (the “Sales Agreement”) with Jefferies LLC, as sales agent, pursuant to which the Company may, from time to time, issue and sell common stock with an aggregate value of up to $50 million in an "at-the-market" offering.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Sales of common stock, if any, pursuant to the Sales Agreement, may be made in sales deemed to be an “at the market offering” as defined in Rule 415(a) of the Securities Act, including sales made directly through the Nasdaq Global Market or on any other existing trading market for the Company’s common stock. The Company intends to use the proceeds from the offering for working capital and other general corporate purposes. The Company may suspend or terminate the Sales Agreement at any time.</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year ended December 31, 2019, the Company sold 615,453 shares of its common stock pursuant to the Sales Agreement at an average price of approximately $1.84 per share for aggregate net proceeds of $1.0 million, after deducting commissions and other transaction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2017 Shelf Registration Statement</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an aggregate amount of up to $200.0 million of certain of our securities. The shelf registration statement was declared effective by the SEC on August 28,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Financing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16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On June 27, 2017, in connection with the 2017 PIPE, the Company entered into a Registration Rights Agreement (the “Registration Rights Agreement”) with the Institutional Investors and Dr. Springer. Pursuant to the Registration Rights Agreement, the Company agreed to prepare and file a registration statement with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2017 PIPE registration statement was declared effective by the SEC on July 21, 2017.</w:t>
      </w:r>
    </w:p>
    <w:p>
      <w:pPr>
        <w:spacing w:after="0" w:line="16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warrant activity for the years ended December 31, 2019, 2018 and 2017 as follows: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665"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Number of Warrants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Equity classified</w:t>
            </w:r>
          </w:p>
        </w:tc>
        <w:tc>
          <w:tcPr>
            <w:tcW w:w="17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Liability classified</w:t>
            </w: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300" w:type="dxa"/>
            <w:vAlign w:val="bottom"/>
          </w:tcPr>
          <w:p>
            <w:pPr>
              <w:jc w:val="right"/>
              <w:ind w:right="108"/>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6"/>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2017</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70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Issuance</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Exercises</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Expirations/ cancellations</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(80,813)</w:t>
            </w:r>
          </w:p>
        </w:tc>
        <w:tc>
          <w:tcPr>
            <w:tcW w:w="1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7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Issuance</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8,342,128</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22,988,501</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31,330,629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Exercises</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Expirations/ cancellations</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2019</w:t>
            </w:r>
          </w:p>
        </w:tc>
        <w:tc>
          <w:tcPr>
            <w:tcW w:w="1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8,437,747</w:t>
            </w:r>
          </w:p>
        </w:tc>
        <w:tc>
          <w:tcPr>
            <w:tcW w:w="170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22,988,501</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of December 31, 2019, the Company had 200,000,000 shares of common stock authorized for issuance, $0.0001 par value per share, with 86,325,547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December 31, 2019,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ending</w:t>
            </w:r>
          </w:p>
        </w:tc>
      </w:tr>
      <w:tr>
        <w:trPr>
          <w:trHeight w:val="250"/>
        </w:trPr>
        <w:tc>
          <w:tcPr>
            <w:tcW w:w="7780" w:type="dxa"/>
            <w:vAlign w:val="bottom"/>
          </w:tcPr>
          <w:p>
            <w:pPr>
              <w:spacing w:after="0"/>
              <w:rPr>
                <w:sz w:val="21"/>
                <w:szCs w:val="21"/>
                <w:color w:val="auto"/>
              </w:rPr>
            </w:pPr>
          </w:p>
        </w:tc>
        <w:tc>
          <w:tcPr>
            <w:tcW w:w="17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2019</w:t>
            </w:r>
          </w:p>
        </w:tc>
        <w:tc>
          <w:tcPr>
            <w:tcW w:w="16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and pre-funded warrants</w:t>
            </w: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c>
          <w:tcPr>
            <w:tcW w:w="10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95,619</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1,765,018</w:t>
            </w:r>
          </w:p>
        </w:tc>
        <w:tc>
          <w:tcPr>
            <w:tcW w:w="10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1,586,925</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181,250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175,000</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6,796,669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4,093,979</w:t>
            </w:r>
          </w:p>
        </w:tc>
      </w:tr>
      <w:tr>
        <w:trPr>
          <w:trHeight w:val="21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40,169,185</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5,951,523</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320" w:firstLine="8"/>
        <w:spacing w:after="0" w:line="503" w:lineRule="auto"/>
        <w:tabs>
          <w:tab w:leader="none" w:pos="2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ind w:right="180"/>
        <w:spacing w:after="0" w:line="219" w:lineRule="exact"/>
        <w:rPr>
          <w:sz w:val="20"/>
          <w:szCs w:val="20"/>
          <w:color w:val="auto"/>
        </w:rPr>
      </w:pPr>
      <w:r>
        <w:rPr>
          <w:rFonts w:ascii="Arial" w:cs="Arial" w:eastAsia="Arial" w:hAnsi="Arial"/>
          <w:sz w:val="16"/>
          <w:szCs w:val="16"/>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886" w:right="339" w:bottom="835" w:gutter="0" w:footer="0" w:header="0"/>
        </w:sectPr>
      </w:pPr>
    </w:p>
    <w:bookmarkStart w:id="121" w:name="page122"/>
    <w:bookmarkEnd w:id="121"/>
    <w:p>
      <w:pPr>
        <w:ind w:right="380"/>
        <w:spacing w:after="0" w:line="277" w:lineRule="auto"/>
        <w:rPr>
          <w:sz w:val="20"/>
          <w:szCs w:val="20"/>
          <w:color w:val="auto"/>
        </w:rPr>
      </w:pPr>
      <w:r>
        <w:rPr>
          <w:rFonts w:ascii="Arial" w:cs="Arial" w:eastAsia="Arial" w:hAnsi="Arial"/>
          <w:sz w:val="18"/>
          <w:szCs w:val="18"/>
          <w:color w:val="auto"/>
        </w:rPr>
        <w:t>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170"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year ended December 31, 2019 and 2018, the number of shares of common stock that may be issued under the 2016 Plan was increased by 898,871 shares and 893,730 shares, respectively. As of December 31, 2019, 267,612 shares remain available for future issuance under the 2016 Plan.</w:t>
      </w:r>
    </w:p>
    <w:p>
      <w:pPr>
        <w:spacing w:after="0" w:line="2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 reserve an additional 2,000,000 shares of the Company’s common stock for issuance thereunder. As of December 31, 2019, there are 750,000 shares available for future grant under the Inducement Incentive Award Plan.</w:t>
      </w:r>
    </w:p>
    <w:p>
      <w:pPr>
        <w:spacing w:after="0" w:line="166"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fair value of each option award was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only on awards that are expected to vest.</w:t>
      </w:r>
    </w:p>
    <w:p>
      <w:pPr>
        <w:spacing w:after="0" w:line="2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64"/>
        </w:trPr>
        <w:tc>
          <w:tcPr>
            <w:tcW w:w="826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w:t>
            </w:r>
          </w:p>
        </w:tc>
      </w:tr>
      <w:tr>
        <w:trPr>
          <w:trHeight w:val="264"/>
        </w:trPr>
        <w:tc>
          <w:tcPr>
            <w:tcW w:w="826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84.52%</w:t>
            </w:r>
          </w:p>
        </w:tc>
      </w:tr>
      <w:tr>
        <w:trPr>
          <w:trHeight w:val="27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15.32</w:t>
            </w:r>
          </w:p>
        </w:tc>
      </w:tr>
    </w:tbl>
    <w:p>
      <w:pPr>
        <w:spacing w:after="0" w:line="200" w:lineRule="exact"/>
        <w:rPr>
          <w:sz w:val="20"/>
          <w:szCs w:val="20"/>
          <w:color w:val="auto"/>
        </w:rPr>
      </w:pPr>
    </w:p>
    <w:p>
      <w:pPr>
        <w:spacing w:after="0" w:line="21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weighted average grant date fair value of stock options granted to employees during the years ended December 31, 2019, 2018 and 2017 was $1.47, $6.17, and $10.97 respectively. The aggregate intrinsic value of stock options exercised during the years ended December 31, 2019, 2018 and 2017 was $0.1 million, $0.6 million, and $2.6 million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665" w:right="339" w:bottom="1440" w:gutter="0" w:footer="0" w:header="0"/>
        </w:sectPr>
      </w:pPr>
    </w:p>
    <w:bookmarkStart w:id="122" w:name="page123"/>
    <w:bookmarkEnd w:id="122"/>
    <w:p>
      <w:pPr>
        <w:ind w:right="120"/>
        <w:spacing w:after="0" w:line="342" w:lineRule="auto"/>
        <w:rPr>
          <w:sz w:val="20"/>
          <w:szCs w:val="20"/>
          <w:color w:val="auto"/>
        </w:rPr>
      </w:pPr>
      <w:r>
        <w:rPr>
          <w:rFonts w:ascii="Arial" w:cs="Arial" w:eastAsia="Arial" w:hAnsi="Arial"/>
          <w:sz w:val="16"/>
          <w:szCs w:val="16"/>
          <w:color w:val="auto"/>
        </w:rPr>
        <w:t>As of December 31, 2019 and December 31, 2018, total unrecognized compensation expense related to unvested employee stock options was $9.8 million and $9.8 million, respectively, which is expected to be recognized over a weighted average period of 2.5 years and 3.1 years, respectively.</w:t>
      </w:r>
    </w:p>
    <w:p>
      <w:pPr>
        <w:spacing w:after="0" w:line="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Effective November 20, 2019, the Company amended the terms of the options granted to a non-employee director in connection with his resignation from the board of directors, whereby he was entitled to receive immediate vesting of his outstanding, unvested stock options (141,328 shares), provided that the options will become exercisable in accordance with their original vesting schedules irrespective of his termination of service, and an extension of the right to exercise each of his vested stock options (234,772 shares) until the final expiration date of the applicable option, resulting in a modification. The subsequent stock-based compensation amount recognized as of December 31, 2019 was $0.1 million.</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grant date fair values of non-employee stock option awards granted under the 2016 Plan were calculated using the Black-Scholes option pricing model, based on the following weighted-average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5"/>
              </w:rPr>
              <w:t>Year Ended December 31,</w:t>
            </w:r>
          </w:p>
        </w:tc>
        <w:tc>
          <w:tcPr>
            <w:tcW w:w="680" w:type="dxa"/>
            <w:vAlign w:val="bottom"/>
            <w:tcBorders>
              <w:bottom w:val="single" w:sz="8" w:color="auto"/>
            </w:tcBorders>
          </w:tcPr>
          <w:p>
            <w:pPr>
              <w:spacing w:after="0"/>
              <w:rPr>
                <w:sz w:val="16"/>
                <w:szCs w:val="16"/>
                <w:color w:val="auto"/>
              </w:rPr>
            </w:pPr>
          </w:p>
        </w:tc>
      </w:tr>
      <w:tr>
        <w:trPr>
          <w:trHeight w:val="263"/>
        </w:trPr>
        <w:tc>
          <w:tcPr>
            <w:tcW w:w="8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5.33</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940" w:type="dxa"/>
            <w:vAlign w:val="bottom"/>
          </w:tcPr>
          <w:p>
            <w:pPr>
              <w:jc w:val="right"/>
              <w:spacing w:after="0"/>
              <w:rPr>
                <w:sz w:val="20"/>
                <w:szCs w:val="20"/>
                <w:color w:val="auto"/>
              </w:rPr>
            </w:pPr>
            <w:r>
              <w:rPr>
                <w:rFonts w:ascii="Arial" w:cs="Arial" w:eastAsia="Arial" w:hAnsi="Arial"/>
                <w:sz w:val="14"/>
                <w:szCs w:val="14"/>
                <w:color w:val="auto"/>
              </w:rPr>
              <w:t>88.60%</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grant date fair value of stock options granted to non-employees during the years ended December 31, 2019 and 2018 was $1.32 and $6.78, respectively.</w:t>
      </w:r>
    </w:p>
    <w:p>
      <w:pPr>
        <w:spacing w:after="0" w:line="170" w:lineRule="exact"/>
        <w:rPr>
          <w:sz w:val="20"/>
          <w:szCs w:val="20"/>
          <w:color w:val="auto"/>
        </w:rPr>
      </w:pPr>
    </w:p>
    <w:p>
      <w:pPr>
        <w:ind w:right="220"/>
        <w:spacing w:after="0" w:line="224" w:lineRule="exact"/>
        <w:rPr>
          <w:sz w:val="20"/>
          <w:szCs w:val="20"/>
          <w:color w:val="auto"/>
        </w:rPr>
      </w:pPr>
      <w:r>
        <w:rPr>
          <w:rFonts w:ascii="Arial" w:cs="Arial" w:eastAsia="Arial" w:hAnsi="Arial"/>
          <w:sz w:val="16"/>
          <w:szCs w:val="16"/>
          <w:color w:val="auto"/>
        </w:rPr>
        <w:t>As of December 31, 2019 and 2018 total unrecognized compensation expense related to unvested non</w:t>
      </w:r>
      <w:r>
        <w:rPr>
          <w:rFonts w:ascii="MS PGothic" w:cs="MS PGothic" w:eastAsia="MS PGothic" w:hAnsi="MS PGothic"/>
          <w:sz w:val="16"/>
          <w:szCs w:val="16"/>
          <w:color w:val="auto"/>
        </w:rPr>
        <w:t>‑</w:t>
      </w:r>
      <w:r>
        <w:rPr>
          <w:rFonts w:ascii="Arial" w:cs="Arial" w:eastAsia="Arial" w:hAnsi="Arial"/>
          <w:sz w:val="16"/>
          <w:szCs w:val="16"/>
          <w:color w:val="auto"/>
        </w:rPr>
        <w:t>employee stock options was less than $0.1 million and $1.1 million, respectively, which is expected to be recognized over a weighted average period of 0.4 years and 2.2 years,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2016 Plan, and 2018 Inducement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0"/>
        </w:trPr>
        <w:tc>
          <w:tcPr>
            <w:tcW w:w="4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23"/>
                <w:szCs w:val="23"/>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62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62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 price ($)</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3,681,575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3,876,255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(125,600)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(1,108,634)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6,323,596</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1,716</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1,485,228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December 31, 2019</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5,843,053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r>
      <w:tr>
        <w:trPr>
          <w:trHeight w:val="283"/>
        </w:trPr>
        <w:tc>
          <w:tcPr>
            <w:tcW w:w="4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62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412,404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330,528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December 31, 2019</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During the first quarter of 2019, the Company awarded 100,000 restricted stock units under the Inducement Incentive Award Plan, of which 50,000 were determined to be granted and 50,000 were reserved for issuance consistent with ASC Topic 718, </w:t>
      </w:r>
      <w:r>
        <w:rPr>
          <w:rFonts w:ascii="Arial" w:cs="Arial" w:eastAsia="Arial" w:hAnsi="Arial"/>
          <w:sz w:val="18"/>
          <w:szCs w:val="18"/>
          <w:i w:val="1"/>
          <w:iCs w:val="1"/>
          <w:color w:val="auto"/>
        </w:rPr>
        <w:t>Compensation-Stock Compensation (ASC 718)</w:t>
      </w:r>
      <w:r>
        <w:rPr>
          <w:rFonts w:ascii="Arial" w:cs="Arial" w:eastAsia="Arial" w:hAnsi="Arial"/>
          <w:sz w:val="18"/>
          <w:szCs w:val="18"/>
          <w:color w:val="auto"/>
        </w:rPr>
        <w:t>. The 50,000 granted restricted stock units had a fair value of $2.29 per share based on the closing price of the Company’s common stock on the date of grant. These restricted stock units were valued at approximately $0.1 million, and will vest on the date an applicable performance condition is achieved on or prior to December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665" w:right="339" w:bottom="1037"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31, 2020. If the performance condition is not satisfied on or prior to December 31, 2020, the restricted stock units will be forfeited for no consideration.</w:t>
      </w:r>
    </w:p>
    <w:p>
      <w:pPr>
        <w:spacing w:after="0" w:line="2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50,000 reserved restricted stock units did not have defined performance criteria until August 6, 2019, at which time, they were deemed both granted and vested. These restricted stock units had a fair value of $1.65 per share. These restricted stock units were valued at approximately $0.1 million and fully expensed as of December 31, 2019.</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Unrecognized compensation expense for the restricted stock units was $0.8 million as of December 31, 2019, which is expected to be recognized over a weighted 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w w:val="99"/>
              </w:rPr>
              <w:t>fair value ($)</w:t>
            </w:r>
          </w:p>
        </w:tc>
        <w:tc>
          <w:tcPr>
            <w:tcW w:w="0" w:type="dxa"/>
            <w:vAlign w:val="bottom"/>
          </w:tcPr>
          <w:p>
            <w:pPr>
              <w:spacing w:after="0"/>
              <w:rPr>
                <w:sz w:val="1"/>
                <w:szCs w:val="1"/>
                <w:color w:val="auto"/>
              </w:rPr>
            </w:pPr>
          </w:p>
        </w:tc>
      </w:tr>
      <w:tr>
        <w:trPr>
          <w:trHeight w:val="256"/>
        </w:trPr>
        <w:tc>
          <w:tcPr>
            <w:tcW w:w="8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December 31, 2018</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December 31, 2019</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Under the ESPP, the Company has set two six-month offering periods during each calendar year, one beginning March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and the other beginning September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year ended December 31, 2019 and 2018, the number of shares of common stock that may be issued under the ESPP was increased by 224,717 shares and 223,432 shares, respectively. During the year ended December 31, 2019, the Company issued 17,205 shares of common stock under the ESPP. As of December 31, 2019, 747,406 shares remain available for future issuance under the ESPP.</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each of the years ended December 31, 2019 and 2018, the Company recognized less than $0.1 million of stock-based compensation expense under the ESPP.</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1,779</w:t>
            </w: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2,302</w:t>
            </w: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Arrangements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665" w:right="339" w:bottom="1440" w:gutter="0" w:footer="0" w:header="0"/>
        </w:sectPr>
      </w:pPr>
    </w:p>
    <w:bookmarkStart w:id="124" w:name="page125"/>
    <w:bookmarkEnd w:id="124"/>
    <w:p>
      <w:pPr>
        <w:ind w:right="60"/>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which is also referred to herein as "legacy GAAP" or the "previous guidance". The adoption of ASC 606 represents a change in accounting principle that will more closely align revenue recognition with the delivery of the Company's services and will provide financial statement readers with enhanced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Company recorded an adjustment to long term deferred revenue and accumulated deficit totaling $1.8 million. In connection with the adoption of ASC 606, the Company identified three collaboration/grant arrangements that required analysis to quantify the impact of adoption to its opening accumulated deficit balance as of January 1, 2018: Spark Therapeutics, Inc., Skolkovo Foundation and National Institutes of Health.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referred to as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1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AskBio License Agreement, the Company will supply AskBio with its ImmTOR platform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determined that the AskBio License was not capable of being distinct from the Supply Obligation. The Company has concluded that AskBio cannot derive benefit from the license without the simultaneous transfer of the patent protected ImmTOR supply. Therefore, the License Obligation and Supply Obligation represent the only promise in the arrangement and are combined as a single performance obligation (the “AskBio License and Supply Obligation”).</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December 31, 2019, all milestones were constrained. The Company will re-evaluate the transaction price in each reporting period, as uncertain events are resolved, or as other changes in circumstances occur.</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total initial transaction price of the contract on the effective date is $7.0 million, which is comprised of the $2.0 million initial up-front payment upon agreement of terms, and $5.0 million initial up-front execution fee. The $5.0 million execution fee became billable on the effective date and is recorded on the balance sheet as a receivable and a corresponding contract liability as of December 31, 2019.</w:t>
      </w:r>
    </w:p>
    <w:p>
      <w:pPr>
        <w:spacing w:after="0" w:line="18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December 31, 2019, the Company recorded $1.7 million as a short-term contract liability and $5.3 million as a long-term contract liability representing deferred revenue associated with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665" w:right="359" w:bottom="1440" w:gutter="0" w:footer="0" w:header="0"/>
        </w:sectPr>
      </w:pPr>
    </w:p>
    <w:bookmarkStart w:id="125" w:name="page126"/>
    <w:bookmarkEnd w:id="125"/>
    <w:p>
      <w:pPr>
        <w:ind w:right="100"/>
        <w:spacing w:after="0" w:line="279" w:lineRule="auto"/>
        <w:rPr>
          <w:sz w:val="20"/>
          <w:szCs w:val="20"/>
          <w:color w:val="auto"/>
        </w:rPr>
      </w:pPr>
      <w:r>
        <w:rPr>
          <w:rFonts w:ascii="Arial" w:cs="Arial" w:eastAsia="Arial" w:hAnsi="Arial"/>
          <w:sz w:val="17"/>
          <w:szCs w:val="17"/>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platform for up to four additional targets. The Company was eligible to receive a variable fee up to $2.0 million for each additional target option elected, dependent on the incidence of the applicable indication. The election period in which Spark could have exercised additional targets under the Spark License Agreement was a term of three years from the Contract Date, which expired on December 1, 2019.</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Beyond the Initial Closing, the Spark Purchase Agreement contemplated potential future sales of shares by the Company to Spark as follows:</w:t>
      </w:r>
    </w:p>
    <w:p>
      <w:pPr>
        <w:spacing w:after="0" w:line="237" w:lineRule="exact"/>
        <w:rPr>
          <w:sz w:val="20"/>
          <w:szCs w:val="20"/>
          <w:color w:val="auto"/>
        </w:rPr>
      </w:pPr>
    </w:p>
    <w:p>
      <w:pPr>
        <w:ind w:left="660" w:right="46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23"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Under the Spark Purchase Agreement, Spark agreed not to dispose of any of the shares acquired at either the Initial Closing or the from the subsequent Acquisition Rights that it may acquire until January 1, 2018 and, thereafter, transfers are contractually subject to volume limitations applicable to an “affiliate” under Rule 144 of the Securities Act.</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665" w:right="339" w:bottom="1440" w:gutter="0" w:footer="0" w:header="0"/>
        </w:sectPr>
      </w:pPr>
    </w:p>
    <w:bookmarkStart w:id="126" w:name="page127"/>
    <w:bookmarkEnd w:id="126"/>
    <w:p>
      <w:pPr>
        <w:spacing w:after="0" w:line="257" w:lineRule="auto"/>
        <w:rPr>
          <w:sz w:val="20"/>
          <w:szCs w:val="20"/>
          <w:color w:val="auto"/>
        </w:rPr>
      </w:pPr>
      <w:r>
        <w:rPr>
          <w:rFonts w:ascii="Arial" w:cs="Arial" w:eastAsia="Arial" w:hAnsi="Arial"/>
          <w:sz w:val="18"/>
          <w:szCs w:val="18"/>
          <w:color w:val="auto"/>
        </w:rPr>
        <w:t>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identified the following components of the agreement: (1) certain exclusive, worldwide, royalty bearing licenses to the Company’s intellectual property and a license to conduct certain research activities under the collaboration, (the "Spark License"), (2) options to research, develop and commercialize gene therapies utilizing the ImmTOR platform for up to four additional target therapy options, (the "Option Obligation"), (3) manufactured supply of ImmTOR, (the "Supply Obligation") at a discount. In exchange, the Company received an upfront payment of $15.0 million and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determined that the Spark License and Supply Obligation represent a single promise and performance obligation (the “Combined License and Supply Obligation”). This is because Spark cannot derive benefit from the license without the simultaneous transfer of the patent protected ImmTOR supply. The Company also determined that the Target Options, which includes the related Supply Obligation, provides the customer with a material right and is considered a performance obligation in the arrangement since it was priced at an incremental discount. Therefore, the Company determined that the Spark agreement contains five distinct performance obligations: the Combined License and Supply Obligation, and the four separate Target Options.</w:t>
      </w:r>
    </w:p>
    <w:p>
      <w:pPr>
        <w:spacing w:after="0" w:line="16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December 31, 2019, all future milestones are constrained. The Company will re-evaluate the transaction price in each reporting period, as uncertain events are resolved, or as other changes in circumstances occur.</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Target Options ($1.3 million for each option) using the relative standalone selling price method to each obligation. The standalone selling price for the Combined License and Supply Obligation was determined using a discounted cash flow model. The standalone selling price for the Target Options were determined based on the fair value of the license minus the strike price of the option (the probability of exercise was included in the valuation) as well as the estimated discount of the Supply Obligation.</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estimated proceeds expected to be received from the sale of the Supply Obligation were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was initially estimated to be approximately four years.</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On December 1, 2019, the term for Spark to exercise additional target options expired; the Company recognized $6.7 million in revenue from deferred revenue as originally allocated. In addition, during the year ended December 31, 2019, there were two deliveries resulting in less than $0.1 million of revenue recognized. No revenue related to the Spark License Agreement was recognized during the year ended December 31, 2018.</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2019, there was a contract liability of $9.2 million representing deferred revenue presented as non-current associated with this agreement. As of December 31, 2018, there was $14.7 million of deferred revenue related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320" w:top="665" w:right="379" w:bottom="1440" w:gutter="0" w:footer="0" w:header="0"/>
        </w:sectPr>
      </w:pPr>
    </w:p>
    <w:bookmarkStart w:id="127" w:name="page128"/>
    <w:bookmarkEnd w:id="127"/>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 (deficit).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17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has received grant funding from the Russia-based Development Fund of New Technologies Development and Commercialization Center ("Skolkovo"). From grant inception through December 31, 2019, the Company received $2.0 million from Skolkovo.</w:t>
      </w:r>
    </w:p>
    <w:p>
      <w:pPr>
        <w:spacing w:after="0" w:line="14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December 31, 2019,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Remaining performance obligations represent the transaction price of contracts for which work has not been performed (or has been partially performed). As of December 31, 2019, the aggregate amount of the transaction price allocated to remaining performance obligations was $9.2 million. The Company does not expect to recognize revenue on the remaining performance obligations over the next 12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AskBio, Spark and Skolkovo Foundation</w:t>
      </w:r>
      <w:r>
        <w:rPr>
          <w:rFonts w:ascii="Arial" w:cs="Arial" w:eastAsia="Arial" w:hAnsi="Arial"/>
          <w:sz w:val="18"/>
          <w:szCs w:val="18"/>
          <w:b w:val="1"/>
          <w:bCs w:val="1"/>
          <w:color w:val="auto"/>
        </w:rPr>
        <w: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320" w:top="665"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The following table presents changes in the Company’s contract liabilities during the year ended December 31,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Pr>
          <w:p>
            <w:pPr>
              <w:spacing w:after="0"/>
              <w:rPr>
                <w:sz w:val="24"/>
                <w:szCs w:val="2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24"/>
                <w:szCs w:val="24"/>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end of period</w:t>
            </w:r>
          </w:p>
        </w:tc>
      </w:tr>
      <w:tr>
        <w:trPr>
          <w:trHeight w:val="270"/>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3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14,777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16,354</w:t>
            </w:r>
          </w:p>
        </w:tc>
      </w:tr>
      <w:tr>
        <w:trPr>
          <w:trHeight w:val="264"/>
        </w:trPr>
        <w:tc>
          <w:tcPr>
            <w:tcW w:w="3280" w:type="dxa"/>
            <w:vAlign w:val="bottom"/>
          </w:tcPr>
          <w:p>
            <w:pPr>
              <w:ind w:left="220"/>
              <w:spacing w:after="0"/>
              <w:rPr>
                <w:sz w:val="20"/>
                <w:szCs w:val="20"/>
                <w:color w:val="auto"/>
              </w:rPr>
            </w:pPr>
            <w:r>
              <w:rPr>
                <w:rFonts w:ascii="Arial" w:cs="Arial" w:eastAsia="Arial" w:hAnsi="Arial"/>
                <w:sz w:val="14"/>
                <w:szCs w:val="14"/>
                <w:color w:val="auto"/>
              </w:rPr>
              <w:t>Other liabilities (1)</w:t>
            </w:r>
          </w:p>
        </w:tc>
        <w:tc>
          <w:tcPr>
            <w:tcW w:w="220" w:type="dxa"/>
            <w:vAlign w:val="bottom"/>
          </w:tcPr>
          <w:p>
            <w:pPr>
              <w:spacing w:after="0"/>
              <w:rPr>
                <w:sz w:val="22"/>
                <w:szCs w:val="22"/>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2,126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2"/>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16,354</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520" w:firstLine="8"/>
        <w:spacing w:after="0" w:line="273" w:lineRule="auto"/>
        <w:tabs>
          <w:tab w:leader="none" w:pos="204"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17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2019, the Company completed the 2019 Purchase Agreement, 2019 Private Placement, and the 2019 Follow-On. The following tables set forth the number of shares of common stock, common warrants, and pre-funded warrants purchased by executive officers and members of the board of directors of the Company (and related parties thereto), as described in Note 10.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2019 Purchase Agreement</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Shares of common</w:t>
            </w:r>
          </w:p>
        </w:tc>
        <w:tc>
          <w:tcPr>
            <w:tcW w:w="1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Common warrants</w:t>
            </w:r>
          </w:p>
        </w:tc>
        <w:tc>
          <w:tcPr>
            <w:tcW w:w="100" w:type="dxa"/>
            <w:vAlign w:val="bottom"/>
          </w:tcPr>
          <w:p>
            <w:pPr>
              <w:spacing w:after="0"/>
              <w:rPr>
                <w:sz w:val="13"/>
                <w:szCs w:val="13"/>
                <w:color w:val="auto"/>
              </w:rPr>
            </w:pPr>
          </w:p>
        </w:tc>
        <w:tc>
          <w:tcPr>
            <w:tcW w:w="1680" w:type="dxa"/>
            <w:vAlign w:val="bottom"/>
          </w:tcPr>
          <w:p>
            <w:pPr>
              <w:jc w:val="right"/>
              <w:ind w:right="66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 purchased</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to be purchased</w:t>
            </w:r>
          </w:p>
        </w:tc>
        <w:tc>
          <w:tcPr>
            <w:tcW w:w="100" w:type="dxa"/>
            <w:vAlign w:val="bottom"/>
          </w:tcPr>
          <w:p>
            <w:pPr>
              <w:spacing w:after="0"/>
              <w:rPr>
                <w:sz w:val="16"/>
                <w:szCs w:val="16"/>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aggregate purchase price</w:t>
            </w:r>
          </w:p>
        </w:tc>
        <w:tc>
          <w:tcPr>
            <w:tcW w:w="0" w:type="dxa"/>
            <w:vAlign w:val="bottom"/>
          </w:tcPr>
          <w:p>
            <w:pPr>
              <w:spacing w:after="0"/>
              <w:rPr>
                <w:sz w:val="1"/>
                <w:szCs w:val="1"/>
                <w:color w:val="auto"/>
              </w:rPr>
            </w:pPr>
          </w:p>
        </w:tc>
      </w:tr>
      <w:tr>
        <w:trPr>
          <w:trHeight w:val="256"/>
        </w:trPr>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TAS Partners, LLC</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3,940,887</w:t>
            </w:r>
          </w:p>
        </w:tc>
        <w:tc>
          <w:tcPr>
            <w:tcW w:w="12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1,970,443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rPr>
              <w:t>Carrie S. Cox</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65,681</w:t>
            </w:r>
          </w:p>
        </w:tc>
        <w:tc>
          <w:tcPr>
            <w:tcW w:w="12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32,840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99,999</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Timothy Barabe</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65,681</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99,999</w:t>
            </w:r>
          </w:p>
        </w:tc>
        <w:tc>
          <w:tcPr>
            <w:tcW w:w="0" w:type="dxa"/>
            <w:vAlign w:val="bottom"/>
          </w:tcPr>
          <w:p>
            <w:pPr>
              <w:spacing w:after="0"/>
              <w:rPr>
                <w:sz w:val="1"/>
                <w:szCs w:val="1"/>
                <w:color w:val="auto"/>
              </w:rPr>
            </w:pPr>
          </w:p>
        </w:tc>
      </w:tr>
      <w:tr>
        <w:trPr>
          <w:trHeight w:val="258"/>
        </w:trPr>
        <w:tc>
          <w:tcPr>
            <w:tcW w:w="5640" w:type="dxa"/>
            <w:vAlign w:val="bottom"/>
          </w:tcPr>
          <w:p>
            <w:pPr>
              <w:ind w:left="40"/>
              <w:spacing w:after="0"/>
              <w:rPr>
                <w:sz w:val="20"/>
                <w:szCs w:val="20"/>
                <w:color w:val="auto"/>
              </w:rPr>
            </w:pPr>
            <w:r>
              <w:rPr>
                <w:rFonts w:ascii="Arial" w:cs="Arial" w:eastAsia="Arial" w:hAnsi="Arial"/>
                <w:sz w:val="14"/>
                <w:szCs w:val="14"/>
                <w:color w:val="auto"/>
              </w:rPr>
              <w:t>Scott D. Myers</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39,409</w:t>
            </w:r>
          </w:p>
        </w:tc>
        <w:tc>
          <w:tcPr>
            <w:tcW w:w="12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19,704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2019 Private Placement</w:t>
            </w:r>
          </w:p>
        </w:tc>
        <w:tc>
          <w:tcPr>
            <w:tcW w:w="0" w:type="dxa"/>
            <w:vAlign w:val="bottom"/>
          </w:tcPr>
          <w:p>
            <w:pPr>
              <w:spacing w:after="0"/>
              <w:rPr>
                <w:sz w:val="1"/>
                <w:szCs w:val="1"/>
                <w:color w:val="auto"/>
              </w:rPr>
            </w:pPr>
          </w:p>
        </w:tc>
      </w:tr>
      <w:tr>
        <w:trPr>
          <w:trHeight w:val="152"/>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Shares of common</w:t>
            </w:r>
          </w:p>
        </w:tc>
        <w:tc>
          <w:tcPr>
            <w:tcW w:w="260" w:type="dxa"/>
            <w:vAlign w:val="bottom"/>
          </w:tcPr>
          <w:p>
            <w:pPr>
              <w:spacing w:after="0"/>
              <w:rPr>
                <w:sz w:val="13"/>
                <w:szCs w:val="13"/>
                <w:color w:val="auto"/>
              </w:rPr>
            </w:pPr>
          </w:p>
        </w:tc>
        <w:tc>
          <w:tcPr>
            <w:tcW w:w="1520" w:type="dxa"/>
            <w:vAlign w:val="bottom"/>
          </w:tcPr>
          <w:p>
            <w:pPr>
              <w:jc w:val="right"/>
              <w:ind w:right="66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 purchased</w:t>
            </w:r>
          </w:p>
        </w:tc>
        <w:tc>
          <w:tcPr>
            <w:tcW w:w="260" w:type="dxa"/>
            <w:vAlign w:val="bottom"/>
          </w:tcPr>
          <w:p>
            <w:pPr>
              <w:spacing w:after="0"/>
              <w:rPr>
                <w:sz w:val="16"/>
                <w:szCs w:val="16"/>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256"/>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Timothy A. Springer, Ph.D.</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1,600,000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2,896,000</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TAS Partners, LLC (affiliate of Timothy A. Springer, Ph.D.)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1,100,000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1,991,000</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Elona Kogan, J.D.</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149,998</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Patrick Zenner</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55,248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99,999</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Takashi Kei Kishimoto, Ph.D.</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90,500</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Carsten Brunn, Ph.D.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41,436</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74,999</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Scott D. Myers</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74,999</w:t>
            </w:r>
          </w:p>
        </w:tc>
        <w:tc>
          <w:tcPr>
            <w:tcW w:w="0" w:type="dxa"/>
            <w:vAlign w:val="bottom"/>
          </w:tcPr>
          <w:p>
            <w:pPr>
              <w:spacing w:after="0"/>
              <w:rPr>
                <w:sz w:val="1"/>
                <w:szCs w:val="1"/>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color w:val="auto"/>
              </w:rPr>
              <w:t>Stephen Smolinski</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13,812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 Follow-On</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Shares of common</w:t>
            </w:r>
          </w:p>
        </w:tc>
        <w:tc>
          <w:tcPr>
            <w:tcW w:w="440" w:type="dxa"/>
            <w:vAlign w:val="bottom"/>
          </w:tcPr>
          <w:p>
            <w:pPr>
              <w:spacing w:after="0"/>
              <w:rPr>
                <w:sz w:val="13"/>
                <w:szCs w:val="13"/>
                <w:color w:val="auto"/>
              </w:rPr>
            </w:pPr>
          </w:p>
        </w:tc>
        <w:tc>
          <w:tcPr>
            <w:tcW w:w="1340" w:type="dxa"/>
            <w:vAlign w:val="bottom"/>
          </w:tcPr>
          <w:p>
            <w:pPr>
              <w:jc w:val="right"/>
              <w:ind w:right="66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 purchased</w:t>
            </w:r>
          </w:p>
        </w:tc>
        <w:tc>
          <w:tcPr>
            <w:tcW w:w="44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w w:val="88"/>
              </w:rPr>
              <w:t>purchase price</w:t>
            </w:r>
          </w:p>
        </w:tc>
        <w:tc>
          <w:tcPr>
            <w:tcW w:w="0" w:type="dxa"/>
            <w:vAlign w:val="bottom"/>
          </w:tcPr>
          <w:p>
            <w:pPr>
              <w:spacing w:after="0"/>
              <w:rPr>
                <w:sz w:val="1"/>
                <w:szCs w:val="1"/>
                <w:color w:val="auto"/>
              </w:rPr>
            </w:pPr>
          </w:p>
        </w:tc>
      </w:tr>
      <w:tr>
        <w:trPr>
          <w:trHeight w:val="256"/>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Timothy A. Springer, Ph.D.</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Entities affiliated with Polaris</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666,666</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999,999</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Chafen Lu (Timothy A. Springer’s wife)</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66,666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99,999</w:t>
            </w:r>
          </w:p>
        </w:tc>
        <w:tc>
          <w:tcPr>
            <w:tcW w:w="0" w:type="dxa"/>
            <w:vAlign w:val="bottom"/>
          </w:tcPr>
          <w:p>
            <w:pPr>
              <w:spacing w:after="0"/>
              <w:rPr>
                <w:sz w:val="1"/>
                <w:szCs w:val="1"/>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color w:val="auto"/>
              </w:rPr>
              <w:t>Jed Springer (Timothy A. Springer’s brother)</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665" w:right="339" w:bottom="1440" w:gutter="0" w:footer="0" w:header="0"/>
        </w:sectPr>
      </w:pPr>
    </w:p>
    <w:bookmarkStart w:id="129" w:name="page130"/>
    <w:bookmarkEnd w:id="129"/>
    <w:p>
      <w:pPr>
        <w:ind w:right="20"/>
        <w:spacing w:after="0" w:line="255" w:lineRule="auto"/>
        <w:rPr>
          <w:sz w:val="20"/>
          <w:szCs w:val="20"/>
          <w:color w:val="auto"/>
        </w:rPr>
      </w:pPr>
      <w:r>
        <w:rPr>
          <w:rFonts w:ascii="Arial" w:cs="Arial" w:eastAsia="Arial" w:hAnsi="Arial"/>
          <w:sz w:val="18"/>
          <w:szCs w:val="18"/>
          <w:color w:val="auto"/>
        </w:rPr>
        <w:t>During 2018, the Company entered into an amended consulting agreement, (the "Consulting Agreement") with Dr. Omid Farokhzad, a member of its Board of Directors. The term of the amendment to the Consulting Agreement was April 1, 2018 to December 31, 2019, which extended the original consulting term for an additional nine months from March 31, 2019. Compensation included a $85,000 payment for the period beginning January 1, 2019 and ending December 31, 2019. The $85,000 was paid quarterly across the contract term in arrears beginning March 31, 2019. Included within this agreement, a stock option award of 75,000 shares was granted, with a weighted average grant date fair value of $4.35. Effective November 20, 2019, Dr. Farokhzad resigned as a member of its Board of Directors.</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Company incurred expenses for consulting services provided by its founders totaling $0.5 million, $0.2 million and $0.2 million during the years ended December 31, 2019, 2018 and 2017, respectively. The agreements associated with the above consulting services provided by its founders were terminated effective December 31, 2019. The Company entered into new agreements with its founders to serve roles on its Scientific Advisory Board, effective January 1, 2020 to December 31, 2021, under which they will be paid quarterly for their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6, 2019, the Company entered into a Feasibility Study and License Agreement with AskBio, which is referred to as the AskBio Collaboration Agreement. Pursuant to the AskBio Collaboration Agreement, the Company and AskBio agreed to license intellectual property rights to each other as part of a collaboration to research, develop, and commercialize certain adeno-associated virus (“AAV”) gene therapy products utilizing the Company’s ImmTOR platform to enable re-dosing of such AAV gene therapy products to treat serious rare and orphan genetic diseases for which there is a significant unmet medical need.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 of concept, and the parties do not mutually agree in writing to proceed with the collaboration, the AskBio Collaboration Agreement will expire.</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 manufactured supply of preclinical and clinical ImmTOR, (the “Manufactured Supply”), (5) participation on identified steering committees responsible for the oversight of the collaboration,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18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accordance with ASC 808, collaboration expenses are recognized within R&amp;D expense and selling, general and administrative expense on our condensed consolidated statements of operations. For the year ended December 31, 2019,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665" w:right="339" w:bottom="1440" w:gutter="0" w:footer="0" w:header="0"/>
        </w:sectPr>
      </w:pPr>
    </w:p>
    <w:bookmarkStart w:id="130" w:name="page131"/>
    <w:bookmarkEnd w:id="130"/>
    <w:p>
      <w:pPr>
        <w:ind w:right="80"/>
        <w:spacing w:after="0" w:line="277" w:lineRule="auto"/>
        <w:rPr>
          <w:sz w:val="20"/>
          <w:szCs w:val="20"/>
          <w:color w:val="auto"/>
        </w:rPr>
      </w:pPr>
      <w:r>
        <w:rPr>
          <w:rFonts w:ascii="Arial" w:cs="Arial" w:eastAsia="Arial" w:hAnsi="Arial"/>
          <w:sz w:val="18"/>
          <w:szCs w:val="18"/>
          <w:color w:val="auto"/>
        </w:rPr>
        <w:t>Company did not recognize any collaboration expense or record a receivable under the AskBio Collaboration Agreement in which actual costs incurred by both parties are an approximated 50% cost share.</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collaboration partners as reductions to R&amp;D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13, 2019, the Company entered into the Fourth Amendment (the MIT Amendment) to the Exclusive Patent License Agreement by and between the Company and the Massachusetts Institute of Technology (MIT) (the MIT Agreement). Pursuant to the MIT Amendment, a provision of the MIT Agreement under which the Company was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the Company provides MIT with an amended diligence plan.</w:t>
      </w:r>
    </w:p>
    <w:p>
      <w:pPr>
        <w:spacing w:after="0" w:line="192" w:lineRule="exact"/>
        <w:rPr>
          <w:sz w:val="20"/>
          <w:szCs w:val="20"/>
          <w:color w:val="auto"/>
        </w:rPr>
      </w:pPr>
    </w:p>
    <w:p>
      <w:pPr>
        <w:ind w:right="120"/>
        <w:spacing w:after="0" w:line="221" w:lineRule="exact"/>
        <w:rPr>
          <w:sz w:val="20"/>
          <w:szCs w:val="20"/>
          <w:color w:val="auto"/>
        </w:rPr>
      </w:pPr>
      <w:r>
        <w:rPr>
          <w:rFonts w:ascii="Arial" w:cs="Arial" w:eastAsia="Arial" w:hAnsi="Arial"/>
          <w:sz w:val="17"/>
          <w:szCs w:val="17"/>
          <w:color w:val="auto"/>
        </w:rPr>
        <w:t>On November 25, 2008, the Company entered into an Exclusive Patent License agreement with MIT, which is referred to as the Exclusive Patent License. The Company received an exclusive royalty</w:t>
      </w:r>
      <w:r>
        <w:rPr>
          <w:rFonts w:ascii="MS PGothic" w:cs="MS PGothic" w:eastAsia="MS PGothic" w:hAnsi="MS PGothic"/>
          <w:sz w:val="17"/>
          <w:szCs w:val="17"/>
          <w:color w:val="auto"/>
        </w:rPr>
        <w:t>‑</w:t>
      </w:r>
      <w:r>
        <w:rPr>
          <w:rFonts w:ascii="Arial" w:cs="Arial" w:eastAsia="Arial" w:hAnsi="Arial"/>
          <w:sz w:val="17"/>
          <w:szCs w:val="17"/>
          <w:color w:val="auto"/>
        </w:rPr>
        <w:t>bearing license to utilize patents held by MIT in exchange for upfront consideration and annual license maintenance fees. Such fees are expensed as incurred and have not been material to any period presented.</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2019,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year ended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2014, the Company entered into a license agreement with Shenyang Sunshine Pharmaceutical Co., Ltd. (“3SBio”), which is referred to as the 3SBio License. The Company has paid to 3SBio an aggregate of $3.0 million in upfront and milestone-based payments under the 3SBio License as of December 31, 2019. We are required to make future payments to 3SBio contingent upon the occurrence of events related to the achievement of clinical and regulatory approval milestones of up to an aggregate of $21.0 million for products containing our ImmTOR platform, and up to an aggregate of $41.5 million for products without our ImmTOR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2016, the Company entered into a license agreement with the Massachusetts Eye and Ear Infirmary and The Schepens Eye Research Institute, Inc. (collectively, “MEE”), which is referred to as the MEE License. On September 16, 2019, in accordance with the terms of the MEE License, the Company notified MEE of its intention to terminate the MEE License, effective December 15, 2019. In connection with the termination, the Company has accrued less than $0.1 million for final license fees as of December 31, 2019. Through December 31, 2019, the Company paid a total of $0.4 million in license fees due under the MEE License.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years ended December 31, 2019, 2018 and 2017, the Company did not record a current or deferred income tax expense or benefit. The following table reconciles the federal statutory income rate to the Company's effective income tax rate: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665" w:right="359" w:bottom="1440" w:gutter="0" w:footer="0" w:header="0"/>
        </w:sectPr>
      </w:pPr>
    </w:p>
    <w:bookmarkStart w:id="131" w:name="page132"/>
    <w:bookmarkEnd w:id="131"/>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23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6"/>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Statutory U.S. federal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264"/>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State income taxes - net of federal benefit</w:t>
            </w:r>
          </w:p>
        </w:tc>
        <w:tc>
          <w:tcPr>
            <w:tcW w:w="580" w:type="dxa"/>
            <w:vAlign w:val="bottom"/>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276"/>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Permanent items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Research tax credits/other</w:t>
            </w:r>
          </w:p>
        </w:tc>
        <w:tc>
          <w:tcPr>
            <w:tcW w:w="58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76"/>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Change in enacted rates</w:t>
            </w:r>
          </w:p>
        </w:tc>
        <w:tc>
          <w:tcPr>
            <w:tcW w:w="1720" w:type="dxa"/>
            <w:vAlign w:val="bottom"/>
            <w:gridSpan w:val="3"/>
            <w:shd w:val="clear" w:color="auto" w:fill="CCEEFF"/>
          </w:tcPr>
          <w:p>
            <w:pPr>
              <w:jc w:val="right"/>
              <w:ind w:right="1108"/>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Valuation allowance, net</w:t>
            </w:r>
          </w:p>
        </w:tc>
        <w:tc>
          <w:tcPr>
            <w:tcW w:w="58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4"/>
                <w:szCs w:val="14"/>
                <w:color w:val="auto"/>
              </w:rPr>
              <w:t>Effective income tax rate</w:t>
            </w:r>
          </w:p>
        </w:tc>
        <w:tc>
          <w:tcPr>
            <w:tcW w:w="1720" w:type="dxa"/>
            <w:vAlign w:val="bottom"/>
            <w:gridSpan w:val="3"/>
          </w:tcPr>
          <w:p>
            <w:pPr>
              <w:jc w:val="right"/>
              <w:ind w:right="1108"/>
              <w:spacing w:after="0"/>
              <w:rPr>
                <w:sz w:val="20"/>
                <w:szCs w:val="20"/>
                <w:color w:val="auto"/>
              </w:rPr>
            </w:pPr>
            <w:r>
              <w:rPr>
                <w:rFonts w:ascii="Arial" w:cs="Arial" w:eastAsia="Arial" w:hAnsi="Arial"/>
                <w:sz w:val="14"/>
                <w:szCs w:val="14"/>
                <w:color w:val="auto"/>
              </w:rPr>
              <w:t>— %</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6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6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the Company's net deferred tax assets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Net operating loss carryforwards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71,270</w:t>
            </w:r>
          </w:p>
        </w:tc>
        <w:tc>
          <w:tcPr>
            <w:tcW w:w="100" w:type="dxa"/>
            <w:vAlign w:val="bottom"/>
          </w:tcPr>
          <w:p>
            <w:pPr>
              <w:spacing w:after="0"/>
              <w:rPr>
                <w:sz w:val="22"/>
                <w:szCs w:val="22"/>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59,126</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credits</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5,780</w:t>
            </w: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Stock-based compensations expense</w:t>
            </w:r>
          </w:p>
        </w:tc>
        <w:tc>
          <w:tcPr>
            <w:tcW w:w="9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2,516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1,946</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other expenses</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4,468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4,037</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liability</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Patent costs/amortization</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4,881</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deferred tax assets</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90,865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76,228</w:t>
            </w:r>
          </w:p>
        </w:tc>
      </w:tr>
      <w:tr>
        <w:trPr>
          <w:trHeight w:val="162"/>
        </w:trPr>
        <w:tc>
          <w:tcPr>
            <w:tcW w:w="7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Depreciation</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deferred tax liabilities</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 before valuation allowance</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90,726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76,162</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Valuation allowance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(90,726)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(76,162)</w:t>
            </w: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$14.6 million and $18.5 million for the years ended December 31, 2019 and 2018, respectively, primarily as a result of an increase in net operating loss. In 2014, the Company's Russian subsidiary was granted a 10 year tax holiday in Russia. The Company's foreign operations continue to benefit from the tax holiday, which is set to expire on December 31, 2023, however the Company is in the process of closing down operations in Russia and does not expect any tax liability.</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2019, the Company had federal and state net operating loss carryforwards of $262.2 million and $256.5 million, respectively, which will expire at various times through 2037. Of the federal net operating loss carryforwards, $99.7 million can be carried forward indefinitely. The Company also has federal and state research and development tax credit carryforwards of $4.2 million and $3.0 million, respectively, available to reduce future tax liabilities, which will expire at various times through 2039.</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2019, the Company completed a Section 382 study, noting that an ownership change occurred during 2017. However, the Company has determined that all net operating losses would be available in the future. As a result, the deferred tax assets related to the federal and Massachusetts net operating losses and credit carryforwards are not currently limited.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applies ASC 740, Income Taxes to uncertain tax positions. As of the adoption date on January 1, 2010 and through December 31, 2019, the Company had no unrecognized tax benefits or related interest and penalties accrued.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886" w:right="359" w:bottom="295" w:gutter="0" w:footer="0" w:header="0"/>
        </w:sectPr>
      </w:pPr>
    </w:p>
    <w:bookmarkStart w:id="132" w:name="page133"/>
    <w:bookmarkEnd w:id="132"/>
    <w:p>
      <w:pPr>
        <w:ind w:right="300"/>
        <w:spacing w:after="0" w:line="275"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7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 of operations. As of December 31, 2019, the Company had no accrued interest related to uncertain tax positions.</w:t>
      </w:r>
    </w:p>
    <w:p>
      <w:pPr>
        <w:spacing w:after="0" w:line="14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$0.1 million, $0.2 million and $0.2 million during each of the years ended December 31, 2019, 2018 and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2019, the Company had operating lease agreements for offices in Watertown, MA. See Note 8 for additional information regarding the Company's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unaudited quarterly financial data for the years ended December 31, 2019 and 2018 (in thousands, except per share data).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665"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r>
      <w:tr>
        <w:trPr>
          <w:trHeight w:val="264"/>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5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6,654</w:t>
            </w: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16,248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r>
      <w:tr>
        <w:trPr>
          <w:trHeight w:val="25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w:t>
            </w: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(unaudited)</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r>
      <w:tr>
        <w:trPr>
          <w:trHeight w:val="264"/>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270"/>
        </w:trPr>
        <w:tc>
          <w:tcPr>
            <w:tcW w:w="55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50"/>
        </w:trPr>
        <w:tc>
          <w:tcPr>
            <w:tcW w:w="552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903</w:t>
            </w: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15,813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18,769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15,402</w:t>
            </w:r>
          </w:p>
        </w:tc>
      </w:tr>
      <w:tr>
        <w:trPr>
          <w:trHeight w:val="25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(14,651)</w:t>
            </w: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81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color w:val="auto"/>
        </w:rPr>
        <w:t>Exhibit 4.10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200" w:lineRule="exact"/>
        <w:rPr>
          <w:sz w:val="20"/>
          <w:szCs w:val="20"/>
          <w:color w:val="auto"/>
        </w:rPr>
      </w:pPr>
    </w:p>
    <w:p>
      <w:pPr>
        <w:spacing w:after="0" w:line="22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As of December 31, 2019, Selecta Biosciences, Inc. (the “Company,” “we,” “us” and “our”) had one class of securities registered under Section 12 of the Securities Exchange Act of 1934, as amended: our common stock.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CAPITAL STOCK</w:t>
      </w:r>
    </w:p>
    <w:p>
      <w:pPr>
        <w:spacing w:after="0" w:line="222" w:lineRule="exact"/>
        <w:rPr>
          <w:sz w:val="20"/>
          <w:szCs w:val="20"/>
          <w:color w:val="auto"/>
        </w:rPr>
      </w:pPr>
    </w:p>
    <w:p>
      <w:pPr>
        <w:jc w:val="both"/>
        <w:ind w:right="300" w:firstLine="648"/>
        <w:spacing w:after="0" w:line="246" w:lineRule="auto"/>
        <w:rPr>
          <w:sz w:val="20"/>
          <w:szCs w:val="20"/>
          <w:color w:val="auto"/>
        </w:rPr>
      </w:pPr>
      <w:r>
        <w:rPr>
          <w:rFonts w:ascii="Arial" w:cs="Arial" w:eastAsia="Arial" w:hAnsi="Arial"/>
          <w:sz w:val="20"/>
          <w:szCs w:val="20"/>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our amended and restated bylaws, each of, which has been publicly filed with the Securities and Exchange Commission (“SEC”).</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capital stock consists of:</w:t>
      </w:r>
    </w:p>
    <w:p>
      <w:pPr>
        <w:spacing w:after="0" w:line="378" w:lineRule="exact"/>
        <w:rPr>
          <w:sz w:val="20"/>
          <w:szCs w:val="20"/>
          <w:color w:val="auto"/>
        </w:rPr>
      </w:pPr>
    </w:p>
    <w:p>
      <w:pPr>
        <w:ind w:left="840" w:hanging="346"/>
        <w:spacing w:after="0"/>
        <w:tabs>
          <w:tab w:leader="none" w:pos="8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200,000,000 shares of common stock, par value $0.0001 per share; and</w:t>
      </w:r>
    </w:p>
    <w:p>
      <w:pPr>
        <w:spacing w:after="0" w:line="188" w:lineRule="exact"/>
        <w:rPr>
          <w:rFonts w:ascii="Arial" w:cs="Arial" w:eastAsia="Arial" w:hAnsi="Arial"/>
          <w:sz w:val="20"/>
          <w:szCs w:val="20"/>
          <w:color w:val="auto"/>
        </w:rPr>
      </w:pPr>
    </w:p>
    <w:p>
      <w:pPr>
        <w:ind w:left="840" w:hanging="346"/>
        <w:spacing w:after="0"/>
        <w:tabs>
          <w:tab w:leader="none" w:pos="8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10,000,000 shares of preferred stock, par value $0.0001 per share.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common stock is listed on The Nasdaq Global Market under the symbol “SELB.”</w:t>
      </w:r>
    </w:p>
    <w:p>
      <w:pPr>
        <w:spacing w:after="0" w:line="108"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Holders of our common stock are entitled to one vote for each share held on all matters submitted to a vote of</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7"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i w:val="1"/>
          <w:iCs w:val="1"/>
          <w:color w:val="auto"/>
        </w:rPr>
        <w:t>Rights upon Liquidation</w:t>
      </w:r>
      <w:r>
        <w:rPr>
          <w:rFonts w:ascii="Arial" w:cs="Arial" w:eastAsia="Arial" w:hAnsi="Arial"/>
          <w:sz w:val="20"/>
          <w:szCs w:val="20"/>
          <w:color w:val="auto"/>
        </w:rPr>
        <w:t>. In the event of our liquidation or dissolution, the holders of common stock are entitled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proportionately our net assets available for distribution to stockholders after the payment of all debts and other liabilities and subject to the prior rights of any outstanding preferred stock.</w:t>
      </w:r>
    </w:p>
    <w:p>
      <w:pPr>
        <w:spacing w:after="0" w:line="186"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i w:val="1"/>
          <w:iCs w:val="1"/>
          <w:color w:val="auto"/>
        </w:rPr>
        <w:t>Other Rights</w:t>
      </w:r>
      <w:r>
        <w:rPr>
          <w:rFonts w:ascii="Arial" w:cs="Arial" w:eastAsia="Arial" w:hAnsi="Arial"/>
          <w:sz w:val="20"/>
          <w:szCs w:val="20"/>
          <w:color w:val="auto"/>
        </w:rPr>
        <w:t>. Holders of common stock have no preemptive, subscription, redemption or conversion rights. The rights, preferences</w:t>
      </w:r>
      <w:r>
        <w:rPr>
          <w:rFonts w:ascii="Arial" w:cs="Arial" w:eastAsia="Arial" w:hAnsi="Arial"/>
          <w:sz w:val="20"/>
          <w:szCs w:val="20"/>
          <w:i w:val="1"/>
          <w:iCs w:val="1"/>
          <w:color w:val="auto"/>
        </w:rPr>
        <w:t xml:space="preserve"> </w:t>
      </w:r>
      <w:r>
        <w:rPr>
          <w:rFonts w:ascii="Arial" w:cs="Arial" w:eastAsia="Arial" w:hAnsi="Arial"/>
          <w:sz w:val="20"/>
          <w:szCs w:val="20"/>
          <w:color w:val="auto"/>
        </w:rPr>
        <w:t>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transfer agent and registrar for our common stock is American Stock Transfer &amp; Trust Company,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w:t>
      </w:r>
    </w:p>
    <w:p>
      <w:pPr>
        <w:sectPr>
          <w:pgSz w:w="11900" w:h="16838" w:orient="portrait"/>
          <w:cols w:equalWidth="0" w:num="1">
            <w:col w:w="11240"/>
          </w:cols>
          <w:pgMar w:left="320" w:top="447" w:right="339" w:bottom="1440" w:gutter="0" w:footer="0" w:header="0"/>
        </w:sectPr>
      </w:pPr>
    </w:p>
    <w:bookmarkStart w:id="135" w:name="page136"/>
    <w:bookmarkEnd w:id="135"/>
    <w:p>
      <w:pPr>
        <w:jc w:val="both"/>
        <w:ind w:right="260"/>
        <w:spacing w:after="0" w:line="250" w:lineRule="auto"/>
        <w:rPr>
          <w:sz w:val="20"/>
          <w:szCs w:val="20"/>
          <w:color w:val="auto"/>
        </w:rPr>
      </w:pPr>
      <w:r>
        <w:rPr>
          <w:rFonts w:ascii="Arial" w:cs="Arial" w:eastAsia="Arial" w:hAnsi="Arial"/>
          <w:sz w:val="20"/>
          <w:szCs w:val="20"/>
          <w:color w:val="auto"/>
        </w:rPr>
        <w:t>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22" w:lineRule="exact"/>
        <w:rPr>
          <w:sz w:val="20"/>
          <w:szCs w:val="20"/>
          <w:color w:val="auto"/>
        </w:rPr>
      </w:pPr>
    </w:p>
    <w:p>
      <w:pPr>
        <w:ind w:right="420" w:firstLine="648"/>
        <w:spacing w:after="0" w:line="246" w:lineRule="auto"/>
        <w:rPr>
          <w:sz w:val="20"/>
          <w:szCs w:val="20"/>
          <w:color w:val="auto"/>
        </w:rPr>
      </w:pPr>
      <w:r>
        <w:rPr>
          <w:rFonts w:ascii="Arial" w:cs="Arial" w:eastAsia="Arial" w:hAnsi="Arial"/>
          <w:sz w:val="20"/>
          <w:szCs w:val="20"/>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1" w:lineRule="exact"/>
        <w:rPr>
          <w:sz w:val="20"/>
          <w:szCs w:val="20"/>
          <w:color w:val="auto"/>
        </w:rPr>
      </w:pPr>
    </w:p>
    <w:p>
      <w:pPr>
        <w:ind w:right="180" w:firstLine="648"/>
        <w:spacing w:after="0" w:line="278"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222"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177"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These registration rights are granted pursuant to the (i) amended and restated investors’ rights agreement by and among us and certain of our stockholders, or the investors’ rights agreement, (ii) a registration rights agreement we entered into in connection with the private placement of 3,088,791 shares of our common stock and a warrant to purchase 79,130 shares of our common stock, or the 2017 Private Placement, which closed on June 27, 2017; and (iii) a registration rights agreement we entered into in connection with the private placement of 37,634,883 shares of our common stock and warrants to purchase 31,330,629 shares of our common stock, or the 2019 Private Placement, which closed on December 23, 2019.</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Investors’ Rights Agreement</w:t>
      </w:r>
    </w:p>
    <w:p>
      <w:pPr>
        <w:spacing w:after="0" w:line="216"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i w:val="1"/>
          <w:iCs w:val="1"/>
          <w:color w:val="auto"/>
        </w:rPr>
        <w:t xml:space="preserve">Piggyback Registration Rights. </w:t>
      </w:r>
      <w:r>
        <w:rPr>
          <w:rFonts w:ascii="Arial" w:cs="Arial" w:eastAsia="Arial" w:hAnsi="Arial"/>
          <w:sz w:val="19"/>
          <w:szCs w:val="19"/>
          <w:color w:val="auto"/>
        </w:rPr>
        <w:t>Any time we propose to register any shares of our common stock under the Securities Act,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7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i w:val="1"/>
          <w:iCs w:val="1"/>
          <w:color w:val="auto"/>
        </w:rPr>
        <w:t xml:space="preserve">Form S-3 Registration Rights. </w:t>
      </w:r>
      <w:r>
        <w:rPr>
          <w:rFonts w:ascii="Arial" w:cs="Arial" w:eastAsia="Arial" w:hAnsi="Arial"/>
          <w:sz w:val="20"/>
          <w:szCs w:val="20"/>
          <w:color w:val="auto"/>
        </w:rPr>
        <w:t>If the holders of registrable securities request in writing that we effect a registration with respect to</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registrable securities at 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S-3 registration rights if, within a given calendar year, we have already effected two registrations on Form S-3 for the holders of registrable securities.</w:t>
      </w:r>
    </w:p>
    <w:p>
      <w:pPr>
        <w:spacing w:after="0" w:line="19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i w:val="1"/>
          <w:iCs w:val="1"/>
          <w:color w:val="auto"/>
        </w:rPr>
        <w:t>Expenses</w:t>
      </w:r>
      <w:r>
        <w:rPr>
          <w:rFonts w:ascii="Arial" w:cs="Arial" w:eastAsia="Arial" w:hAnsi="Arial"/>
          <w:sz w:val="20"/>
          <w:szCs w:val="20"/>
          <w:color w:val="auto"/>
        </w:rPr>
        <w:t>. Ordinarily, other than underwriting discounts and commissions, we will be required to pay all expenses incurred by us</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9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i w:val="1"/>
          <w:iCs w:val="1"/>
          <w:color w:val="auto"/>
        </w:rPr>
        <w:t>Termination of Registration Rights</w:t>
      </w:r>
      <w:r>
        <w:rPr>
          <w:rFonts w:ascii="Arial" w:cs="Arial" w:eastAsia="Arial" w:hAnsi="Arial"/>
          <w:sz w:val="20"/>
          <w:szCs w:val="20"/>
          <w:color w:val="auto"/>
        </w:rPr>
        <w:t>. The registration rights terminate upon the earlier of June 27, 2021, or, with respect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registration rights of an individual holder, when the holder can sell all of such holder’s registrable securities in a three-month period without restriction under Rule 144 under the Securities Act.</w:t>
      </w:r>
    </w:p>
    <w:p>
      <w:pPr>
        <w:sectPr>
          <w:pgSz w:w="11900" w:h="16838" w:orient="portrait"/>
          <w:cols w:equalWidth="0" w:num="1">
            <w:col w:w="11220"/>
          </w:cols>
          <w:pgMar w:left="320" w:top="447" w:right="359" w:bottom="1440" w:gutter="0" w:footer="0" w:header="0"/>
        </w:sectPr>
      </w:pPr>
    </w:p>
    <w:bookmarkStart w:id="136" w:name="page137"/>
    <w:bookmarkEnd w:id="136"/>
    <w:p>
      <w:pPr>
        <w:ind w:left="500"/>
        <w:spacing w:after="0"/>
        <w:rPr>
          <w:sz w:val="20"/>
          <w:szCs w:val="20"/>
          <w:color w:val="auto"/>
        </w:rPr>
      </w:pPr>
      <w:r>
        <w:rPr>
          <w:rFonts w:ascii="Arial" w:cs="Arial" w:eastAsia="Arial" w:hAnsi="Arial"/>
          <w:sz w:val="20"/>
          <w:szCs w:val="20"/>
          <w:b w:val="1"/>
          <w:bCs w:val="1"/>
          <w:i w:val="1"/>
          <w:iCs w:val="1"/>
          <w:color w:val="auto"/>
        </w:rPr>
        <w:t>2017 Registration Rights Agreement</w:t>
      </w:r>
    </w:p>
    <w:p>
      <w:pPr>
        <w:spacing w:after="0" w:line="216"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The shares of common stock underlying the warrants and the shares of common stock issued in connection with our 2017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June 27, 2020.</w:t>
      </w:r>
    </w:p>
    <w:p>
      <w:pPr>
        <w:spacing w:after="0" w:line="184"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2019 Registration Rights Agreement</w:t>
      </w:r>
    </w:p>
    <w:p>
      <w:pPr>
        <w:spacing w:after="0" w:line="216"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The shares of common stock underlying the warrants and the shares of common stock issued in connection with our 2019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184"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9"/>
          <w:szCs w:val="19"/>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0"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4" w:lineRule="exact"/>
        <w:rPr>
          <w:sz w:val="20"/>
          <w:szCs w:val="20"/>
          <w:color w:val="auto"/>
        </w:rPr>
      </w:pPr>
    </w:p>
    <w:p>
      <w:pPr>
        <w:jc w:val="both"/>
        <w:ind w:right="300" w:firstLine="648"/>
        <w:spacing w:after="0" w:line="246" w:lineRule="auto"/>
        <w:rPr>
          <w:sz w:val="20"/>
          <w:szCs w:val="20"/>
          <w:color w:val="auto"/>
        </w:rPr>
      </w:pPr>
      <w:r>
        <w:rPr>
          <w:rFonts w:ascii="Arial" w:cs="Arial" w:eastAsia="Arial" w:hAnsi="Arial"/>
          <w:sz w:val="20"/>
          <w:szCs w:val="20"/>
          <w:i w:val="1"/>
          <w:iCs w:val="1"/>
          <w:color w:val="auto"/>
        </w:rPr>
        <w:t>Undesignated Preferred Stock</w:t>
      </w:r>
      <w:r>
        <w:rPr>
          <w:rFonts w:ascii="Arial" w:cs="Arial" w:eastAsia="Arial" w:hAnsi="Arial"/>
          <w:sz w:val="20"/>
          <w:szCs w:val="20"/>
          <w:color w:val="auto"/>
        </w:rPr>
        <w:t>. The ability of our board of directors, without action by the stockholders, to issue up to 10,000,000</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91"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i w:val="1"/>
          <w:iCs w:val="1"/>
          <w:color w:val="auto"/>
        </w:rPr>
        <w:t>Stockholder Meetings</w:t>
      </w:r>
      <w:r>
        <w:rPr>
          <w:rFonts w:ascii="Arial" w:cs="Arial" w:eastAsia="Arial" w:hAnsi="Arial"/>
          <w:sz w:val="20"/>
          <w:szCs w:val="20"/>
          <w:color w:val="auto"/>
        </w:rPr>
        <w:t>. Our amended and restated bylaws provide that a special meeting of stockholders may be called only by our</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of the board, chief executive officer or president (in the absence of a chief executive officer), or by a resolution adopted by a majority of our board of directors.</w:t>
      </w:r>
    </w:p>
    <w:p>
      <w:pPr>
        <w:sectPr>
          <w:pgSz w:w="11900" w:h="16838" w:orient="portrait"/>
          <w:cols w:equalWidth="0" w:num="1">
            <w:col w:w="11220"/>
          </w:cols>
          <w:pgMar w:left="320" w:top="447" w:right="359" w:bottom="1440" w:gutter="0" w:footer="0" w:header="0"/>
        </w:sectPr>
      </w:pPr>
    </w:p>
    <w:bookmarkStart w:id="137" w:name="page138"/>
    <w:bookmarkEnd w:id="137"/>
    <w:p>
      <w:pPr>
        <w:ind w:firstLine="648"/>
        <w:spacing w:after="0" w:line="342" w:lineRule="auto"/>
        <w:rPr>
          <w:sz w:val="20"/>
          <w:szCs w:val="20"/>
          <w:color w:val="auto"/>
        </w:rPr>
      </w:pPr>
      <w:r>
        <w:rPr>
          <w:rFonts w:ascii="Arial" w:cs="Arial" w:eastAsia="Arial" w:hAnsi="Arial"/>
          <w:sz w:val="16"/>
          <w:szCs w:val="16"/>
          <w:i w:val="1"/>
          <w:iCs w:val="1"/>
          <w:color w:val="auto"/>
        </w:rPr>
        <w:t>Requirements for Advance Notification of Stockholder Nominations and Proposals</w:t>
      </w:r>
      <w:r>
        <w:rPr>
          <w:rFonts w:ascii="Arial" w:cs="Arial" w:eastAsia="Arial" w:hAnsi="Arial"/>
          <w:sz w:val="16"/>
          <w:szCs w:val="16"/>
          <w:color w:val="auto"/>
        </w:rPr>
        <w:t>. Our amended and restated bylaws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18"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i w:val="1"/>
          <w:iCs w:val="1"/>
          <w:color w:val="auto"/>
        </w:rPr>
        <w:t>Elimination of Stockholder Action by Written Consent</w:t>
      </w:r>
      <w:r>
        <w:rPr>
          <w:rFonts w:ascii="Arial" w:cs="Arial" w:eastAsia="Arial" w:hAnsi="Arial"/>
          <w:sz w:val="20"/>
          <w:szCs w:val="20"/>
          <w:color w:val="auto"/>
        </w:rPr>
        <w:t>. Our restated certificate of incorporation eliminates the right of stockholders to</w:t>
      </w:r>
      <w:r>
        <w:rPr>
          <w:rFonts w:ascii="Arial" w:cs="Arial" w:eastAsia="Arial" w:hAnsi="Arial"/>
          <w:sz w:val="20"/>
          <w:szCs w:val="20"/>
          <w:i w:val="1"/>
          <w:iCs w:val="1"/>
          <w:color w:val="auto"/>
        </w:rPr>
        <w:t xml:space="preserve"> </w:t>
      </w:r>
      <w:r>
        <w:rPr>
          <w:rFonts w:ascii="Arial" w:cs="Arial" w:eastAsia="Arial" w:hAnsi="Arial"/>
          <w:sz w:val="20"/>
          <w:szCs w:val="20"/>
          <w:color w:val="auto"/>
        </w:rPr>
        <w:t>act by written consent without a meeting.</w:t>
      </w:r>
    </w:p>
    <w:p>
      <w:pPr>
        <w:spacing w:after="0" w:line="177" w:lineRule="exact"/>
        <w:rPr>
          <w:sz w:val="20"/>
          <w:szCs w:val="20"/>
          <w:color w:val="auto"/>
        </w:rPr>
      </w:pPr>
    </w:p>
    <w:p>
      <w:pPr>
        <w:jc w:val="both"/>
        <w:ind w:right="80" w:firstLine="648"/>
        <w:spacing w:after="0" w:line="246" w:lineRule="auto"/>
        <w:rPr>
          <w:sz w:val="20"/>
          <w:szCs w:val="20"/>
          <w:color w:val="auto"/>
        </w:rPr>
      </w:pPr>
      <w:r>
        <w:rPr>
          <w:rFonts w:ascii="Arial" w:cs="Arial" w:eastAsia="Arial" w:hAnsi="Arial"/>
          <w:sz w:val="20"/>
          <w:szCs w:val="20"/>
          <w:i w:val="1"/>
          <w:iCs w:val="1"/>
          <w:color w:val="auto"/>
        </w:rPr>
        <w:t>Staggered Board</w:t>
      </w:r>
      <w:r>
        <w:rPr>
          <w:rFonts w:ascii="Arial" w:cs="Arial" w:eastAsia="Arial" w:hAnsi="Arial"/>
          <w:sz w:val="20"/>
          <w:szCs w:val="20"/>
          <w:color w:val="auto"/>
        </w:rPr>
        <w:t>. Our board of directors is divided into three classes. The directors in each class will serve for a three-year term, one</w:t>
      </w:r>
      <w:r>
        <w:rPr>
          <w:rFonts w:ascii="Arial" w:cs="Arial" w:eastAsia="Arial" w:hAnsi="Arial"/>
          <w:sz w:val="20"/>
          <w:szCs w:val="20"/>
          <w:i w:val="1"/>
          <w:iCs w:val="1"/>
          <w:color w:val="auto"/>
        </w:rPr>
        <w:t xml:space="preserve"> </w:t>
      </w:r>
      <w:r>
        <w:rPr>
          <w:rFonts w:ascii="Arial" w:cs="Arial" w:eastAsia="Arial" w:hAnsi="Arial"/>
          <w:sz w:val="20"/>
          <w:szCs w:val="20"/>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91" w:lineRule="exact"/>
        <w:rPr>
          <w:sz w:val="20"/>
          <w:szCs w:val="20"/>
          <w:color w:val="auto"/>
        </w:rPr>
      </w:pPr>
    </w:p>
    <w:p>
      <w:pPr>
        <w:jc w:val="both"/>
        <w:ind w:right="280" w:firstLine="648"/>
        <w:spacing w:after="0" w:line="269" w:lineRule="auto"/>
        <w:rPr>
          <w:sz w:val="20"/>
          <w:szCs w:val="20"/>
          <w:color w:val="auto"/>
        </w:rPr>
      </w:pPr>
      <w:r>
        <w:rPr>
          <w:rFonts w:ascii="Arial" w:cs="Arial" w:eastAsia="Arial" w:hAnsi="Arial"/>
          <w:sz w:val="19"/>
          <w:szCs w:val="19"/>
          <w:i w:val="1"/>
          <w:iCs w:val="1"/>
          <w:color w:val="auto"/>
        </w:rPr>
        <w:t>Removal of Directors</w:t>
      </w:r>
      <w:r>
        <w:rPr>
          <w:rFonts w:ascii="Arial" w:cs="Arial" w:eastAsia="Arial" w:hAnsi="Arial"/>
          <w:sz w:val="19"/>
          <w:szCs w:val="19"/>
          <w:color w:val="auto"/>
        </w:rPr>
        <w:t>. Our restated certificate of incorporation provides that no member of our board of directors may be removed</w:t>
      </w:r>
      <w:r>
        <w:rPr>
          <w:rFonts w:ascii="Arial" w:cs="Arial" w:eastAsia="Arial" w:hAnsi="Arial"/>
          <w:sz w:val="19"/>
          <w:szCs w:val="19"/>
          <w:i w:val="1"/>
          <w:iCs w:val="1"/>
          <w:color w:val="auto"/>
        </w:rPr>
        <w:t xml:space="preserve"> </w:t>
      </w:r>
      <w:r>
        <w:rPr>
          <w:rFonts w:ascii="Arial" w:cs="Arial" w:eastAsia="Arial" w:hAnsi="Arial"/>
          <w:sz w:val="19"/>
          <w:szCs w:val="19"/>
          <w:color w:val="auto"/>
        </w:rPr>
        <w:t>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70"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i w:val="1"/>
          <w:iCs w:val="1"/>
          <w:color w:val="auto"/>
        </w:rPr>
        <w:t>Stockholders Not Entitled to Cumulative Voting</w:t>
      </w:r>
      <w:r>
        <w:rPr>
          <w:rFonts w:ascii="Arial" w:cs="Arial" w:eastAsia="Arial" w:hAnsi="Arial"/>
          <w:sz w:val="20"/>
          <w:szCs w:val="20"/>
          <w:color w:val="auto"/>
        </w:rPr>
        <w:t>. Our restated certificate of incorporation does not permit stockholders to cumulate</w:t>
      </w:r>
      <w:r>
        <w:rPr>
          <w:rFonts w:ascii="Arial" w:cs="Arial" w:eastAsia="Arial" w:hAnsi="Arial"/>
          <w:sz w:val="20"/>
          <w:szCs w:val="20"/>
          <w:i w:val="1"/>
          <w:iCs w:val="1"/>
          <w:color w:val="auto"/>
        </w:rPr>
        <w:t xml:space="preserve"> </w:t>
      </w:r>
      <w:r>
        <w:rPr>
          <w:rFonts w:ascii="Arial" w:cs="Arial" w:eastAsia="Arial" w:hAnsi="Arial"/>
          <w:sz w:val="20"/>
          <w:szCs w:val="20"/>
          <w:color w:val="auto"/>
        </w:rPr>
        <w:t>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91"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General Corporation Law of the State of Delaware,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restated certificate of incorporation provides that, unless we consent in writing to the selection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70"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i w:val="1"/>
          <w:iCs w:val="1"/>
          <w:color w:val="auto"/>
        </w:rPr>
        <w:t>Amendment of Restated Certificate of Incorporation</w:t>
      </w:r>
      <w:r>
        <w:rPr>
          <w:rFonts w:ascii="Arial" w:cs="Arial" w:eastAsia="Arial" w:hAnsi="Arial"/>
          <w:sz w:val="20"/>
          <w:szCs w:val="20"/>
          <w:color w:val="auto"/>
        </w:rPr>
        <w:t>. The amendment of any of the above provisions in our restated certificate of</w:t>
      </w:r>
      <w:r>
        <w:rPr>
          <w:rFonts w:ascii="Arial" w:cs="Arial" w:eastAsia="Arial" w:hAnsi="Arial"/>
          <w:sz w:val="20"/>
          <w:szCs w:val="20"/>
          <w:i w:val="1"/>
          <w:iCs w:val="1"/>
          <w:color w:val="auto"/>
        </w:rPr>
        <w:t xml:space="preserve"> </w:t>
      </w:r>
      <w:r>
        <w:rPr>
          <w:rFonts w:ascii="Arial" w:cs="Arial" w:eastAsia="Arial" w:hAnsi="Arial"/>
          <w:sz w:val="20"/>
          <w:szCs w:val="20"/>
          <w:color w:val="auto"/>
        </w:rPr>
        <w:t>incorporation,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91"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ectPr>
          <w:pgSz w:w="11900" w:h="16838" w:orient="portrait"/>
          <w:cols w:equalWidth="0" w:num="1">
            <w:col w:w="11240"/>
          </w:cols>
          <w:pgMar w:left="320" w:top="44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color w:val="auto"/>
        </w:rPr>
        <w:t>Exhibit 10.7 (i)</w:t>
      </w: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FOURTH AMENDMENT</w:t>
      </w:r>
    </w:p>
    <w:p>
      <w:pPr>
        <w:spacing w:after="0" w:line="289" w:lineRule="exact"/>
        <w:rPr>
          <w:sz w:val="20"/>
          <w:szCs w:val="20"/>
          <w:color w:val="auto"/>
        </w:rPr>
      </w:pPr>
    </w:p>
    <w:p>
      <w:pPr>
        <w:ind w:left="20" w:right="260" w:firstLine="607"/>
        <w:spacing w:after="0" w:line="259" w:lineRule="auto"/>
        <w:rPr>
          <w:sz w:val="20"/>
          <w:szCs w:val="20"/>
          <w:color w:val="auto"/>
        </w:rPr>
      </w:pPr>
      <w:r>
        <w:rPr>
          <w:rFonts w:ascii="Arial" w:cs="Arial" w:eastAsia="Arial" w:hAnsi="Arial"/>
          <w:sz w:val="19"/>
          <w:szCs w:val="19"/>
          <w:color w:val="131313"/>
        </w:rPr>
        <w:t>This Fourth Amendment, effective as of the date set forth above the signatures of the parties below, amends the Exclusive Patent License Agreement effective November 25, 2008, as amended by a First Amendment dated January 12, 2010, a Second Amendment dated August 29, 2013, and a Third Amendment dated November 18, 2016 (the "License Agreement") between the Massachusetts Institute of Technology, a Massachusetts corporation having its principal office at 77 Massachusetts Avenue, Cambridge, Massachusetts 02139 ("M.I.T."), and Selecta Biosciences, Inc., a Delaware corporation, with a principal place of business at 480 Arsenal Way, Building One, Watertown, MA 02472 ("COMPANY'').</w:t>
      </w:r>
    </w:p>
    <w:p>
      <w:pPr>
        <w:spacing w:after="0" w:line="178" w:lineRule="exact"/>
        <w:rPr>
          <w:sz w:val="20"/>
          <w:szCs w:val="20"/>
          <w:color w:val="auto"/>
        </w:rPr>
      </w:pPr>
    </w:p>
    <w:p>
      <w:pPr>
        <w:ind w:left="20" w:right="80" w:firstLine="621"/>
        <w:spacing w:after="0" w:line="260" w:lineRule="auto"/>
        <w:rPr>
          <w:sz w:val="20"/>
          <w:szCs w:val="20"/>
          <w:color w:val="auto"/>
        </w:rPr>
      </w:pPr>
      <w:r>
        <w:rPr>
          <w:rFonts w:ascii="Arial" w:cs="Arial" w:eastAsia="Arial" w:hAnsi="Arial"/>
          <w:sz w:val="20"/>
          <w:szCs w:val="20"/>
          <w:color w:val="131313"/>
        </w:rPr>
        <w:t>WHEREAS, COMPANY has represented to M.I.T. that it is continuing to diligently develop LICENSED PRODUCTS, and has requested that the diligence provisions of the License Agreement be modified.</w:t>
      </w:r>
    </w:p>
    <w:p>
      <w:pPr>
        <w:spacing w:after="0" w:line="177" w:lineRule="exact"/>
        <w:rPr>
          <w:sz w:val="20"/>
          <w:szCs w:val="20"/>
          <w:color w:val="auto"/>
        </w:rPr>
      </w:pPr>
    </w:p>
    <w:p>
      <w:pPr>
        <w:ind w:left="20" w:right="220" w:firstLine="607"/>
        <w:spacing w:after="0" w:line="260" w:lineRule="auto"/>
        <w:rPr>
          <w:sz w:val="20"/>
          <w:szCs w:val="20"/>
          <w:color w:val="auto"/>
        </w:rPr>
      </w:pPr>
      <w:r>
        <w:rPr>
          <w:rFonts w:ascii="Arial" w:cs="Arial" w:eastAsia="Arial" w:hAnsi="Arial"/>
          <w:sz w:val="20"/>
          <w:szCs w:val="20"/>
          <w:color w:val="131313"/>
        </w:rPr>
        <w:t>NOW, THEREFORE, in consideration of the promises and mutual covenants contained herein,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611"/>
        <w:spacing w:after="0" w:line="230" w:lineRule="auto"/>
        <w:tabs>
          <w:tab w:leader="none" w:pos="1363" w:val="left"/>
        </w:tabs>
        <w:numPr>
          <w:ilvl w:val="0"/>
          <w:numId w:val="67"/>
        </w:numPr>
        <w:rPr>
          <w:rFonts w:ascii="Arial" w:cs="Arial" w:eastAsia="Arial" w:hAnsi="Arial"/>
          <w:sz w:val="20"/>
          <w:szCs w:val="20"/>
          <w:color w:val="auto"/>
        </w:rPr>
      </w:pPr>
      <w:r>
        <w:rPr>
          <w:rFonts w:ascii="Arial" w:cs="Arial" w:eastAsia="Arial" w:hAnsi="Arial"/>
          <w:sz w:val="20"/>
          <w:szCs w:val="20"/>
          <w:color w:val="131313"/>
        </w:rPr>
        <w:t>The parties agree that: (a) the diligence requirement set forth in Section 3.l(j) of the License Agreement shall be tolled until the earlier of May 15, 2020 or the effective date of a written amendment to the License Agreement pursuant to Section 2 below (the "Future Amendment") and (b) M.I.T. shall not exercise its rights to terminate the License Agreement solely for COMPANY's failure to fulfill its obligations under Section 3.l(j) unless the parties do not enter into the Future Amendment by May 15, 2020, in which case M.I.T. may elect to terminate the License Agreement based upon COMPANY's failure to fulfill its obligations under Section 3.1(j). The parties may mutually agree to extend the time by which the Future Amendment must be executed.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right="40" w:firstLine="611"/>
        <w:spacing w:after="0" w:line="248" w:lineRule="auto"/>
        <w:tabs>
          <w:tab w:leader="none" w:pos="1363" w:val="left"/>
        </w:tabs>
        <w:numPr>
          <w:ilvl w:val="0"/>
          <w:numId w:val="67"/>
        </w:numPr>
        <w:rPr>
          <w:rFonts w:ascii="Arial" w:cs="Arial" w:eastAsia="Arial" w:hAnsi="Arial"/>
          <w:sz w:val="19"/>
          <w:szCs w:val="19"/>
          <w:color w:val="auto"/>
        </w:rPr>
      </w:pPr>
      <w:r>
        <w:rPr>
          <w:rFonts w:ascii="Arial" w:cs="Arial" w:eastAsia="Arial" w:hAnsi="Arial"/>
          <w:sz w:val="19"/>
          <w:szCs w:val="19"/>
          <w:color w:val="131313"/>
        </w:rPr>
        <w:t>On or before February 15, 2020, COMPANY shall provide M.I.T. with a detailed, written plan for achieving reasonably extended and/or amended diligence milestones for the development and commercialization of a LICENSED PRODUCT. Within ninety (90) days of M.I.T.'s receipt of such updated diligence plan, the parties shall negotiate in good faith to enter into the Future Amendment, which will include any agreed upon changes to the License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right="120" w:firstLine="611"/>
        <w:spacing w:after="0" w:line="237" w:lineRule="auto"/>
        <w:tabs>
          <w:tab w:leader="none" w:pos="1363" w:val="left"/>
        </w:tabs>
        <w:numPr>
          <w:ilvl w:val="0"/>
          <w:numId w:val="67"/>
        </w:numPr>
        <w:rPr>
          <w:rFonts w:ascii="Arial" w:cs="Arial" w:eastAsia="Arial" w:hAnsi="Arial"/>
          <w:sz w:val="20"/>
          <w:szCs w:val="20"/>
          <w:color w:val="auto"/>
        </w:rPr>
      </w:pPr>
      <w:r>
        <w:rPr>
          <w:rFonts w:ascii="Arial" w:cs="Arial" w:eastAsia="Arial" w:hAnsi="Arial"/>
          <w:sz w:val="20"/>
          <w:szCs w:val="20"/>
          <w:color w:val="131313"/>
        </w:rPr>
        <w:t>On or before February 15, 2020, COMPANY shall provide M.I.T. with all of the outstanding information required to be delivered to M.I.T. pursuant to the License Agreement, including without limitation the Letter Agreement between the parties dated June 17, 2013.</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right="20" w:firstLine="611"/>
        <w:spacing w:after="0" w:line="231" w:lineRule="auto"/>
        <w:tabs>
          <w:tab w:leader="none" w:pos="1363" w:val="left"/>
        </w:tabs>
        <w:numPr>
          <w:ilvl w:val="0"/>
          <w:numId w:val="67"/>
        </w:numPr>
        <w:rPr>
          <w:rFonts w:ascii="Arial" w:cs="Arial" w:eastAsia="Arial" w:hAnsi="Arial"/>
          <w:sz w:val="20"/>
          <w:szCs w:val="20"/>
          <w:color w:val="auto"/>
        </w:rPr>
      </w:pPr>
      <w:r>
        <w:rPr>
          <w:rFonts w:ascii="Arial" w:cs="Arial" w:eastAsia="Arial" w:hAnsi="Arial"/>
          <w:sz w:val="20"/>
          <w:szCs w:val="20"/>
          <w:color w:val="161616"/>
        </w:rPr>
        <w:t>This License Agreement, as amended hereby, is hereby ratified and confirmed in all respects and except as expressly amended by this Fourth Amendment, all terms and conditions of the License Agreement shall continue in full force and effect. All capitalized terms used herein shall have the meanings ascribed to such terms in the License Agreement. The License Agreement shall, together with this Fourth Amendment, be read and construed as a single instrument. No addition to or modification of any provision of this Fourth Amendment shall be binding unless made in writing and signed by a duly authorized representative of each of the parties.</w:t>
      </w:r>
    </w:p>
    <w:p>
      <w:pPr>
        <w:sectPr>
          <w:pgSz w:w="11900" w:h="16838" w:orient="portrait"/>
          <w:cols w:equalWidth="0" w:num="1">
            <w:col w:w="10520"/>
          </w:cols>
          <w:pgMar w:left="1040" w:top="879" w:right="339" w:bottom="1440" w:gutter="0" w:footer="0" w:header="0"/>
        </w:sectPr>
      </w:pPr>
    </w:p>
    <w:bookmarkStart w:id="139" w:name="page140"/>
    <w:bookmarkEnd w:id="139"/>
    <w:p>
      <w:pPr>
        <w:ind w:firstLine="608"/>
        <w:spacing w:after="0" w:line="260" w:lineRule="auto"/>
        <w:rPr>
          <w:sz w:val="20"/>
          <w:szCs w:val="20"/>
          <w:color w:val="auto"/>
        </w:rPr>
      </w:pPr>
      <w:r>
        <w:rPr>
          <w:rFonts w:ascii="Arial" w:cs="Arial" w:eastAsia="Arial" w:hAnsi="Arial"/>
          <w:sz w:val="20"/>
          <w:szCs w:val="20"/>
          <w:color w:val="161616"/>
        </w:rPr>
        <w:t>IN WITNESS WHEREOF, the parties have caused this Fourth Amendment to be executed under seal by their duly authorized representatives.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61616"/>
        </w:rPr>
        <w:t>The Effective Date of this Fourth Amendment is December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20"/>
                <w:szCs w:val="20"/>
                <w:color w:val="auto"/>
              </w:rPr>
              <w:t>MASSACHUSETTS INSTITUTE OF</w:t>
            </w:r>
          </w:p>
        </w:tc>
        <w:tc>
          <w:tcPr>
            <w:tcW w:w="4520" w:type="dxa"/>
            <w:vAlign w:val="bottom"/>
            <w:gridSpan w:val="2"/>
          </w:tcPr>
          <w:p>
            <w:pPr>
              <w:ind w:left="380"/>
              <w:spacing w:after="0"/>
              <w:rPr>
                <w:sz w:val="20"/>
                <w:szCs w:val="20"/>
                <w:color w:val="auto"/>
              </w:rPr>
            </w:pPr>
            <w:r>
              <w:rPr>
                <w:rFonts w:ascii="Arial" w:cs="Arial" w:eastAsia="Arial" w:hAnsi="Arial"/>
                <w:sz w:val="20"/>
                <w:szCs w:val="20"/>
                <w:color w:val="auto"/>
              </w:rPr>
              <w:t>SELECTA BIOSCIENCES, INC.</w:t>
            </w:r>
          </w:p>
        </w:tc>
      </w:tr>
      <w:tr>
        <w:trPr>
          <w:trHeight w:val="250"/>
        </w:trPr>
        <w:tc>
          <w:tcPr>
            <w:tcW w:w="4160" w:type="dxa"/>
            <w:vAlign w:val="bottom"/>
            <w:gridSpan w:val="2"/>
          </w:tcPr>
          <w:p>
            <w:pPr>
              <w:spacing w:after="0"/>
              <w:rPr>
                <w:sz w:val="20"/>
                <w:szCs w:val="20"/>
                <w:color w:val="auto"/>
              </w:rPr>
            </w:pPr>
            <w:r>
              <w:rPr>
                <w:rFonts w:ascii="Arial" w:cs="Arial" w:eastAsia="Arial" w:hAnsi="Arial"/>
                <w:sz w:val="20"/>
                <w:szCs w:val="20"/>
                <w:color w:val="auto"/>
              </w:rPr>
              <w:t>TECHNOLOGY</w:t>
            </w:r>
          </w:p>
        </w:tc>
        <w:tc>
          <w:tcPr>
            <w:tcW w:w="122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932"/>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Pr>
          <w:p>
            <w:pPr>
              <w:ind w:left="40"/>
              <w:spacing w:after="0"/>
              <w:rPr>
                <w:sz w:val="20"/>
                <w:szCs w:val="20"/>
                <w:color w:val="auto"/>
              </w:rPr>
            </w:pPr>
            <w:r>
              <w:rPr>
                <w:rFonts w:ascii="Arial" w:cs="Arial" w:eastAsia="Arial" w:hAnsi="Arial"/>
                <w:sz w:val="20"/>
                <w:szCs w:val="20"/>
                <w:color w:val="auto"/>
              </w:rPr>
              <w:t>/s/ Lesley Millar-Nicholson</w:t>
            </w:r>
          </w:p>
        </w:tc>
        <w:tc>
          <w:tcPr>
            <w:tcW w:w="1220" w:type="dxa"/>
            <w:vAlign w:val="bottom"/>
          </w:tcPr>
          <w:p>
            <w:pPr>
              <w:ind w:left="380"/>
              <w:spacing w:after="0"/>
              <w:rPr>
                <w:sz w:val="20"/>
                <w:szCs w:val="20"/>
                <w:color w:val="auto"/>
              </w:rPr>
            </w:pPr>
            <w:r>
              <w:rPr>
                <w:rFonts w:ascii="Arial" w:cs="Arial" w:eastAsia="Arial" w:hAnsi="Arial"/>
                <w:sz w:val="20"/>
                <w:szCs w:val="20"/>
                <w:color w:val="auto"/>
              </w:rPr>
              <w:t>By:</w:t>
            </w:r>
          </w:p>
        </w:tc>
        <w:tc>
          <w:tcPr>
            <w:tcW w:w="3300" w:type="dxa"/>
            <w:vAlign w:val="bottom"/>
          </w:tcPr>
          <w:p>
            <w:pPr>
              <w:ind w:left="20"/>
              <w:spacing w:after="0"/>
              <w:rPr>
                <w:sz w:val="20"/>
                <w:szCs w:val="20"/>
                <w:color w:val="auto"/>
              </w:rPr>
            </w:pPr>
            <w:r>
              <w:rPr>
                <w:rFonts w:ascii="Arial" w:cs="Arial" w:eastAsia="Arial" w:hAnsi="Arial"/>
                <w:sz w:val="20"/>
                <w:szCs w:val="20"/>
                <w:color w:val="auto"/>
              </w:rPr>
              <w:t>/s/ Lloyd Johnston</w:t>
            </w:r>
          </w:p>
        </w:tc>
      </w:tr>
      <w:tr>
        <w:trPr>
          <w:trHeight w:val="23"/>
        </w:trPr>
        <w:tc>
          <w:tcPr>
            <w:tcW w:w="8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389"/>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3320" w:type="dxa"/>
            <w:vAlign w:val="bottom"/>
          </w:tcPr>
          <w:p>
            <w:pPr>
              <w:ind w:left="40"/>
              <w:spacing w:after="0"/>
              <w:rPr>
                <w:sz w:val="20"/>
                <w:szCs w:val="20"/>
                <w:color w:val="auto"/>
              </w:rPr>
            </w:pPr>
            <w:r>
              <w:rPr>
                <w:rFonts w:ascii="Arial" w:cs="Arial" w:eastAsia="Arial" w:hAnsi="Arial"/>
                <w:sz w:val="20"/>
                <w:szCs w:val="20"/>
                <w:color w:val="auto"/>
              </w:rPr>
              <w:t>Lesley Millar-Nicholson</w:t>
            </w:r>
          </w:p>
        </w:tc>
        <w:tc>
          <w:tcPr>
            <w:tcW w:w="1220" w:type="dxa"/>
            <w:vAlign w:val="bottom"/>
          </w:tcPr>
          <w:p>
            <w:pPr>
              <w:ind w:left="380"/>
              <w:spacing w:after="0"/>
              <w:rPr>
                <w:sz w:val="20"/>
                <w:szCs w:val="20"/>
                <w:color w:val="auto"/>
              </w:rPr>
            </w:pPr>
            <w:r>
              <w:rPr>
                <w:rFonts w:ascii="Arial" w:cs="Arial" w:eastAsia="Arial" w:hAnsi="Arial"/>
                <w:sz w:val="20"/>
                <w:szCs w:val="20"/>
                <w:color w:val="auto"/>
              </w:rPr>
              <w:t>Name:</w:t>
            </w:r>
          </w:p>
        </w:tc>
        <w:tc>
          <w:tcPr>
            <w:tcW w:w="3300" w:type="dxa"/>
            <w:vAlign w:val="bottom"/>
          </w:tcPr>
          <w:p>
            <w:pPr>
              <w:ind w:left="20"/>
              <w:spacing w:after="0"/>
              <w:rPr>
                <w:sz w:val="20"/>
                <w:szCs w:val="20"/>
                <w:color w:val="auto"/>
              </w:rPr>
            </w:pPr>
            <w:r>
              <w:rPr>
                <w:rFonts w:ascii="Arial" w:cs="Arial" w:eastAsia="Arial" w:hAnsi="Arial"/>
                <w:sz w:val="20"/>
                <w:szCs w:val="20"/>
                <w:color w:val="auto"/>
              </w:rPr>
              <w:t>Lloyd Johnston</w:t>
            </w:r>
          </w:p>
        </w:tc>
      </w:tr>
      <w:tr>
        <w:trPr>
          <w:trHeight w:val="23"/>
        </w:trPr>
        <w:tc>
          <w:tcPr>
            <w:tcW w:w="8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389"/>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3320" w:type="dxa"/>
            <w:vAlign w:val="bottom"/>
          </w:tcPr>
          <w:p>
            <w:pPr>
              <w:ind w:left="40"/>
              <w:spacing w:after="0"/>
              <w:rPr>
                <w:sz w:val="20"/>
                <w:szCs w:val="20"/>
                <w:color w:val="auto"/>
              </w:rPr>
            </w:pPr>
            <w:r>
              <w:rPr>
                <w:rFonts w:ascii="Arial" w:cs="Arial" w:eastAsia="Arial" w:hAnsi="Arial"/>
                <w:sz w:val="20"/>
                <w:szCs w:val="20"/>
                <w:color w:val="auto"/>
              </w:rPr>
              <w:t>Director, TLO</w:t>
            </w:r>
          </w:p>
        </w:tc>
        <w:tc>
          <w:tcPr>
            <w:tcW w:w="1220" w:type="dxa"/>
            <w:vAlign w:val="bottom"/>
          </w:tcPr>
          <w:p>
            <w:pPr>
              <w:ind w:left="380"/>
              <w:spacing w:after="0"/>
              <w:rPr>
                <w:sz w:val="20"/>
                <w:szCs w:val="20"/>
                <w:color w:val="auto"/>
              </w:rPr>
            </w:pPr>
            <w:r>
              <w:rPr>
                <w:rFonts w:ascii="Arial" w:cs="Arial" w:eastAsia="Arial" w:hAnsi="Arial"/>
                <w:sz w:val="20"/>
                <w:szCs w:val="20"/>
                <w:color w:val="auto"/>
              </w:rPr>
              <w:t>Title:</w:t>
            </w:r>
          </w:p>
        </w:tc>
        <w:tc>
          <w:tcPr>
            <w:tcW w:w="3300" w:type="dxa"/>
            <w:vAlign w:val="bottom"/>
          </w:tcPr>
          <w:p>
            <w:pPr>
              <w:ind w:left="20"/>
              <w:spacing w:after="0"/>
              <w:rPr>
                <w:sz w:val="20"/>
                <w:szCs w:val="20"/>
                <w:color w:val="auto"/>
              </w:rPr>
            </w:pPr>
            <w:r>
              <w:rPr>
                <w:rFonts w:ascii="Arial" w:cs="Arial" w:eastAsia="Arial" w:hAnsi="Arial"/>
                <w:sz w:val="20"/>
                <w:szCs w:val="20"/>
                <w:color w:val="auto"/>
              </w:rPr>
              <w:t>COO</w:t>
            </w:r>
          </w:p>
        </w:tc>
      </w:tr>
      <w:tr>
        <w:trPr>
          <w:trHeight w:val="23"/>
        </w:trPr>
        <w:tc>
          <w:tcPr>
            <w:tcW w:w="8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bl>
    <w:p>
      <w:pPr>
        <w:sectPr>
          <w:pgSz w:w="11900" w:h="16838" w:orient="portrait"/>
          <w:cols w:equalWidth="0" w:num="1">
            <w:col w:w="9700"/>
          </w:cols>
          <w:pgMar w:left="1040" w:top="447" w:right="11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00" w:lineRule="exact"/>
        <w:rPr>
          <w:sz w:val="20"/>
          <w:szCs w:val="20"/>
          <w:color w:val="auto"/>
        </w:rPr>
      </w:pPr>
    </w:p>
    <w:p>
      <w:pPr>
        <w:spacing w:after="0" w:line="205" w:lineRule="exact"/>
        <w:rPr>
          <w:sz w:val="20"/>
          <w:szCs w:val="20"/>
          <w:color w:val="auto"/>
        </w:rPr>
      </w:pPr>
    </w:p>
    <w:p>
      <w:pPr>
        <w:ind w:left="660" w:right="20" w:hanging="328"/>
        <w:spacing w:after="0" w:line="26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Registration Statement (Form S-8, File No. 333-212215) pertaining to the 2008 Stock Incentive Plan, as amended, the 2016 Incentive Award Plan and the 2016 Employee Stock Purchase Plan of Selecta Biosciences, Inc.,</w:t>
      </w:r>
    </w:p>
    <w:p>
      <w:pPr>
        <w:spacing w:after="0" w:line="325" w:lineRule="exact"/>
        <w:rPr>
          <w:rFonts w:ascii="Arial" w:cs="Arial" w:eastAsia="Arial" w:hAnsi="Arial"/>
          <w:sz w:val="20"/>
          <w:szCs w:val="20"/>
          <w:color w:val="auto"/>
        </w:rPr>
      </w:pPr>
    </w:p>
    <w:p>
      <w:pPr>
        <w:ind w:left="660" w:right="40" w:hanging="328"/>
        <w:spacing w:after="0" w:line="26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Registration Statement (Form S-8, File No. 333-224109) pertaining to the 2016 Incentive Awards Plan and the 2016 Employee Stock Purchase Plan,</w:t>
      </w:r>
    </w:p>
    <w:p>
      <w:pPr>
        <w:spacing w:after="0" w:line="325" w:lineRule="exact"/>
        <w:rPr>
          <w:rFonts w:ascii="Arial" w:cs="Arial" w:eastAsia="Arial" w:hAnsi="Arial"/>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File No. 333-228264) pertaining to the 2018 Employment Inducement Incentive Award Plan,</w:t>
      </w:r>
    </w:p>
    <w:p>
      <w:pPr>
        <w:spacing w:after="0" w:line="38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File No. 333-230501) pertaining to the 2018 Employment Inducement Incentive Award Plan,</w:t>
      </w:r>
    </w:p>
    <w:p>
      <w:pPr>
        <w:spacing w:after="0" w:line="387"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Registration Statement (Form S-3, File No. 333-219262),</w:t>
      </w:r>
    </w:p>
    <w:p>
      <w:pPr>
        <w:spacing w:after="0" w:line="364" w:lineRule="exact"/>
        <w:rPr>
          <w:rFonts w:ascii="Arial" w:cs="Arial" w:eastAsia="Arial" w:hAnsi="Arial"/>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Registration Statement (Form S-3, File No. 333-219900), and</w:t>
      </w:r>
    </w:p>
    <w:p>
      <w:pPr>
        <w:spacing w:after="0" w:line="364" w:lineRule="exact"/>
        <w:rPr>
          <w:rFonts w:ascii="Arial" w:cs="Arial" w:eastAsia="Arial" w:hAnsi="Arial"/>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Registration Statement (Form S-3, File No. 333-236147);</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of our report dated March 12, 2020 with respect to the consolidated financial statements of Selecta Biosciences, Inc. included in this Annual Report (Form 10-K) of Selecta Biosciences, Inc. for the year ended December 31, 2019.</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12, 2020</w:t>
      </w:r>
    </w:p>
    <w:p>
      <w:pPr>
        <w:sectPr>
          <w:pgSz w:w="11900" w:h="16838" w:orient="portrait"/>
          <w:cols w:equalWidth="0" w:num="1">
            <w:col w:w="11240"/>
          </w:cols>
          <w:pgMar w:left="320" w:top="553"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39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49" w:right="339" w:bottom="1440" w:gutter="0" w:footer="0" w:header="0"/>
        </w:sectPr>
      </w:pPr>
    </w:p>
    <w:bookmarkStart w:id="142" w:name="page143"/>
    <w:bookmarkEnd w:id="142"/>
    <w:p>
      <w:pPr>
        <w:spacing w:after="0"/>
        <w:tabs>
          <w:tab w:leader="none" w:pos="7740" w:val="left"/>
        </w:tabs>
        <w:rPr>
          <w:sz w:val="20"/>
          <w:szCs w:val="20"/>
          <w:color w:val="auto"/>
        </w:rPr>
      </w:pPr>
      <w:r>
        <w:rPr>
          <w:rFonts w:ascii="Arial" w:cs="Arial" w:eastAsia="Arial" w:hAnsi="Arial"/>
          <w:sz w:val="20"/>
          <w:szCs w:val="20"/>
          <w:color w:val="auto"/>
        </w:rPr>
        <w:t>March 12,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27305</wp:posOffset>
            </wp:positionV>
            <wp:extent cx="3137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77"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0780"/>
          </w:cols>
          <w:pgMar w:left="360" w:top="1000" w:right="75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39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March 12,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0"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77"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549"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375" w:lineRule="exact"/>
        <w:rPr>
          <w:sz w:val="20"/>
          <w:szCs w:val="20"/>
          <w:color w:val="auto"/>
        </w:rPr>
      </w:pPr>
    </w:p>
    <w:p>
      <w:pPr>
        <w:ind w:left="660" w:right="240" w:hanging="328"/>
        <w:spacing w:after="0" w:line="26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2019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20"/>
          <w:szCs w:val="20"/>
          <w:color w:val="auto"/>
        </w:rPr>
        <w:t>March 12,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37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549"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240" w:hanging="328"/>
        <w:spacing w:after="0" w:line="26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2019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20"/>
          <w:szCs w:val="20"/>
          <w:color w:val="auto"/>
        </w:rPr>
        <w:t>March 12,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27305</wp:posOffset>
            </wp:positionV>
            <wp:extent cx="3060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212"/>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1."/>
      <w:numFmt w:val="decimal"/>
      <w:start w:val="212"/>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212"/>
    </w:lvl>
  </w:abstractNum>
  <w:abstractNum w:abstractNumId="11">
    <w:nsid w:val="70A64E2A"/>
    <w:multiLevelType w:val="hybridMultilevel"/>
    <w:lvl w:ilvl="0">
      <w:lvlJc w:val="left"/>
      <w:lvlText w:val="(%1)"/>
      <w:numFmt w:val="lowerRoman"/>
      <w:start w:val="2"/>
    </w:lvl>
  </w:abstractNum>
  <w:abstractNum w:abstractNumId="12">
    <w:nsid w:val="6A2342EC"/>
    <w:multiLevelType w:val="hybridMultilevel"/>
    <w:lvl w:ilvl="0">
      <w:lvlJc w:val="left"/>
      <w:lvlText w:val="(%1)"/>
      <w:numFmt w:val="lowerRoman"/>
      <w:start w:val="1"/>
    </w:lvl>
  </w:abstractNum>
  <w:abstractNum w:abstractNumId="13">
    <w:nsid w:val="2A487CB0"/>
    <w:multiLevelType w:val="hybridMultilevel"/>
    <w:lvl w:ilvl="0">
      <w:lvlJc w:val="left"/>
      <w:lvlText w:val="•"/>
      <w:numFmt w:val="bullet"/>
      <w:start w:val="1"/>
    </w:lvl>
    <w:lvl w:ilvl="1">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Roman"/>
      <w:start w:val="2"/>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606"/>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1)"/>
      <w:numFmt w:val="lowerRoman"/>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85" Type="http://schemas.openxmlformats.org/officeDocument/2006/relationships/image" Target="media/image32.png"/><Relationship Id="rId86" Type="http://schemas.openxmlformats.org/officeDocument/2006/relationships/image" Target="media/image33.png"/><Relationship Id="rId87" Type="http://schemas.openxmlformats.org/officeDocument/2006/relationships/image" Target="media/image34.png"/><Relationship Id="rId88" Type="http://schemas.openxmlformats.org/officeDocument/2006/relationships/image" Target="media/image35.png"/><Relationship Id="rId89" Type="http://schemas.openxmlformats.org/officeDocument/2006/relationships/image" Target="media/image36.png"/><Relationship Id="rId90" Type="http://schemas.openxmlformats.org/officeDocument/2006/relationships/image" Target="media/image37.png"/><Relationship Id="rId91" Type="http://schemas.openxmlformats.org/officeDocument/2006/relationships/image" Target="media/image38.png"/><Relationship Id="rId92" Type="http://schemas.openxmlformats.org/officeDocument/2006/relationships/image" Target="media/image39.png"/><Relationship Id="rId93" Type="http://schemas.openxmlformats.org/officeDocument/2006/relationships/image" Target="media/image40.png"/><Relationship Id="rId35" Type="http://schemas.openxmlformats.org/officeDocument/2006/relationships/hyperlink" Target="http://www.sec.gov/Archives/edgar/data/1453687/000110465916129891/a16-14002_1ex3d1.htm" TargetMode="External"/><Relationship Id="rId36" Type="http://schemas.openxmlformats.org/officeDocument/2006/relationships/hyperlink" Target="http://www.sec.gov/Archives/edgar/data/1453687/000110465916129891/a16-14002_1ex3d2.htm" TargetMode="External"/><Relationship Id="rId37" Type="http://schemas.openxmlformats.org/officeDocument/2006/relationships/hyperlink" Target="http://www.sec.gov/Archives/edgar/data/1453687/000104746916013718/a2228810zex-4_1.htm" TargetMode="External"/><Relationship Id="rId38" Type="http://schemas.openxmlformats.org/officeDocument/2006/relationships/hyperlink" Target="http://www.sec.gov/Archives/edgar/data/1453687/000104746916013398/a2228672zex-4_2.htm" TargetMode="External"/><Relationship Id="rId39" Type="http://schemas.openxmlformats.org/officeDocument/2006/relationships/hyperlink" Target="http://www.sec.gov/Archives/edgar/data/1453687/000104746916013398/a2228672zex-4_5.htm" TargetMode="External"/><Relationship Id="rId40" Type="http://schemas.openxmlformats.org/officeDocument/2006/relationships/hyperlink" Target="http://www.sec.gov/Archives/edgar/data/1453687/000104746916013398/a2228672zex-4_6.htm" TargetMode="External"/><Relationship Id="rId41" Type="http://schemas.openxmlformats.org/officeDocument/2006/relationships/hyperlink" Target="http://www.sec.gov/Archives/edgar/data/1453687/000145368717000048/exhibit41_selectabioscienc.htm" TargetMode="External"/><Relationship Id="rId42" Type="http://schemas.openxmlformats.org/officeDocument/2006/relationships/hyperlink" Target="http://www.sec.gov/Archives/edgar/data/1453687/000145368717000048/exhibit103_selectabioscien.htm" TargetMode="External"/><Relationship Id="rId43" Type="http://schemas.openxmlformats.org/officeDocument/2006/relationships/hyperlink" Target="http://www.sec.gov/Archives/edgar/data/1453687/000110465919075844/tm1926772d1_ex10-2.htm" TargetMode="External"/><Relationship Id="rId44" Type="http://schemas.openxmlformats.org/officeDocument/2006/relationships/hyperlink" Target="http://www.sec.gov/Archives/edgar/data/1453687/000110465919075844/tm1926772d1_ex4-1.htm" TargetMode="External"/><Relationship Id="rId45" Type="http://schemas.openxmlformats.org/officeDocument/2006/relationships/hyperlink" Target="http://www.sec.gov/Archives/edgar/data/1453687/000110465919075844/tm1926772d1_ex4-2.htm" TargetMode="External"/><Relationship Id="rId46" Type="http://schemas.openxmlformats.org/officeDocument/2006/relationships/hyperlink" Target="http://www.sec.gov/Archives/edgar/data/1453687/000104746916013718/a2228810zex-10_2.htm" TargetMode="External"/><Relationship Id="rId47" Type="http://schemas.openxmlformats.org/officeDocument/2006/relationships/hyperlink" Target="http://www.sec.gov/Archives/edgar/data/1453687/000104746916013718/a2228810zex-10_3.htm" TargetMode="External"/><Relationship Id="rId48" Type="http://schemas.openxmlformats.org/officeDocument/2006/relationships/hyperlink" Target="http://www.sec.gov/Archives/edgar/data/1453687/000145368718000061/exhibit101_2018employmenti.htm" TargetMode="External"/><Relationship Id="rId49" Type="http://schemas.openxmlformats.org/officeDocument/2006/relationships/hyperlink" Target="http://www.sec.gov/Archives/edgar/data/1453687/000104746916013886/a2228960zex-10_1.htm" TargetMode="External"/><Relationship Id="rId50" Type="http://schemas.openxmlformats.org/officeDocument/2006/relationships/hyperlink" Target="http://www.sec.gov/Archives/edgar/data/1453687/000104746916013718/a2228810zex-10_4.htm" TargetMode="External"/><Relationship Id="rId51" Type="http://schemas.openxmlformats.org/officeDocument/2006/relationships/hyperlink" Target="http://www.sec.gov/Archives/edgar/data/1453687/000104746916013398/a2228672zex-10_5.htm" TargetMode="External"/><Relationship Id="rId52" Type="http://schemas.openxmlformats.org/officeDocument/2006/relationships/hyperlink" Target="http://www.sec.gov/Archives/edgar/data/1453687/000104746916013398/a2228672zex-10_7a.htm" TargetMode="External"/><Relationship Id="rId53" Type="http://schemas.openxmlformats.org/officeDocument/2006/relationships/hyperlink" Target="http://www.sec.gov/Archives/edgar/data/1453687/000104746916013398/a2228672zex-10_7b.htm" TargetMode="External"/><Relationship Id="rId54" Type="http://schemas.openxmlformats.org/officeDocument/2006/relationships/hyperlink" Target="http://www.sec.gov/Archives/edgar/data/1453687/000104746916013398/a2228672zex-10_7c.htm" TargetMode="External"/><Relationship Id="rId55" Type="http://schemas.openxmlformats.org/officeDocument/2006/relationships/hyperlink" Target="http://www.sec.gov/Archives/edgar/data/1453687/000104746916013398/a2228672zex-10_7d.htm" TargetMode="External"/><Relationship Id="rId56" Type="http://schemas.openxmlformats.org/officeDocument/2006/relationships/hyperlink" Target="http://www.sec.gov/Archives/edgar/data/1453687/000104746916013398/a2228672zex-10_7e.htm" TargetMode="External"/><Relationship Id="rId57" Type="http://schemas.openxmlformats.org/officeDocument/2006/relationships/hyperlink" Target="http://www.sec.gov/Archives/edgar/data/1453687/000145368716000020/exhibit103a-3rdamendmentto.htm" TargetMode="External"/><Relationship Id="rId58" Type="http://schemas.openxmlformats.org/officeDocument/2006/relationships/hyperlink" Target="http://www.sec.gov/Archives/edgar/data/1453687/000145368716000020/exhibit103b-selectamit2xwa.htm" TargetMode="External"/><Relationship Id="rId59" Type="http://schemas.openxmlformats.org/officeDocument/2006/relationships/hyperlink" Target="http://www.sec.gov/Archives/edgar/data/1453687/000145368716000020/exhibit103c-sparkxselectam.htm" TargetMode="External"/><Relationship Id="rId60" Type="http://schemas.openxmlformats.org/officeDocument/2006/relationships/hyperlink" Target="http://www.sec.gov/Archives/edgar/data/1453687/000145368717000053/exhibit106_63017.htm" TargetMode="External"/><Relationship Id="rId61" Type="http://schemas.openxmlformats.org/officeDocument/2006/relationships/hyperlink" Target="http://www.sec.gov/Archives/edgar/data/1453687/000104746916013398/a2228672zex-10_10.htm" TargetMode="External"/><Relationship Id="rId62" Type="http://schemas.openxmlformats.org/officeDocument/2006/relationships/hyperlink" Target="http://www.sec.gov/Archives/edgar/data/1453687/000104746916013398/a2228672zex-10_13.htm" TargetMode="External"/><Relationship Id="rId63" Type="http://schemas.openxmlformats.org/officeDocument/2006/relationships/hyperlink" Target="http://www.sec.gov/Archives/edgar/data/1453687/000110465916144668/a16-18458_1ex10d1.htm" TargetMode="External"/><Relationship Id="rId64" Type="http://schemas.openxmlformats.org/officeDocument/2006/relationships/hyperlink" Target="http://www.sec.gov/Archives/edgar/data/1453687/000145368719000157/exhibit103leaseagreeme.htm" TargetMode="External"/><Relationship Id="rId65" Type="http://schemas.openxmlformats.org/officeDocument/2006/relationships/hyperlink" Target="http://www.sec.gov/Archives/edgar/data/1453687/000145368718000061/exhibit102_brunnemployment.htm" TargetMode="External"/><Relationship Id="rId66" Type="http://schemas.openxmlformats.org/officeDocument/2006/relationships/hyperlink" Target="http://www.sec.gov/Archives/edgar/data/1453687/000104746916013718/a2228810zex-10_18.htm" TargetMode="External"/><Relationship Id="rId67" Type="http://schemas.openxmlformats.org/officeDocument/2006/relationships/hyperlink" Target="http://www.sec.gov/Archives/edgar/data/1453687/000104746916013718/a2228810zex-10_21.htm" TargetMode="External"/><Relationship Id="rId68" Type="http://schemas.openxmlformats.org/officeDocument/2006/relationships/hyperlink" Target="http://www.sec.gov/Archives/edgar/data/1453687/000145368719000157/exhibit101cfoemploymen.htm" TargetMode="External"/><Relationship Id="rId69" Type="http://schemas.openxmlformats.org/officeDocument/2006/relationships/hyperlink" Target="http://www.sec.gov/Archives/edgar/data/1453687/000145368719000104/aschecteremploymentagr.htm" TargetMode="External"/><Relationship Id="rId70" Type="http://schemas.openxmlformats.org/officeDocument/2006/relationships/hyperlink" Target="http://www.sec.gov/Archives/edgar/data/1453687/000145368719000053/ekoganemploymentagreem.htm" TargetMode="External"/><Relationship Id="rId71" Type="http://schemas.openxmlformats.org/officeDocument/2006/relationships/hyperlink" Target="http://www.sec.gov/Archives/edgar/data/1453687/000145368717000065/exhibit103_ccoemploymentag.htm" TargetMode="External"/><Relationship Id="rId72" Type="http://schemas.openxmlformats.org/officeDocument/2006/relationships/hyperlink" Target="http://www.sec.gov/Archives/edgar/data/1453687/000145368717000005/exhibit101-sparklicenseagr.htm" TargetMode="External"/><Relationship Id="rId73" Type="http://schemas.openxmlformats.org/officeDocument/2006/relationships/hyperlink" Target="http://www.sec.gov/Archives/edgar/data/1453687/000145368716000020/exhibit102-sparkspaedgarre.htm" TargetMode="External"/><Relationship Id="rId74" Type="http://schemas.openxmlformats.org/officeDocument/2006/relationships/hyperlink" Target="http://www.sec.gov/Archives/edgar/data/1453687/000145368717000053/exhibit107_63017.htm" TargetMode="External"/><Relationship Id="rId75" Type="http://schemas.openxmlformats.org/officeDocument/2006/relationships/hyperlink" Target="http://www.sec.gov/Archives/edgar/data/1453687/000145368719000157/exhibit102feasibilitys.htm" TargetMode="External"/><Relationship Id="rId76" Type="http://schemas.openxmlformats.org/officeDocument/2006/relationships/hyperlink" Target="http://www.sec.gov/Archives/edgar/data/1453687/000145368717000048/exhibit102_selectabioscien.htm" TargetMode="External"/><Relationship Id="rId77" Type="http://schemas.openxmlformats.org/officeDocument/2006/relationships/hyperlink" Target="http://www.sec.gov/Archives/edgar/data/1453687/000141057819000832/tv527995_ex10-1.htm" TargetMode="External"/><Relationship Id="rId78" Type="http://schemas.openxmlformats.org/officeDocument/2006/relationships/hyperlink" Target="http://www.sec.gov/Archives/edgar/data/1453687/000110465919075844/tm1926772d1_ex10-1.htm" TargetMode="External"/><Relationship Id="rId79" Type="http://schemas.openxmlformats.org/officeDocument/2006/relationships/hyperlink" Target="http://www.sec.gov/Archives/edgar/data/1453687/000145368717000056/exhibit101_loansecurityagr.htm" TargetMode="External"/><Relationship Id="rId80" Type="http://schemas.openxmlformats.org/officeDocument/2006/relationships/hyperlink" Target="http://www.sec.gov/Archives/edgar/data/1453687/000104746916013398/a222867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2020-03-12T15:22:39Z</dcterms:created>
  <dcterms:modified xsi:type="dcterms:W3CDTF">2020-03-12T15:22:39Z</dcterms:modified>
</cp:coreProperties>
</file>