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4"/>
          <w:szCs w:val="24"/>
          <w:color w:val="auto"/>
        </w:rPr>
      </w:pPr>
    </w:p>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Filed Pursuant to Rule 424(b)(7)</w:t>
      </w:r>
    </w:p>
    <w:p>
      <w:pPr>
        <w:spacing w:after="0" w:line="25" w:lineRule="exact"/>
        <w:rPr>
          <w:sz w:val="24"/>
          <w:szCs w:val="24"/>
          <w:color w:val="auto"/>
        </w:rPr>
      </w:pPr>
    </w:p>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Registration No. 333-281204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6,501,150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95250</wp:posOffset>
            </wp:positionV>
            <wp:extent cx="2096135" cy="633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6135" cy="633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color w:val="auto"/>
        </w:rPr>
        <w:t> </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2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 </w:t>
      </w:r>
    </w:p>
    <w:p>
      <w:pPr>
        <w:jc w:val="center"/>
        <w:spacing w:after="0"/>
        <w:rPr>
          <w:sz w:val="20"/>
          <w:szCs w:val="20"/>
          <w:color w:val="auto"/>
        </w:rPr>
      </w:pPr>
      <w:r>
        <w:rPr>
          <w:rFonts w:ascii="Times New Roman" w:cs="Times New Roman" w:eastAsia="Times New Roman" w:hAnsi="Times New Roman"/>
          <w:sz w:val="19"/>
          <w:szCs w:val="19"/>
          <w:b w:val="1"/>
          <w:bCs w:val="1"/>
          <w:color w:val="auto"/>
        </w:rPr>
        <w:t>Offered by the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66675</wp:posOffset>
            </wp:positionV>
            <wp:extent cx="9652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176" w:lineRule="exact"/>
        <w:rPr>
          <w:sz w:val="24"/>
          <w:szCs w:val="24"/>
          <w:color w:val="auto"/>
        </w:rPr>
      </w:pPr>
    </w:p>
    <w:p>
      <w:pPr>
        <w:ind w:left="900" w:right="959"/>
        <w:spacing w:after="0" w:line="251" w:lineRule="auto"/>
        <w:rPr>
          <w:sz w:val="20"/>
          <w:szCs w:val="20"/>
          <w:color w:val="auto"/>
        </w:rPr>
      </w:pPr>
      <w:r>
        <w:rPr>
          <w:rFonts w:ascii="Times New Roman" w:cs="Times New Roman" w:eastAsia="Times New Roman" w:hAnsi="Times New Roman"/>
          <w:sz w:val="16"/>
          <w:szCs w:val="16"/>
          <w:color w:val="auto"/>
        </w:rPr>
        <w:t>This prospectus relates to the proposed resale or other disposition by the selling stockholders identified herein (the “Selling Stockholders”) of up to (i) 3,563,247 shares (the “Private Placement Common Shares”) of our common stock, par value $0.0001 per share (“Common Stock”), and (ii) 2,937,903 shares of Common Stock (the “Private Placement Conversion Shares”) issuable upon the conversion of 2,937,903 shares (the “Private Placement Preferred Shares”) of Series B Non-Voting Convertible Preferred Stock, par value $0.0001 (the “Series B Preferred Stock”). Subject to receiving the requisite stockholder approval and certain beneficial ownership limitations set by each Selling Stockholder, each share of Series B Preferred Stock will automatically convert upon the requisite stockholder approval into one share of Common Stock. The shares of Common Stock registered by the registration statement of which this prospectus forms a part are referred to herein as the “Resale Shares.”</w:t>
      </w:r>
    </w:p>
    <w:p>
      <w:pPr>
        <w:spacing w:after="0" w:line="71" w:lineRule="exact"/>
        <w:rPr>
          <w:sz w:val="24"/>
          <w:szCs w:val="24"/>
          <w:color w:val="auto"/>
        </w:rPr>
      </w:pPr>
    </w:p>
    <w:p>
      <w:pPr>
        <w:ind w:left="900" w:right="979"/>
        <w:spacing w:after="0" w:line="257" w:lineRule="auto"/>
        <w:rPr>
          <w:sz w:val="20"/>
          <w:szCs w:val="20"/>
          <w:color w:val="auto"/>
        </w:rPr>
      </w:pPr>
      <w:r>
        <w:rPr>
          <w:rFonts w:ascii="Times New Roman" w:cs="Times New Roman" w:eastAsia="Times New Roman" w:hAnsi="Times New Roman"/>
          <w:sz w:val="16"/>
          <w:szCs w:val="16"/>
          <w:color w:val="auto"/>
        </w:rPr>
        <w:t>The Private Placement Common Shares and the Private Placement Preferred Shares were issued and sold to certain institutional and accredited investors in a private placement (the “Private Placement”), which closed on July 3, 2024. We are not selling any Resale Shares under this prospectus and will not receive any of the proceeds from the sale or other disposition of Resale Shares by the Selling Stockholders.</w:t>
      </w:r>
    </w:p>
    <w:p>
      <w:pPr>
        <w:spacing w:after="0" w:line="67" w:lineRule="exact"/>
        <w:rPr>
          <w:sz w:val="24"/>
          <w:szCs w:val="24"/>
          <w:color w:val="auto"/>
        </w:rPr>
      </w:pPr>
    </w:p>
    <w:p>
      <w:pPr>
        <w:ind w:left="900" w:right="1019"/>
        <w:spacing w:after="0" w:line="252" w:lineRule="auto"/>
        <w:rPr>
          <w:sz w:val="20"/>
          <w:szCs w:val="20"/>
          <w:color w:val="auto"/>
        </w:rPr>
      </w:pPr>
      <w:r>
        <w:rPr>
          <w:rFonts w:ascii="Times New Roman" w:cs="Times New Roman" w:eastAsia="Times New Roman" w:hAnsi="Times New Roman"/>
          <w:sz w:val="16"/>
          <w:szCs w:val="16"/>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w:t>
      </w:r>
    </w:p>
    <w:p>
      <w:pPr>
        <w:spacing w:after="0" w:line="73" w:lineRule="exact"/>
        <w:rPr>
          <w:sz w:val="24"/>
          <w:szCs w:val="24"/>
          <w:color w:val="auto"/>
        </w:rPr>
      </w:pPr>
    </w:p>
    <w:p>
      <w:pPr>
        <w:jc w:val="both"/>
        <w:ind w:left="900" w:right="1219"/>
        <w:spacing w:after="0" w:line="262" w:lineRule="auto"/>
        <w:rPr>
          <w:sz w:val="20"/>
          <w:szCs w:val="20"/>
          <w:color w:val="auto"/>
        </w:rPr>
      </w:pPr>
      <w:r>
        <w:rPr>
          <w:rFonts w:ascii="Times New Roman" w:cs="Times New Roman" w:eastAsia="Times New Roman" w:hAnsi="Times New Roman"/>
          <w:sz w:val="16"/>
          <w:szCs w:val="16"/>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62" w:lineRule="exact"/>
        <w:rPr>
          <w:sz w:val="24"/>
          <w:szCs w:val="24"/>
          <w:color w:val="auto"/>
        </w:rPr>
      </w:pPr>
    </w:p>
    <w:p>
      <w:pPr>
        <w:ind w:left="900" w:right="1059"/>
        <w:spacing w:after="0" w:line="277" w:lineRule="auto"/>
        <w:rPr>
          <w:sz w:val="20"/>
          <w:szCs w:val="20"/>
          <w:color w:val="auto"/>
        </w:rPr>
      </w:pPr>
      <w:r>
        <w:rPr>
          <w:rFonts w:ascii="Times New Roman" w:cs="Times New Roman" w:eastAsia="Times New Roman" w:hAnsi="Times New Roman"/>
          <w:sz w:val="16"/>
          <w:szCs w:val="16"/>
          <w:color w:val="auto"/>
        </w:rPr>
        <w:t>You should carefully read this prospectus and any applicable prospectus supplement before you invest in any of the securities being offered.</w:t>
      </w:r>
    </w:p>
    <w:p>
      <w:pPr>
        <w:spacing w:after="0" w:line="50" w:lineRule="exact"/>
        <w:rPr>
          <w:sz w:val="24"/>
          <w:szCs w:val="24"/>
          <w:color w:val="auto"/>
        </w:rPr>
      </w:pPr>
    </w:p>
    <w:p>
      <w:pPr>
        <w:ind w:left="900" w:right="919"/>
        <w:spacing w:after="0" w:line="277" w:lineRule="auto"/>
        <w:rPr>
          <w:sz w:val="20"/>
          <w:szCs w:val="20"/>
          <w:color w:val="auto"/>
        </w:rPr>
      </w:pPr>
      <w:r>
        <w:rPr>
          <w:rFonts w:ascii="Times New Roman" w:cs="Times New Roman" w:eastAsia="Times New Roman" w:hAnsi="Times New Roman"/>
          <w:sz w:val="16"/>
          <w:szCs w:val="16"/>
          <w:color w:val="auto"/>
        </w:rPr>
        <w:t>Our Common Stock is traded on The Nasdaq Global Market under the symbol “RNAC.” On September 26, 2024, the last reported sale price for our Common Stock was $17.36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57785</wp:posOffset>
            </wp:positionV>
            <wp:extent cx="9652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88" w:lineRule="exact"/>
        <w:rPr>
          <w:sz w:val="24"/>
          <w:szCs w:val="24"/>
          <w:color w:val="auto"/>
        </w:rPr>
      </w:pPr>
    </w:p>
    <w:p>
      <w:pPr>
        <w:ind w:left="900" w:right="1059"/>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An investment in our securities involves a high degree of risk. You should carefully consider the information under the heading “Risk Factors” beginning on page </w:t>
      </w:r>
      <w:r>
        <w:rPr>
          <w:rFonts w:ascii="Times New Roman" w:cs="Times New Roman" w:eastAsia="Times New Roman" w:hAnsi="Times New Roman"/>
          <w:sz w:val="16"/>
          <w:szCs w:val="16"/>
          <w:b w:val="1"/>
          <w:bCs w:val="1"/>
          <w:u w:val="single" w:color="auto"/>
          <w:color w:val="0000EE"/>
        </w:rPr>
        <w:t>6</w:t>
      </w:r>
      <w:r>
        <w:rPr>
          <w:rFonts w:ascii="Times New Roman" w:cs="Times New Roman" w:eastAsia="Times New Roman" w:hAnsi="Times New Roman"/>
          <w:sz w:val="16"/>
          <w:szCs w:val="16"/>
          <w:b w:val="1"/>
          <w:bCs w:val="1"/>
          <w:color w:val="auto"/>
        </w:rPr>
        <w:t xml:space="preserve"> of this prospectus and any applicable prospectus supplement.</w:t>
      </w:r>
    </w:p>
    <w:p>
      <w:pPr>
        <w:spacing w:after="0" w:line="58" w:lineRule="exact"/>
        <w:rPr>
          <w:sz w:val="24"/>
          <w:szCs w:val="24"/>
          <w:color w:val="auto"/>
        </w:rPr>
      </w:pPr>
    </w:p>
    <w:p>
      <w:pPr>
        <w:ind w:left="900" w:right="1159"/>
        <w:spacing w:after="0" w:line="280" w:lineRule="auto"/>
        <w:rPr>
          <w:sz w:val="20"/>
          <w:szCs w:val="20"/>
          <w:color w:val="auto"/>
        </w:rPr>
      </w:pPr>
      <w:r>
        <w:rPr>
          <w:rFonts w:ascii="Times New Roman" w:cs="Times New Roman" w:eastAsia="Times New Roman" w:hAnsi="Times New Roman"/>
          <w:sz w:val="16"/>
          <w:szCs w:val="16"/>
          <w:b w:val="1"/>
          <w:bCs w:val="1"/>
          <w:color w:val="auto"/>
        </w:rPr>
        <w:t>We are a “smaller reporting company” as defined by Rule 12b-2 of the Exchange Act and are subject to reduced public company reporting requirements.</w:t>
      </w:r>
    </w:p>
    <w:p>
      <w:pPr>
        <w:spacing w:after="0" w:line="46" w:lineRule="exact"/>
        <w:rPr>
          <w:sz w:val="24"/>
          <w:szCs w:val="24"/>
          <w:color w:val="auto"/>
        </w:rPr>
      </w:pPr>
    </w:p>
    <w:p>
      <w:pPr>
        <w:ind w:left="900" w:right="1179"/>
        <w:spacing w:after="0" w:line="264"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63500</wp:posOffset>
            </wp:positionV>
            <wp:extent cx="9652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is October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113665</wp:posOffset>
            </wp:positionV>
            <wp:extent cx="615315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1" w:name="page2"/>
    <w:bookmarkEnd w:id="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This prospectus contains information that you should consider when making your investment decision. Neither we nor the Selling Stockholders have authorized anyone to provide you with information that is different from or in addition to the information contained in this prospectus or in any applicable prospectus supplement or in any related free writing prospectus prepared by or on behalf of us or to which we have referred you. Accordingly, neither we nor any Selling Stockholder takes any responsibility for, or can provide any assurance as to the reliability of, any information that others may give. The Selling Stockholders are offering to sell, and seeking offers to buy, our securities only in jurisdictions where it is lawful to do so.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74"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We may also provide a prospectus supplement or post-effective amendment to the registration statement to add information to, or update or change information contained in, this prospectus. You should read this prospectus and any applicable prospectus supplement or post-effective amendment to the registration statement together with the additional information to which we refer you in the section of this prospectus titled “Where You Can Find More Information.”</w:t>
      </w:r>
    </w:p>
    <w:p>
      <w:pPr>
        <w:spacing w:after="0" w:line="68"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In this prospectus, unless the context otherwise requires, the terms “Cartesian,” the “Company,” “we,” “us,” and “our” refer to Cartesian Therapeutics, Inc., a Delaware corporation, and its consolidated subsidiaries.</w:t>
      </w:r>
    </w:p>
    <w:p>
      <w:pPr>
        <w:spacing w:after="0" w:line="50"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This prospectus contains trade names, trademarks and service marks of others, which are the property of their respective owners. Solely for convenience, trademarks and trade names referred to in this prospectus may appear without the ® or TM symbols.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 w:name="page3"/>
    <w:bookmarkEnd w:id="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gridSpan w:val="9"/>
          </w:tcPr>
          <w:p>
            <w:pPr>
              <w:ind w:left="3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88"/>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bottom w:val="single" w:sz="8" w:color="0000EE"/>
            </w:tcBorders>
            <w:gridSpan w:val="1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6"/>
              </w:rPr>
              <w:t>ABOUT THIS PROSPECTUS</w:t>
            </w:r>
          </w:p>
        </w:tc>
        <w:tc>
          <w:tcPr>
            <w:tcW w:w="5100" w:type="dxa"/>
            <w:vAlign w:val="bottom"/>
            <w:tcBorders>
              <w:bottom w:val="single" w:sz="8" w:color="CCEEFF"/>
            </w:tcBorders>
            <w:gridSpan w:val="1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ind w:right="60"/>
              <w:spacing w:after="0" w:line="170" w:lineRule="exact"/>
              <w:rPr>
                <w:sz w:val="20"/>
                <w:szCs w:val="20"/>
                <w:color w:val="auto"/>
              </w:rPr>
            </w:pPr>
            <w:r>
              <w:rPr>
                <w:rFonts w:ascii="Times New Roman" w:cs="Times New Roman" w:eastAsia="Times New Roman" w:hAnsi="Times New Roman"/>
                <w:sz w:val="16"/>
                <w:szCs w:val="16"/>
                <w:u w:val="single" w:color="auto"/>
                <w:color w:val="0000EE"/>
              </w:rPr>
              <w:t>i</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PROSPECTUS SUMMARY</w:t>
            </w: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RISK FACTORS SUMMARY</w:t>
            </w:r>
          </w:p>
        </w:tc>
        <w:tc>
          <w:tcPr>
            <w:tcW w:w="280" w:type="dxa"/>
            <w:vAlign w:val="bottom"/>
            <w:gridSpan w:val="4"/>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920" w:type="dxa"/>
            <w:vAlign w:val="bottom"/>
            <w:gridSpan w:val="11"/>
          </w:tcPr>
          <w:p>
            <w:pPr>
              <w:spacing w:after="0" w:line="166" w:lineRule="exact"/>
              <w:rPr>
                <w:sz w:val="20"/>
                <w:szCs w:val="20"/>
                <w:color w:val="auto"/>
              </w:rPr>
            </w:pPr>
            <w:r>
              <w:rPr>
                <w:rFonts w:ascii="Times New Roman" w:cs="Times New Roman" w:eastAsia="Times New Roman" w:hAnsi="Times New Roman"/>
                <w:sz w:val="16"/>
                <w:szCs w:val="16"/>
                <w:color w:val="0000EE"/>
              </w:rPr>
              <w:t>RISK FACTORS</w:t>
            </w:r>
          </w:p>
        </w:tc>
        <w:tc>
          <w:tcPr>
            <w:tcW w:w="5120" w:type="dxa"/>
            <w:vAlign w:val="bottom"/>
            <w:gridSpan w:val="13"/>
          </w:tcPr>
          <w:p>
            <w:pPr>
              <w:spacing w:after="0"/>
              <w:rPr>
                <w:sz w:val="14"/>
                <w:szCs w:val="14"/>
                <w:color w:val="auto"/>
              </w:rPr>
            </w:pP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180" w:type="dxa"/>
            <w:vAlign w:val="bottom"/>
            <w:gridSpan w:val="20"/>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7"/>
              </w:rPr>
              <w:t>CAUTIONARY NOTE CONCERNING FORWARD-LOOKING STATEMENTS</w:t>
            </w:r>
          </w:p>
        </w:tc>
        <w:tc>
          <w:tcPr>
            <w:tcW w:w="1860" w:type="dxa"/>
            <w:vAlign w:val="bottom"/>
            <w:gridSpan w:val="4"/>
            <w:shd w:val="clear" w:color="auto" w:fill="CCEEFF"/>
          </w:tcPr>
          <w:p>
            <w:pPr>
              <w:spacing w:after="0"/>
              <w:rPr>
                <w:sz w:val="14"/>
                <w:szCs w:val="14"/>
                <w:color w:val="auto"/>
              </w:rPr>
            </w:pPr>
          </w:p>
        </w:tc>
        <w:tc>
          <w:tcPr>
            <w:tcW w:w="280" w:type="dxa"/>
            <w:vAlign w:val="bottom"/>
            <w:gridSpan w:val="4"/>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37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180" w:type="dxa"/>
            <w:vAlign w:val="bottom"/>
            <w:gridSpan w:val="20"/>
          </w:tcPr>
          <w:p>
            <w:pPr>
              <w:spacing w:after="0" w:line="166" w:lineRule="exact"/>
              <w:rPr>
                <w:sz w:val="20"/>
                <w:szCs w:val="20"/>
                <w:color w:val="auto"/>
              </w:rPr>
            </w:pPr>
            <w:r>
              <w:rPr>
                <w:rFonts w:ascii="Times New Roman" w:cs="Times New Roman" w:eastAsia="Times New Roman" w:hAnsi="Times New Roman"/>
                <w:sz w:val="16"/>
                <w:szCs w:val="16"/>
                <w:color w:val="0000EE"/>
              </w:rPr>
              <w:t>USE OF PROCEEDS</w:t>
            </w:r>
          </w:p>
        </w:tc>
        <w:tc>
          <w:tcPr>
            <w:tcW w:w="1860" w:type="dxa"/>
            <w:vAlign w:val="bottom"/>
            <w:gridSpan w:val="4"/>
          </w:tcPr>
          <w:p>
            <w:pPr>
              <w:spacing w:after="0"/>
              <w:rPr>
                <w:sz w:val="14"/>
                <w:szCs w:val="14"/>
                <w:color w:val="auto"/>
              </w:rPr>
            </w:pP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6820" w:type="dxa"/>
            <w:vAlign w:val="bottom"/>
            <w:tcBorders>
              <w:bottom w:val="single" w:sz="8" w:color="0000EE"/>
            </w:tcBorders>
            <w:gridSpan w:val="23"/>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MANAGEMENT’S DISCUSSION AND ANALYSIS OF FINANCIAL CONDITION AND RESULTS OF</w:t>
            </w:r>
          </w:p>
        </w:tc>
        <w:tc>
          <w:tcPr>
            <w:tcW w:w="2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900" w:type="dxa"/>
            <w:vAlign w:val="bottom"/>
            <w:gridSpan w:val="2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OPERATIONS</w:t>
            </w:r>
          </w:p>
        </w:tc>
        <w:tc>
          <w:tcPr>
            <w:tcW w:w="280" w:type="dxa"/>
            <w:vAlign w:val="bottom"/>
            <w:gridSpan w:val="4"/>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40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CHANGES IN AND DISAGREEMENTS WITH ACCOUNTANTS ON ACCOUNTING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5920" w:type="dxa"/>
            <w:vAlign w:val="bottom"/>
            <w:tcBorders>
              <w:top w:val="single" w:sz="8" w:color="0000EE"/>
            </w:tcBorders>
            <w:gridSpan w:val="21"/>
          </w:tcPr>
          <w:p>
            <w:pPr>
              <w:spacing w:after="0" w:line="170" w:lineRule="exact"/>
              <w:rPr>
                <w:sz w:val="20"/>
                <w:szCs w:val="20"/>
                <w:color w:val="auto"/>
              </w:rPr>
            </w:pPr>
            <w:r>
              <w:rPr>
                <w:rFonts w:ascii="Times New Roman" w:cs="Times New Roman" w:eastAsia="Times New Roman" w:hAnsi="Times New Roman"/>
                <w:sz w:val="16"/>
                <w:szCs w:val="16"/>
                <w:color w:val="0000EE"/>
              </w:rPr>
              <w:t>FINANCIAL DISCLOSURE</w:t>
            </w:r>
          </w:p>
        </w:tc>
        <w:tc>
          <w:tcPr>
            <w:tcW w:w="980" w:type="dxa"/>
            <w:vAlign w:val="bottom"/>
            <w:gridSpan w:val="2"/>
          </w:tcPr>
          <w:p>
            <w:pPr>
              <w:spacing w:after="0"/>
              <w:rPr>
                <w:sz w:val="14"/>
                <w:szCs w:val="14"/>
                <w:color w:val="auto"/>
              </w:rPr>
            </w:pPr>
          </w:p>
        </w:tc>
        <w:tc>
          <w:tcPr>
            <w:tcW w:w="280" w:type="dxa"/>
            <w:vAlign w:val="bottom"/>
            <w:gridSpan w:val="4"/>
          </w:tcPr>
          <w:p>
            <w:pPr>
              <w:jc w:val="right"/>
              <w:spacing w:after="0" w:line="170" w:lineRule="exact"/>
              <w:rPr>
                <w:sz w:val="20"/>
                <w:szCs w:val="20"/>
                <w:color w:val="auto"/>
              </w:rPr>
            </w:pPr>
            <w:r>
              <w:rPr>
                <w:rFonts w:ascii="Times New Roman" w:cs="Times New Roman" w:eastAsia="Times New Roman" w:hAnsi="Times New Roman"/>
                <w:sz w:val="16"/>
                <w:szCs w:val="16"/>
                <w:color w:val="0000EE"/>
              </w:rPr>
              <w:t>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BUSINESS</w:t>
            </w:r>
          </w:p>
        </w:tc>
        <w:tc>
          <w:tcPr>
            <w:tcW w:w="280" w:type="dxa"/>
            <w:vAlign w:val="bottom"/>
            <w:gridSpan w:val="4"/>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59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MARKET PRICE AND DIVIDENDS</w:t>
            </w: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MANAGEMENT</w:t>
            </w:r>
          </w:p>
        </w:tc>
        <w:tc>
          <w:tcPr>
            <w:tcW w:w="280" w:type="dxa"/>
            <w:vAlign w:val="bottom"/>
            <w:gridSpan w:val="4"/>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82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COMPENSATION DISCUSSION AND ANALYSIS</w:t>
            </w: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40" w:type="dxa"/>
            <w:vAlign w:val="bottom"/>
            <w:tcBorders>
              <w:bottom w:val="single" w:sz="8" w:color="0000EE"/>
            </w:tcBorders>
            <w:gridSpan w:val="16"/>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7"/>
              </w:rPr>
              <w:t>EXECUTIVE AND DIRECTOR COMPENSATION</w:t>
            </w:r>
          </w:p>
        </w:tc>
        <w:tc>
          <w:tcPr>
            <w:tcW w:w="3700" w:type="dxa"/>
            <w:vAlign w:val="bottom"/>
            <w:tcBorders>
              <w:bottom w:val="single" w:sz="8" w:color="CCEEFF"/>
            </w:tcBorders>
            <w:gridSpan w:val="8"/>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0000EE"/>
            </w:tcBorders>
            <w:gridSpan w:val="3"/>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1"/>
              </w:rPr>
              <w:t>113</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w:t>
            </w:r>
          </w:p>
        </w:tc>
        <w:tc>
          <w:tcPr>
            <w:tcW w:w="340" w:type="dxa"/>
            <w:vAlign w:val="bottom"/>
            <w:gridSpan w:val="5"/>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rPr>
              <w:t>120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60" w:type="dxa"/>
            <w:vAlign w:val="bottom"/>
            <w:gridSpan w:val="1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6"/>
              </w:rPr>
              <w:t>CERTAIN RELATIONSHIPS AND RELATED TRANSACTIONS</w:t>
            </w:r>
          </w:p>
        </w:tc>
        <w:tc>
          <w:tcPr>
            <w:tcW w:w="2780" w:type="dxa"/>
            <w:vAlign w:val="bottom"/>
            <w:gridSpan w:val="5"/>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gridSpan w:val="4"/>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60" w:type="dxa"/>
            <w:vAlign w:val="bottom"/>
            <w:gridSpan w:val="19"/>
          </w:tcPr>
          <w:p>
            <w:pPr>
              <w:spacing w:after="0" w:line="166" w:lineRule="exact"/>
              <w:rPr>
                <w:sz w:val="20"/>
                <w:szCs w:val="20"/>
                <w:color w:val="auto"/>
              </w:rPr>
            </w:pPr>
            <w:r>
              <w:rPr>
                <w:rFonts w:ascii="Times New Roman" w:cs="Times New Roman" w:eastAsia="Times New Roman" w:hAnsi="Times New Roman"/>
                <w:sz w:val="16"/>
                <w:szCs w:val="16"/>
                <w:color w:val="0000EE"/>
              </w:rPr>
              <w:t>SELLING STOCKHOLDERS</w:t>
            </w:r>
          </w:p>
        </w:tc>
        <w:tc>
          <w:tcPr>
            <w:tcW w:w="27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4"/>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PLAN OF DISTRIBUTION</w:t>
            </w:r>
          </w:p>
        </w:tc>
        <w:tc>
          <w:tcPr>
            <w:tcW w:w="340" w:type="dxa"/>
            <w:vAlign w:val="bottom"/>
            <w:gridSpan w:val="5"/>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rPr>
              <w:t>132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DESCRIPTION OF CAPITAL STOCK</w:t>
            </w:r>
          </w:p>
        </w:tc>
        <w:tc>
          <w:tcPr>
            <w:tcW w:w="340" w:type="dxa"/>
            <w:vAlign w:val="bottom"/>
            <w:gridSpan w:val="5"/>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rPr>
              <w:t>135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260" w:type="dxa"/>
            <w:vAlign w:val="bottom"/>
            <w:gridSpan w:val="7"/>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4"/>
              </w:rPr>
              <w:t>LEGAL MATTERS</w:t>
            </w:r>
          </w:p>
        </w:tc>
        <w:tc>
          <w:tcPr>
            <w:tcW w:w="5780" w:type="dxa"/>
            <w:vAlign w:val="bottom"/>
            <w:gridSpan w:val="17"/>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gridSpan w:val="4"/>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260" w:type="dxa"/>
            <w:vAlign w:val="bottom"/>
            <w:gridSpan w:val="7"/>
          </w:tcPr>
          <w:p>
            <w:pPr>
              <w:spacing w:after="0" w:line="166" w:lineRule="exact"/>
              <w:rPr>
                <w:sz w:val="20"/>
                <w:szCs w:val="20"/>
                <w:color w:val="auto"/>
              </w:rPr>
            </w:pPr>
            <w:r>
              <w:rPr>
                <w:rFonts w:ascii="Times New Roman" w:cs="Times New Roman" w:eastAsia="Times New Roman" w:hAnsi="Times New Roman"/>
                <w:sz w:val="16"/>
                <w:szCs w:val="16"/>
                <w:color w:val="0000EE"/>
              </w:rPr>
              <w:t>EXPERTS</w:t>
            </w:r>
          </w:p>
        </w:tc>
        <w:tc>
          <w:tcPr>
            <w:tcW w:w="5780" w:type="dxa"/>
            <w:vAlign w:val="bottom"/>
            <w:gridSpan w:val="17"/>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4"/>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340" w:type="dxa"/>
            <w:vAlign w:val="bottom"/>
            <w:gridSpan w:val="16"/>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7"/>
              </w:rPr>
              <w:t>WHERE YOU CAN FIND MORE INFORMATION</w:t>
            </w:r>
          </w:p>
        </w:tc>
        <w:tc>
          <w:tcPr>
            <w:tcW w:w="3700" w:type="dxa"/>
            <w:vAlign w:val="bottom"/>
            <w:gridSpan w:val="8"/>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gridSpan w:val="4"/>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00" w:type="dxa"/>
            <w:vAlign w:val="bottom"/>
            <w:gridSpan w:val="18"/>
          </w:tcPr>
          <w:p>
            <w:pPr>
              <w:spacing w:after="0" w:line="166" w:lineRule="exact"/>
              <w:rPr>
                <w:sz w:val="20"/>
                <w:szCs w:val="20"/>
                <w:color w:val="auto"/>
              </w:rPr>
            </w:pPr>
            <w:r>
              <w:rPr>
                <w:rFonts w:ascii="Times New Roman" w:cs="Times New Roman" w:eastAsia="Times New Roman" w:hAnsi="Times New Roman"/>
                <w:sz w:val="16"/>
                <w:szCs w:val="16"/>
                <w:color w:val="0000EE"/>
                <w:w w:val="96"/>
              </w:rPr>
              <w:t>INDEX TO CONSOLIDATED FINANCIAL STATEMENTS</w:t>
            </w:r>
          </w:p>
        </w:tc>
        <w:tc>
          <w:tcPr>
            <w:tcW w:w="314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4"/>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8"/>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6000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4590" cy="60001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101" w:lineRule="exact"/>
        <w:rPr>
          <w:sz w:val="20"/>
          <w:szCs w:val="20"/>
          <w:color w:val="auto"/>
        </w:rPr>
      </w:pPr>
    </w:p>
    <w:p>
      <w:pPr>
        <w:ind w:left="820" w:right="799"/>
        <w:spacing w:after="0" w:line="258" w:lineRule="auto"/>
        <w:rPr>
          <w:sz w:val="20"/>
          <w:szCs w:val="20"/>
          <w:color w:val="auto"/>
        </w:rPr>
      </w:pPr>
      <w:r>
        <w:rPr>
          <w:rFonts w:ascii="Times New Roman" w:cs="Times New Roman" w:eastAsia="Times New Roman" w:hAnsi="Times New Roman"/>
          <w:sz w:val="16"/>
          <w:szCs w:val="16"/>
          <w:i w:val="1"/>
          <w:iCs w:val="1"/>
          <w:color w:val="auto"/>
        </w:rPr>
        <w:t>This summary may not contain all the information that you should consider before investing in securities. You should read the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spacing w:after="0" w:line="2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03" w:lineRule="exact"/>
        <w:rPr>
          <w:sz w:val="20"/>
          <w:szCs w:val="20"/>
          <w:color w:val="auto"/>
        </w:rPr>
      </w:pPr>
    </w:p>
    <w:p>
      <w:pPr>
        <w:ind w:left="820" w:right="859"/>
        <w:spacing w:after="0" w:line="250" w:lineRule="auto"/>
        <w:rPr>
          <w:sz w:val="20"/>
          <w:szCs w:val="20"/>
          <w:color w:val="auto"/>
        </w:rPr>
      </w:pPr>
      <w:r>
        <w:rPr>
          <w:rFonts w:ascii="Times New Roman" w:cs="Times New Roman" w:eastAsia="Times New Roman" w:hAnsi="Times New Roman"/>
          <w:sz w:val="16"/>
          <w:szCs w:val="16"/>
          <w:color w:val="auto"/>
        </w:rPr>
        <w:t>The Company (formerly known as Selecta Biosciences, Inc. (“Selecta”)) was incorporated in Delaware on December 10, 2007, and is headquartered in Gaithersburg, Maryland. On November 13, 2023, the Company and the Delaware corporation which, immediately prior to the Merger (as defined below), was known as Cartesian Therapeutics, Inc. (“Old Cartesian”), entered into an Agreement and Plan of Merger (the “Merger Agreement”), by and among the Company, Sakura Merger Sub I, Inc., a Delaware corporation and a wholly owned subsidiary of the Company (“First Merger Sub”), Sakura Merger Sub II, LLC, a Delaware limited liability company and wholly owned subsidiary of the Company (“Second Merger Sub”), and Old Cartesian. Pursuant to the Merger Agreement, and simultaneously with execution thereof, (i) First Merger Sub merged with and into Old Cartesian, pursuant to which Old Cartesian was the surviving corporation (the “First Step Surviving Corporation”), and became a wholly owned subsidiary of the Company (the “First Merger”), and (ii) immediately following the First Merger, Old Cartesian (as the First Step Surviving Corporation) merged with and into Second Merger Sub, pursuant to which Second Merger Sub was the surviving company (the “Surviving Company”), and continued under the name “Cartesian Bio, LLC”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70" w:lineRule="exact"/>
        <w:rPr>
          <w:sz w:val="20"/>
          <w:szCs w:val="20"/>
          <w:color w:val="auto"/>
        </w:rPr>
      </w:pPr>
    </w:p>
    <w:p>
      <w:pPr>
        <w:ind w:left="820" w:right="799"/>
        <w:spacing w:after="0" w:line="251"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(“MG”), a chronic autoimmune disease that causes disabling muscle weakness and fatigue, we observed that our lead product candidate, Descartes-08, generated a deep and durable clinical benefit, which we define as improvement in MG symptoms lasting at least six months after treatment completion.</w:t>
      </w:r>
    </w:p>
    <w:p>
      <w:pPr>
        <w:spacing w:after="0" w:line="73" w:lineRule="exact"/>
        <w:rPr>
          <w:sz w:val="20"/>
          <w:szCs w:val="20"/>
          <w:color w:val="auto"/>
        </w:rPr>
      </w:pPr>
    </w:p>
    <w:p>
      <w:pPr>
        <w:ind w:left="820" w:right="979"/>
        <w:spacing w:after="0" w:line="262"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ticker symbol “RNAC.” Our principal executive offices are located at 704 Quince Orchard Road, Gaithersburg, MD 20878, and our telephone number is (617) 923-1400.</w:t>
      </w:r>
    </w:p>
    <w:p>
      <w:pPr>
        <w:spacing w:after="0" w:line="2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Implications of Being a Smaller Reporting Company</w:t>
      </w:r>
    </w:p>
    <w:p>
      <w:pPr>
        <w:spacing w:after="0" w:line="103" w:lineRule="exact"/>
        <w:rPr>
          <w:sz w:val="20"/>
          <w:szCs w:val="20"/>
          <w:color w:val="auto"/>
        </w:rPr>
      </w:pPr>
    </w:p>
    <w:p>
      <w:pPr>
        <w:ind w:left="820" w:right="799"/>
        <w:spacing w:after="0" w:line="252" w:lineRule="auto"/>
        <w:rPr>
          <w:sz w:val="20"/>
          <w:szCs w:val="20"/>
          <w:color w:val="auto"/>
        </w:rPr>
      </w:pPr>
      <w:r>
        <w:rPr>
          <w:rFonts w:ascii="Times New Roman" w:cs="Times New Roman" w:eastAsia="Times New Roman" w:hAnsi="Times New Roman"/>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6927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4590" cy="69278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Offering</w:t>
      </w:r>
    </w:p>
    <w:p>
      <w:pPr>
        <w:sectPr>
          <w:pgSz w:w="11900" w:h="16838" w:orient="portrait"/>
          <w:cols w:equalWidth="0" w:num="1">
            <w:col w:w="9019"/>
          </w:cols>
          <w:pgMar w:left="1440" w:top="248" w:right="1440" w:bottom="1440" w:gutter="0" w:footer="0" w:header="0"/>
        </w:sectPr>
      </w:pPr>
    </w:p>
    <w:p>
      <w:pPr>
        <w:spacing w:after="0" w:line="1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 to (i) 3,563,247 shares of Common Stock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 2,937,903 shares of Common Stock issuable upon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conversion of 2,937,903 shares of Series B Preferred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w:t>
      </w:r>
    </w:p>
    <w:p>
      <w:pPr>
        <w:spacing w:after="0" w:line="118"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Terms of the Offering</w:t>
      </w:r>
    </w:p>
    <w:p>
      <w:pPr>
        <w:spacing w:after="0" w:line="20" w:lineRule="exact"/>
        <w:rPr>
          <w:sz w:val="20"/>
          <w:szCs w:val="20"/>
          <w:color w:val="auto"/>
        </w:rPr>
      </w:pPr>
      <w:r>
        <w:rPr>
          <w:sz w:val="20"/>
          <w:szCs w:val="20"/>
          <w:color w:val="auto"/>
        </w:rPr>
        <w:br w:type="column"/>
      </w:r>
    </w:p>
    <w:p>
      <w:pPr>
        <w:ind w:right="799"/>
        <w:spacing w:after="0" w:line="255" w:lineRule="auto"/>
        <w:rPr>
          <w:sz w:val="20"/>
          <w:szCs w:val="20"/>
          <w:color w:val="auto"/>
        </w:rPr>
      </w:pPr>
      <w:r>
        <w:rPr>
          <w:rFonts w:ascii="Times New Roman" w:cs="Times New Roman" w:eastAsia="Times New Roman" w:hAnsi="Times New Roman"/>
          <w:sz w:val="16"/>
          <w:szCs w:val="16"/>
          <w:color w:val="auto"/>
        </w:rPr>
        <w:t>The Selling Stockholders will determine when and how they will dispose of the shares of Common Stock and shares of Common Stock issuable upon conversion of Series B Preferred Stock registered under this prospectus for resale.</w:t>
      </w:r>
    </w:p>
    <w:p>
      <w:pPr>
        <w:spacing w:after="0" w:line="89"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Shares Outstanding</w:t>
      </w:r>
    </w:p>
    <w:p>
      <w:pPr>
        <w:spacing w:after="0" w:line="20" w:lineRule="exact"/>
        <w:rPr>
          <w:sz w:val="20"/>
          <w:szCs w:val="20"/>
          <w:color w:val="auto"/>
        </w:rPr>
      </w:pPr>
      <w:r>
        <w:rPr>
          <w:sz w:val="20"/>
          <w:szCs w:val="20"/>
          <w:color w:val="auto"/>
        </w:rPr>
        <w:br w:type="column"/>
      </w:r>
    </w:p>
    <w:p>
      <w:pPr>
        <w:ind w:right="899"/>
        <w:spacing w:after="0" w:line="257" w:lineRule="auto"/>
        <w:rPr>
          <w:sz w:val="20"/>
          <w:szCs w:val="20"/>
          <w:color w:val="auto"/>
        </w:rPr>
      </w:pPr>
      <w:r>
        <w:rPr>
          <w:rFonts w:ascii="Times New Roman" w:cs="Times New Roman" w:eastAsia="Times New Roman" w:hAnsi="Times New Roman"/>
          <w:sz w:val="16"/>
          <w:szCs w:val="16"/>
          <w:color w:val="auto"/>
        </w:rPr>
        <w:t>As of September 3, 2024, there were 21,387,549 shares of our Common Stock, 166,341.592 shares of Series A Preferred Stock and 2,937,903 shares of Series B Preferred Stock outstanding.</w:t>
      </w:r>
    </w:p>
    <w:p>
      <w:pPr>
        <w:spacing w:after="0" w:line="101"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799"/>
        <w:spacing w:after="0" w:line="253" w:lineRule="auto"/>
        <w:rPr>
          <w:sz w:val="20"/>
          <w:szCs w:val="20"/>
          <w:color w:val="auto"/>
        </w:rPr>
      </w:pPr>
      <w:r>
        <w:rPr>
          <w:rFonts w:ascii="Times New Roman" w:cs="Times New Roman" w:eastAsia="Times New Roman" w:hAnsi="Times New Roman"/>
          <w:sz w:val="16"/>
          <w:szCs w:val="16"/>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“Use of Proceeds.”</w:t>
      </w:r>
    </w:p>
    <w:p>
      <w:pPr>
        <w:spacing w:after="0" w:line="105"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See the section titled “Risk Factors” and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included in this prospectus for a discussion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factors that you should consider carefully before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deciding to invest in our securities.</w:t>
      </w:r>
    </w:p>
    <w:p>
      <w:pPr>
        <w:spacing w:after="0" w:line="106"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Trading Markets and Ticker Symbols</w:t>
      </w:r>
    </w:p>
    <w:p>
      <w:pPr>
        <w:spacing w:after="0" w:line="20" w:lineRule="exact"/>
        <w:rPr>
          <w:sz w:val="20"/>
          <w:szCs w:val="20"/>
          <w:color w:val="auto"/>
        </w:rPr>
      </w:pPr>
      <w:r>
        <w:rPr>
          <w:sz w:val="20"/>
          <w:szCs w:val="20"/>
          <w:color w:val="auto"/>
        </w:rPr>
        <w:br w:type="column"/>
      </w:r>
    </w:p>
    <w:p>
      <w:pPr>
        <w:ind w:right="1179"/>
        <w:spacing w:after="0" w:line="277"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w:t>
      </w:r>
    </w:p>
    <w:p>
      <w:pPr>
        <w:spacing w:after="0" w:line="50"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right="919"/>
        <w:spacing w:after="0" w:line="277" w:lineRule="auto"/>
        <w:rPr>
          <w:sz w:val="20"/>
          <w:szCs w:val="20"/>
          <w:color w:val="auto"/>
        </w:rPr>
      </w:pPr>
      <w:r>
        <w:rPr>
          <w:rFonts w:ascii="Times New Roman" w:cs="Times New Roman" w:eastAsia="Times New Roman" w:hAnsi="Times New Roman"/>
          <w:sz w:val="16"/>
          <w:szCs w:val="16"/>
          <w:color w:val="auto"/>
        </w:rPr>
        <w:t>The number of issued and outstanding shares of Common Stock does not include the following, as of September 3, 2024:</w:t>
      </w:r>
    </w:p>
    <w:p>
      <w:pPr>
        <w:spacing w:after="0" w:line="50" w:lineRule="exact"/>
        <w:rPr>
          <w:sz w:val="20"/>
          <w:szCs w:val="20"/>
          <w:color w:val="auto"/>
        </w:rPr>
      </w:pPr>
    </w:p>
    <w:p>
      <w:pPr>
        <w:ind w:left="1440" w:right="105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5,544,719 shares of Common Stock issuable upon the conversion of 166,341.592 outstanding shares of Series A Preferred Stock;</w:t>
      </w:r>
    </w:p>
    <w:p>
      <w:pPr>
        <w:spacing w:after="0" w:line="50" w:lineRule="exact"/>
        <w:rPr>
          <w:rFonts w:ascii="Times New Roman" w:cs="Times New Roman" w:eastAsia="Times New Roman" w:hAnsi="Times New Roman"/>
          <w:sz w:val="16"/>
          <w:szCs w:val="16"/>
          <w:color w:val="auto"/>
        </w:rPr>
      </w:pPr>
    </w:p>
    <w:p>
      <w:pPr>
        <w:ind w:left="1440" w:right="121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2,937,903 shares of Common Stock issuable upon the conversion of 2,937,903 outstanding shares of Series B Preferred Stock;</w:t>
      </w:r>
    </w:p>
    <w:p>
      <w:pPr>
        <w:spacing w:after="0" w:line="50" w:lineRule="exact"/>
        <w:rPr>
          <w:rFonts w:ascii="Times New Roman" w:cs="Times New Roman" w:eastAsia="Times New Roman" w:hAnsi="Times New Roman"/>
          <w:sz w:val="16"/>
          <w:szCs w:val="16"/>
          <w:color w:val="auto"/>
        </w:rPr>
      </w:pPr>
    </w:p>
    <w:p>
      <w:pPr>
        <w:ind w:left="1440" w:right="83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1,981,189 shares of Common Stock issuable upon the exercise of outstanding stock options at a weighted-average exercise price of $9.99;</w:t>
      </w:r>
    </w:p>
    <w:p>
      <w:pPr>
        <w:spacing w:after="0" w:line="50"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448,211 shares of Common Stock issuable upon the vesting of outstanding restricted stock units;</w:t>
      </w:r>
    </w:p>
    <w:p>
      <w:pPr>
        <w:spacing w:after="0" w:line="101"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974,954 shares of Common Stock issuable upon the exercise of outstanding warrants;</w:t>
      </w:r>
    </w:p>
    <w:p>
      <w:pPr>
        <w:spacing w:after="0" w:line="101" w:lineRule="exact"/>
        <w:rPr>
          <w:rFonts w:ascii="Times New Roman" w:cs="Times New Roman" w:eastAsia="Times New Roman" w:hAnsi="Times New Roman"/>
          <w:sz w:val="16"/>
          <w:szCs w:val="16"/>
          <w:color w:val="auto"/>
        </w:rPr>
      </w:pPr>
    </w:p>
    <w:p>
      <w:pPr>
        <w:ind w:left="1440" w:right="103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27,270 shares of Common Stock reserved for issuance under the Cartesian Therapeutics, Inc. Amended and Restated 2016 Incentive Award Plan (the “Old Cartesian Plan”);</w:t>
      </w:r>
    </w:p>
    <w:p>
      <w:pPr>
        <w:spacing w:after="0" w:line="50" w:lineRule="exact"/>
        <w:rPr>
          <w:rFonts w:ascii="Times New Roman" w:cs="Times New Roman" w:eastAsia="Times New Roman" w:hAnsi="Times New Roman"/>
          <w:sz w:val="16"/>
          <w:szCs w:val="16"/>
          <w:color w:val="auto"/>
        </w:rPr>
      </w:pPr>
    </w:p>
    <w:p>
      <w:pPr>
        <w:ind w:left="1440" w:right="79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3,511,101 shares of Common Stock reserved for issuance under our Amended and Restated 2016 Incentive Award Plan (the “2016 Plan”);</w:t>
      </w:r>
    </w:p>
    <w:p>
      <w:pPr>
        <w:spacing w:after="0" w:line="50" w:lineRule="exact"/>
        <w:rPr>
          <w:rFonts w:ascii="Times New Roman" w:cs="Times New Roman" w:eastAsia="Times New Roman" w:hAnsi="Times New Roman"/>
          <w:sz w:val="16"/>
          <w:szCs w:val="16"/>
          <w:color w:val="auto"/>
        </w:rPr>
      </w:pPr>
    </w:p>
    <w:p>
      <w:pPr>
        <w:ind w:left="1440" w:right="153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253,377 shares of Common Stock reserved for issuance under our Amended and Restated 2018 Employment Inducement Incentive Award Plan (the “2018 Plan”); and</w:t>
      </w:r>
    </w:p>
    <w:p>
      <w:pPr>
        <w:spacing w:after="0" w:line="50" w:lineRule="exact"/>
        <w:rPr>
          <w:rFonts w:ascii="Times New Roman" w:cs="Times New Roman" w:eastAsia="Times New Roman" w:hAnsi="Times New Roman"/>
          <w:sz w:val="16"/>
          <w:szCs w:val="16"/>
          <w:color w:val="auto"/>
        </w:rPr>
      </w:pPr>
    </w:p>
    <w:p>
      <w:pPr>
        <w:ind w:left="1440" w:right="107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45,795 shares of Common Stock reserved for issuance pursuant to our 2016 Employee Stock Purchase Plan (the “2016 ESPP”).</w:t>
      </w:r>
    </w:p>
    <w:p>
      <w:pPr>
        <w:spacing w:after="0" w:line="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For additional information concerning the offering, see the section titled “Plan of Distribution.”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5" w:name="page6"/>
    <w:bookmarkEnd w:id="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5525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4590" cy="55251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03" w:lineRule="exact"/>
        <w:rPr>
          <w:sz w:val="20"/>
          <w:szCs w:val="20"/>
          <w:color w:val="auto"/>
        </w:rPr>
      </w:pPr>
    </w:p>
    <w:p>
      <w:pPr>
        <w:ind w:left="820" w:right="819"/>
        <w:spacing w:after="0" w:line="272" w:lineRule="auto"/>
        <w:rPr>
          <w:sz w:val="20"/>
          <w:szCs w:val="20"/>
          <w:color w:val="auto"/>
        </w:rPr>
      </w:pPr>
      <w:r>
        <w:rPr>
          <w:rFonts w:ascii="Times New Roman" w:cs="Times New Roman" w:eastAsia="Times New Roman" w:hAnsi="Times New Roman"/>
          <w:sz w:val="15"/>
          <w:szCs w:val="15"/>
          <w:color w:val="auto"/>
        </w:rPr>
        <w:t>The following summarizes the principal factors that make an investment in the Company speculative or risky, all of which are more fully described in the “Risk Factors” section below.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prospectus and those we may make from time to time. When evaluating our business, you should consider all of the risk factors described in our public filings, including the following risks:</w:t>
      </w:r>
    </w:p>
    <w:p>
      <w:pPr>
        <w:spacing w:after="0" w:line="57" w:lineRule="exact"/>
        <w:rPr>
          <w:sz w:val="20"/>
          <w:szCs w:val="20"/>
          <w:color w:val="auto"/>
        </w:rPr>
      </w:pPr>
    </w:p>
    <w:p>
      <w:pPr>
        <w:ind w:left="1440" w:hanging="309"/>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obtain stockholder approval of the conversion of our Series B Preferred Stock.</w:t>
      </w:r>
    </w:p>
    <w:p>
      <w:pPr>
        <w:spacing w:after="0" w:line="101" w:lineRule="exact"/>
        <w:rPr>
          <w:rFonts w:ascii="Times New Roman" w:cs="Times New Roman" w:eastAsia="Times New Roman" w:hAnsi="Times New Roman"/>
          <w:sz w:val="16"/>
          <w:szCs w:val="16"/>
          <w:color w:val="auto"/>
        </w:rPr>
      </w:pPr>
    </w:p>
    <w:p>
      <w:pPr>
        <w:ind w:left="1440" w:right="1079" w:hanging="309"/>
        <w:spacing w:after="0" w:line="27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development-stage company and we expect to incur losses for the foreseeable future and may never achieve or maintain profitability.</w:t>
      </w:r>
    </w:p>
    <w:p>
      <w:pPr>
        <w:spacing w:after="0" w:line="50" w:lineRule="exact"/>
        <w:rPr>
          <w:rFonts w:ascii="Times New Roman" w:cs="Times New Roman" w:eastAsia="Times New Roman" w:hAnsi="Times New Roman"/>
          <w:sz w:val="16"/>
          <w:szCs w:val="16"/>
          <w:color w:val="auto"/>
        </w:rPr>
      </w:pPr>
    </w:p>
    <w:p>
      <w:pPr>
        <w:ind w:left="1440" w:right="93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6" w:lineRule="exact"/>
        <w:rPr>
          <w:rFonts w:ascii="Times New Roman" w:cs="Times New Roman" w:eastAsia="Times New Roman" w:hAnsi="Times New Roman"/>
          <w:sz w:val="16"/>
          <w:szCs w:val="16"/>
          <w:color w:val="auto"/>
        </w:rPr>
      </w:pPr>
    </w:p>
    <w:p>
      <w:pPr>
        <w:ind w:left="1440" w:right="89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6" w:lineRule="exact"/>
        <w:rPr>
          <w:rFonts w:ascii="Times New Roman" w:cs="Times New Roman" w:eastAsia="Times New Roman" w:hAnsi="Times New Roman"/>
          <w:sz w:val="16"/>
          <w:szCs w:val="16"/>
          <w:color w:val="auto"/>
        </w:rPr>
      </w:pPr>
    </w:p>
    <w:p>
      <w:pPr>
        <w:ind w:left="1440" w:right="85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6" w:lineRule="exact"/>
        <w:rPr>
          <w:rFonts w:ascii="Times New Roman" w:cs="Times New Roman" w:eastAsia="Times New Roman" w:hAnsi="Times New Roman"/>
          <w:sz w:val="16"/>
          <w:szCs w:val="16"/>
          <w:color w:val="auto"/>
        </w:rPr>
      </w:pPr>
    </w:p>
    <w:p>
      <w:pPr>
        <w:ind w:left="1440" w:right="859" w:hanging="309"/>
        <w:spacing w:after="0" w:line="27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continue to grow our manufacturing capabilities and resources and we must incur significant costs to develop this expertise and/or rely on third parties to manufacture our products.</w:t>
      </w:r>
    </w:p>
    <w:p>
      <w:pPr>
        <w:spacing w:after="0" w:line="50" w:lineRule="exact"/>
        <w:rPr>
          <w:rFonts w:ascii="Times New Roman" w:cs="Times New Roman" w:eastAsia="Times New Roman" w:hAnsi="Times New Roman"/>
          <w:sz w:val="16"/>
          <w:szCs w:val="16"/>
          <w:color w:val="auto"/>
        </w:rPr>
      </w:pPr>
    </w:p>
    <w:p>
      <w:pPr>
        <w:ind w:left="1440" w:right="819" w:hanging="309"/>
        <w:spacing w:after="0" w:line="312" w:lineRule="auto"/>
        <w:tabs>
          <w:tab w:leader="none" w:pos="1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and expect to continue to rely, on third parties to conduct our clinical trials, and those third parties may not perform satisfactorily, including by failing to meet deadlines for the completion of such trials.</w:t>
      </w:r>
    </w:p>
    <w:p>
      <w:pPr>
        <w:spacing w:after="0" w:line="26" w:lineRule="exact"/>
        <w:rPr>
          <w:rFonts w:ascii="Times New Roman" w:cs="Times New Roman" w:eastAsia="Times New Roman" w:hAnsi="Times New Roman"/>
          <w:sz w:val="15"/>
          <w:szCs w:val="15"/>
          <w:color w:val="auto"/>
        </w:rPr>
      </w:pPr>
    </w:p>
    <w:p>
      <w:pPr>
        <w:jc w:val="both"/>
        <w:ind w:left="1440" w:right="939" w:hanging="309"/>
        <w:spacing w:after="0" w:line="262"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2"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been in the past and may in the future be subject to stockholder litigation.</w:t>
      </w:r>
    </w:p>
    <w:p>
      <w:pPr>
        <w:spacing w:after="0" w:line="101" w:lineRule="exact"/>
        <w:rPr>
          <w:rFonts w:ascii="Times New Roman" w:cs="Times New Roman" w:eastAsia="Times New Roman" w:hAnsi="Times New Roman"/>
          <w:sz w:val="16"/>
          <w:szCs w:val="16"/>
          <w:color w:val="auto"/>
        </w:rPr>
      </w:pPr>
    </w:p>
    <w:p>
      <w:pPr>
        <w:ind w:left="1440" w:right="839" w:hanging="309"/>
        <w:spacing w:after="0" w:line="27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successfully integrate the businesses of Selecta and Old Cartesian in the expected timeframe would adversely affect the Company’s future results.</w:t>
      </w:r>
    </w:p>
    <w:p>
      <w:pPr>
        <w:spacing w:after="0" w:line="50" w:lineRule="exact"/>
        <w:rPr>
          <w:rFonts w:ascii="Times New Roman" w:cs="Times New Roman" w:eastAsia="Times New Roman" w:hAnsi="Times New Roman"/>
          <w:sz w:val="16"/>
          <w:szCs w:val="16"/>
          <w:color w:val="auto"/>
        </w:rPr>
      </w:pPr>
    </w:p>
    <w:p>
      <w:pPr>
        <w:ind w:left="1440" w:right="93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 w:name="page7"/>
    <w:bookmarkEnd w:id="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the Development of our Product Candidates</w:t>
      </w:r>
    </w:p>
    <w:p>
      <w:pPr>
        <w:spacing w:after="0" w:line="99" w:lineRule="exact"/>
        <w:rPr>
          <w:sz w:val="20"/>
          <w:szCs w:val="20"/>
          <w:color w:val="auto"/>
        </w:rPr>
      </w:pPr>
    </w:p>
    <w:p>
      <w:pPr>
        <w:ind w:left="800" w:right="87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5"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Our mRNA approach to develop product candidates for the treatment of autoimmune diseases is an unproven approach. Our most advanced product candidate, Descartes-08 is in Phase 2 clinical development. We have not demonstrated the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other areas. Even if we are successful in identifying new product candidates, they may not be suitable for 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71" w:lineRule="exact"/>
        <w:rPr>
          <w:sz w:val="20"/>
          <w:szCs w:val="20"/>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initiation and completion of preclinical studies and clinical trials with positive results;</w:t>
      </w:r>
    </w:p>
    <w:p>
      <w:pPr>
        <w:spacing w:after="0" w:line="101" w:lineRule="exact"/>
        <w:rPr>
          <w:rFonts w:ascii="Times New Roman" w:cs="Times New Roman" w:eastAsia="Times New Roman" w:hAnsi="Times New Roman"/>
          <w:sz w:val="16"/>
          <w:szCs w:val="16"/>
          <w:color w:val="auto"/>
        </w:rPr>
      </w:pPr>
    </w:p>
    <w:p>
      <w:pPr>
        <w:ind w:left="1420" w:right="165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 parties, including but not limited to collaborators, licensees, clinical research organizations and contract manufacturing organizations;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marketing approvals from applicable regulatory authorities;</w:t>
      </w:r>
    </w:p>
    <w:p>
      <w:pPr>
        <w:spacing w:after="0" w:line="101" w:lineRule="exact"/>
        <w:rPr>
          <w:rFonts w:ascii="Times New Roman" w:cs="Times New Roman" w:eastAsia="Times New Roman" w:hAnsi="Times New Roman"/>
          <w:sz w:val="16"/>
          <w:szCs w:val="16"/>
          <w:color w:val="auto"/>
        </w:rPr>
      </w:pPr>
    </w:p>
    <w:p>
      <w:pPr>
        <w:ind w:left="1420" w:right="1099" w:hanging="305"/>
        <w:spacing w:after="0" w:line="312"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maintaining patent and trade secret protection and regulatory exclusivity for our product candidates and not infringing or violating patents or other intellectual property of third parties;</w:t>
      </w:r>
    </w:p>
    <w:p>
      <w:pPr>
        <w:spacing w:after="0" w:line="26" w:lineRule="exact"/>
        <w:rPr>
          <w:rFonts w:ascii="Times New Roman" w:cs="Times New Roman" w:eastAsia="Times New Roman" w:hAnsi="Times New Roman"/>
          <w:sz w:val="15"/>
          <w:szCs w:val="15"/>
          <w:color w:val="auto"/>
        </w:rPr>
      </w:pPr>
    </w:p>
    <w:p>
      <w:pPr>
        <w:ind w:left="1420" w:right="103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manufacturability, manufacturing, logistics, and stability of our cell therapies, including autologous cell therapies;</w:t>
      </w:r>
    </w:p>
    <w:p>
      <w:pPr>
        <w:spacing w:after="0" w:line="50" w:lineRule="exact"/>
        <w:rPr>
          <w:rFonts w:ascii="Times New Roman" w:cs="Times New Roman" w:eastAsia="Times New Roman" w:hAnsi="Times New Roman"/>
          <w:sz w:val="16"/>
          <w:szCs w:val="16"/>
          <w:color w:val="auto"/>
        </w:rPr>
      </w:pPr>
    </w:p>
    <w:p>
      <w:pPr>
        <w:ind w:left="1420" w:right="99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growing our internal cGMP manufacturing capabilities to support commercial manufacturing or making arrangements with third-party manufacturers;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commercial sales of our products, if and when approved, whether alone or in collaboration with others;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our products, if and when approved, by patients and the medical community;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competing with other therapies;</w:t>
      </w:r>
    </w:p>
    <w:p>
      <w:pPr>
        <w:spacing w:after="0" w:line="101" w:lineRule="exact"/>
        <w:rPr>
          <w:rFonts w:ascii="Times New Roman" w:cs="Times New Roman" w:eastAsia="Times New Roman" w:hAnsi="Times New Roman"/>
          <w:sz w:val="16"/>
          <w:szCs w:val="16"/>
          <w:color w:val="auto"/>
        </w:rPr>
      </w:pPr>
    </w:p>
    <w:p>
      <w:pPr>
        <w:ind w:left="1420" w:right="141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coverage and adequate reimbursement by third-party payors, including government payors, for our products, if approved;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 acceptable safety profile of our products following approval; and</w:t>
      </w:r>
    </w:p>
    <w:p>
      <w:pPr>
        <w:spacing w:after="0" w:line="101" w:lineRule="exact"/>
        <w:rPr>
          <w:rFonts w:ascii="Times New Roman" w:cs="Times New Roman" w:eastAsia="Times New Roman" w:hAnsi="Times New Roman"/>
          <w:sz w:val="16"/>
          <w:szCs w:val="16"/>
          <w:color w:val="auto"/>
        </w:rPr>
      </w:pPr>
    </w:p>
    <w:p>
      <w:pPr>
        <w:ind w:left="1420" w:right="155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growing an organization of scientists and businesspeople who can develop and commercialize our product candidates and technology.</w:t>
      </w:r>
    </w:p>
    <w:p>
      <w:pPr>
        <w:spacing w:after="0" w:line="50"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Our failure to successfully execute on of any of the foregoing for any reason would effectively prevent or delay approval of our lead and other product candidates.</w:t>
      </w:r>
    </w:p>
    <w:p>
      <w:pPr>
        <w:spacing w:after="0" w:line="141" w:lineRule="exact"/>
        <w:rPr>
          <w:sz w:val="20"/>
          <w:szCs w:val="20"/>
          <w:color w:val="auto"/>
        </w:rPr>
      </w:pPr>
    </w:p>
    <w:p>
      <w:pPr>
        <w:ind w:left="800" w:right="89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mRNA, is a new field.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 w:name="page8"/>
    <w:bookmarkEnd w:id="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w:t>
      </w:r>
    </w:p>
    <w:p>
      <w:pPr>
        <w:spacing w:after="0" w:line="6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70"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w:t>
      </w:r>
    </w:p>
    <w:p>
      <w:pPr>
        <w:spacing w:after="0" w:line="67"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may experience numerous unforeseen events during, or as a result of, clinical trials that could delay or prevent our ability to receive marketing approval for, or commercialize, our product candidates, including:</w:t>
      </w:r>
    </w:p>
    <w:p>
      <w:pPr>
        <w:spacing w:after="0" w:line="50" w:lineRule="exact"/>
        <w:rPr>
          <w:sz w:val="20"/>
          <w:szCs w:val="20"/>
          <w:color w:val="auto"/>
        </w:rPr>
      </w:pPr>
    </w:p>
    <w:p>
      <w:pPr>
        <w:ind w:left="1420" w:hanging="305"/>
        <w:spacing w:after="0"/>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product candidates may produce unfavorable, incomplete or inconclusive results;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manufacture our product candidates, which in some cases such as mRNA CAR-T, are manufactured on a patient-by-patient basis;</w:t>
      </w:r>
    </w:p>
    <w:p>
      <w:pPr>
        <w:spacing w:after="0" w:line="50" w:lineRule="exact"/>
        <w:rPr>
          <w:rFonts w:ascii="Times New Roman" w:cs="Times New Roman" w:eastAsia="Times New Roman" w:hAnsi="Times New Roman"/>
          <w:sz w:val="16"/>
          <w:szCs w:val="16"/>
          <w:color w:val="auto"/>
        </w:rPr>
      </w:pPr>
    </w:p>
    <w:p>
      <w:pPr>
        <w:ind w:left="1420" w:right="919" w:hanging="305"/>
        <w:spacing w:after="0" w:line="262"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or institutional review boards may not authorize us or our investigators to commence a clinical trial or conduct a clinical trial at a prospective trial site or may place a clinical hold on existing clinical trials;</w:t>
      </w:r>
    </w:p>
    <w:p>
      <w:pPr>
        <w:spacing w:after="0" w:line="62" w:lineRule="exact"/>
        <w:rPr>
          <w:rFonts w:ascii="Times New Roman" w:cs="Times New Roman" w:eastAsia="Times New Roman" w:hAnsi="Times New Roman"/>
          <w:sz w:val="16"/>
          <w:szCs w:val="16"/>
          <w:color w:val="auto"/>
        </w:rPr>
      </w:pPr>
    </w:p>
    <w:p>
      <w:pPr>
        <w:ind w:left="1420" w:right="127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reaching, or fail to reach, agreement on acceptable terms with contract research organizations (“CROs”), or clinical trial sites;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55"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conflicts in Ukraine and the Middle East;</w:t>
      </w:r>
    </w:p>
    <w:p>
      <w:pPr>
        <w:spacing w:after="0" w:line="67"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clinical trial sites required for clinical trials of our product candidates may be larger than we expect;</w:t>
      </w:r>
    </w:p>
    <w:p>
      <w:pPr>
        <w:spacing w:after="0" w:line="50" w:lineRule="exact"/>
        <w:rPr>
          <w:rFonts w:ascii="Times New Roman" w:cs="Times New Roman" w:eastAsia="Times New Roman" w:hAnsi="Times New Roman"/>
          <w:sz w:val="16"/>
          <w:szCs w:val="16"/>
          <w:color w:val="auto"/>
        </w:rPr>
      </w:pPr>
    </w:p>
    <w:p>
      <w:pPr>
        <w:ind w:left="1420" w:right="121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third-party contractors may fail to comply with regulatory requirements or meet their contractual obligations to us in a timely manner, or at all;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 w:name="page9"/>
    <w:bookmarkEnd w:id="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143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to suspend or terminate clinical trials of our product candidates for various reasons, including a finding that the participants are being exposed to unacceptable health risks;</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investigators, regulators, data safety monitoring boards or institutional review boards may require that we or our investigators suspend or terminate clinical research, or we may decide to do so ourselves;</w:t>
      </w:r>
    </w:p>
    <w:p>
      <w:pPr>
        <w:spacing w:after="0" w:line="50" w:lineRule="exact"/>
        <w:rPr>
          <w:rFonts w:ascii="Times New Roman" w:cs="Times New Roman" w:eastAsia="Times New Roman" w:hAnsi="Times New Roman"/>
          <w:sz w:val="16"/>
          <w:szCs w:val="16"/>
          <w:color w:val="auto"/>
        </w:rPr>
      </w:pPr>
    </w:p>
    <w:p>
      <w:pPr>
        <w:ind w:left="1420" w:right="109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investigators may deviate from the trial protocol, fail to conduct the trial in accordance with regulatory requirements or misreport study data;</w:t>
      </w:r>
    </w:p>
    <w:p>
      <w:pPr>
        <w:spacing w:after="0" w:line="50"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62" w:lineRule="exact"/>
        <w:rPr>
          <w:rFonts w:ascii="Times New Roman" w:cs="Times New Roman" w:eastAsia="Times New Roman" w:hAnsi="Times New Roman"/>
          <w:sz w:val="16"/>
          <w:szCs w:val="16"/>
          <w:color w:val="auto"/>
        </w:rPr>
      </w:pPr>
    </w:p>
    <w:p>
      <w:pPr>
        <w:ind w:left="1420" w:right="819" w:hanging="305"/>
        <w:spacing w:after="0" w:line="25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66"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laboratories that we rely upon to perform certain quality control tests may become unavailable, or their services could be delayed;</w:t>
      </w:r>
    </w:p>
    <w:p>
      <w:pPr>
        <w:spacing w:after="0" w:line="50"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may revise the requirements for approving our product candidates, or such requirements may not be as we expect;</w:t>
      </w:r>
    </w:p>
    <w:p>
      <w:pPr>
        <w:spacing w:after="0" w:line="50" w:lineRule="exact"/>
        <w:rPr>
          <w:rFonts w:ascii="Times New Roman" w:cs="Times New Roman" w:eastAsia="Times New Roman" w:hAnsi="Times New Roman"/>
          <w:sz w:val="16"/>
          <w:szCs w:val="16"/>
          <w:color w:val="auto"/>
        </w:rPr>
      </w:pPr>
    </w:p>
    <w:p>
      <w:pPr>
        <w:ind w:left="1420" w:right="1079" w:hanging="305"/>
        <w:spacing w:after="0" w:line="262"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62" w:lineRule="exact"/>
        <w:rPr>
          <w:rFonts w:ascii="Times New Roman" w:cs="Times New Roman" w:eastAsia="Times New Roman" w:hAnsi="Times New Roman"/>
          <w:sz w:val="16"/>
          <w:szCs w:val="16"/>
          <w:color w:val="auto"/>
        </w:rPr>
      </w:pPr>
    </w:p>
    <w:p>
      <w:pPr>
        <w:ind w:left="1420" w:right="859" w:hanging="305"/>
        <w:spacing w:after="0" w:line="262"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trials managed by our existing or any future collaborators, our collaborators may face any of the above issues, and may conduct clinical trials in ways they view as advantageous to them but potentially suboptimal for us;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events may affect international and overseas trial sites in ways beyond our control.</w:t>
      </w:r>
    </w:p>
    <w:p>
      <w:pPr>
        <w:spacing w:after="0" w:line="10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68" w:lineRule="exact"/>
        <w:rPr>
          <w:sz w:val="20"/>
          <w:szCs w:val="20"/>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obtaining marketing approval for our product candidates, if at all;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marketing approval in some countries and not in others;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or safety warnings;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additional post-marketing testing requirements; or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product removed from the market after obtaining marketing approval.</w:t>
      </w:r>
    </w:p>
    <w:p>
      <w:pPr>
        <w:spacing w:after="0" w:line="101" w:lineRule="exact"/>
        <w:rPr>
          <w:sz w:val="20"/>
          <w:szCs w:val="20"/>
          <w:color w:val="auto"/>
        </w:rPr>
      </w:pPr>
    </w:p>
    <w:p>
      <w:pPr>
        <w:ind w:left="800" w:right="839"/>
        <w:spacing w:after="0" w:line="270" w:lineRule="auto"/>
        <w:rPr>
          <w:sz w:val="20"/>
          <w:szCs w:val="20"/>
          <w:color w:val="auto"/>
        </w:rPr>
      </w:pPr>
      <w:r>
        <w:rPr>
          <w:rFonts w:ascii="Times New Roman" w:cs="Times New Roman" w:eastAsia="Times New Roman" w:hAnsi="Times New Roman"/>
          <w:sz w:val="15"/>
          <w:szCs w:val="15"/>
          <w:color w:val="auto"/>
        </w:rPr>
        <w:t>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institutional review boards (“IRBs”), for reexamination, which may impact the costs, timing or successful completion of a clinical trial.</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 w:name="page10"/>
    <w:bookmarkEnd w:id="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62" w:lineRule="exact"/>
        <w:rPr>
          <w:sz w:val="20"/>
          <w:szCs w:val="20"/>
          <w:color w:val="auto"/>
        </w:rPr>
      </w:pPr>
    </w:p>
    <w:p>
      <w:pPr>
        <w:ind w:left="800" w:right="11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4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64" w:lineRule="exact"/>
        <w:rPr>
          <w:sz w:val="20"/>
          <w:szCs w:val="20"/>
          <w:color w:val="auto"/>
        </w:rPr>
      </w:pPr>
    </w:p>
    <w:p>
      <w:pPr>
        <w:ind w:left="800" w:right="11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60"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 risks inherent in conducting international clinical trials include:</w:t>
      </w:r>
    </w:p>
    <w:p>
      <w:pPr>
        <w:spacing w:after="0" w:line="101" w:lineRule="exact"/>
        <w:rPr>
          <w:sz w:val="20"/>
          <w:szCs w:val="20"/>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regulatory requirements that could burden or limit our ability to conduct our clinical trials;</w:t>
      </w:r>
    </w:p>
    <w:p>
      <w:pPr>
        <w:spacing w:after="0" w:line="101" w:lineRule="exact"/>
        <w:rPr>
          <w:rFonts w:ascii="Times New Roman" w:cs="Times New Roman" w:eastAsia="Times New Roman" w:hAnsi="Times New Roman"/>
          <w:sz w:val="16"/>
          <w:szCs w:val="16"/>
          <w:color w:val="auto"/>
        </w:rPr>
      </w:pPr>
    </w:p>
    <w:p>
      <w:pPr>
        <w:ind w:left="1420" w:right="859" w:hanging="305"/>
        <w:spacing w:after="0" w:line="312" w:lineRule="auto"/>
        <w:tabs>
          <w:tab w:leader="none" w:pos="14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costs and heightened supply constraints associated with the acquisition of standard of care drugs and/or combination or comparator agents for which we may bear responsibility in certain jurisdictions;</w:t>
      </w:r>
    </w:p>
    <w:p>
      <w:pPr>
        <w:spacing w:after="0" w:line="26"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burdens of conducting clinical trials under multiple foreign regulatory schema;</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fluctuations;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burdensome manufacturing, customs, shipment and storage requirements;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cultural differences in medical practice and clinical research;</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consistency in standard of care from country to country;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diminished protection of intellectual property in some countries;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country or regional regulatory requirements; and</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instability or wars in regions outside of the United States where we conduct clinical trials may impact ongoing clinical trials.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 w:name="page11"/>
    <w:bookmarkEnd w:id="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89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65"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Descartes-08 has been granted orphan drug designation and Regenerative Medicine Advanced Therapy (“RMAT”) designation by the FDA for the treatment of MG.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w:t>
      </w:r>
    </w:p>
    <w:p>
      <w:pPr>
        <w:spacing w:after="0" w:line="62"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mRNA-modified cell therapy products may not be well defined.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8" w:lineRule="exact"/>
        <w:rPr>
          <w:sz w:val="20"/>
          <w:szCs w:val="20"/>
          <w:color w:val="auto"/>
        </w:rPr>
      </w:pPr>
    </w:p>
    <w:p>
      <w:pPr>
        <w:ind w:left="800" w:right="8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0"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w:t>
      </w:r>
    </w:p>
    <w:p>
      <w:pPr>
        <w:spacing w:after="0" w:line="71"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Interim, top-line or preliminary data may not be representative of final data. If final data is not as positive as earlier interim, top-line or preliminary we have released, our business prospects would be significantly harmed.</w:t>
      </w:r>
    </w:p>
    <w:p>
      <w:pPr>
        <w:spacing w:after="0" w:line="50" w:lineRule="exact"/>
        <w:rPr>
          <w:sz w:val="20"/>
          <w:szCs w:val="20"/>
          <w:color w:val="auto"/>
        </w:rPr>
      </w:pPr>
    </w:p>
    <w:p>
      <w:pPr>
        <w:jc w:val="both"/>
        <w:ind w:left="800" w:right="899"/>
        <w:spacing w:after="0" w:line="253" w:lineRule="auto"/>
        <w:rPr>
          <w:sz w:val="20"/>
          <w:szCs w:val="20"/>
          <w:color w:val="auto"/>
        </w:rPr>
      </w:pPr>
      <w:r>
        <w:rPr>
          <w:rFonts w:ascii="Times New Roman" w:cs="Times New Roman" w:eastAsia="Times New Roman" w:hAnsi="Times New Roman"/>
          <w:sz w:val="16"/>
          <w:szCs w:val="16"/>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w:t>
      </w:r>
    </w:p>
    <w:p>
      <w:pPr>
        <w:spacing w:after="0" w:line="162" w:lineRule="exact"/>
        <w:rPr>
          <w:sz w:val="20"/>
          <w:szCs w:val="20"/>
          <w:color w:val="auto"/>
        </w:rPr>
      </w:pPr>
    </w:p>
    <w:p>
      <w:pPr>
        <w:ind w:left="800" w:right="10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60" w:lineRule="exact"/>
        <w:rPr>
          <w:sz w:val="20"/>
          <w:szCs w:val="20"/>
          <w:color w:val="auto"/>
        </w:rPr>
      </w:pPr>
    </w:p>
    <w:p>
      <w:pPr>
        <w:jc w:val="both"/>
        <w:ind w:left="800" w:right="839"/>
        <w:spacing w:after="0" w:line="262" w:lineRule="auto"/>
        <w:rPr>
          <w:sz w:val="20"/>
          <w:szCs w:val="20"/>
          <w:color w:val="auto"/>
        </w:rPr>
      </w:pPr>
      <w:r>
        <w:rPr>
          <w:rFonts w:ascii="Times New Roman" w:cs="Times New Roman" w:eastAsia="Times New Roman" w:hAnsi="Times New Roman"/>
          <w:sz w:val="16"/>
          <w:szCs w:val="16"/>
          <w:color w:val="auto"/>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 w:name="page12"/>
    <w:bookmarkEnd w:id="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our product candidates, if approved.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w:t>
      </w:r>
    </w:p>
    <w:p>
      <w:pPr>
        <w:spacing w:after="0" w:line="67"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In November 2023, the FDA issued a statement that it is investigating serious risk of T-cell malignancy following BCMA-directed or CD19-directed autologous CAR-T cell immunotherapies.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Further, in January 2024, the FDA announced it would require a so-called “boxed warning” be added to the prescribing information for all six then-currently approved CAR-T therapies. A boxed warning is the strongest safety labeling the FDA may require. However, because all currently approved CAR T-cell immunotherapies are in oncology indications, there can be no assurance that FDA will reach the same risk-benefit analysis in other indications.</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While we believe our mRNA-based CAR-T product candidates may have a differentiated toxicity profile than currently approved DNA-based CAR-T therapies, there can be no assurance that the FDA would not treat Descartes-08 or any of our other product candidates similar to approved DNA-based CAR-T 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or impose additional post-approval requirements on any of our product candidates that receive regulatory approval.</w:t>
      </w:r>
    </w:p>
    <w:p>
      <w:pPr>
        <w:spacing w:after="0" w:line="73"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62"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62" w:lineRule="exact"/>
        <w:rPr>
          <w:sz w:val="20"/>
          <w:szCs w:val="20"/>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withdraw approvals of such product;</w:t>
      </w:r>
    </w:p>
    <w:p>
      <w:pPr>
        <w:spacing w:after="0" w:line="101" w:lineRule="exact"/>
        <w:rPr>
          <w:rFonts w:ascii="Times New Roman" w:cs="Times New Roman" w:eastAsia="Times New Roman" w:hAnsi="Times New Roman"/>
          <w:sz w:val="16"/>
          <w:szCs w:val="16"/>
          <w:color w:val="auto"/>
        </w:rPr>
      </w:pPr>
    </w:p>
    <w:p>
      <w:pPr>
        <w:ind w:left="1420" w:right="129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the addition of labeling statements, such as a boxed warning or a contraindication;</w:t>
      </w:r>
    </w:p>
    <w:p>
      <w:pPr>
        <w:spacing w:after="0" w:line="50"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impose additional restrictions on the marketing of, or the manufacturing processes for, the particular product;</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create a medication guide outlining the risks of such side effects for distribution to patients;</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harm caused to patients, or become subject to fines, injunctions or the imposition of civil or criminal penalties;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reputation may suffer; and</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required to develop a risk evaluation and mitigation strategies (“REMS”), plan to prevent, monitor and/or manage a specific serious risk by informing, educating and/or reinforcing actions to reduce the frequency and/or severity of the event.</w:t>
      </w:r>
    </w:p>
    <w:p>
      <w:pPr>
        <w:spacing w:after="0" w:line="62"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Any of these events could prevent us from achieving or maintaining market acceptance of a particular product candidate, if approved, and could significantly harm our business, results of operations and prospects.</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Manufacturing and our Dependence on Third Parties</w:t>
      </w:r>
    </w:p>
    <w:p>
      <w:pPr>
        <w:spacing w:after="0" w:line="99"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expect to continue to grow our manufacturing capabilities and resources and we must incur significant costs to develop this expertise and/or rely on third parties to manufacture our products.</w:t>
      </w:r>
    </w:p>
    <w:p>
      <w:pPr>
        <w:spacing w:after="0" w:line="4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 w:name="page13"/>
    <w:bookmarkEnd w:id="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w:t>
      </w:r>
    </w:p>
    <w:p>
      <w:pPr>
        <w:spacing w:after="0" w:line="44"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Our autologous cell therapy product candidates, including Descartes-08, are made on a patient-by-patient basis, rendering their manufacture less predictable and requiring more demanding logistics.</w:t>
      </w:r>
    </w:p>
    <w:p>
      <w:pPr>
        <w:spacing w:after="0" w:line="50"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We rely on one or more third-party laboratories to perform certain quality control tests. These laboratories could become unavailable, or provision of their services could be delayed.</w:t>
      </w:r>
    </w:p>
    <w:p>
      <w:pPr>
        <w:spacing w:after="0" w:line="50"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w:t>
      </w:r>
    </w:p>
    <w:p>
      <w:pPr>
        <w:spacing w:after="0" w:line="67"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(“CMOs”), to supply our product candidates, any delays or disruptions in supply could have a material adverse impact on the research and development activities and potential commercialization of our or our partners’ product candidates.</w:t>
      </w:r>
    </w:p>
    <w:p>
      <w:pPr>
        <w:spacing w:after="0" w:line="7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collaborators’ product candidates.</w:t>
      </w:r>
    </w:p>
    <w:p>
      <w:pPr>
        <w:spacing w:after="0" w:line="71"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To the extent that we have existing, or enter into future, manufacturing arrangements with third parties, we depend, and will depend in the future, on these third 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w:t>
      </w:r>
    </w:p>
    <w:p>
      <w:pPr>
        <w:spacing w:after="0" w:line="71" w:lineRule="exact"/>
        <w:rPr>
          <w:sz w:val="20"/>
          <w:szCs w:val="20"/>
          <w:color w:val="auto"/>
        </w:rPr>
      </w:pPr>
    </w:p>
    <w:p>
      <w:pPr>
        <w:ind w:left="1420" w:right="103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current or future collaborators may not be able to initiate or continue clinical trials of product candidates that are under development;</w:t>
      </w:r>
    </w:p>
    <w:p>
      <w:pPr>
        <w:spacing w:after="0" w:line="50" w:lineRule="exact"/>
        <w:rPr>
          <w:rFonts w:ascii="Times New Roman" w:cs="Times New Roman" w:eastAsia="Times New Roman" w:hAnsi="Times New Roman"/>
          <w:sz w:val="16"/>
          <w:szCs w:val="16"/>
          <w:color w:val="auto"/>
        </w:rPr>
      </w:pPr>
    </w:p>
    <w:p>
      <w:pPr>
        <w:ind w:left="1420" w:right="141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current or future collaborators may be delayed in submitting regulatory applications, or receiving regulatory approvals, for our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lose the cooperation of our collaborators;</w:t>
      </w:r>
    </w:p>
    <w:p>
      <w:pPr>
        <w:spacing w:after="0" w:line="101"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facilities and those of our CMOs, and our products could be the subject of inspections by regulatory authorities that could have a negative outcome and result in delays in supply;</w:t>
      </w:r>
    </w:p>
    <w:p>
      <w:pPr>
        <w:spacing w:after="0" w:line="50"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cease distribution or recall some or all batches of our products or take action to recover clinical trial material from clinical trial sites; and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ultimately, we may not be able to meet the clinical and commercial demands for our products.</w:t>
      </w:r>
    </w:p>
    <w:p>
      <w:pPr>
        <w:spacing w:after="0" w:line="192"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enter into future collaborations and licensing arrangements, our business could be adversely affected.</w:t>
      </w:r>
    </w:p>
    <w:p>
      <w:pPr>
        <w:spacing w:after="0" w:line="4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We intend to explore licenses and other strategic collaborations with pharmaceutical and biotechnology companies for development and potential commercialization of therapeutic products. However, we face significant competition in seeking appropriate collaborators. If we fail to enter into collaborations and do not have sufficient funds or expertise to undertake the necessary development and commercialization activities,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 w:name="page14"/>
    <w:bookmarkEnd w:id="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may not be able to further develop our product candidates or bring them to market or continue to develop our programs, and our business may be materially and adversely affected.</w:t>
      </w:r>
    </w:p>
    <w:p>
      <w:pPr>
        <w:spacing w:after="0" w:line="141"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45" w:lineRule="exact"/>
        <w:rPr>
          <w:sz w:val="20"/>
          <w:szCs w:val="20"/>
          <w:color w:val="auto"/>
        </w:rPr>
      </w:pPr>
    </w:p>
    <w:p>
      <w:pPr>
        <w:jc w:val="both"/>
        <w:ind w:left="800" w:right="1159"/>
        <w:spacing w:after="0" w:line="257" w:lineRule="auto"/>
        <w:rPr>
          <w:sz w:val="20"/>
          <w:szCs w:val="20"/>
          <w:color w:val="auto"/>
        </w:rPr>
      </w:pPr>
      <w:r>
        <w:rPr>
          <w:rFonts w:ascii="Times New Roman" w:cs="Times New Roman" w:eastAsia="Times New Roman" w:hAnsi="Times New Roman"/>
          <w:sz w:val="16"/>
          <w:szCs w:val="16"/>
          <w:color w:val="auto"/>
        </w:rPr>
        <w:t>We rely, and expect to continue to rely, on third parties, such as CROs, clinical data management organizations, medical institutions and clinical investigators, to conduct and manage our clinical trials, including our ongoing Phase 2 clinical trials of Descartes-08. We also expect to rely on other third parties to store and distribute drug supplies for our clinical trials.</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www.ClinicalTrials.gov, within specified timeframes. Failure to do so can result in fines, adverse publicity, and civil and criminal sanctions.</w:t>
      </w:r>
    </w:p>
    <w:p>
      <w:pPr>
        <w:spacing w:after="0" w:line="74"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Commercialization of our Product Candidates and Legal Compliance Matters</w:t>
      </w:r>
    </w:p>
    <w:p>
      <w:pPr>
        <w:spacing w:after="0" w:line="99" w:lineRule="exact"/>
        <w:rPr>
          <w:sz w:val="20"/>
          <w:szCs w:val="20"/>
          <w:color w:val="auto"/>
        </w:rPr>
      </w:pPr>
    </w:p>
    <w:p>
      <w:pPr>
        <w:ind w:left="800" w:right="105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0"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68" w:lineRule="exact"/>
        <w:rPr>
          <w:sz w:val="20"/>
          <w:szCs w:val="20"/>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safety and potential advantages compared to alternative treatments;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and distribute cell therapies in a timely and secure manner;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offer our products for sale at competitive prices;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convenience and ease of administration compared to alternative treatments;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labeling or product insert requirements of the FDA or foreign regulatory authorities, including any limitations or warnings contained in a product’s approved labeling, including any black box warning or REMS;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treatments and of physicians to prescribe these treatments;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hire and retain a sales force;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 w:name="page15"/>
    <w:bookmarkEnd w:id="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marketing and distribution support;</w:t>
      </w:r>
    </w:p>
    <w:p>
      <w:pPr>
        <w:spacing w:after="0" w:line="101" w:lineRule="exact"/>
        <w:rPr>
          <w:rFonts w:ascii="Times New Roman" w:cs="Times New Roman" w:eastAsia="Times New Roman" w:hAnsi="Times New Roman"/>
          <w:sz w:val="16"/>
          <w:szCs w:val="16"/>
          <w:color w:val="auto"/>
        </w:rPr>
      </w:pPr>
    </w:p>
    <w:p>
      <w:pPr>
        <w:ind w:left="1420" w:right="1219" w:hanging="305"/>
        <w:spacing w:after="0" w:line="277" w:lineRule="auto"/>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third-party coverage and adequate reimbursement for our product candidates, once approved;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side effects;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restrictions on the use of our products together with other medications.</w:t>
      </w:r>
    </w:p>
    <w:p>
      <w:pPr>
        <w:spacing w:after="0" w:line="192" w:lineRule="exact"/>
        <w:rPr>
          <w:sz w:val="20"/>
          <w:szCs w:val="20"/>
          <w:color w:val="auto"/>
        </w:rPr>
      </w:pPr>
    </w:p>
    <w:p>
      <w:pPr>
        <w:ind w:left="800" w:right="9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0"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164" w:lineRule="exact"/>
        <w:rPr>
          <w:sz w:val="20"/>
          <w:szCs w:val="20"/>
          <w:color w:val="auto"/>
        </w:rPr>
      </w:pPr>
    </w:p>
    <w:p>
      <w:pPr>
        <w:ind w:left="800" w:right="9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4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73" w:lineRule="exact"/>
        <w:rPr>
          <w:sz w:val="20"/>
          <w:szCs w:val="20"/>
          <w:color w:val="auto"/>
        </w:rPr>
      </w:pPr>
    </w:p>
    <w:p>
      <w:pPr>
        <w:ind w:left="800" w:right="1259"/>
        <w:spacing w:after="0" w:line="257" w:lineRule="auto"/>
        <w:rPr>
          <w:sz w:val="20"/>
          <w:szCs w:val="20"/>
          <w:color w:val="auto"/>
        </w:rPr>
      </w:pPr>
      <w:r>
        <w:rPr>
          <w:rFonts w:ascii="Times New Roman" w:cs="Times New Roman" w:eastAsia="Times New Roman" w:hAnsi="Times New Roman"/>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67" w:lineRule="exact"/>
        <w:rPr>
          <w:sz w:val="20"/>
          <w:szCs w:val="20"/>
          <w:color w:val="auto"/>
        </w:rPr>
      </w:pPr>
    </w:p>
    <w:p>
      <w:pPr>
        <w:ind w:left="800" w:right="1359"/>
        <w:spacing w:after="0" w:line="262" w:lineRule="auto"/>
        <w:rPr>
          <w:sz w:val="20"/>
          <w:szCs w:val="20"/>
          <w:color w:val="auto"/>
        </w:rPr>
      </w:pPr>
      <w:r>
        <w:rPr>
          <w:rFonts w:ascii="Times New Roman" w:cs="Times New Roman" w:eastAsia="Times New Roman" w:hAnsi="Times New Roman"/>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62"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cell therapy product that will likely share our same regulatory approval requirements. In addition, our ability to compete may be affected in many cases by insurers or other third-party payors seeking to encourage the use of generic or biosimilar products.</w:t>
      </w:r>
    </w:p>
    <w:p>
      <w:pPr>
        <w:spacing w:after="0" w:line="161"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expect the product candidates we develop will be regulated as biological products, or biologics, and therefore they may be subject to competition sooner than anticipated.</w:t>
      </w:r>
    </w:p>
    <w:p>
      <w:pPr>
        <w:spacing w:after="0" w:line="4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Biologics Price Competition and Innovation Act of 2009 (the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 w:name="page16"/>
    <w:bookmarkEnd w:id="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similarity to an approved biologic. Under the BPCIA, an application for a biosimilar product cannot be approved by the FDA until 12 years after the reference product was approved under a biologics license application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68"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left="800" w:right="10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Even if we are able to commercialize any of our product candidates, the products may become subject to unfavorable pricing regulations or third-party coverage or reimbursement policies, any of which would have a material adverse effect on our business.</w:t>
      </w:r>
    </w:p>
    <w:p>
      <w:pPr>
        <w:spacing w:after="0" w:line="60"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70" w:lineRule="exact"/>
        <w:rPr>
          <w:sz w:val="20"/>
          <w:szCs w:val="20"/>
          <w:color w:val="auto"/>
        </w:rPr>
      </w:pPr>
    </w:p>
    <w:p>
      <w:pPr>
        <w:ind w:left="800" w:right="999"/>
        <w:spacing w:after="0" w:line="268" w:lineRule="auto"/>
        <w:rPr>
          <w:sz w:val="20"/>
          <w:szCs w:val="20"/>
          <w:color w:val="auto"/>
        </w:rPr>
      </w:pPr>
      <w:r>
        <w:rPr>
          <w:rFonts w:ascii="Times New Roman" w:cs="Times New Roman" w:eastAsia="Times New Roman" w:hAnsi="Times New Roman"/>
          <w:sz w:val="15"/>
          <w:szCs w:val="15"/>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64"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 w:name="page17"/>
    <w:bookmarkEnd w:id="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305"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Product liability lawsuits against us could cause us to incur substantial liabilities and limit commercialization of any products that we may develop.</w:t>
      </w:r>
    </w:p>
    <w:p>
      <w:pPr>
        <w:spacing w:after="0" w:line="4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7" w:lineRule="exact"/>
        <w:rPr>
          <w:sz w:val="20"/>
          <w:szCs w:val="20"/>
          <w:color w:val="auto"/>
        </w:rPr>
      </w:pPr>
    </w:p>
    <w:p>
      <w:pPr>
        <w:ind w:left="1420" w:right="1559" w:hanging="305"/>
        <w:spacing w:after="0" w:line="277" w:lineRule="auto"/>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investigations, product recalls or withdrawals, or labeling, marketing or promotional restrictions;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any product candidates or products that we may develop;</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 and significant negative media attention;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clinical trial participants or increased difficulty in enrolling future participants;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costs to defend the related litigation or to reach a settlement;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payments to trial participants or patients;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resources of our management to pursue our business strategy;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products that we may develop;</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distraction of management’s attention from our primary business;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patients or other claimants.</w:t>
      </w:r>
    </w:p>
    <w:p>
      <w:pPr>
        <w:spacing w:after="0" w:line="10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 w:name="page18"/>
    <w:bookmarkEnd w:id="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95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68" w:lineRule="exact"/>
        <w:rPr>
          <w:sz w:val="20"/>
          <w:szCs w:val="20"/>
          <w:color w:val="auto"/>
        </w:rPr>
      </w:pPr>
    </w:p>
    <w:p>
      <w:pPr>
        <w:ind w:left="1420" w:right="899" w:hanging="305"/>
        <w:spacing w:after="0" w:line="253"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3"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71" w:lineRule="exact"/>
        <w:rPr>
          <w:rFonts w:ascii="Times New Roman" w:cs="Times New Roman" w:eastAsia="Times New Roman" w:hAnsi="Times New Roman"/>
          <w:sz w:val="16"/>
          <w:szCs w:val="16"/>
          <w:color w:val="auto"/>
        </w:rPr>
      </w:pPr>
    </w:p>
    <w:p>
      <w:pPr>
        <w:ind w:left="1420" w:right="919" w:hanging="305"/>
        <w:spacing w:after="0" w:line="255"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Health Insurance Portability and Accountability Act of 1996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67" w:lineRule="exact"/>
        <w:rPr>
          <w:rFonts w:ascii="Times New Roman" w:cs="Times New Roman" w:eastAsia="Times New Roman" w:hAnsi="Times New Roman"/>
          <w:sz w:val="16"/>
          <w:szCs w:val="16"/>
          <w:color w:val="auto"/>
        </w:rPr>
      </w:pPr>
    </w:p>
    <w:p>
      <w:pPr>
        <w:ind w:left="1420" w:right="859" w:hanging="305"/>
        <w:spacing w:after="0" w:line="257"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(“HITECH”), and their respective implementing regulations, which also impose obligations, including mandatory contractual terms, on certain types of people and entities with respect to safeguarding the privacy, security and transmission of individually identifiable health information;</w:t>
      </w:r>
    </w:p>
    <w:p>
      <w:pPr>
        <w:spacing w:after="0" w:line="66" w:lineRule="exact"/>
        <w:rPr>
          <w:rFonts w:ascii="Times New Roman" w:cs="Times New Roman" w:eastAsia="Times New Roman" w:hAnsi="Times New Roman"/>
          <w:sz w:val="16"/>
          <w:szCs w:val="16"/>
          <w:color w:val="auto"/>
        </w:rPr>
      </w:pPr>
    </w:p>
    <w:p>
      <w:pPr>
        <w:ind w:left="1420" w:right="859" w:hanging="305"/>
        <w:spacing w:after="0" w:line="253"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(the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71" w:lineRule="exact"/>
        <w:rPr>
          <w:rFonts w:ascii="Times New Roman" w:cs="Times New Roman" w:eastAsia="Times New Roman" w:hAnsi="Times New Roman"/>
          <w:sz w:val="16"/>
          <w:szCs w:val="16"/>
          <w:color w:val="auto"/>
        </w:rPr>
      </w:pPr>
    </w:p>
    <w:p>
      <w:pPr>
        <w:ind w:left="1420" w:right="879" w:hanging="305"/>
        <w:spacing w:after="0" w:line="257"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1"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 w:name="page19"/>
    <w:bookmarkEnd w:id="1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59" w:hanging="305"/>
        <w:spacing w:after="0" w:line="251" w:lineRule="auto"/>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healthcare laws and regulations in the EU and other jurisdictions, including reporting requirements detailing interactions with and payments to healthcare providers and laws governing the privacy and security of certain protected information, such as the General Data Protection Regulation (“GDPR”), which imposes obligations and restrictions on the collection and use of personal data relating to individuals located in the EU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3" w:lineRule="exact"/>
        <w:rPr>
          <w:sz w:val="20"/>
          <w:szCs w:val="20"/>
          <w:color w:val="auto"/>
        </w:rPr>
      </w:pPr>
    </w:p>
    <w:p>
      <w:pPr>
        <w:ind w:left="800" w:right="9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4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7"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For example, the Patient Protection and Affordable Care Act of 2010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7"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62"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9" w:lineRule="exact"/>
        <w:rPr>
          <w:sz w:val="20"/>
          <w:szCs w:val="20"/>
          <w:color w:val="auto"/>
        </w:rPr>
      </w:pPr>
    </w:p>
    <w:p>
      <w:pPr>
        <w:ind w:left="800" w:right="81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5"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 w:name="page20"/>
    <w:bookmarkEnd w:id="1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7" w:lineRule="exact"/>
        <w:rPr>
          <w:sz w:val="20"/>
          <w:szCs w:val="20"/>
          <w:color w:val="auto"/>
        </w:rPr>
      </w:pPr>
    </w:p>
    <w:p>
      <w:pPr>
        <w:ind w:left="800" w:right="93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65"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(the “FCPA”), the</w:t>
      </w:r>
    </w:p>
    <w:p>
      <w:pPr>
        <w:spacing w:after="0" w:line="1" w:lineRule="exact"/>
        <w:rPr>
          <w:sz w:val="20"/>
          <w:szCs w:val="20"/>
          <w:color w:val="auto"/>
        </w:rPr>
      </w:pPr>
    </w:p>
    <w:p>
      <w:pPr>
        <w:ind w:left="800" w:right="859"/>
        <w:spacing w:after="0" w:line="264" w:lineRule="auto"/>
        <w:rPr>
          <w:sz w:val="20"/>
          <w:szCs w:val="20"/>
          <w:color w:val="auto"/>
        </w:rPr>
      </w:pPr>
      <w:r>
        <w:rPr>
          <w:rFonts w:ascii="Times New Roman" w:cs="Times New Roman" w:eastAsia="Times New Roman" w:hAnsi="Times New Roman"/>
          <w:sz w:val="15"/>
          <w:szCs w:val="15"/>
          <w:color w:val="auto"/>
        </w:rPr>
        <w:t>U.S. domestic bribery statute contained in 18 U.S.C. § 201, the U.S. Travel Act, the Uniting and Strengthening America by Providing Appropriate Tools Required to Intercept and Obstruct Terrorism (“PATRIOT Act”), and other state and national anti-bribery and anti-money laundering laws in the countries in which we conduct activities.</w:t>
      </w:r>
    </w:p>
    <w:p>
      <w:pPr>
        <w:spacing w:after="0" w:line="1" w:lineRule="exact"/>
        <w:rPr>
          <w:sz w:val="20"/>
          <w:szCs w:val="20"/>
          <w:color w:val="auto"/>
        </w:rPr>
      </w:pPr>
    </w:p>
    <w:p>
      <w:pPr>
        <w:ind w:left="800" w:right="819"/>
        <w:spacing w:after="0" w:line="248" w:lineRule="auto"/>
        <w:rPr>
          <w:sz w:val="20"/>
          <w:szCs w:val="20"/>
          <w:color w:val="auto"/>
        </w:rPr>
      </w:pPr>
      <w:r>
        <w:rPr>
          <w:rFonts w:ascii="Times New Roman" w:cs="Times New Roman" w:eastAsia="Times New Roman" w:hAnsi="Times New Roman"/>
          <w:sz w:val="16"/>
          <w:szCs w:val="16"/>
          <w:color w:val="auto"/>
        </w:rPr>
        <w:t>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6" w:lineRule="exact"/>
        <w:rPr>
          <w:sz w:val="20"/>
          <w:szCs w:val="20"/>
          <w:color w:val="auto"/>
        </w:rPr>
      </w:pPr>
    </w:p>
    <w:p>
      <w:pPr>
        <w:ind w:left="800" w:right="9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If we or third parties we rely upon fail to comply with environmental, health and safety laws and regulations, we could become subject to fines or penalties or incur costs that could have a material adverse effect on our business.</w:t>
      </w:r>
    </w:p>
    <w:p>
      <w:pPr>
        <w:spacing w:after="0" w:line="60"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3" w:lineRule="exact"/>
        <w:rPr>
          <w:sz w:val="20"/>
          <w:szCs w:val="20"/>
          <w:color w:val="auto"/>
        </w:rPr>
      </w:pPr>
    </w:p>
    <w:p>
      <w:pPr>
        <w:jc w:val="both"/>
        <w:ind w:left="800" w:right="1019"/>
        <w:spacing w:after="0" w:line="255"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 w:name="page21"/>
    <w:bookmarkEnd w:id="2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2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Need for Additional Capital</w:t>
      </w:r>
    </w:p>
    <w:p>
      <w:pPr>
        <w:spacing w:after="0" w:line="99" w:lineRule="exact"/>
        <w:rPr>
          <w:sz w:val="20"/>
          <w:szCs w:val="20"/>
          <w:color w:val="auto"/>
        </w:rPr>
      </w:pPr>
    </w:p>
    <w:p>
      <w:pPr>
        <w:ind w:left="800" w:right="11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are a development-stage company and we expect to incur losses for the foreseeable future and may never achieve or maintain profitability.</w:t>
      </w:r>
    </w:p>
    <w:p>
      <w:pPr>
        <w:spacing w:after="0" w:line="4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Except for the quarter ended June 30, 2024 and the year ended December 31, 2022, we have incurred significant operating losses since our inception. We incurred a net loss of $43.0 million and $33.1 million for the six months ended June 30, 2024 and 2023, respectively. As of June 30, 2024, we had an accumulated deficit of $657.6 million. To date, we have financed our operations primarily through public offerings and private placements of our securities, funding received from collaboration and license arrangements and a credit facility. We currently have no source of product revenue, and we do not expect to generate product revenue for the foreseeable future. Historically we devoted substantially all of our financial resources and efforts to developing our ImmTOR platform and following the closing of the Merger (the “Closing”), we expect to devote substantially all of our financial resources and efforts to developing our mRNA-based therapies for the treatment of autoimmune diseases, identifying potential product candidates and conducting preclinical studies and our clinical trials. We are in the early stages of clinical development of most of our product candidates. We expect to continue to incur significant expenses and operating losses for the foreseeable future. We expect that our expenses will increase substantially as we:</w:t>
      </w:r>
    </w:p>
    <w:p>
      <w:pPr>
        <w:spacing w:after="0" w:line="64" w:lineRule="exact"/>
        <w:rPr>
          <w:sz w:val="20"/>
          <w:szCs w:val="20"/>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the research and development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and develop our manufacturing and distribution capacities;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discover and develop additional product candidates;</w:t>
      </w:r>
    </w:p>
    <w:p>
      <w:pPr>
        <w:spacing w:after="0" w:line="101"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maintain and enter into collaboration, licensing and other agreements, including, but not limited to research and development, and/or commercialization agreements;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for any product candidates that successfully complete clinical trials;</w:t>
      </w:r>
    </w:p>
    <w:p>
      <w:pPr>
        <w:spacing w:after="0" w:line="101" w:lineRule="exact"/>
        <w:rPr>
          <w:rFonts w:ascii="Times New Roman" w:cs="Times New Roman" w:eastAsia="Times New Roman" w:hAnsi="Times New Roman"/>
          <w:sz w:val="16"/>
          <w:szCs w:val="16"/>
          <w:color w:val="auto"/>
        </w:rPr>
      </w:pPr>
    </w:p>
    <w:p>
      <w:pPr>
        <w:ind w:left="1420" w:right="919" w:hanging="305"/>
        <w:spacing w:after="0" w:line="312" w:lineRule="auto"/>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potentially establish a sales, marketing and distribution infrastructure and scale up internal manufacturing capabilities to commercialize any products for which we may obtain regulatory approval;</w:t>
      </w:r>
    </w:p>
    <w:p>
      <w:pPr>
        <w:spacing w:after="0" w:line="26"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 including through licensing arrangements;</w:t>
      </w:r>
    </w:p>
    <w:p>
      <w:pPr>
        <w:spacing w:after="0" w:line="112" w:lineRule="exact"/>
        <w:rPr>
          <w:rFonts w:ascii="Times New Roman" w:cs="Times New Roman" w:eastAsia="Times New Roman" w:hAnsi="Times New Roman"/>
          <w:sz w:val="15"/>
          <w:szCs w:val="15"/>
          <w:color w:val="auto"/>
        </w:rPr>
      </w:pPr>
    </w:p>
    <w:p>
      <w:pPr>
        <w:ind w:left="1420" w:right="1039" w:hanging="305"/>
        <w:spacing w:after="0" w:line="312" w:lineRule="auto"/>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clinical, scientific, operational, financial and management information systems and personnel, including personnel to support our product development and potential future commercialization efforts;</w:t>
      </w:r>
    </w:p>
    <w:p>
      <w:pPr>
        <w:spacing w:after="0" w:line="26" w:lineRule="exact"/>
        <w:rPr>
          <w:rFonts w:ascii="Times New Roman" w:cs="Times New Roman" w:eastAsia="Times New Roman" w:hAnsi="Times New Roman"/>
          <w:sz w:val="15"/>
          <w:szCs w:val="15"/>
          <w:color w:val="auto"/>
        </w:rPr>
      </w:pPr>
    </w:p>
    <w:p>
      <w:pPr>
        <w:ind w:left="1420" w:right="979" w:hanging="305"/>
        <w:spacing w:after="0" w:line="312" w:lineRule="auto"/>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any delays or encounter any issues with any of the above, including, but not limited to, failed studies, complex results, safety issues or other regulatory, manufacturing or scale-up challenges; and</w:t>
      </w:r>
    </w:p>
    <w:p>
      <w:pPr>
        <w:spacing w:after="0" w:line="26" w:lineRule="exact"/>
        <w:rPr>
          <w:rFonts w:ascii="Times New Roman" w:cs="Times New Roman" w:eastAsia="Times New Roman" w:hAnsi="Times New Roman"/>
          <w:sz w:val="15"/>
          <w:szCs w:val="15"/>
          <w:color w:val="auto"/>
        </w:rPr>
      </w:pPr>
    </w:p>
    <w:p>
      <w:pPr>
        <w:ind w:left="1420" w:right="1179" w:hanging="305"/>
        <w:spacing w:after="0" w:line="277"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exposed to broad macroeconomic conditions including inflation and supply chain tightness which could result in us paying more, or being unable, to access goods and services.</w:t>
      </w:r>
    </w:p>
    <w:p>
      <w:pPr>
        <w:spacing w:after="0" w:line="50"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70" w:lineRule="exact"/>
        <w:rPr>
          <w:sz w:val="20"/>
          <w:szCs w:val="20"/>
          <w:color w:val="auto"/>
        </w:rPr>
      </w:pPr>
    </w:p>
    <w:p>
      <w:pPr>
        <w:ind w:left="800" w:right="1159"/>
        <w:spacing w:after="0" w:line="312"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pharmaceutical and biological product development, we are unable to accurately predict the timing or amount of increased expenses or when, or if, we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 w:name="page22"/>
    <w:bookmarkEnd w:id="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59"/>
        <w:spacing w:after="0" w:line="288" w:lineRule="auto"/>
        <w:rPr>
          <w:sz w:val="20"/>
          <w:szCs w:val="20"/>
          <w:color w:val="auto"/>
        </w:rPr>
      </w:pPr>
      <w:r>
        <w:rPr>
          <w:rFonts w:ascii="Times New Roman" w:cs="Times New Roman" w:eastAsia="Times New Roman" w:hAnsi="Times New Roman"/>
          <w:sz w:val="15"/>
          <w:szCs w:val="15"/>
          <w:color w:val="auto"/>
        </w:rPr>
        <w:t>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44"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w:t>
      </w:r>
    </w:p>
    <w:p>
      <w:pPr>
        <w:spacing w:after="0" w:line="284" w:lineRule="exact"/>
        <w:rPr>
          <w:sz w:val="20"/>
          <w:szCs w:val="20"/>
          <w:color w:val="auto"/>
        </w:rPr>
      </w:pPr>
    </w:p>
    <w:p>
      <w:pPr>
        <w:ind w:left="800" w:right="85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5" w:lineRule="exact"/>
        <w:rPr>
          <w:sz w:val="20"/>
          <w:szCs w:val="20"/>
          <w:color w:val="auto"/>
        </w:rPr>
      </w:pPr>
    </w:p>
    <w:p>
      <w:pPr>
        <w:ind w:left="800" w:right="899"/>
        <w:spacing w:after="0" w:line="273" w:lineRule="auto"/>
        <w:rPr>
          <w:sz w:val="20"/>
          <w:szCs w:val="20"/>
          <w:color w:val="auto"/>
        </w:rPr>
      </w:pPr>
      <w:r>
        <w:rPr>
          <w:rFonts w:ascii="Times New Roman" w:cs="Times New Roman" w:eastAsia="Times New Roman" w:hAnsi="Times New Roman"/>
          <w:sz w:val="15"/>
          <w:szCs w:val="15"/>
          <w:color w:val="auto"/>
        </w:rPr>
        <w:t>We expect our expenses to increase in connection with our ongoing activities, particularly as we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58"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June 30, 2024, combined with the net proceeds received subsequent to June 30, 2024 in connection with the Private Placement,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1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01" w:lineRule="exact"/>
        <w:rPr>
          <w:sz w:val="20"/>
          <w:szCs w:val="20"/>
          <w:color w:val="auto"/>
        </w:rPr>
      </w:pPr>
    </w:p>
    <w:p>
      <w:pPr>
        <w:ind w:left="1420" w:right="133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clinical trials, preclinical development, manufacturing, laboratory testing and logistics;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product candidates that we pursue and the speed with which we pursue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manufacturing, marketing, sales and distribution, for any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from commercial sales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101"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 w:name="page23"/>
    <w:bookmarkEnd w:id="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0"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59" w:lineRule="exact"/>
        <w:rPr>
          <w:sz w:val="20"/>
          <w:szCs w:val="20"/>
          <w:color w:val="auto"/>
        </w:rPr>
      </w:pPr>
    </w:p>
    <w:p>
      <w:pPr>
        <w:ind w:left="800" w:right="9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ability to use our net operating loss and research and development tax credit carryforwards to offset future taxable income may be subject to certain limitations.</w:t>
      </w:r>
    </w:p>
    <w:p>
      <w:pPr>
        <w:spacing w:after="0" w:line="4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net operating loss carryforwards (“NOLs”), for federal and state income tax purposes that may be available to offset our future taxable income, if any. In general, under Sections 382 and 383 of the Internal Revenue Code of 1986, as amended (the “Code”), a corporation that undergoes an “ownership change” is subject to limitations on its ability to use its pre-change NOLs to offset future taxable income. If the IRS, challenges our analysis that existing NOLs will not expire before utilization due to previous ownership changes, or if we undergo an ownership change, our ability to use our NOLs could be limited by Section 382 of the Code. Future changes in our stock ownership, some of which are outside of our control, could result in an ownership change under Sections 382 and 383 of the Code.</w:t>
      </w:r>
    </w:p>
    <w:p>
      <w:pPr>
        <w:spacing w:after="0" w:line="70" w:lineRule="exact"/>
        <w:rPr>
          <w:sz w:val="20"/>
          <w:szCs w:val="20"/>
          <w:color w:val="auto"/>
        </w:rPr>
      </w:pPr>
    </w:p>
    <w:p>
      <w:pPr>
        <w:ind w:left="800" w:right="919"/>
        <w:spacing w:after="0" w:line="273" w:lineRule="auto"/>
        <w:rPr>
          <w:sz w:val="20"/>
          <w:szCs w:val="20"/>
          <w:color w:val="auto"/>
        </w:rPr>
      </w:pPr>
      <w:r>
        <w:rPr>
          <w:rFonts w:ascii="Times New Roman" w:cs="Times New Roman" w:eastAsia="Times New Roman" w:hAnsi="Times New Roman"/>
          <w:sz w:val="15"/>
          <w:szCs w:val="15"/>
          <w:color w:val="auto"/>
        </w:rPr>
        <w:t>Furthermore, our ability to use NOLs of companies that we may acquire in the future may be subject to limitations. As a result, we may not be able to use a material portion of the NOLs reflected on our balance sheet, even if we attain profitability. 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w:t>
      </w:r>
    </w:p>
    <w:p>
      <w:pPr>
        <w:spacing w:after="0" w:line="2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99" w:lineRule="exact"/>
        <w:rPr>
          <w:sz w:val="20"/>
          <w:szCs w:val="20"/>
          <w:color w:val="auto"/>
        </w:rPr>
      </w:pPr>
    </w:p>
    <w:p>
      <w:pPr>
        <w:jc w:val="both"/>
        <w:ind w:left="800" w:right="8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0"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68"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(“PCT”), applications,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 w:name="page24"/>
    <w:bookmarkEnd w:id="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7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73" w:lineRule="exact"/>
        <w:rPr>
          <w:sz w:val="20"/>
          <w:szCs w:val="20"/>
          <w:color w:val="auto"/>
        </w:rPr>
      </w:pPr>
    </w:p>
    <w:p>
      <w:pPr>
        <w:ind w:left="800" w:right="1039"/>
        <w:spacing w:after="0" w:line="262" w:lineRule="auto"/>
        <w:rPr>
          <w:sz w:val="20"/>
          <w:szCs w:val="20"/>
          <w:color w:val="auto"/>
        </w:rPr>
      </w:pPr>
      <w:r>
        <w:rPr>
          <w:rFonts w:ascii="Times New Roman" w:cs="Times New Roman" w:eastAsia="Times New Roman" w:hAnsi="Times New Roman"/>
          <w:sz w:val="16"/>
          <w:szCs w:val="16"/>
          <w:color w:val="auto"/>
        </w:rPr>
        <w:t>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w:t>
      </w:r>
    </w:p>
    <w:p>
      <w:pPr>
        <w:spacing w:after="0" w:line="62" w:lineRule="exact"/>
        <w:rPr>
          <w:sz w:val="20"/>
          <w:szCs w:val="20"/>
          <w:color w:val="auto"/>
        </w:rPr>
      </w:pPr>
    </w:p>
    <w:p>
      <w:pPr>
        <w:ind w:left="800" w:right="1079"/>
        <w:spacing w:after="0" w:line="312" w:lineRule="auto"/>
        <w:rPr>
          <w:sz w:val="20"/>
          <w:szCs w:val="20"/>
          <w:color w:val="auto"/>
        </w:rPr>
      </w:pPr>
      <w:r>
        <w:rPr>
          <w:rFonts w:ascii="Times New Roman" w:cs="Times New Roman" w:eastAsia="Times New Roman" w:hAnsi="Times New Roman"/>
          <w:sz w:val="15"/>
          <w:szCs w:val="15"/>
          <w:color w:val="auto"/>
        </w:rPr>
        <w:t>We cannot provide any assurances that the issued patents we currently own, or any future patents, include claims with a scope sufficient to protect our product candidates or otherwise provide any competitive advantage.</w:t>
      </w:r>
    </w:p>
    <w:p>
      <w:pPr>
        <w:spacing w:after="0" w:line="2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Further, it is possible that a patent claim may provide coverage for some but not all parts of a product candidate or third-party product. These and other factors may provide opportunities for our competitors to design around our patents.</w:t>
      </w:r>
    </w:p>
    <w:p>
      <w:pPr>
        <w:spacing w:after="0" w:line="62"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6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77"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may be subject to a third-party preissuance submission of prior art to the U.S. Patent and Trademark Office (“USPTO”), or other patent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 w:name="page25"/>
    <w:bookmarkEnd w:id="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74"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65" w:lineRule="exact"/>
        <w:rPr>
          <w:sz w:val="20"/>
          <w:szCs w:val="20"/>
          <w:color w:val="auto"/>
        </w:rPr>
      </w:pPr>
    </w:p>
    <w:p>
      <w:pPr>
        <w:ind w:left="800" w:right="10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and know-how, our business and competitive position would be harmed.</w:t>
      </w:r>
    </w:p>
    <w:p>
      <w:pPr>
        <w:spacing w:after="0" w:line="4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 w:name="page26"/>
    <w:bookmarkEnd w:id="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4" w:lineRule="exact"/>
        <w:rPr>
          <w:sz w:val="20"/>
          <w:szCs w:val="20"/>
          <w:color w:val="auto"/>
        </w:rPr>
      </w:pPr>
    </w:p>
    <w:p>
      <w:pPr>
        <w:ind w:left="800" w:right="8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Changes in U.S. patent law could diminish the value of patents in general, thereby impairing our ability to protect our product candidates.</w:t>
      </w:r>
    </w:p>
    <w:p>
      <w:pPr>
        <w:spacing w:after="0" w:line="4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58"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58"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1"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67"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58" w:lineRule="exact"/>
        <w:rPr>
          <w:sz w:val="20"/>
          <w:szCs w:val="20"/>
          <w:color w:val="auto"/>
        </w:rPr>
      </w:pPr>
    </w:p>
    <w:p>
      <w:pPr>
        <w:ind w:left="800" w:right="939"/>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 w:name="page27"/>
    <w:bookmarkEnd w:id="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62"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58"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70"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71"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Claims that we have misappropriated the confidential information or trade secrets of third parties could have a similar negative impact on our business.</w:t>
      </w:r>
    </w:p>
    <w:p>
      <w:pPr>
        <w:spacing w:after="0" w:line="50"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Any of these risks coming to fruition could have a material adverse impact on our business.</w:t>
      </w:r>
    </w:p>
    <w:p>
      <w:pPr>
        <w:spacing w:after="0" w:line="192" w:lineRule="exact"/>
        <w:rPr>
          <w:sz w:val="20"/>
          <w:szCs w:val="20"/>
          <w:color w:val="auto"/>
        </w:rPr>
      </w:pPr>
    </w:p>
    <w:p>
      <w:pPr>
        <w:ind w:left="800" w:right="97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60"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 w:name="page28"/>
    <w:bookmarkEnd w:id="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49" w:lineRule="auto"/>
        <w:rPr>
          <w:sz w:val="20"/>
          <w:szCs w:val="20"/>
          <w:color w:val="auto"/>
        </w:rPr>
      </w:pPr>
      <w:r>
        <w:rPr>
          <w:rFonts w:ascii="Times New Roman" w:cs="Times New Roman" w:eastAsia="Times New Roman" w:hAnsi="Times New Roman"/>
          <w:sz w:val="16"/>
          <w:szCs w:val="16"/>
          <w:color w:val="auto"/>
        </w:rPr>
        <w:t>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The lives of our patents may not be sufficient to effectively protect our products and business.</w:t>
      </w:r>
    </w:p>
    <w:p>
      <w:pPr>
        <w:spacing w:after="0" w:line="10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62" w:lineRule="exact"/>
        <w:rPr>
          <w:sz w:val="20"/>
          <w:szCs w:val="20"/>
          <w:color w:val="auto"/>
        </w:rPr>
      </w:pPr>
    </w:p>
    <w:p>
      <w:pPr>
        <w:ind w:left="800" w:right="11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58" w:lineRule="exact"/>
        <w:rPr>
          <w:sz w:val="20"/>
          <w:szCs w:val="20"/>
          <w:color w:val="auto"/>
        </w:rPr>
      </w:pPr>
    </w:p>
    <w:p>
      <w:pPr>
        <w:ind w:left="800" w:right="133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our product candidates through acquisitions and in-licenses.</w:t>
      </w:r>
    </w:p>
    <w:p>
      <w:pPr>
        <w:spacing w:after="0" w:line="4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 w:name="page29"/>
    <w:bookmarkEnd w:id="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68"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53" w:lineRule="exact"/>
        <w:rPr>
          <w:sz w:val="20"/>
          <w:szCs w:val="20"/>
          <w:color w:val="auto"/>
        </w:rPr>
      </w:pPr>
    </w:p>
    <w:p>
      <w:pPr>
        <w:ind w:left="800" w:right="12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45"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w:t>
      </w:r>
    </w:p>
    <w:p>
      <w:pPr>
        <w:spacing w:after="0" w:line="62"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w:t>
      </w:r>
    </w:p>
    <w:p>
      <w:pPr>
        <w:spacing w:after="0" w:line="7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Although we have no knowledge of any such claims being alleged to date, if such claims were to arise, litigation may be necessary to defend against any such claims.</w:t>
      </w:r>
    </w:p>
    <w:p>
      <w:pPr>
        <w:spacing w:after="0" w:line="50"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53" w:lineRule="exact"/>
        <w:rPr>
          <w:sz w:val="20"/>
          <w:szCs w:val="20"/>
          <w:color w:val="auto"/>
        </w:rPr>
      </w:pPr>
    </w:p>
    <w:p>
      <w:pPr>
        <w:ind w:left="800" w:right="10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0" w:lineRule="exact"/>
        <w:rPr>
          <w:sz w:val="20"/>
          <w:szCs w:val="20"/>
          <w:color w:val="auto"/>
        </w:rPr>
      </w:pPr>
    </w:p>
    <w:p>
      <w:pPr>
        <w:ind w:left="800" w:right="1139"/>
        <w:spacing w:after="0" w:line="258" w:lineRule="auto"/>
        <w:rPr>
          <w:sz w:val="20"/>
          <w:szCs w:val="20"/>
          <w:color w:val="auto"/>
        </w:rPr>
      </w:pPr>
      <w:r>
        <w:rPr>
          <w:rFonts w:ascii="Times New Roman" w:cs="Times New Roman" w:eastAsia="Times New Roman" w:hAnsi="Times New Roman"/>
          <w:sz w:val="16"/>
          <w:szCs w:val="16"/>
          <w:color w:val="auto"/>
        </w:rPr>
        <w:t>Filing, prosecuting and defending patents on product candidates in all countries and jurisdictions throughout the world would be prohibitively expensive, and our intellectual property rights in some countries outside the</w:t>
      </w:r>
    </w:p>
    <w:p>
      <w:pPr>
        <w:spacing w:after="0" w:line="1" w:lineRule="exact"/>
        <w:rPr>
          <w:sz w:val="20"/>
          <w:szCs w:val="20"/>
          <w:color w:val="auto"/>
        </w:rPr>
      </w:pPr>
    </w:p>
    <w:p>
      <w:pPr>
        <w:ind w:left="800" w:right="819"/>
        <w:spacing w:after="0" w:line="248" w:lineRule="auto"/>
        <w:rPr>
          <w:sz w:val="20"/>
          <w:szCs w:val="20"/>
          <w:color w:val="auto"/>
        </w:rPr>
      </w:pPr>
      <w:r>
        <w:rPr>
          <w:rFonts w:ascii="Times New Roman" w:cs="Times New Roman" w:eastAsia="Times New Roman" w:hAnsi="Times New Roman"/>
          <w:sz w:val="16"/>
          <w:szCs w:val="16"/>
          <w:color w:val="auto"/>
        </w:rPr>
        <w:t>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9" w:name="page30"/>
    <w:bookmarkEnd w:id="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45" w:lineRule="exact"/>
        <w:rPr>
          <w:sz w:val="20"/>
          <w:szCs w:val="20"/>
          <w:color w:val="auto"/>
        </w:rPr>
      </w:pPr>
    </w:p>
    <w:p>
      <w:pPr>
        <w:ind w:left="800" w:right="999"/>
        <w:spacing w:after="0" w:line="273" w:lineRule="auto"/>
        <w:rPr>
          <w:sz w:val="20"/>
          <w:szCs w:val="20"/>
          <w:color w:val="auto"/>
        </w:rPr>
      </w:pPr>
      <w:r>
        <w:rPr>
          <w:rFonts w:ascii="Times New Roman" w:cs="Times New Roman" w:eastAsia="Times New Roman" w:hAnsi="Times New Roman"/>
          <w:sz w:val="15"/>
          <w:szCs w:val="15"/>
          <w:color w:val="auto"/>
        </w:rPr>
        <w:t>Depending upon the timing, duration and specifics of FDA regulatory approval for our product candidates, one or more of our U.S. patents may be eligible for limited patent term restoration under the Drug Price Competition and Patent Term Restoration Act of 1984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5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Operations</w:t>
      </w:r>
    </w:p>
    <w:p>
      <w:pPr>
        <w:spacing w:after="0" w:line="99" w:lineRule="exact"/>
        <w:rPr>
          <w:sz w:val="20"/>
          <w:szCs w:val="20"/>
          <w:color w:val="auto"/>
        </w:rPr>
      </w:pPr>
    </w:p>
    <w:p>
      <w:pPr>
        <w:ind w:left="800" w:right="10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ability to retain key executives and to attract, retain and motivate qualified personnel.</w:t>
      </w:r>
    </w:p>
    <w:p>
      <w:pPr>
        <w:spacing w:after="0" w:line="45"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We are highly dependent on Carsten Brunn, Ph.D., our President and Chief Executive Officer, as well as the other principal members of our management, scientific and clinical teams.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6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1" w:lineRule="exact"/>
        <w:rPr>
          <w:sz w:val="20"/>
          <w:szCs w:val="20"/>
          <w:color w:val="auto"/>
        </w:rPr>
      </w:pPr>
    </w:p>
    <w:p>
      <w:pPr>
        <w:ind w:left="800" w:right="11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45"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As a public company, we have incurred and expect to continue to incur significant legal, accounting and other expenses. If we are unable to maintain effective internal control over financial reporting, we may not have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0" w:name="page31"/>
    <w:bookmarkEnd w:id="3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adequate, accurate or timely financial information, and we may be unable to meet our reporting obligations as a public company or comply with the requirements of the SEC or Section 404 of the Sarbanes-Oxley Act of 2002.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281" w:lineRule="exact"/>
        <w:rPr>
          <w:sz w:val="20"/>
          <w:szCs w:val="20"/>
          <w:color w:val="auto"/>
        </w:rPr>
      </w:pPr>
    </w:p>
    <w:p>
      <w:pPr>
        <w:ind w:left="800" w:right="83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In connection with the audit of our consolidated financial statements as of and for the year ended December 31, 2023, we identified a material weakness in our internal control over financial reporting and concluded that our internal control over financial reporting was not effective as of December 31, 2023. There are no material accounting errors or omissions within the consolidated financial statements as a result of this material weakness. We concluded that we did not design and implement effective internal controls specifically related to the documentation of the assumptions supporting the valuation of the in-process intangible assets in connection with the Old Cartesian material business combination and the initial and ongoing contingent value right obligation issued at the time to legacy Selecta stockholders. This includes a lack of sufficient documentation to provide evidence of the associated management review controls.</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response to the identified material weakness above, we, with the oversight of the Audit Committee (the “Audit Committee”) of the Board of Directors (the “Board of Directors”), intend to take comprehensive actions to remediate the material weakness in internal control over financial reporting. We expect to re-evaluate the scope and level of precision for conducting and documenting the reviews over significant acquisitions and contingent value rights including the review of prospective financial information used in valuation reports produced by third-party specialists supporting the accounting for business combinations and contingent value rights. The remediation efforts are intended both to address the identified material weakness and to enhance our overall financial control environment.</w:t>
      </w:r>
    </w:p>
    <w:p>
      <w:pPr>
        <w:spacing w:after="0" w:line="70"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This material weakness and any other failure to maintain effective internal control over financial reporting could result in a loss of confidence in the reliability of our financial statements which could have a negative impact on the trading price of our Common Stock and harm our ability to raise additional capital on acceptable terms or at all.</w:t>
      </w:r>
    </w:p>
    <w:p>
      <w:pPr>
        <w:spacing w:after="0" w:line="254" w:lineRule="exact"/>
        <w:rPr>
          <w:sz w:val="20"/>
          <w:szCs w:val="20"/>
          <w:color w:val="auto"/>
        </w:rPr>
      </w:pPr>
    </w:p>
    <w:p>
      <w:pPr>
        <w:ind w:left="800" w:right="9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maintaining our subsidiary in Russia or expanding operations internationally could adversely affect our business.</w:t>
      </w:r>
    </w:p>
    <w:p>
      <w:pPr>
        <w:spacing w:after="0" w:line="45"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addition to our U.S. operations, we maintain a wholly owned subsidiary in Russia, Selecta (RUS). However, we are in the process of winding down all remaining operations of this subsidiary.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w:t>
      </w:r>
    </w:p>
    <w:p>
      <w:pPr>
        <w:spacing w:after="0" w:line="73" w:lineRule="exact"/>
        <w:rPr>
          <w:sz w:val="20"/>
          <w:szCs w:val="20"/>
          <w:color w:val="auto"/>
        </w:rPr>
      </w:pPr>
    </w:p>
    <w:p>
      <w:pPr>
        <w:jc w:val="both"/>
        <w:ind w:left="1420" w:right="879" w:hanging="305"/>
        <w:spacing w:after="0" w:line="262" w:lineRule="auto"/>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to obtain and maintain regulatory approvals for the use of our product candidates in various countries;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potentially relevant third-party patent rights;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1" w:name="page32"/>
    <w:bookmarkEnd w:id="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and difficulties in obtaining protection of and enforcing our intellectual property rights;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staffing and managing foreign operations;</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associated with managing multiple-payor reimbursement regimes, government payors or patient self-pay systems;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limits on our ability to penetrate international markets;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5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66" w:lineRule="exact"/>
        <w:rPr>
          <w:rFonts w:ascii="Times New Roman" w:cs="Times New Roman" w:eastAsia="Times New Roman" w:hAnsi="Times New Roman"/>
          <w:sz w:val="16"/>
          <w:szCs w:val="16"/>
          <w:color w:val="auto"/>
        </w:rPr>
      </w:pPr>
    </w:p>
    <w:p>
      <w:pPr>
        <w:ind w:left="1420" w:right="1019" w:hanging="305"/>
        <w:spacing w:after="0" w:line="262"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diplomatic and trade relationships;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312" w:lineRule="auto"/>
        <w:tabs>
          <w:tab w:leader="none" w:pos="14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26" w:lineRule="exact"/>
        <w:rPr>
          <w:rFonts w:ascii="Times New Roman" w:cs="Times New Roman" w:eastAsia="Times New Roman" w:hAnsi="Times New Roman"/>
          <w:sz w:val="15"/>
          <w:szCs w:val="15"/>
          <w:color w:val="auto"/>
        </w:rPr>
      </w:pPr>
    </w:p>
    <w:p>
      <w:pPr>
        <w:ind w:left="1420" w:right="133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 on cross-border investment, including enhanced oversight by the Committee on Foreign Investment in the United States and substantial restrictions on investment from China;</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expenses including, among others, expenses for travel, translation and insurance;</w:t>
      </w:r>
    </w:p>
    <w:p>
      <w:pPr>
        <w:spacing w:after="0" w:line="101"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risks, including use of the legal system by the government to benefit itself or affiliated entities at our expense, including expropriation of property;</w:t>
      </w:r>
    </w:p>
    <w:p>
      <w:pPr>
        <w:spacing w:after="0" w:line="50" w:lineRule="exact"/>
        <w:rPr>
          <w:rFonts w:ascii="Times New Roman" w:cs="Times New Roman" w:eastAsia="Times New Roman" w:hAnsi="Times New Roman"/>
          <w:sz w:val="16"/>
          <w:szCs w:val="16"/>
          <w:color w:val="auto"/>
        </w:rPr>
      </w:pPr>
    </w:p>
    <w:p>
      <w:pPr>
        <w:jc w:val="both"/>
        <w:ind w:left="1420" w:right="859" w:hanging="305"/>
        <w:spacing w:after="0" w:line="262"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and compliance risks that relate to maintaining accurate information and control over sales and activities that may fall within the purview of the FCPA its books and records provisions, or its anti-bribery provisions;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may suffer reputational harm as a result of our operations in Russia.</w:t>
      </w:r>
    </w:p>
    <w:p>
      <w:pPr>
        <w:spacing w:after="0" w:line="101"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results of operations.</w:t>
      </w:r>
    </w:p>
    <w:p>
      <w:pPr>
        <w:spacing w:after="0" w:line="141" w:lineRule="exact"/>
        <w:rPr>
          <w:sz w:val="20"/>
          <w:szCs w:val="20"/>
          <w:color w:val="auto"/>
        </w:rPr>
      </w:pPr>
    </w:p>
    <w:p>
      <w:pPr>
        <w:jc w:val="both"/>
        <w:ind w:left="800" w:right="89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6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70"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We have previously been, and expect to remain, the target of cyber-attacks. As we become more dependent on information technologies to conduct our operations, cyber incidents, including deliberate attacks, such as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2" w:name="page33"/>
    <w:bookmarkEnd w:id="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6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305"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Acquisitions or joint ventures could disrupt our business, cause dilution to our stockholders and otherwise harm our business.</w:t>
      </w:r>
    </w:p>
    <w:p>
      <w:pPr>
        <w:spacing w:after="0" w:line="45"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67" w:lineRule="exact"/>
        <w:rPr>
          <w:sz w:val="20"/>
          <w:szCs w:val="20"/>
          <w:color w:val="auto"/>
        </w:rPr>
      </w:pPr>
    </w:p>
    <w:p>
      <w:pPr>
        <w:ind w:left="1420" w:right="879" w:hanging="305"/>
        <w:spacing w:after="0" w:line="277" w:lineRule="auto"/>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in our relationships with future customers or with current or future distributors or suppliers as a result of such a transaction;</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liabilities related to acquired companies;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integrating acquired personnel, technologies and operations into our existing business;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 time and focus from operating our business to acquisition integration challenges;</w:t>
      </w:r>
    </w:p>
    <w:p>
      <w:pPr>
        <w:spacing w:after="0" w:line="112"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our expenses and reductions in our cash available for operations and other uses;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write-offs or impairment charges relating to acquired businesses;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develop a sales force for any additional product candidates.</w:t>
      </w:r>
    </w:p>
    <w:p>
      <w:pPr>
        <w:spacing w:after="0" w:line="10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3" w:name="page34"/>
    <w:bookmarkEnd w:id="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99" w:lineRule="exact"/>
        <w:rPr>
          <w:sz w:val="20"/>
          <w:szCs w:val="20"/>
          <w:color w:val="auto"/>
        </w:rPr>
      </w:pPr>
    </w:p>
    <w:p>
      <w:pPr>
        <w:ind w:left="800" w:right="13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be volatile and fluctuate substantially, which could result in substantial losses for purchasers of our Common Stock.</w:t>
      </w:r>
    </w:p>
    <w:p>
      <w:pPr>
        <w:spacing w:after="0" w:line="4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71" w:lineRule="exact"/>
        <w:rPr>
          <w:sz w:val="20"/>
          <w:szCs w:val="20"/>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competitive products or technologies;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or progress, or changes in approach or timelines, of clinical trials of our product candidates or those of our competitors;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development programs;</w:t>
      </w:r>
    </w:p>
    <w:p>
      <w:pPr>
        <w:spacing w:after="0" w:line="101" w:lineRule="exact"/>
        <w:rPr>
          <w:rFonts w:ascii="Times New Roman" w:cs="Times New Roman" w:eastAsia="Times New Roman" w:hAnsi="Times New Roman"/>
          <w:sz w:val="16"/>
          <w:szCs w:val="16"/>
          <w:color w:val="auto"/>
        </w:rPr>
      </w:pPr>
    </w:p>
    <w:p>
      <w:pPr>
        <w:ind w:left="1420" w:right="15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termination of, or any development related to any collaboration or licensing arrangement;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101"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new product candidates that may address our markets and make our product candidates less attractive;</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physician, hospital or healthcare provider practices that may make our product candidates less useful;</w:t>
      </w:r>
    </w:p>
    <w:p>
      <w:pPr>
        <w:spacing w:after="0" w:line="50" w:lineRule="exact"/>
        <w:rPr>
          <w:rFonts w:ascii="Times New Roman" w:cs="Times New Roman" w:eastAsia="Times New Roman" w:hAnsi="Times New Roman"/>
          <w:sz w:val="16"/>
          <w:szCs w:val="16"/>
          <w:color w:val="auto"/>
        </w:rPr>
      </w:pPr>
    </w:p>
    <w:p>
      <w:pPr>
        <w:ind w:left="1420" w:right="157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our collaborators or our competitors of significant acquisitions, strategic partnerships, joint ventures, collaborations or capital commitments;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market expectation of additional financing efforts;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product candidates or clinical development programs;</w:t>
      </w:r>
    </w:p>
    <w:p>
      <w:pPr>
        <w:spacing w:after="0" w:line="101"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financial estimates, projections or development timelines of the investment community or that we provide to the public;</w:t>
      </w:r>
    </w:p>
    <w:p>
      <w:pPr>
        <w:spacing w:after="0" w:line="50"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our efforts to discover, develop, acquire or in-license additional product candidates or products;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expected changes in estimates as to financial results, development timelines or recommendations by securities analysts;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of Common Stock by us or our stockholders in the future as well as the overall trading volume of our Common Stock;</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composition of our stockholder base;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activity in the options market for shares of our Common Stock;</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pharmaceutical and biotechnology sectors;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4" w:name="page35"/>
    <w:bookmarkEnd w:id="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93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45" w:lineRule="exact"/>
        <w:rPr>
          <w:sz w:val="20"/>
          <w:szCs w:val="20"/>
          <w:color w:val="auto"/>
        </w:rPr>
      </w:pPr>
    </w:p>
    <w:p>
      <w:pPr>
        <w:ind w:left="800" w:right="899"/>
        <w:spacing w:after="0" w:line="251" w:lineRule="auto"/>
        <w:rPr>
          <w:sz w:val="20"/>
          <w:szCs w:val="20"/>
          <w:color w:val="auto"/>
        </w:rPr>
      </w:pPr>
      <w:r>
        <w:rPr>
          <w:rFonts w:ascii="Times New Roman" w:cs="Times New Roman" w:eastAsia="Times New Roman" w:hAnsi="Times New Roman"/>
          <w:sz w:val="16"/>
          <w:szCs w:val="16"/>
          <w:color w:val="auto"/>
        </w:rPr>
        <w:t>Our executive officers, directors and stockholders who own more than 5% of our outstanding Common Stock and their respective affiliates, in the aggregate, hold shares representing approximately 64.1% of our outstanding voting stock as of September 3, 2024, assuming the conversion of all outstanding shares of Series A Preferred Stock and Series B Preferred Stock into Common Stock, or 62.5%, assuming no conversion of outstanding shares of Series A Preferred Stock and Series B Preferred Stock into Common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64" w:lineRule="exact"/>
        <w:rPr>
          <w:sz w:val="20"/>
          <w:szCs w:val="20"/>
          <w:color w:val="auto"/>
        </w:rPr>
      </w:pPr>
    </w:p>
    <w:p>
      <w:pPr>
        <w:ind w:left="800" w:right="87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60"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Provisions in our restated certificate of incorporation, as amended (the “Charter”), and amended and restated by-laws (the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w:t>
      </w:r>
    </w:p>
    <w:p>
      <w:pPr>
        <w:spacing w:after="0" w:line="5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6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Furthermore, our Charter specifies that, unless we consent in writing to the selection of an alternative forum, the Court of Chancery of the State of Delaware will be the sole and exclusive forum for most legal actions involving claims brought against us by stockholders. This provision of our Charter applies to actions arising under the Securities Act and the Exchange Act.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and may result in increased litigation costs for our stockholders. We note that there is uncertainty as to whether a court would enforce these provisions and that investors cannot waive compliance with the federal securities laws and the rules and regulations thereunder. Section 22 of the Securities Act generally creates concurrent jurisdiction for state and federal courts over suits brought to enforce any duty or liability created by the Securities Act or the rules and regulations thereunder.</w:t>
      </w:r>
    </w:p>
    <w:p>
      <w:pPr>
        <w:spacing w:after="0" w:line="72"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the Certificate of Designation of Preferences, Rights and Limitations of Series A Non-Voting Convertible Preferred Stock (the “Series A Certificate of Designation”) may delay or prevent a change in control of our Company. At any time while at least 30% of the originally issued Series A Preferred Stock remains issued and outstanding, we may not consummate a Fundamental Transaction (as defined in the Series A Certificate of Designation)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the Series A Preferred Stock. This provision of the Series A Certificate of Designation may make it more difficult for us to enter into any of the aforementioned transactions.</w:t>
      </w:r>
    </w:p>
    <w:p>
      <w:pPr>
        <w:spacing w:after="0" w:line="2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 have been in the past and may in the future be subject to stockholder litigation.</w:t>
      </w:r>
    </w:p>
    <w:p>
      <w:pPr>
        <w:spacing w:after="0" w:line="105" w:lineRule="exact"/>
        <w:rPr>
          <w:sz w:val="20"/>
          <w:szCs w:val="20"/>
          <w:color w:val="auto"/>
        </w:rPr>
      </w:pPr>
    </w:p>
    <w:p>
      <w:pPr>
        <w:ind w:left="800" w:right="1139"/>
        <w:spacing w:after="0" w:line="312" w:lineRule="auto"/>
        <w:rPr>
          <w:sz w:val="20"/>
          <w:szCs w:val="20"/>
          <w:color w:val="auto"/>
        </w:rPr>
      </w:pPr>
      <w:r>
        <w:rPr>
          <w:rFonts w:ascii="Times New Roman" w:cs="Times New Roman" w:eastAsia="Times New Roman" w:hAnsi="Times New Roman"/>
          <w:sz w:val="15"/>
          <w:szCs w:val="15"/>
          <w:color w:val="auto"/>
        </w:rPr>
        <w:t>In the past, securities class action litigation has often been brought against a company following a decline in the market price of its securities. This risk is especially relevant for us because biopharmaceutical companies have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5" w:name="page36"/>
    <w:bookmarkEnd w:id="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1459"/>
        <w:spacing w:after="0" w:line="312" w:lineRule="auto"/>
        <w:rPr>
          <w:sz w:val="20"/>
          <w:szCs w:val="20"/>
          <w:color w:val="auto"/>
        </w:rPr>
      </w:pPr>
      <w:r>
        <w:rPr>
          <w:rFonts w:ascii="Times New Roman" w:cs="Times New Roman" w:eastAsia="Times New Roman" w:hAnsi="Times New Roman"/>
          <w:sz w:val="15"/>
          <w:szCs w:val="15"/>
          <w:color w:val="auto"/>
        </w:rPr>
        <w:t>experienced significant stock price volatility in recent years. Involvement in such litigation, could result in substantial costs and a diversion of management’s attention and resources, which could harm our business.</w:t>
      </w:r>
    </w:p>
    <w:p>
      <w:pPr>
        <w:spacing w:after="0" w:line="27"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February 21, 2024, Paul Wymer, a purported stockholder of our Company, filed an action against us and members of our Board of Directors in the U.S. District Court for the Southern District of New York, titled Wymer v. Cartesian Therapeutics, Inc., et al., No. 24-cv-01288. The complaint alleged that the defendants violated Sections 14(a) and 20(a) of the Exchange Act by failing to disclose purportedly material information to our stockholders in our Preliminary and Definitive Proxy Statements filed on January 31, 2024, and February 14, 2024, respectively, in connection with the solicitation of stockholder approval of a proposal to convert our Series A Preferred Stock into our Common Stock, subject to certain beneficial ownership limitations (the “Series A Conversion Proposal”). The complaint sought injunctive relief enjoining or rescinding the Merger, issuance of an amended proxy statement, and attorneys’ fees and costs. Additional similar lawsuits may be filed. This action was voluntarily dismissed on March 11, 2024.</w:t>
      </w:r>
    </w:p>
    <w:p>
      <w:pPr>
        <w:spacing w:after="0" w:line="71"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On February 7, 2024, Justin Sloan, a purported stockholder of our Company, filed a putative class action on behalf of himself and similarly situated stockholders of the Company against our Company and members of our Board of Directors in the Court of Chancery of the State of Delaware, titled Sloan v. Barabe, et al., No. 2024-0105. The complaint alleged that the individual defendants breached their fiduciary duties by failing to disclose purportedly material information to our Company’s stockholders in our Preliminary Proxy Statement filed on January 31, 2024 in connection with the solicitation of stockholder approval of the Series A Conversion Proposal. The complaint seeks a temporary injunction against the stockholder vote on the Series A Conversion Proposal, compensatory damages, pre-and post-judgment interest, and attorneys’ fees and costs. At a telephonic hearing on February 28, 2024, the Court denied the Plaintiff’s motion to expedite the proceedings, rejecting Plaintiff’s argument that the lawsuit raised colorable disclosure claims warranting expedited treatment. Additional similar lawsuits may be filed. This action was subsequently dismissed on March 13, 2024.</w:t>
      </w:r>
    </w:p>
    <w:p>
      <w:pPr>
        <w:spacing w:after="0" w:line="77"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alleged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We intend to vigorously defend against any demands which we believe to be without merit.</w:t>
      </w:r>
    </w:p>
    <w:p>
      <w:pPr>
        <w:spacing w:after="0" w:line="79"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There can be no assurance as to the outcome of any stockholder litigation. Unfavorable outcomes in class action litigation could require us to pay extensive damages, which could delay or prevent our ability to develop our product candidates and harm our operations.</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substantial expenses related to the integration of Old Cartesian.</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have incurred substantial expenses in connection with the Merger and the subsequent integration of Old Cartesian with Selecta. There are a large number of processes, policies, procedures, operations, technologies and systems that must be integrated, including purchasing, accounting and finance, sales, billing, payroll, research and development, marketing and benefits. Both we and Old Cartesian have incurred significant transaction expenses in connection with the drafting and negotiation of the Merger Agreement and significant severance expenses as a result of the Merger. While we and Old Cartesian have assumed that a certain level of expenses will be incurred, there are many factors beyond our control that could affect the total amount or the timing of the integration expenses. Moreover, many of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6" w:name="page37"/>
    <w:bookmarkEnd w:id="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expenses that have been and will be incurred are, by their nature, difficult to estimate accurately. These integration expenses have resulted in our taking significant charges against earnings following the completion of the Merger, and the amount and timing of such charges are uncertain at present.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7" w:name="page38"/>
    <w:bookmarkEnd w:id="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NOTE CONCERNING FORWARD-LOOKING STATEMENTS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factors described under the sections in this prospectus titled “Risk Factors” and “Management’s Discussion and Analysis of Financial Condition and Results of Operations” as well as the following:</w:t>
      </w:r>
    </w:p>
    <w:p>
      <w:pPr>
        <w:spacing w:after="0" w:line="71" w:lineRule="exact"/>
        <w:rPr>
          <w:sz w:val="20"/>
          <w:szCs w:val="20"/>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 approval of the conversion rights of the Series B Preferred Stock;</w:t>
      </w:r>
    </w:p>
    <w:p>
      <w:pPr>
        <w:spacing w:after="0" w:line="101" w:lineRule="exact"/>
        <w:rPr>
          <w:rFonts w:ascii="Times New Roman" w:cs="Times New Roman" w:eastAsia="Times New Roman" w:hAnsi="Times New Roman"/>
          <w:sz w:val="16"/>
          <w:szCs w:val="16"/>
          <w:color w:val="auto"/>
        </w:rPr>
      </w:pPr>
    </w:p>
    <w:p>
      <w:pPr>
        <w:ind w:left="1420" w:right="1059" w:hanging="305"/>
        <w:spacing w:after="0" w:line="262"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conversion of the Series B Preferred Stock and our Series A Non-Voting Convertible Preferred Stock, par value $0.0001 per share (“Series A Preferred Stock”), into Common Stock;</w:t>
      </w:r>
    </w:p>
    <w:p>
      <w:pPr>
        <w:spacing w:after="0" w:line="62" w:lineRule="exact"/>
        <w:rPr>
          <w:rFonts w:ascii="Times New Roman" w:cs="Times New Roman" w:eastAsia="Times New Roman" w:hAnsi="Times New Roman"/>
          <w:sz w:val="16"/>
          <w:szCs w:val="16"/>
          <w:color w:val="auto"/>
        </w:rPr>
      </w:pPr>
    </w:p>
    <w:p>
      <w:pPr>
        <w:ind w:left="1420" w:right="115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payouts under the contingent value right (“CVR”), issued to our holders of record as of the close of business on December 4, 2023;</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results of operations and financial position, business strategy, and the length of time that we believe our existing cash resources will fund our operations;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size and our potential growth opportunities;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preclinical and future clinical development activities;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profile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therapeutic benefits and economic value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preclinical studies and clinical trials;</w:t>
      </w:r>
    </w:p>
    <w:p>
      <w:pPr>
        <w:spacing w:after="0" w:line="101"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impact of macroeconomic conditions, including inflation, increasing interest rates and volatile market conditions, current or potential bank failures;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events, including the ongoing conflicts between Russia and Ukraine and between Hamas and Israel and geopolitical tensions in China on our operations;</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and timing of potential regulatory designations, approvals and commercialization of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prevent or minimize the effects of litigation and other contingencies;</w:t>
      </w:r>
    </w:p>
    <w:p>
      <w:pPr>
        <w:spacing w:after="0" w:line="101"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status as a preclinical and development-stage company and our expectation to incur losses in the future, and the possibility that we never achieve or maintain profitability;</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with respect to our ability to access future capital;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value of our pipeline of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unproven approach to therapeutic intervention;</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enroll patients in clinical trials, timely and successfully complete those trials and receive necessary regulatory approvals;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grow our manufacturing capabilities and resources;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8" w:name="page39"/>
    <w:bookmarkEnd w:id="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9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our product candidates, which in some cases are manufactured on a patient-by-patient basis;</w:t>
      </w:r>
    </w:p>
    <w:p>
      <w:pPr>
        <w:spacing w:after="0" w:line="50"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manufacturing facilities and to receive or manufacture sufficient quantities of our product candidates;</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existing or future collaborations or licenses and to seek new collaborations, licenses or partnerships;</w:t>
      </w:r>
    </w:p>
    <w:p>
      <w:pPr>
        <w:spacing w:after="0" w:line="50"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resurgence of the COVID-19 pandemic on our operations, the continuity of our business, including our preclinical studies and clinical trials, and general economic conditions;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enforce our intellectual property rights;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state, and foreign regulatory requirements, including U.S. Food and Drug Administration (“FDA”) regulation of our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retain key executives and retain qualified personnel;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relating to our competitors and our industry, including the impact of government regulation.</w:t>
      </w:r>
    </w:p>
    <w:p>
      <w:pPr>
        <w:spacing w:after="0" w:line="11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Moreover, we operate in an evolving environment. New risks and uncertainties may emerge from time to time, and it is not possible for management to predict all risk and uncertainties.</w:t>
      </w:r>
    </w:p>
    <w:p>
      <w:pPr>
        <w:spacing w:after="0" w:line="50"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9" w:name="page40"/>
    <w:bookmarkEnd w:id="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62"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listing fees of the Nasdaq Stock Market LLC (“Nasdaq”) and fees and expenses of our counsel and our independent registered public accounting firm.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0" w:name="page41"/>
    <w:bookmarkEnd w:id="4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2"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in conjunction with the consolidated financial statements and the related notes thereto and other financial information included elsewhere in this prospectus. This discussion contains forward-looking statements based upon current beliefs, plans and expectations related to future events and our future financial performance that involve risks, uncertainties and assumptions. Our actual results could differ materially from those discussed in these forward-looking statements as a result of various factors. Factors that could cause or contribute to these differences include, but are not limited to, those discussed below and elsewhere in this prospectus, particularly in the section titled “Risk Factors.” Please also see the section titled “Special Note Regarding Forward-Looking Statements.” As used in this prospectus, unless the context suggests otherwise, “we”, “us”, “our”, “the Company,” or “Cartesian” refers to Cartesian Therapeutics, Inc. and its subsidiaries. A discussion of the year ended December 31, 2022 compared to the year ended December 31, 2021 has been reported previously in our Annual Report on Form 10-K for the year ended December 31, 2022, filed with the SEC on March 2, 2023, under the heading “Management’s Discussion and Analysis of Financial Condition and Results of Operations.”</w:t>
      </w:r>
    </w:p>
    <w:p>
      <w:pPr>
        <w:spacing w:after="0" w:line="3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 which we define as improvement in MG symptoms lasting at least six months after treatment completion.</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 xml:space="preserve">Our mRNA CAR-T modality is a personalized approach that collects a patient’s T-cells and uses mRNA to introduce a CAR into the cell. The CAR redirects the T-cells to target and destroy pathogenic self-reactive cells. Our mRNA </w:t>
      </w:r>
      <w:r>
        <w:rPr>
          <w:rFonts w:ascii="Times New Roman" w:cs="Times New Roman" w:eastAsia="Times New Roman" w:hAnsi="Times New Roman"/>
          <w:sz w:val="16"/>
          <w:szCs w:val="16"/>
          <w:i w:val="1"/>
          <w:iCs w:val="1"/>
          <w:color w:val="auto"/>
        </w:rPr>
        <w:t>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situ </w:t>
      </w:r>
      <w:r>
        <w:rPr>
          <w:rFonts w:ascii="Times New Roman" w:cs="Times New Roman" w:eastAsia="Times New Roman" w:hAnsi="Times New Roman"/>
          <w:sz w:val="16"/>
          <w:szCs w:val="16"/>
          <w:color w:val="auto"/>
        </w:rPr>
        <w:t>modality is designed to deliver mRNA into a patient’s lymph node to generate CAR-T cells and other proteins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target autoimmunity.</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November 13, 2023, the Company (formerly known as Selecta Biosciences, Inc.) merged with the private Delaware corporation which, immediately prior to the Merger, was known as Old Cartesian, in accordance with the terms of the Merger Agreement. Pursuant to the Merger Agreement, First Merger Sub merged with and into Old Cartesian, pursuant to which Old Cartesian was the surviving corporation and became a wholly owned subsidiary of Selecta. Immediately following the First Merger, Old Cartesian merged with and into Second Merger Sub, pursuant to which Second Merger Sub was the surviving entity. In connection with the Second Merger, Old Cartesian changed its name to Cartesian Bio, LLC. In connection with the Merger and pursuant to the Merger Agreement, the Company changed its corporate name to Cartesian Therapeutics, Inc. See Note 3 of the accompanying notes to the unaudited consolidated financial statements appearing elsewhere in the registration statement of which this prospectus forms a part for additional information regarding the Merger.</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Financial Operations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1" w:name="page42"/>
    <w:bookmarkEnd w:id="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Except for the quarter ended June 30, 2024 and the year ended December 31, 2022, we have incurred significant operating losses since our inception. We incurred a net loss of $43.0 million and $33.1 million for the six months ended June 30, 2024 and 2023, respectively. As of June 30, 2024, we had an accumulated deficit of $657.6 million. We expect to continue to incur significant expenses and operating losses for the foreseeable future as we:</w:t>
      </w:r>
    </w:p>
    <w:p>
      <w:pPr>
        <w:spacing w:after="0" w:line="67" w:lineRule="exact"/>
        <w:rPr>
          <w:sz w:val="20"/>
          <w:szCs w:val="20"/>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Descartes-08 for MG into Phase 3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develop our preclinical and clinical-stage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for any product candidates that successfully complete clinical trials;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 including through licensing arrangements.</w:t>
      </w:r>
    </w:p>
    <w:p>
      <w:pPr>
        <w:spacing w:after="0" w:line="11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68"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Concurrently with the closing of the Merger, we entered into a securities purchase agreement (the “November 2023 Securities Purchase Agreement”) pursuant to which we agreed to issue 149,330.115 shares of Series A Preferred Stock, in exchange for aggregate gross proceeds of $60.25 million (such transaction, the “November 2023 Private Placement”). We granted customary registration rights to investors in connection with the November 2023 Private Placement.</w:t>
      </w:r>
    </w:p>
    <w:p>
      <w:pPr>
        <w:spacing w:after="0" w:line="68"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On July 2, 2024, we entered into a securities purchase agreement (the “Securities Purchase Agreement”) for the Private Placement, which provides for the issuance of 3,563,247 shares of Common Stock and 2,937,903 shares of Series B Preferred Stock, each at a purchase price of $20.00 per share. The Private Placement resulted in gross proceeds of approximately $130.0 million before deducting placement agent fees and other offering expenses. We granted customary registration rights to investors in connection with the Private Placement. This registration statement is being filed in order to satisfy our obligations with respect to such registration rights.</w:t>
      </w:r>
    </w:p>
    <w:p>
      <w:pPr>
        <w:spacing w:after="0" w:line="71"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June 30, 2024, combined with net proceeds from the Private Placement received subsequent to June 30, 2024, will support development of Descartes-08 in MG, specifically supporting anticipated manufacturing costs associated with a Phase 3 clinical trial and early commercial activities in preparation for a potential launch. We have based this estimate on assumptions that may prove to be wrong, and we could use our capital resources sooner than we currently expect.</w:t>
      </w:r>
    </w:p>
    <w:p>
      <w:pPr>
        <w:spacing w:after="0" w:line="68"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intend to seek collaboration partners for the assets in the development programs that we are no longer actively advancing.</w:t>
      </w:r>
    </w:p>
    <w:p>
      <w:pPr>
        <w:spacing w:after="0" w:line="50"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information presented below includes the accounts of Cartesian Therapeutics, Inc. and our wholly owned subsidiaries, Selecta (RUS) LLC, a Russian limited liability company (“Selecta (RUS)”), and Selecta Biosciences Security Corporation, a Massachusetts securities corporation, and Cartesian Bio, LLC, a Delaware limited liability company, which is a variable interest entity for which we are the primary beneficiary. All intercompany accounts and transactions have been eliminated.</w:t>
      </w:r>
    </w:p>
    <w:p>
      <w:pPr>
        <w:spacing w:after="0" w:line="3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2" w:name="page43"/>
    <w:bookmarkEnd w:id="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revenue will be harmed, and will affect the results of our operations and financial position. For further description of the agreements underlying our collaboration and license revenue, see Note 13 to our unaudited consolidated financial statements included elsewhere in the registration statement of which this prospectus forms a part.</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have generated grant revenue from funding received to perform specific research and development services under a grant arrangement with the National Institute of Neurological Disorders and Stroke of the National Institutes of Health (the “NINDS”). For additional information regarding our grant arrangement with NINDS, see Note 13 to our unaudited consolidated financial statements included elsewhere in the registration statement of which this prospectus forms a part.</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03" w:lineRule="exact"/>
        <w:rPr>
          <w:sz w:val="20"/>
          <w:szCs w:val="20"/>
          <w:color w:val="auto"/>
        </w:rPr>
      </w:pPr>
    </w:p>
    <w:p>
      <w:pPr>
        <w:ind w:left="800" w:right="839"/>
        <w:spacing w:after="0" w:line="272" w:lineRule="auto"/>
        <w:rPr>
          <w:sz w:val="20"/>
          <w:szCs w:val="20"/>
          <w:color w:val="auto"/>
        </w:rPr>
      </w:pPr>
      <w:r>
        <w:rPr>
          <w:rFonts w:ascii="Times New Roman" w:cs="Times New Roman" w:eastAsia="Times New Roman" w:hAnsi="Times New Roman"/>
          <w:sz w:val="15"/>
          <w:szCs w:val="15"/>
          <w:color w:val="auto"/>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direct and indirect costs are shared across multiple development programs and are not solely dedicated to individual programs.</w:t>
      </w:r>
    </w:p>
    <w:p>
      <w:pPr>
        <w:spacing w:after="0" w:line="57"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73"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In June 2020, we and Swedish Orphan Biovitrum AB (“Sobi”), entered into a License and Development Agreement, which was amended in October 2023 (as so amended, the “Sobi License”). Pursuant to the Sobi License, clinical trial costs incurred to complete development of the product candidate SEL-212, including but not limited to costs incurred while conducting and completing the Phase 3 DISSOLVE trials for SEL-212, were reimbursed by Sobi. These costs, when reimbursed, were recognized as revenue consistent with the revenue recognition methodology disclosed in Note 13 to our unaudited consolidated financial statements included elsewhere in the registration statement of which this prospectus forms a part. The reimbursable costs exclude any costs of additional development activities required that were related to the ImmTOR platform and were unrelated to SEL-212.</w:t>
      </w:r>
    </w:p>
    <w:p>
      <w:pPr>
        <w:spacing w:after="0" w:line="57" w:lineRule="exact"/>
        <w:rPr>
          <w:sz w:val="20"/>
          <w:szCs w:val="20"/>
          <w:color w:val="auto"/>
        </w:rPr>
      </w:pPr>
    </w:p>
    <w:p>
      <w:pPr>
        <w:ind w:left="800" w:right="1139"/>
        <w:spacing w:after="0" w:line="276" w:lineRule="auto"/>
        <w:rPr>
          <w:sz w:val="20"/>
          <w:szCs w:val="20"/>
          <w:color w:val="auto"/>
        </w:rPr>
      </w:pPr>
      <w:r>
        <w:rPr>
          <w:rFonts w:ascii="Times New Roman" w:cs="Times New Roman" w:eastAsia="Times New Roman" w:hAnsi="Times New Roman"/>
          <w:sz w:val="15"/>
          <w:szCs w:val="15"/>
          <w:color w:val="auto"/>
        </w:rPr>
        <w:t>In January 2023, we and Audentes Therapeutics, Inc. (“Astellas”), entered into a License and Development Agreement (the “Astellas Agreement”). Pursuant to the Astellas Agreement, Astellas agreed to reimburse us for</w:t>
      </w: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25% of all budgeted costs incurred to complete the development of Xork, a bacterial IgG protease licensed from Genovis AB (publ.) (“Genovis”), for use in Pompe disease with an Astellas gene therapy investigational or authorized product. These costs, when reimbursed, will be recognized as revenue consistent with the revenue recognition methodology disclosed in Note 13 to our unaudited consolidated financial statements included elsewhere in the registration statement of which this prospectus forms a part. The Astellas Agreement was terminated effective June 6, 2024.</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3" w:name="page44"/>
    <w:bookmarkEnd w:id="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Investment income consists primarily of interest income earned on our cash, cash equivalents and marketable securities.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Interest expense consists of interest expense on amounts borrowed under our credit facilities.</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Other income, net consists primarily of sublease income.</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Common warrants classified as liabilities are remeasured quarterly at fair value, utilizing a Black-Scholes valuation methodology, with the change in fair value recognized as a component of earnings.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CVR liability is remeasured quarterly at fair value, utilizing a Monte Carlo simulation, with the change in fair value recognized as a component of earnings.</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The forward contract liability associated with the delayed issuance of the Series A Preferred Stock related to the November 2023 Private Placement is remeasured quarterly at fair value, utilizing the market price of our Common Stock, with the change in fair value recognized as a component of earnings.</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The functional currency of Selecta (RUS) is the Russian ruble. In addition to holding cash denominated in Russian rubles, our Russian bank accounts also hold cash balances denominated in U.S. dollars to facilitate payments to be settled in U.S. dollars or other currencies. As of both June 30, 2024 and December 31, 2023, we maintained cash of $0.2 million in Russian bank accounts in denominations of both Russian rubles and U.S. dollars. The amounts denominated in U.S. dollars and used in transacting the day-to-day operations of our Russian subsidiary are subject to transaction gains and losses, which are reported as incurred.</w:t>
      </w:r>
    </w:p>
    <w:p>
      <w:pPr>
        <w:spacing w:after="0" w:line="2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June 30, 2024 and 2023</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79"/>
        <w:spacing w:after="0" w:line="280" w:lineRule="auto"/>
        <w:rPr>
          <w:sz w:val="20"/>
          <w:szCs w:val="20"/>
          <w:color w:val="auto"/>
        </w:rPr>
      </w:pPr>
      <w:r>
        <w:rPr>
          <w:rFonts w:ascii="Times New Roman" w:cs="Times New Roman" w:eastAsia="Times New Roman" w:hAnsi="Times New Roman"/>
          <w:sz w:val="15"/>
          <w:szCs w:val="15"/>
          <w:color w:val="auto"/>
        </w:rPr>
        <w:t>During the three months ended June 30, 2024, we recognized $33.3 million of collaboration and license revenue, compared to $5.2 million for the three months ended June 30, 2023, an increase of $28.1 million, or 540%. The increase was primarily due to an increase in revenue recognized under the Sobi License resulting from the $30.0 million unconstrained development milestone recognized during the three months ended June 30, 2024.</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During the three months ended June 30, 2024, we recognized $0.2 million of grant revenue. We received funding approval from NINDS during the three months ended June 30, 2024, and as such there was no grant revenue during the three months ended June 30, 2023.</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For the three months ended June 30, 2024, our research and development expenses were $12.7 million, consisting of $2.9 million of manufacturing expenses, $4.9 million of clinical expenses and $4.9 million of research and other expenses, compared to $17.8 million for the three months ended June 30, 2023, consisting of $1.4 million of manufacturing expenses, $5.7 million of clinical expenses, and $10.7 million of research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4" w:name="page45"/>
    <w:bookmarkEnd w:id="4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other expenses, a decrease of $5.1 million, or 29%. The decrease in cost primarily resulted from reductions in expenses due to a one-time cash charge to salaries and benefits as a result of our headcount reduction in April 2023 and decreased contract license and milestone payments.</w:t>
      </w:r>
    </w:p>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For the three months ended June 30, 2024, our general and administrative expenses were $7.0 million compared to $6.1 million for the three months ended June 30, 2023, an increase of $0.9 million, or 15%. The increase in cost was primarily the result of expenses incurred for personnel expenses.</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jc w:val="both"/>
        <w:ind w:left="800" w:right="1079"/>
        <w:spacing w:after="0" w:line="312" w:lineRule="auto"/>
        <w:rPr>
          <w:sz w:val="20"/>
          <w:szCs w:val="20"/>
          <w:color w:val="auto"/>
        </w:rPr>
      </w:pPr>
      <w:r>
        <w:rPr>
          <w:rFonts w:ascii="Times New Roman" w:cs="Times New Roman" w:eastAsia="Times New Roman" w:hAnsi="Times New Roman"/>
          <w:sz w:val="15"/>
          <w:szCs w:val="15"/>
          <w:color w:val="auto"/>
        </w:rPr>
        <w:t>Investment income for the three months ended June 30, 2024 was $1.2 million, compared to $1.4 million for the three months ended June 30, 2023. The decrease in investment income was due to decreased investment balance.</w:t>
      </w:r>
    </w:p>
    <w:p>
      <w:pPr>
        <w:spacing w:after="0" w:line="1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fluctuations during each of the three months ended June 30, 2024 and 2023.</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recognized no interest expense for the three months ended June 30, 2024, compared to $0.8 million for the three months ended June 30, 2023, representing interest expense and amortization of the carrying costs of our credit facilities that were extinguished during the year ended December 31, 2023.</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For the three months ended June 30, 2024, we recognized a $3.9 million charge from the increase in the fair value of warrant liabilities, compared to $6.3 million of income from the decrease in the fair value of warrant liabilities for the three months ended June 30, 2023, a decrease of $10.2 million, or 162%. Fair value of warrant liabilities was determined utilizing the Black-Scholes valuation methodology. The increase in warrant value was primarily driven by an increase in the per-share price of our Common Stock.</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For the three months ended June 30, 2024, we recognized $2.5 million of income from the decrease in the fair value of the CVR liability. The fair value of the CVR liability as of June 30, 2024 was determined utilizing a Monte Carlo simulation model. The decrease in the fair value of CVR liability was primarily due to changes in the amount and timing of anticipated payments and the passage of time. There was no CVR liability prior to the Merger and as such, no change in the fair value of the CVR liability is reflected in our unaudited consolidated financial statements for the three months ended June 30, 2023.</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The remaining Series A Preferred Stock forward contract liability was settled during the three months ended March 31, 2024, and there was no Series A Preferred Stock forward contract liability prior to the Merger. As such, no change in the fair value of the Series A Preferred Stock forward contract liability is reflected in our unaudited consolidated financial statements for each of the three months ended June 30, 2024 and 2023.</w:t>
      </w:r>
    </w:p>
    <w:p>
      <w:pPr>
        <w:spacing w:after="0" w:line="1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jc w:val="both"/>
        <w:ind w:left="800" w:right="999"/>
        <w:spacing w:after="0" w:line="262" w:lineRule="auto"/>
        <w:rPr>
          <w:sz w:val="20"/>
          <w:szCs w:val="20"/>
          <w:color w:val="auto"/>
        </w:rPr>
      </w:pPr>
      <w:r>
        <w:rPr>
          <w:rFonts w:ascii="Times New Roman" w:cs="Times New Roman" w:eastAsia="Times New Roman" w:hAnsi="Times New Roman"/>
          <w:sz w:val="16"/>
          <w:szCs w:val="16"/>
          <w:color w:val="auto"/>
        </w:rPr>
        <w:t>During the three months ended June 30, 2024, we recognized other income, net of $0.3 million, compared to $0.2 million for the three months ended June 30, 2023, an increase of $0.1 million, or 50%. The increase was primarily driven by sublease income.</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Net income for the three months ended June 30, 2024 was $13.8 million as compared to net loss of $11.4 million for the three months ended June 30, 2023, an increase of $25.2 million or 221%. The change was primarily due to revenue recognized under the Sobi License and decreased research and development expenses, partially offset by expenses associated with the change in the fair value of the warrant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5" w:name="page46"/>
    <w:bookmarkEnd w:id="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Six Months Ended June 30, 2024 and 2023</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99"/>
        <w:spacing w:after="0" w:line="253" w:lineRule="auto"/>
        <w:rPr>
          <w:sz w:val="20"/>
          <w:szCs w:val="20"/>
          <w:color w:val="auto"/>
        </w:rPr>
      </w:pPr>
      <w:r>
        <w:rPr>
          <w:rFonts w:ascii="Times New Roman" w:cs="Times New Roman" w:eastAsia="Times New Roman" w:hAnsi="Times New Roman"/>
          <w:sz w:val="16"/>
          <w:szCs w:val="16"/>
          <w:color w:val="auto"/>
        </w:rPr>
        <w:t>During the six months ended June 30, 2024, we recognized $39.1 million of collaboration and license revenue, compared to $11.2 million for the six months ended June 30, 2023, an increase of $27.9 million, or 249%. The increase was primarily due to an increase in revenue recognized under the Sobi License resulting from the $30.0 million unconstrained development milestone recognized during the three months ended June 30, 2024 and an increase for revenue recognized under the Astellas Agreement upon notice of termination during the six months ended June 30, 2024.</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1039"/>
        <w:spacing w:after="0" w:line="262" w:lineRule="auto"/>
        <w:rPr>
          <w:sz w:val="20"/>
          <w:szCs w:val="20"/>
          <w:color w:val="auto"/>
        </w:rPr>
      </w:pPr>
      <w:r>
        <w:rPr>
          <w:rFonts w:ascii="Times New Roman" w:cs="Times New Roman" w:eastAsia="Times New Roman" w:hAnsi="Times New Roman"/>
          <w:sz w:val="16"/>
          <w:szCs w:val="16"/>
          <w:color w:val="auto"/>
        </w:rPr>
        <w:t>During the six months ended June 30, 2024, we recognized $0.2 million of grant revenue. We received funding approval from NINDS during the six months ended June 30, 2024, and as such there was no grant revenue during the six months ended June 30, 2023.</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2024, our research and development expenses were $22.4 million, consisting of $5.4 million of manufacturing expenses, $6.8 million of clinical expenses and $10.2 million of research and other expenses, compared to $36.4 million for the six months ended June 30, 2023, consisting of $2.9 million of manufacturing expenses, $11.4 million of clinical expenses, and $22.1 million of research and other expenses, a decrease of $14.0 million, or 38%. The decrease in cost primarily resulted from reductions in expenses due to a one-time cash charge to salaries and benefits as a result of our headcount reduction in April 2023 and decreased contract license and milestone payments.</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For the six months ended June 30, 2024, our general and administrative expenses were $16.5 million compared to $11.8 million for the six months ended June 30, 2023, an increase of $4.7 million, or 40%. The increase in cost was primarily the result of expenses incurred for personnel expenses and professional fees incurred in connection with the Merger.</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Investment income for the six months ended June 30, 2024 was $2.4 million, compared to $2.7 million for the six months ended June 30, 2023. The decrease in investment income was due to decreased investment balance.</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fluctuations during each of the six months ended June 30, 2024 and 2023, respectively.</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We recognized no interest expense for the six months ended June 30, 2024, compared to $1.6 million for the six months ended June 30, 2023, representing interest expense and amortization of the carrying costs of our credit facilities that were extinguished during the year ended December 31, 2023.</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For the six months ended June 30, 2024, we recognized $2.9 million charge from the increase in the fair value of warrant liabilities, compared to $2.3 million of income from the decrease in the fair value of warrant liabilities for the six months ended June 30, 2023, a decrease of $5.2 million, or 226%. Fair value of warrant liabilities was determined utilizing the Black-Scholes valuation methodology. The increase in warrant value was primarily driven by an increase in the per-share price of our Common Stock.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6" w:name="page47"/>
    <w:bookmarkEnd w:id="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For the six months ended June 30, 2024, we recognized $36.8 million of expense associated with the increase in the fair value of the CVR liability. The fair value of the CVR liability as of June 30, 2024 was determined utilizing a Monte Carlo simulation model. The increase in the fair value of CVR liability was primarily due to changes in the amount and timing of anticipated payments and the passage of time. There was no CVR liability prior to the Merger and as such, no change in the fair value of the CVR liability is reflected in our unaudited consolidated financial statements for the six months ended June 30, 2023.</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2024, we recognized $6.9 million of expense associated with the increase in the fair value of Series A Preferred Stock forward contract liabilities. The increase in Series A Preferred Stock value was primarily driven by an increase in the per-share price of our Common Stock since December 31, 2023 through settlement. The remaining Series A Preferred Stock forward contract liability was settled during the six months ended June 30, 2024. There was no Series A Preferred Stock forward contract liability prior to the Merger and as such, no change in the fair value of the Series A Preferred Stock forward contract liability is reflected in our unaudited consolidated financial statements for the six months ended June 30, 2023.</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During the six months ended June 30, 2024, we recognized other income, net of $0.8 million, compared to $0.5 million for the six months ended June 30, 2023, an increase of $0.3 million, or 60%. The increase was primarily driven by sublease income.</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10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Net loss for the six months ended June 30, 2024 was $43.0 million as compared to net loss of $33.1 million for the six months ended June 30, 2023, a decrease of $9.9 million or 30%. The change was primarily due to expenses associated with the change in the fair value of the CVR liability, Series A Preferred Stock forward contract liability, and warrant liabilities and increased general and administrative expenses, partially offset by revenue recognized under the Sobi License and decreased research and development expenses.</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2023 and 2022</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59"/>
        <w:spacing w:after="0" w:line="255" w:lineRule="auto"/>
        <w:rPr>
          <w:sz w:val="20"/>
          <w:szCs w:val="20"/>
          <w:color w:val="auto"/>
        </w:rPr>
      </w:pPr>
      <w:r>
        <w:rPr>
          <w:rFonts w:ascii="Times New Roman" w:cs="Times New Roman" w:eastAsia="Times New Roman" w:hAnsi="Times New Roman"/>
          <w:sz w:val="16"/>
          <w:szCs w:val="16"/>
          <w:color w:val="auto"/>
        </w:rPr>
        <w:t>During the year ended December 31, 2023, we recognized $26.0 million of collaboration and license revenue, compared to $110.8 million for the year ended December 31, 2022, a decrease of $84.8 million, or 77%. The decrease was primarily due to a decrease of revenue recognized under the Sobi License resulting from both the shipment of clinical supply and the reimbursement of costs incurred for the Phase 3 DISSOLVE clinical program partially offset by an increase for revenue recognized under the Astellas Agreement.</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For the year ended December 31, 2023, our research and development expenses were $71.8 million, consisting of $6.2 million of manufacturing expenses, $24.2 million of clinical expenses, and $41.4 million of research and other expenses, compared to $72.4 million for the year ended December 31, 2022, consisting of $6.8 million of manufacturing expenses, $31.4 million of clinical expenses, and $34.2 million of research and other expenses, a decrease of $0.6 million, or 1%. The decrease in cost was primarily the result of reductions in expenses incurred for preclinical and clinical programs due to the strategic reprioritization (that is, the shift in the Company’s focus following the Merger to devote substantially all of its resources and efforts to developing mRNA-based therapies for the treatment of autoimmune diseases) partially offset by expenses incurred for stock compensation and personnel expenses.</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our general and administrative expenses were $40.6 million, compared to $23.9 million for the year ended December 31, 2022, an increase of $16.7 million, or 70%. The increase in costs was primarily the result of expenses incurred for stock compensation, personnel expenses, and professional fees incurred in connection with the Merger.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7" w:name="page48"/>
    <w:bookmarkEnd w:id="4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Investment income for the year ended December 31, 2023 was $5.0 million, compared to $2.1 million for the year ended December 31, 2022, an increase of $2.9 million, or 138%. The increase in investment income was due to increased investment balances and higher interest rates.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translation adjustments during each of the years ended December 31, 2023 and 2022.</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1159"/>
        <w:spacing w:after="0" w:line="257" w:lineRule="auto"/>
        <w:rPr>
          <w:sz w:val="20"/>
          <w:szCs w:val="20"/>
          <w:color w:val="auto"/>
        </w:rPr>
      </w:pPr>
      <w:r>
        <w:rPr>
          <w:rFonts w:ascii="Times New Roman" w:cs="Times New Roman" w:eastAsia="Times New Roman" w:hAnsi="Times New Roman"/>
          <w:sz w:val="16"/>
          <w:szCs w:val="16"/>
          <w:color w:val="auto"/>
        </w:rPr>
        <w:t>Interest expense for the year ended December 31, 2023 was $2.8 million compared to $3.0 million for the year ended December 31, 2022, a decrease of $0.2 million, or 7%. Interest expense for the year ended December 31, 2023 comprised interest expense and amortization of the carrying costs of our credit facilities and loss on extinguishment of debt.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For the year ended December 31, 2023, we recognized $12.7 million of income from the decrease in the fair value of warrant liabilities, compared to $20.9 million for the year ended December 31, 2022, a decrease of $8.2 million or 39.2%. Fair value of warrant liabilities was determined utilizing the Black-Scholes valuation methodology. The decrease in warrant value was primarily driven by a decrease in the per-share price of our Common Stock.</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For the year ended December 31, 2023 we recognized $18.3 million of expense associated with the increase in the fair value of CVR liability. The fair value of the CVR liability was determined utilizing a discounted cash flow valuation methodology. The increase in CVR value was primarily driven by the decrease in interest rates from the Merger to December 31, 2023 and the corresponding impact on the discount rate used in our discounted cash flow valuation. There was no CVR liability prior to the Merger and as such no CVR liability is reflected in our consolidated financial statements as of or for any period prior to the year ended December 31,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For the year ended December 31, 2023 we recognized $149.6 million of expense associated with the increase in the fair value of Series A Preferred Stock forward contract liabilities. The increase in Series A Preferred Stock value was primarily driven by an increase in the per-share price of our Common Stock since the date of the Merger and November 2023 Private Placement. A portion of the Series A Preferred Stock forward contract liability was settled during the year ended December 31, 2023 and there was no such forward contract liability prior to the Merger. There was no Series A Preferred Stock forward contract liability prior to the Merger and as such no Series A Preferred Stock forward contract liability is reflected in our consolidated financial statements as of or for any period prior to the year ended December 31, 2023.</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ind w:left="800" w:right="141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2023, we recognized other income, net of $0.7 million, compared to $0.3 million for the year ended December 31, 2022, an increase of $0.4 million, or 133%. The increase was primarily driven by sublease income.</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jc w:val="both"/>
        <w:ind w:left="800" w:right="123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2023, we recognized a current tax benefit of $19.0 million relating to the benefit of legacy Selecta tax attributes that reduced deferred tax liabilities during the year. For the year ended December 31, 2022, we recognized a $0.6 million benefit for penalty abatements received.</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(Loss) Income</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Net loss for the year ended December 31, 2023 was $219.7 million as compared to net income of $35.4 million for the year ended December 31, 2022, a decrease of $255.1 million, or 721%. The change was primarily due to decreased collaboration and license revenue and expenses associated with the change in fair value of the CVR liability and Series A Preferred Stock forward contract liability, and increased general and administrative expenses, partially offset by an increase in income tax benefit.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8" w:name="page49"/>
    <w:bookmarkEnd w:id="4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Except for net income of $13.8 million for the quarter ended June 30, 2024 and $35.4 million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7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June 30, 2024, our cash, cash equivalents, and restricted cash were $88.9 million, of which $1.7 million was restricted cash related to lease commitments and $0.2 million was held by our Russian subsidiary designated solely for use in its operations. On a pro forma basis, giving effect to the receipt of $124.4 million of net proceeds from our Private Placement received subsequent to June 30, 2024, our cash, cash equivalents, and restricted cash were $213.3 million as of June 30, 2024.</w:t>
      </w:r>
    </w:p>
    <w:p>
      <w:pPr>
        <w:spacing w:after="0" w:line="68"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62" w:lineRule="exact"/>
        <w:rPr>
          <w:sz w:val="20"/>
          <w:szCs w:val="20"/>
          <w:color w:val="auto"/>
        </w:rPr>
      </w:pPr>
    </w:p>
    <w:p>
      <w:pPr>
        <w:ind w:left="800" w:right="879"/>
        <w:spacing w:after="0" w:line="273" w:lineRule="auto"/>
        <w:rPr>
          <w:sz w:val="20"/>
          <w:szCs w:val="20"/>
          <w:color w:val="auto"/>
        </w:rPr>
      </w:pPr>
      <w:r>
        <w:rPr>
          <w:rFonts w:ascii="Times New Roman" w:cs="Times New Roman" w:eastAsia="Times New Roman" w:hAnsi="Times New Roman"/>
          <w:sz w:val="15"/>
          <w:szCs w:val="15"/>
          <w:color w:val="auto"/>
        </w:rPr>
        <w:t>The liability associated with the contingent value rights agreement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2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Agreements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In-licenses</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September 2023, we entered into a non-exclusive, sublicensable, worldwide, perpetual patent license agreement (the “Biogen Agreement”), with Biogen MA, Inc.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to our unaudited consolidated financial statements included elsewhere in the registration statement of which this prospectus forms a part.</w:t>
      </w:r>
    </w:p>
    <w:p>
      <w:pPr>
        <w:spacing w:after="0" w:line="7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Effective September 2019, we entered into a nonexclusive, worldwide license agreement (the “NCI Agreement”), with the U.S. Department of Health and Human Services, represented by the National Cancer Institute of the National Institutes of Health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to our unaudited consolidated financial statements included elsewhere in the registration statement of which this prospectus forms a part.</w:t>
      </w:r>
    </w:p>
    <w:p>
      <w:pPr>
        <w:spacing w:after="0" w:line="74" w:lineRule="exact"/>
        <w:rPr>
          <w:sz w:val="20"/>
          <w:szCs w:val="20"/>
          <w:color w:val="auto"/>
        </w:rPr>
      </w:pPr>
    </w:p>
    <w:p>
      <w:pPr>
        <w:ind w:left="800" w:right="1019"/>
        <w:spacing w:after="0" w:line="276" w:lineRule="auto"/>
        <w:rPr>
          <w:sz w:val="20"/>
          <w:szCs w:val="20"/>
          <w:color w:val="auto"/>
        </w:rPr>
      </w:pPr>
      <w:r>
        <w:rPr>
          <w:rFonts w:ascii="Times New Roman" w:cs="Times New Roman" w:eastAsia="Times New Roman" w:hAnsi="Times New Roman"/>
          <w:sz w:val="15"/>
          <w:szCs w:val="15"/>
          <w:color w:val="auto"/>
        </w:rPr>
        <w:t>In October 2021, we and Ginkgo Bioworks Holdings, Inc. (“Ginkgo”), entered into a Collaboration and License Agreement (the “First Ginkgo Agreement”), and paid Ginkgo a $0.5 million one-time upfront payment. In June 2022, we paid $0.5 million and issued 29,761 shares of our Common Stock then-valued at $1.0 million to Ginkgo for the achievement of certain preclinical milestones under the First Ginkgo Agreement. In January 2022, we entered into a Collaboration and License Agreement (the “Second Ginkgo Agreement”), and paid Ginkgo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9" w:name="page50"/>
    <w:bookmarkEnd w:id="4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$1.5 million one-time upfront payment. In July 2023, we paid $1.0 million and issued 44,642 shares of our Common Stock then-valued at $1.5 million to Ginkgo for the achievement of certain preclinical milestones under the Second Ginkgo Agreement. For further description of the First Ginkgo Agreement and the Second Ginkgo Agreement, see Note 15 to our unaudited consolidated financial statements included elsewhere in the registration statement of which this prospectus forms a part.</w:t>
      </w:r>
    </w:p>
    <w:p>
      <w:pPr>
        <w:spacing w:after="0" w:line="68"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Additionally, in October 2021, we entered into an Exclusive License Agreement with Genovis (the “Genovis Agreement”), and paid Genovis a $4.0 million one-time upfront payment. In February 2023, as a result of the sublicense of Xork to Astellas, we made a $4.0 million payment to Genovis. In March 2024, we informed Genovis of our intent to terminate the Genovis Agreement, effective September 13, 2024. For further description of the Genovis Agreement, see Note 15 to our unaudited consolidated financial statements included elsewhere in the registration statement of which this prospectus forms a part.</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On September 7, 2021, we entered into a Collaboration and License Agreement (the “Cyrus Agreement”), with Cyrus Biotechnology, Inc. (“Cyrus”), and purchased 2,326,934 shares of Cyrus’ Series B Preferred Stock, par value $0.0001 per share, at a purchase price of $0.8595 per share, for an aggregate purchase price of $2.0 million. In October 2023, we notified Cyrus of our termination of the Cyrus Agreement, effective December 29, 2023. For further description of the Cyrus Agreement, see Note 15 to our unaudited consolidated financial statements included elsewhere in the registration statement of which this prospectus forms a part.</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Out-licenses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13 to our unaudited consolidated financial statements included elsewhere in the registration statement of which this prospectus forms a part. Amounts paid and remaining obligations with regard to the Xork product candidate not reimbursed by Astellas through the Astellas Agreement are subject to potential reimbursement through deductions to CVR distributions as described in Note 5 to our unaudited consolidated financial statements included elsewhere in the registration statement of which this prospectus forms a part.</w:t>
      </w:r>
    </w:p>
    <w:p>
      <w:pPr>
        <w:spacing w:after="0" w:line="74"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On October 1, 2021, we entered into a License Agreement (the “Takeda Agreement”), with Takeda Pharmaceuticals USA, Inc. (“Takeda”). We received a $3.0 million upfront payment and were entitled to receive up to $1.124 billion in future additional payments over the course of the partnership that were contingent on the achievement of development or commercial milestones or Takeda’s election to continue its activities at specified development stages. The Takeda Agreement was terminated effective July 25, 2023. For further description of the Takeda Agreement, see Note 13 to our unaudited consolidated financial statements included elsewhere in the registration statement of which this prospectus forms a part.</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In June 2024, we recorded a $30.0 million receivable for the milestone associated with the initiation of a rolling biologics license application to the FDA for SEL-212 for the potential treatment of chronic refractory gout by Sobi. Proceeds from milestone payments and royalties on sales of SEL-212, if any, are required to be distributed, net of certain agreed deductions, to holders of the CVRs. For further description of the Sobi License, see Note 13 to our unaudited consolidated financial statements included elsewhere in the registration statement of which this prospectus forms a part.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0" w:name="page51"/>
    <w:bookmarkEnd w:id="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Additionally, in June 2020, we and Sarepta Therapeutics, Inc. (“Sarepta”), entered into a Research License and Option Agreement (the “Sarepta Agreement”). Sarepta paid us a $2.0 million upfront payment upon closing and $3.0 million for the achievement of certain pre-clinical milestones in June 2021. In August 2022, we received a payment of $2.0 million in exchange for a nine-month extension to Sarepta’s options to both Duchenne muscular dystrophy and certain limb-girdle muscular dystrophies and a payment of $4.0 million for the achievement of certain non-clinical milestones. In March 2023, we were notified by Sarepta that Sarepta would not be exercising its exclusive option under the Sarepta Agreement. The Sarepta Agreement terminated upon the expiration of the option in March 2023. For further description of the Sarepta Agreement, see Note 13 to our unaudited consolidated financial statements included elsewhere in the registration statement of which this prospectus forms a part.</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Financings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On October 25, 2021, we entered into a Sales Agreement (the “2021 Sales Agreement”), with Leerink Partners LLC (“Leerink Partners,” then known as SVB Leerink LLC), to sell shares of our Common Stock, from time to time, through an “at the market” equity offering program under which Leerink Partners will act as sales agent. The shares of Common Stock sold pursuant to the 2021 Sales Agreement, if any, would be issued and sold pursuant to a registration statement filed with the Securities and Exchange Commission (the “SEC”) for remaining aggregate gross sales proceeds of up to $51.0 million.</w:t>
      </w:r>
    </w:p>
    <w:p>
      <w:pPr>
        <w:spacing w:after="0" w:line="71"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During the six months ended June 30, 2024 and the year ended December 31, 2023, we sold no shares of our Common Stock pursuant to the 2021 Sales Agreement. During the year ended December 31, 2022, we sold 25,818 shares of our Common Stock pursuant to the 2021 Sales Agreement for aggregate net proceeds of $2.1 million, after deducting commissions and other transaction costs.</w:t>
      </w:r>
    </w:p>
    <w:p>
      <w:pPr>
        <w:spacing w:after="0" w:line="67" w:lineRule="exact"/>
        <w:rPr>
          <w:sz w:val="20"/>
          <w:szCs w:val="20"/>
          <w:color w:val="auto"/>
        </w:rPr>
      </w:pPr>
    </w:p>
    <w:p>
      <w:pPr>
        <w:ind w:left="800" w:right="839"/>
        <w:spacing w:after="0" w:line="270" w:lineRule="auto"/>
        <w:rPr>
          <w:sz w:val="20"/>
          <w:szCs w:val="20"/>
          <w:color w:val="auto"/>
        </w:rPr>
      </w:pPr>
      <w:r>
        <w:rPr>
          <w:rFonts w:ascii="Times New Roman" w:cs="Times New Roman" w:eastAsia="Times New Roman" w:hAnsi="Times New Roman"/>
          <w:sz w:val="15"/>
          <w:szCs w:val="15"/>
          <w:color w:val="auto"/>
        </w:rPr>
        <w:t>On November 13, 2023, we entered into the November 2023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November 2023 Private Placement. In the November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six months ended June 30, 2024 for gross proceeds of $40.0 million.</w:t>
      </w:r>
    </w:p>
    <w:p>
      <w:pPr>
        <w:spacing w:after="0" w:line="59" w:lineRule="exact"/>
        <w:rPr>
          <w:sz w:val="20"/>
          <w:szCs w:val="20"/>
          <w:color w:val="auto"/>
        </w:rPr>
      </w:pPr>
    </w:p>
    <w:p>
      <w:pPr>
        <w:ind w:left="800" w:right="1099"/>
        <w:spacing w:after="0" w:line="262" w:lineRule="auto"/>
        <w:rPr>
          <w:sz w:val="20"/>
          <w:szCs w:val="20"/>
          <w:color w:val="auto"/>
        </w:rPr>
      </w:pPr>
      <w:r>
        <w:rPr>
          <w:rFonts w:ascii="Times New Roman" w:cs="Times New Roman" w:eastAsia="Times New Roman" w:hAnsi="Times New Roman"/>
          <w:sz w:val="16"/>
          <w:szCs w:val="16"/>
          <w:color w:val="auto"/>
        </w:rPr>
        <w:t>On July 2, 2024, we entered into the Securities Purchase Agreement pursuant to which we issued and sold an aggregate of 3,563,247 shares of Common Stock and 2,937,903 shares of Series B Preferred Stock for which we generated gross proceeds of approximately $130.0 million.</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previously maintained a term loan of up to $35.0 million, of which $25.0 million was funded in August 2020. In September 2023, we entered into a payoff letter with Oxford Finance LLC and Silicon Valley Bank, a division of First-Citizens Bank &amp; Trust Company (successor by purchase to the Federal Deposit Insurance Corporation as Receiver for SVBB (as successor to Silicon Valley Bank)), the lenders under the term loan, pursuant to which we paid all outstanding amounts under such term loan, together with accrued interest and a prepayment penalty, resulting in the full extinguishment of such term loan. The total payoff amount was $22.3 million, consisting of the remaining principal amount due of $19.8 million, the final payment fee of $2.3 million, the prepayment penalty of $0.2 million, and less than $0.1 million of accrued interest.</w:t>
      </w:r>
    </w:p>
    <w:p>
      <w:pPr>
        <w:spacing w:after="0" w:line="70"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If in the future we seek debt financing, the terms of such debt could restrict our operating and financial flexibility by imposing liens on our assets and covenants on the operation of our business.</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Future Funding Requirements</w:t>
      </w:r>
    </w:p>
    <w:p>
      <w:pPr>
        <w:spacing w:after="0" w:line="103"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As of the date of this prospectus,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1" w:name="page52"/>
    <w:bookmarkEnd w:id="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1" w:lineRule="auto"/>
        <w:rPr>
          <w:sz w:val="20"/>
          <w:szCs w:val="20"/>
          <w:color w:val="auto"/>
        </w:rPr>
      </w:pPr>
      <w:r>
        <w:rPr>
          <w:rFonts w:ascii="Times New Roman" w:cs="Times New Roman" w:eastAsia="Times New Roman" w:hAnsi="Times New Roman"/>
          <w:sz w:val="15"/>
          <w:szCs w:val="15"/>
          <w:color w:val="auto"/>
        </w:rPr>
        <w:t>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7"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June 30, 2024, we had an accumulated deficit of $657.6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68"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June 30, 2024, combined with net proceeds from the Private Placement received subsequent to June 30, 2024,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01" w:lineRule="exact"/>
        <w:rPr>
          <w:sz w:val="20"/>
          <w:szCs w:val="20"/>
          <w:color w:val="auto"/>
        </w:rPr>
      </w:pPr>
    </w:p>
    <w:p>
      <w:pPr>
        <w:ind w:left="1420" w:right="133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clinical trials, preclinical development, manufacturing, laboratory testing and logistics;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product candidates that we pursue and the speed with which we pursue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manufacturing, marketing, sales and distribution, for any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from commercial sales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2" w:name="page53"/>
    <w:bookmarkEnd w:id="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101"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Requirements Due to Contractual Obligations and Other Commitments</w:t>
      </w:r>
    </w:p>
    <w:p>
      <w:pPr>
        <w:spacing w:after="0" w:line="103"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We are under agreement to lease approximately 32,294 square feet of laboratory and office space in Watertown, Massachusetts through May 2028. Remaining lease payments from June 30, 2024 through the end of the lease term total approximately $11.0 million. Payments made and remaining obligations on this lease liability are subject to potential reimbursement through deductions to CVR distributions as described in Note 5 to our unaudited consolidated financial statements included elsewhere in the registration statement of which this prospectus forms a part.</w:t>
      </w:r>
    </w:p>
    <w:p>
      <w:pPr>
        <w:spacing w:after="0" w:line="71" w:lineRule="exact"/>
        <w:rPr>
          <w:sz w:val="20"/>
          <w:szCs w:val="20"/>
          <w:color w:val="auto"/>
        </w:rPr>
      </w:pPr>
    </w:p>
    <w:p>
      <w:pPr>
        <w:ind w:left="800" w:right="1359"/>
        <w:spacing w:after="0" w:line="262" w:lineRule="auto"/>
        <w:rPr>
          <w:sz w:val="20"/>
          <w:szCs w:val="20"/>
          <w:color w:val="auto"/>
        </w:rPr>
      </w:pPr>
      <w:r>
        <w:rPr>
          <w:rFonts w:ascii="Times New Roman" w:cs="Times New Roman" w:eastAsia="Times New Roman" w:hAnsi="Times New Roman"/>
          <w:sz w:val="16"/>
          <w:szCs w:val="16"/>
          <w:color w:val="auto"/>
        </w:rPr>
        <w:t>In November 2023, in connection with the Merger, we acquired two leases for office and laboratory space in Gaithersburg, Maryland, which expire in January 2027. Annualized rent is approximately $0.3 million and remaining lease payments total $0.8 million through the end of the lease term.</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February 2024, we entered into an agreement to lease approximately 19,199 square feet of integrated manufacturing and office space in Fredericksburg, Maryland. In May 2024, we entered into an amendment to lease an additional approximately 7,842 square feet. The leases expire coterminous in June 2031. Annualized base rent under the leases is approximately $1.2 million and is subject to annual increases in accordance with the terms of the lease agreement. The leases provide for a tenant improvement allowance of $0.8 million.</w:t>
      </w:r>
    </w:p>
    <w:p>
      <w:pPr>
        <w:spacing w:after="0" w:line="68" w:lineRule="exact"/>
        <w:rPr>
          <w:sz w:val="20"/>
          <w:szCs w:val="20"/>
          <w:color w:val="auto"/>
        </w:rPr>
      </w:pPr>
    </w:p>
    <w:p>
      <w:pPr>
        <w:ind w:left="800" w:right="979"/>
        <w:spacing w:after="0" w:line="252" w:lineRule="auto"/>
        <w:rPr>
          <w:sz w:val="20"/>
          <w:szCs w:val="20"/>
          <w:color w:val="auto"/>
        </w:rPr>
      </w:pPr>
      <w:r>
        <w:rPr>
          <w:rFonts w:ascii="Times New Roman" w:cs="Times New Roman" w:eastAsia="Times New Roman" w:hAnsi="Times New Roman"/>
          <w:sz w:val="16"/>
          <w:szCs w:val="16"/>
          <w:color w:val="auto"/>
        </w:rPr>
        <w:t>We are also party to certain license and collaboration agreements with Biogen, NCI, and Shenyang Sunshine Pharmaceutical Co., Ltd. (“3SBio”). We may be obligated to make certain future payments which are contingent upon future events such as our achievement of specified regulatory and commercial milestones, or royalties on net product sales under these agreements. As of June 30, 2024,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5 to our unaudited consolidated financial statements included elsewhere in the registration statement of which this prospectus forms a part.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Summary of Cash Flows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Six Months Ended June 30, 2024 and 2023</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our cash flows for the six months ended June 30, 2024 and 2023:</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21"/>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060" w:type="dxa"/>
            <w:vAlign w:val="bottom"/>
            <w:gridSpan w:val="2"/>
            <w:vMerge w:val="continue"/>
          </w:tcPr>
          <w:p>
            <w:pPr>
              <w:spacing w:after="0"/>
              <w:rPr>
                <w:sz w:val="13"/>
                <w:szCs w:val="13"/>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1"/>
        </w:trPr>
        <w:tc>
          <w:tcPr>
            <w:tcW w:w="5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and provided by:</w:t>
            </w: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$(30,363)</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$(18,660)</w:t>
            </w:r>
          </w:p>
        </w:tc>
        <w:tc>
          <w:tcPr>
            <w:tcW w:w="0" w:type="dxa"/>
            <w:vAlign w:val="bottom"/>
          </w:tcPr>
          <w:p>
            <w:pPr>
              <w:spacing w:after="0"/>
              <w:rPr>
                <w:sz w:val="1"/>
                <w:szCs w:val="1"/>
                <w:color w:val="auto"/>
              </w:rPr>
            </w:pPr>
          </w:p>
        </w:tc>
      </w:tr>
      <w:tr>
        <w:trPr>
          <w:trHeight w:val="217"/>
        </w:trPr>
        <w:tc>
          <w:tcPr>
            <w:tcW w:w="6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28,112</w:t>
            </w:r>
          </w:p>
        </w:tc>
        <w:tc>
          <w:tcPr>
            <w:tcW w:w="0" w:type="dxa"/>
            <w:vAlign w:val="bottom"/>
          </w:tcPr>
          <w:p>
            <w:pPr>
              <w:spacing w:after="0"/>
              <w:rPr>
                <w:sz w:val="1"/>
                <w:szCs w:val="1"/>
                <w:color w:val="auto"/>
              </w:rPr>
            </w:pPr>
          </w:p>
        </w:tc>
      </w:tr>
      <w:tr>
        <w:trPr>
          <w:trHeight w:val="207"/>
        </w:trPr>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0" w:type="dxa"/>
            <w:vAlign w:val="bottom"/>
          </w:tcPr>
          <w:p>
            <w:pPr>
              <w:spacing w:after="0"/>
              <w:rPr>
                <w:sz w:val="1"/>
                <w:szCs w:val="1"/>
                <w:color w:val="auto"/>
              </w:rPr>
            </w:pPr>
          </w:p>
        </w:tc>
      </w:tr>
      <w:tr>
        <w:trPr>
          <w:trHeight w:val="217"/>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$ 10,608​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Net cash used in operating activities for the six months ended June 30, 2024 was $30.4 million compared to $18.7 million for the six months ended June 30, 2023. The increase in cash used in operating activities of $11.7 million was primarily due to $8.1 million of net income, adjusted for non-cash items, and approximately $38.5 million cash used in changes in operating assets and liabilities for the six months ended June 30, 2024 compared to $27.6 million of net loss, adjusted for non-cash items, and approximately $8.9 million cash provided by changes in operating assets and liabilities for the six months ended June 30,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03" w:lineRule="exact"/>
        <w:rPr>
          <w:sz w:val="20"/>
          <w:szCs w:val="20"/>
          <w:color w:val="auto"/>
        </w:rPr>
      </w:pPr>
    </w:p>
    <w:p>
      <w:pPr>
        <w:ind w:left="800" w:right="939"/>
        <w:spacing w:after="0" w:line="277" w:lineRule="auto"/>
        <w:rPr>
          <w:sz w:val="20"/>
          <w:szCs w:val="20"/>
          <w:color w:val="auto"/>
        </w:rPr>
      </w:pPr>
      <w:r>
        <w:rPr>
          <w:rFonts w:ascii="Times New Roman" w:cs="Times New Roman" w:eastAsia="Times New Roman" w:hAnsi="Times New Roman"/>
          <w:sz w:val="16"/>
          <w:szCs w:val="16"/>
          <w:color w:val="auto"/>
        </w:rPr>
        <w:t>Net cash used in investing activities for the six months ended June 30, 2024 was $2.2 million compared to net cash provided by investing activities of $28.1 million for the six months ended June 30, 2023, a decrease of</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3" w:name="page54"/>
    <w:bookmarkEnd w:id="5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$30.3 million. The net cash used in investing activities for the six months ended June 30, 2024 consisted primarily of purchases of property and equipment. The net cash provided by investing activities for the six months ended June 30, 2023 was primarily proceeds from the maturities of marketable securities offset by purchases of property and equipment.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Net cash provided by financing activities for the six months ended June 30, 2024 was $43.2 million compared to net cash used in financing activities of $2.4 million for the six months ended June 30, 2023, an increase of $45.6 million. The net cash provided by financing activities in the six months ended June 30, 2024 was primarily the result of proceeds of the November 2023 Private Placement. The net cash provided by financing activities in the six months ended June 30, 2023 was primarily the result of repayments of principal on outstanding debt offset by proceeds from issuance of Common Stock under the 2016 ESPP.</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Years Ended December 31, 2023 and 2022</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our cash flows for the years ended December 31, 2023 and 2022:</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160" w:type="dxa"/>
            <w:vAlign w:val="bottom"/>
            <w:vMerge w:val="continue"/>
          </w:tcPr>
          <w:p>
            <w:pPr>
              <w:spacing w:after="0"/>
              <w:rPr>
                <w:sz w:val="13"/>
                <w:szCs w:val="13"/>
                <w:color w:val="auto"/>
              </w:rPr>
            </w:pPr>
          </w:p>
        </w:tc>
        <w:tc>
          <w:tcPr>
            <w:tcW w:w="76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and provided by:</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$(51,161)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$(31,631)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$(60,382)</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76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34,609</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(15,002)</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w:t>
            </w: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39,215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52,897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
        </w:trPr>
        <w:tc>
          <w:tcPr>
            <w:tcW w:w="5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(29,750)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(7,398)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(24,628)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Net cash used in operating activities for the year ended December 31, 2023 was $51.2 million compared to</w:t>
      </w:r>
    </w:p>
    <w:p>
      <w:pPr>
        <w:spacing w:after="0" w:line="2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$31.6 million in the same period in 2022. The increase in net cash used in operating activities of $19.6 million was primarily due to $56.2 million of net loss, adjusted for non-cash items, and $5.0 million of cash provided by changes in operating assets and liabilities, in each case during the year ended December 31,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03" w:lineRule="exact"/>
        <w:rPr>
          <w:sz w:val="20"/>
          <w:szCs w:val="20"/>
          <w:color w:val="auto"/>
        </w:rPr>
      </w:pPr>
    </w:p>
    <w:p>
      <w:pPr>
        <w:ind w:left="800" w:right="939"/>
        <w:spacing w:after="0" w:line="273" w:lineRule="auto"/>
        <w:rPr>
          <w:sz w:val="20"/>
          <w:szCs w:val="20"/>
          <w:color w:val="auto"/>
        </w:rPr>
      </w:pPr>
      <w:r>
        <w:rPr>
          <w:rFonts w:ascii="Times New Roman" w:cs="Times New Roman" w:eastAsia="Times New Roman" w:hAnsi="Times New Roman"/>
          <w:sz w:val="15"/>
          <w:szCs w:val="15"/>
          <w:color w:val="auto"/>
        </w:rPr>
        <w:t>Net cash provided by investing activities for the year ended December 31, 2023 was $34.6 million compared to net cash used in investing activities of $15.0 million in the same period in 2022, an increase of $49.6 million. The net cash provided by investing activities for the year ended December 31, 2023 was primarily proceeds from the maturities of marketable securities and cash assumed in the Merger offset by purchases of property and equipment. The net cash used in investing activities for the year ended December 31, 2022 was to purchase marketable securities and property and equipment, offset by proceeds from the maturities of marketable securities.</w:t>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Net cash used in financing activities for the year ended December 31, 2023 was $13.1 million compared to net cash provided by financing activities of $39.2 million in the same period in 2022, a decrease of $52.3 million. The net cash used in financing activities for the year ended December 31, 2023 was primarily the result of repayments of principal on outstanding debt and settlement of equity awards in the Merger partially offset by proceeds from the November 2023 Private Placement. The net cash provided by financing activities for the year ended December 31, 2022 was primarily the result of net proceeds from issuance of Common Stock and warrants to purchase Common Stock and the issuance of Common Stock in the “at-the-market” offering contemplated by the 2021 Sales Agreement.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For a discussion of recently adopted or issued accounting pronouncements please see Note 2 to our unaudited consolidated financial statements included elsewhere in the registration statement of which this prospectus forms a part.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4" w:name="page55"/>
    <w:bookmarkEnd w:id="5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As of June 30, 2024, we did not have any off-balance sheet arrangements as defined in the rules and regulations of the SEC.</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and could have a material impact on our reported results. While our significant accounting policies are more fully described in the notes to our consolidated financial statements and unaudited consolidated financial statements, both appearing elsewhere in the registration statement of which this prospectus forms a part, we believe the following accounting policies to be the most critical in understanding the judgments and estimates we use in preparing our consolidated financial statements:</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39"/>
        <w:spacing w:after="0" w:line="267" w:lineRule="auto"/>
        <w:rPr>
          <w:sz w:val="20"/>
          <w:szCs w:val="20"/>
          <w:color w:val="auto"/>
        </w:rPr>
      </w:pPr>
      <w:r>
        <w:rPr>
          <w:rFonts w:ascii="Times New Roman" w:cs="Times New Roman" w:eastAsia="Times New Roman" w:hAnsi="Times New Roman"/>
          <w:sz w:val="15"/>
          <w:szCs w:val="15"/>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5"/>
          <w:szCs w:val="15"/>
          <w:i w:val="1"/>
          <w:iCs w:val="1"/>
          <w:color w:val="auto"/>
        </w:rPr>
        <w:t>Revenue from Contracts with Customers (ASC 606)</w:t>
      </w:r>
      <w:r>
        <w:rPr>
          <w:rFonts w:ascii="Times New Roman" w:cs="Times New Roman" w:eastAsia="Times New Roman" w:hAnsi="Times New Roman"/>
          <w:sz w:val="15"/>
          <w:szCs w:val="15"/>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If a promised good or service is not distinct, it is combined with other promised goods or services into a performance obligation. We then recognize as revenue the amount of the transaction price that is allocated to the respective performance obligation when (or as) the performance obligation is satisfied. For example, certain performance obligations associated with the Astellas Agreement, (see Note 14 to our consolidated financial statements and Note 13 unaudited consolidated financial statements elsewhere in the registration statement of which this prospectus forms a part) will be satisfied over time, and revenue will be recognized utilizing the input method.</w:t>
      </w:r>
    </w:p>
    <w:p>
      <w:pPr>
        <w:spacing w:after="0" w:line="249"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Collaboration and License Revenue: </w:t>
      </w:r>
      <w:r>
        <w:rPr>
          <w:rFonts w:ascii="Times New Roman" w:cs="Times New Roman" w:eastAsia="Times New Roman" w:hAnsi="Times New Roman"/>
          <w:sz w:val="16"/>
          <w:szCs w:val="16"/>
          <w:color w:val="auto"/>
        </w:rPr>
        <w:t>We currently generate revenue through collaboration and license agreements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 strategic collaborators for the development and commercialization of product candidates. Collaboration and license agreements with customers are generally accounted for in accordance with ASC 606. We analyze collaboration arrangements by first assessing whether they are within the scope of ASC Topic 808, </w:t>
      </w:r>
      <w:r>
        <w:rPr>
          <w:rFonts w:ascii="Times New Roman" w:cs="Times New Roman" w:eastAsia="Times New Roman" w:hAnsi="Times New Roman"/>
          <w:sz w:val="16"/>
          <w:szCs w:val="16"/>
          <w:i w:val="1"/>
          <w:iCs w:val="1"/>
          <w:color w:val="auto"/>
        </w:rPr>
        <w:t>Collaborative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Arrangements (ASC 808</w:t>
      </w:r>
      <w:r>
        <w:rPr>
          <w:rFonts w:ascii="Times New Roman" w:cs="Times New Roman" w:eastAsia="Times New Roman" w:hAnsi="Times New Roman"/>
          <w:sz w:val="16"/>
          <w:szCs w:val="16"/>
          <w:color w:val="auto"/>
        </w:rPr>
        <w:t>), and evaluate whether such arrangements involve joint operating activities performed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(ASC 730)</w:t>
      </w:r>
      <w:r>
        <w:rPr>
          <w:rFonts w:ascii="Times New Roman" w:cs="Times New Roman" w:eastAsia="Times New Roman" w:hAnsi="Times New Roman"/>
          <w:sz w:val="16"/>
          <w:szCs w:val="16"/>
          <w:color w:val="auto"/>
        </w:rPr>
        <w:t>, and record reimbursements from counterparties as an offset to the related research and development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costs. In determining the appropriate amount of revenue to be recognized as we fulfill our obligations under the agreements in accordance with ASC 606, we perform the five steps above.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5" w:name="page56"/>
    <w:bookmarkEnd w:id="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 The assumptions used to determine the stand-alone selling price and our satisfaction of performance obligations have a material effect on our collaboration and license revenue and may prove to be wrong.</w:t>
      </w:r>
    </w:p>
    <w:p>
      <w:pPr>
        <w:spacing w:after="0" w:line="71"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Licenses of Intellectual Property: </w:t>
      </w:r>
      <w:r>
        <w:rPr>
          <w:rFonts w:ascii="Times New Roman" w:cs="Times New Roman" w:eastAsia="Times New Roman" w:hAnsi="Times New Roman"/>
          <w:sz w:val="16"/>
          <w:szCs w:val="16"/>
          <w:color w:val="auto"/>
        </w:rPr>
        <w:t>If the license to our intellectual property is determined to be distinct from the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promised goods and services identified in the arrangement, we recognize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Optional licenses are evaluated to determine if they are issued at a discount, and therefore, represent material rights and should be accounted for as separate performance obligations.</w:t>
      </w:r>
    </w:p>
    <w:p>
      <w:pPr>
        <w:spacing w:after="0" w:line="71" w:lineRule="exact"/>
        <w:rPr>
          <w:sz w:val="20"/>
          <w:szCs w:val="20"/>
          <w:color w:val="auto"/>
        </w:rPr>
      </w:pPr>
    </w:p>
    <w:p>
      <w:pPr>
        <w:ind w:left="800" w:right="859"/>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Milestone Payments: </w:t>
      </w:r>
      <w:r>
        <w:rPr>
          <w:rFonts w:ascii="Times New Roman" w:cs="Times New Roman" w:eastAsia="Times New Roman" w:hAnsi="Times New Roman"/>
          <w:sz w:val="15"/>
          <w:szCs w:val="15"/>
          <w:color w:val="auto"/>
        </w:rPr>
        <w:t>At the inception of each arrangement that includes developmental and regulatory milestone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efforts to satisfy a performance obligation or transfer a distinct good or service, the amount is allocated to all performance obligations using the relative standalone selling price method. We also evaluate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65" w:lineRule="exact"/>
        <w:rPr>
          <w:sz w:val="20"/>
          <w:szCs w:val="20"/>
          <w:color w:val="auto"/>
        </w:rPr>
      </w:pPr>
    </w:p>
    <w:p>
      <w:pPr>
        <w:ind w:left="800" w:right="83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Manufacturing Supply Services: </w:t>
      </w:r>
      <w:r>
        <w:rPr>
          <w:rFonts w:ascii="Times New Roman" w:cs="Times New Roman" w:eastAsia="Times New Roman" w:hAnsi="Times New Roman"/>
          <w:sz w:val="15"/>
          <w:szCs w:val="15"/>
          <w:color w:val="auto"/>
        </w:rPr>
        <w:t>Arrangements that include a promise for future supply of drug substance or drug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product for either clinical development or 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47" w:lineRule="exact"/>
        <w:rPr>
          <w:sz w:val="20"/>
          <w:szCs w:val="20"/>
          <w:color w:val="auto"/>
        </w:rPr>
      </w:pPr>
    </w:p>
    <w:p>
      <w:pPr>
        <w:ind w:left="800" w:right="91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Royalties: </w:t>
      </w:r>
      <w:r>
        <w:rPr>
          <w:rFonts w:ascii="Times New Roman" w:cs="Times New Roman" w:eastAsia="Times New Roman" w:hAnsi="Times New Roman"/>
          <w:sz w:val="16"/>
          <w:szCs w:val="16"/>
          <w:color w:val="auto"/>
        </w:rPr>
        <w:t>For arrangements that include sales-based royalties, including milestone payments based on the level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the license is deemed to be the 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1119"/>
        <w:spacing w:after="0" w:line="288" w:lineRule="auto"/>
        <w:rPr>
          <w:sz w:val="20"/>
          <w:szCs w:val="20"/>
          <w:color w:val="auto"/>
        </w:rPr>
      </w:pPr>
      <w:r>
        <w:rPr>
          <w:rFonts w:ascii="Times New Roman" w:cs="Times New Roman" w:eastAsia="Times New Roman" w:hAnsi="Times New Roman"/>
          <w:sz w:val="15"/>
          <w:szCs w:val="15"/>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6" w:name="page57"/>
    <w:bookmarkEnd w:id="5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materially affecting our results of operations. The historical clinical accrual estimates made by us have not been materially different from the actual costs.</w:t>
      </w:r>
    </w:p>
    <w:p>
      <w:pPr>
        <w:spacing w:after="0" w:line="1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December 2019, we issued common warrants in connection with a securities purchase agreement between us and a group of institutional investors and certain members of our Board of Directors (the “2019 Warrants”). Pursuant to the terms of the 2019 Warrants, we could be required to settle the 2019 Warrants in cash in the event of certain acquisitions of us and, as a result, the 2019 Warrants are required to be measured at fair value and reported as a liability on the balance sheet.</w:t>
      </w:r>
    </w:p>
    <w:p>
      <w:pPr>
        <w:spacing w:after="0" w:line="6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In April 2022, we issued warrants in connection with an underwritten offering of shares of common stock and warrants to purchase shares of common stock (the “2022 Warrants”). Pursuant to the terms of the 2022 Warrants, we could be required to settle the 2022 Warrants in cash in the event we are acquired under certain circumstances and, as a result, the 2022 Warrants are required to be measured at fair value and reported as a liability on the balance sheet.</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recorded the fair value of the 2019 Warrants and 2022 Warrants upon issuance using the Black-Scholes valuation model, and are required to revalue the common warrants at each reporting date with any changes in fair value recorded on our statement of operations. In December 2022, we amended the terms of the outstanding 2019 Warrants held by certain members of our Board of Directors to remove the cash settlement provision (as so amended, the “Amended 2019 Warrants”). As a result, the Amended 2019 Warrants were remeasured at fair value on December 20, 2022 and reclassified from a liability to equity on the balance sheet.</w:t>
      </w:r>
    </w:p>
    <w:p>
      <w:pPr>
        <w:spacing w:after="0" w:line="71"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The estimates used to determine the fair value of these common warrants represent our best estimates, but may prove to be wrong. Therefore, the change in fair value of warrant liabilities could be materially different in the future.</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 Liability</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 xml:space="preserve">The CVRs distributed pursuant to the terms of the CVR Agreement represent financial instruments that are accounted for under the fair value option election in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a discounted cash flow methodology as of December 31, 2023 and a Monte Carlo simulation model as of June 30,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w:t>
      </w:r>
    </w:p>
    <w:p>
      <w:pPr>
        <w:spacing w:after="0" w:line="1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account for all stock-based compensation granted to employees and non-employees using a fair value method. Stock-based compensation is measured at the grant date fair value and is recognized over the requisite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7" w:name="page58"/>
    <w:bookmarkEnd w:id="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service period of the awards, usually the vesting period, on a straight-line basis, net of estimated forfeitures. To the extent that actual forfeitures differ from our estimates, the differences are recorded as a cumulative adjustment in the period the estimates were adjusted. Stock-based compensation expense recognized in the consolidated financial statements is based on awards that ultimately vest.</w:t>
      </w:r>
    </w:p>
    <w:p>
      <w:pPr>
        <w:spacing w:after="0" w:line="67"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8" w:name="page59"/>
    <w:bookmarkEnd w:id="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CHANGES IN AND DISAGREEMENTS WITH ACCOUNTANTS ON ACCOUNTING AND</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DISCLOSURE</w:t>
      </w:r>
    </w:p>
    <w:p>
      <w:pPr>
        <w:spacing w:after="0" w:line="1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9" w:name="page60"/>
    <w:bookmarkEnd w:id="5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3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Corporate History and Background</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Company (formerly known as Selecta Biosciences, Inc.) was incorporated in Delaware on December 10, 2007, and is headquartered in Gaithersburg, Maryland. On November 13, 2023, the Company and the Delaware corporation which then known as Cartesian Therapeutics, Inc., entered into the Merger Agreement. Pursuant to the Merger Agreement, and simultaneously with execution thereof, (i) First Merger Sub merged with and into Old Cartesian, pursuant to which Old Cartesian was the surviving corporation, and became a wholly owned subsidiary of the Company, and (ii) immediately following the First Merger, Old Cartesian (as the First Step Surviving Corporation) merged with and into Second Merger Sub, pursuant to which Second Merger Sub was the surviving company, and continued under the name “Cartesian Bio, LLC.” In connection with the Merger and pursuant to the Merger Agreement, the Company (which was known as Selecta Biosciences, Inc. until immediately prior to the Merger) changed its corporate name to Cartesian Therapeutics, Inc.</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Autoimmune diseases, where the immune system mistakenly attacks the body, are a family of more than</w:t>
      </w:r>
    </w:p>
    <w:p>
      <w:pPr>
        <w:spacing w:after="0" w:line="23" w:lineRule="exact"/>
        <w:rPr>
          <w:sz w:val="20"/>
          <w:szCs w:val="20"/>
          <w:color w:val="auto"/>
        </w:rPr>
      </w:pPr>
    </w:p>
    <w:p>
      <w:pPr>
        <w:ind w:left="800" w:right="899"/>
        <w:spacing w:after="0" w:line="249" w:lineRule="auto"/>
        <w:rPr>
          <w:sz w:val="20"/>
          <w:szCs w:val="20"/>
          <w:color w:val="auto"/>
        </w:rPr>
      </w:pPr>
      <w:r>
        <w:rPr>
          <w:rFonts w:ascii="Times New Roman" w:cs="Times New Roman" w:eastAsia="Times New Roman" w:hAnsi="Times New Roman"/>
          <w:sz w:val="16"/>
          <w:szCs w:val="16"/>
          <w:color w:val="auto"/>
        </w:rPr>
        <w:t>80 disorders. Autoimmune diseases are typically treated with immunosuppressant medications, such as steroids. These treatments must be administered continually and carry risks, including infection, osteoporosis, and metabolic disease. Newer agents that block the complement pathway or inhibit the neonatal Fc receptor (“FcRn”), must also typically be administered continually. We believe there is a significant unmet need for outpatient treatments, completed over a short period of time, that provide deep, durable clinical benefit.</w:t>
      </w:r>
    </w:p>
    <w:p>
      <w:pPr>
        <w:spacing w:after="0" w:line="74"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Cell therapies have the potential to provide this benefit, but conventional cell therapies that use DNA are associated with toxicities, including cytokine release syndrome, neurotoxicity, transformation to cancer, and death. Further, conventional cell therapies typically require pre-treatment with chemotherapy, which suppresses the immune system and increases the risk of infection, anemia, and neurotoxicity. As a result, conventional DNA cell therapies typically require close monitoring in an inpatient setting, increasing the total cost of care and generally limiting their reach to only the sickest patients.</w:t>
      </w:r>
    </w:p>
    <w:p>
      <w:pPr>
        <w:spacing w:after="0" w:line="71"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54" w:lineRule="exact"/>
        <w:rPr>
          <w:sz w:val="20"/>
          <w:szCs w:val="20"/>
          <w:color w:val="auto"/>
        </w:rPr>
      </w:pPr>
    </w:p>
    <w:p>
      <w:pPr>
        <w:ind w:left="800" w:right="899"/>
        <w:spacing w:after="0" w:line="235" w:lineRule="auto"/>
        <w:rPr>
          <w:sz w:val="20"/>
          <w:szCs w:val="20"/>
          <w:color w:val="auto"/>
        </w:rPr>
      </w:pPr>
      <w:r>
        <w:rPr>
          <w:rFonts w:ascii="Times New Roman" w:cs="Times New Roman" w:eastAsia="Times New Roman" w:hAnsi="Times New Roman"/>
          <w:sz w:val="16"/>
          <w:szCs w:val="16"/>
          <w:color w:val="auto"/>
        </w:rPr>
        <w:t>We are leveraging our proprietary technology and manufacturing platform, RNA Armory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to develop mRNA cell therapies for autoimmune diseases across three modalities. Our mRNA CAR-T modality is a personalized approach that collects a patient’s T-cells and uses mRNA to introduce a chimeric antigen receptor (“CAR”), into the cell. The CAR redirects the T-cells to target and destroy pathogenic self-reactive cells. Our mRNA MSC modality is an allogeneic approach that introduces one or more mRNAs into donor-sourced mesenchymal stem cells (“MSCs”), enabling them to produce proteins that target key pathways involved in autoimmunity. These cells are banked and are designed to be administered off-the-shelf to any patient. Our mRNA </w:t>
      </w:r>
      <w:r>
        <w:rPr>
          <w:rFonts w:ascii="Times New Roman" w:cs="Times New Roman" w:eastAsia="Times New Roman" w:hAnsi="Times New Roman"/>
          <w:sz w:val="16"/>
          <w:szCs w:val="16"/>
          <w:i w:val="1"/>
          <w:iCs w:val="1"/>
          <w:color w:val="auto"/>
        </w:rPr>
        <w:t>in situ</w:t>
      </w:r>
      <w:r>
        <w:rPr>
          <w:rFonts w:ascii="Times New Roman" w:cs="Times New Roman" w:eastAsia="Times New Roman" w:hAnsi="Times New Roman"/>
          <w:sz w:val="16"/>
          <w:szCs w:val="16"/>
          <w:color w:val="auto"/>
        </w:rPr>
        <w:t xml:space="preserve"> modality is designed to deliver mRNA into a patient’s lymph node to generate CAR-T cells and other proteins that target autoimmunity. The figure below illustrates each modality.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0" w:name="page61"/>
    <w:bookmarkEnd w:id="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77470</wp:posOffset>
            </wp:positionV>
            <wp:extent cx="4615180" cy="19983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1518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table below summarizes key information about our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165100</wp:posOffset>
            </wp:positionV>
            <wp:extent cx="4554855" cy="1757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5485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w:t>
      </w:r>
    </w:p>
    <w:p>
      <w:pPr>
        <w:spacing w:after="0" w:line="10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Our lead product candidate, Descartes-08, is an autologous mRNA CAR-T directed against the B cell maturation antigen (“BCMA”), that we are developing for the treatment of autoimmune diseases. Descartes-08 has been granted Orphan Drug Designation and RMAT Designation by the FDA for the treatment of MG.</w:t>
      </w:r>
    </w:p>
    <w:p>
      <w:pPr>
        <w:spacing w:after="0" w:line="62"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July 2024, we reported topline results from a Phase 2b randomized, double-blind, placebo-controlled trial in patients with MG. The trial achieved its primary endpoint with statistical significance in the pre-specified modified intent-to-treat (“mITT”) efficacy population, with 71% (10/14) of patients treated with Descartes-08 observed to have 5-point or greater improvements in MG Composite (“MGC”) score at Month 3 compared to 25% (3/12) of patients treated with placebo (p=0.018). 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Consistent with previously reported results from the Phase 2a open-label portion of the trial, Descartes-08</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responders experienced deep improvements across the MG severity scales at Month 3 (average MG-ADL (Activities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Daily Living) = -5.6; MGC= -8.3; QMG (Quantitative MG) = -5.0; QoL-15r (Quality of Life Revised Scale) =</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-7.9). A 2-point improvement in MG-ADL and 3-point improvement in MGC and QMG scales are considered to be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“clinically meaningful” by expert consensus published in peer-reviewed journals. The improvements seen at Month</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 persisted or further improved in patients evaluated at their Month 4 (n=5) and Month 6 (n=3) follow-up visits, as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the June 19, 2024 data cutoff date. Consistent with findings from the Phase 2a open-label portion of the trial,</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Descartes-08 was observed to be well tolerated, and adverse events were transient and mostly mild, supporting</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outpatient administration without the need for lymphodepleting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1" w:name="page62"/>
    <w:bookmarkEnd w:id="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chemotherapy. There were three serious adverse events reported: a Grade 2 infusion-related reaction, a Grade 3 infusion-related reaction and a Grade 3 herpes simplex reactivation. Notably, there were no cases of cytokine release syndrome, and no cases of immune effector cell-associated neurotoxicity syndrome.</w:t>
      </w:r>
    </w:p>
    <w:p>
      <w:pPr>
        <w:spacing w:after="0" w:line="62"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Previously, Descartes-08 was observed to be well-tolerated in a Phase 1b/2a trial of 14 patients with MG who received outpatient treatment without pre-treatment chemotherapy. All seven participants who received six once-weekly infusions at the highest dose continued to experience marked and long-lasting clinical improvement across validated MG disease scoring systems at month nine follow-up. At month 12, five of these seven participants maintained improvement considered clinically meaningful by expert consensus. One participant, who lost response after one year, experienced rapid improvement in clinical scores after re-treatment, which was ongoing at month six of follow-up. Clinical responses correlated with large reductions in autoantibody titers.</w:t>
      </w:r>
    </w:p>
    <w:p>
      <w:pPr>
        <w:spacing w:after="0" w:line="73" w:lineRule="exact"/>
        <w:rPr>
          <w:sz w:val="20"/>
          <w:szCs w:val="20"/>
          <w:color w:val="auto"/>
        </w:rPr>
      </w:pPr>
    </w:p>
    <w:p>
      <w:pPr>
        <w:ind w:left="800" w:right="899"/>
        <w:spacing w:after="0" w:line="280" w:lineRule="auto"/>
        <w:rPr>
          <w:sz w:val="20"/>
          <w:szCs w:val="20"/>
          <w:color w:val="auto"/>
        </w:rPr>
      </w:pPr>
      <w:r>
        <w:rPr>
          <w:rFonts w:ascii="Times New Roman" w:cs="Times New Roman" w:eastAsia="Times New Roman" w:hAnsi="Times New Roman"/>
          <w:sz w:val="15"/>
          <w:szCs w:val="15"/>
          <w:color w:val="auto"/>
        </w:rPr>
        <w:t>We are also developing Descartes-08 for the treatment of other autoimmune diseases. We have received FDA allowance for our investigational new drug application (“IND”) for a Phase 2 trial of Descartes-08 for the treatment of patients with systemic lupus erythematosus (“SLE”), a chronic autoimmune disease that causes systemic inflammation affecting multiple organ systems, and announced dosing of the first patient in the trial in July 2024.</w:t>
      </w:r>
    </w:p>
    <w:p>
      <w:pPr>
        <w:spacing w:after="0" w:line="50"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Descartes-15 is our next-generation autologous anti-BCMA mRNA CAR-T. In preclinical studies, we have observed Descartes-15 to be 10-fold more potent than Descartes-08. We intend to test the safety of Descartes-15 in an open label, single-arm Phase 1 trial in patients with relapsed/refractory multiple myeloma. This program has already received IND allowance from the FDA and in September 2024, we announced that the first patient had been dosed in this Phase 1 trial. We expect that these Phase 1 trial data will inform our clinical development plan for Descartes-15 in autoimmune diseases.</w:t>
      </w:r>
    </w:p>
    <w:p>
      <w:pPr>
        <w:spacing w:after="0" w:line="71"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Descartes-33 is an allogeneic mRNA MSC in preclinical development for treatment of autoimmune diseases. We are developing Descartes-33 to deliver a combination of therapeutic proteins that target key drivers in the pathogenesis of autoimmunity.</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Limitations of Current DNA-Based Cell Therapy Treatments in Autoimmune Disease</w:t>
      </w:r>
    </w:p>
    <w:p>
      <w:pPr>
        <w:spacing w:after="0" w:line="103"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Conventional DNA cell therapies have been associated with cytokine release syndrome, neurological toxicities and Parkinsonism, infection, risk of secondary malignancy, and death. The acute toxicities are from exponential amplification of the modified cell, and the pre-treatment chemotherapy administered to enable cell amplification.</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Conventional DNA-engineered CAR-T cells are in clinical development for several autoimmune diseases.</w:t>
      </w:r>
    </w:p>
    <w:p>
      <w:pPr>
        <w:spacing w:after="0" w:line="2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DNA CAR-T cells are typically administered to patients in a subtherapeutic dose, which means that the cells must proliferate to reach therapeutic numbers in the body. However, this proliferation is not controlled in magnitude or duration, varies from patient to patient, and can be unpredictable. This proliferation occurs because the CAR gene is irreversibly integrated into the T-cell’s genome, causing a cascade in which every daughter cell carries the same CAR as the parent cells. The resulting unconstrained proliferation frequently exceeds the toxicity threshold, leading to serious adverse events. In November 2023, the FDA announced that it is investigating the risk of T-cell malignancies in approved DNA CAR-T cell immunotherapies.</w:t>
      </w:r>
    </w:p>
    <w:p>
      <w:pPr>
        <w:spacing w:after="0" w:line="72"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The proliferation of DNA CAR-T cells has typically required pre-treatment chemotherapy, usually fludarabine and cyclophosphamide administered for several days before CAR-T cell treatment. This chemotherapy is toxic, suppressing the immune system and increasing the risk of infection, anemia, and neurotoxicity.</w:t>
      </w:r>
    </w:p>
    <w:p>
      <w:pPr>
        <w:spacing w:after="0" w:line="62"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Given these risks and requirements, conventional DNA cell therapies are administered under close monitoring in an inpatient setting, increasing their cost and limiting their reach to only the sickest patients.</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Autoimmune Disease Solution</w:t>
      </w:r>
    </w:p>
    <w:p>
      <w:pPr>
        <w:spacing w:after="0" w:line="103" w:lineRule="exact"/>
        <w:rPr>
          <w:sz w:val="20"/>
          <w:szCs w:val="20"/>
          <w:color w:val="auto"/>
        </w:rPr>
      </w:pPr>
    </w:p>
    <w:p>
      <w:pPr>
        <w:ind w:left="800" w:right="939"/>
        <w:spacing w:after="0" w:line="276" w:lineRule="auto"/>
        <w:rPr>
          <w:sz w:val="20"/>
          <w:szCs w:val="20"/>
          <w:color w:val="auto"/>
        </w:rPr>
      </w:pPr>
      <w:r>
        <w:rPr>
          <w:rFonts w:ascii="Times New Roman" w:cs="Times New Roman" w:eastAsia="Times New Roman" w:hAnsi="Times New Roman"/>
          <w:sz w:val="15"/>
          <w:szCs w:val="15"/>
          <w:color w:val="auto"/>
        </w:rPr>
        <w:t>We believe that mRNA cell therapy has the potential to be a potent yet safer alternative to DNA cell therapy for treating autoimmune diseases. We believe the mRNA cell therapies we are developing have the potential to deliver deep, durable clinical benefit to many patients with autoimmune diseases because they can be administered over a short period of time, in an outpatient setting, and without pre-treatment chemotherapy. These attributes may extend the reach and potential of mRNA cell therapy to a broader group of patients with autoimmunity.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2" w:name="page63"/>
    <w:bookmarkEnd w:id="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mRNA CAR-T cells locate their target, become activated, and proliferate like DNA CAR-T cells. However, because mRNA does not replicate and degrades naturally over time, the maximum number of mRNA molecules can be determined by the dose. The actual number of mRNA molecules declines to zero over time. The number of mRNA molecules determines the degree of CAR protein expression, and the persistence of the mRNA molecules determines the duration of mRNA CAR-T cell activity. Thus, unlike DNA CAR-T cells, our mRNA CAR-T cells provide pharmacokinetic control. In other words, a patient’s exposure to our cells is determined by the dose. The time, course and duration of that exposure are substantially determined by the nature of the mRNA we use. Therefore, while DNA CAR-T therapies are administered at subtherapeutic levels, we can administer a therapeutic number of mRNA CAR-T cells and re-dose these cells over time, much like a conventional drug. Because the mRNA cannot be replicated, we believe, and have thus far observed, that mRNA CAR-T cells do not cause the types of severe toxicity associated with DNA CAR-T cells. Also, because mRNA CAR-T is dosed at a therapeutic dose and does not rely on cell proliferation to reach the therapeutic window, there is no need to administer pre-treatment chemotherapy. The graphs below contrast our mRNA cell therapy approach with that of conventional DNA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139700</wp:posOffset>
            </wp:positionV>
            <wp:extent cx="4615180" cy="1455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15180" cy="145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0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As of the 2023 safety cutoff date, we have administered Descartes-08 to over 60 patients suffering from one of MG, multiple myeloma, and other diseases in open-label trials on an outpatient basis, many at community clinics. We have not observed product-related cytokine release syndrome, neurotoxicity or infection of any grade. The most common product-related adverse events observed-headache, nausea and fever-were self-limited and resolved within 72 hours of onset. One participant with MG with a history of allergic reaction to biologics developed hives after the third infusion and was hospitalized for monitoring. The patient’s hives resolved completely after a brief course of steroids.</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Product Candidates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Descartes-08</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Our lead product candidate is Descartes-08, an mRNA CAR-T that targets BCMA, which exists on the surface of long-lived plasma cells (“LLPCs”), and plasmacytoid dendritic cells (“pDCs”). LLPCs, which can survive for decades, are the main producers of disease-causing autoantibodies. pDCs, which secrete type-I interferons, may also play a critical role in autoimmunity. While the lead indication for Descartes-08 is MG, we believe that Descartes-08 has potential to treat other autoimmune diseases, such as lupus. Several properties of Descartes-08 observed in the Phase 1/2 trials may make it more amenable for use in this disease category compared to conventional, commercially available CAR-Ts, including no requirement for lymphodepleting chemotherapy, lack of integrating viral vectors, administration in an outpatient setting and feasibility of retreatment.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Descartes-08 for the Treatment of MG</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Overview</w:t>
      </w:r>
    </w:p>
    <w:p>
      <w:pPr>
        <w:spacing w:after="0" w:line="101"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Descartes-08 has been granted Orphan Drug Designation by the FDA for the treatment of MG. We chose MG as our lead indication because the pathogenesis for MG is common to many autoimmune diseases.</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Background Information About MG</w:t>
      </w:r>
    </w:p>
    <w:p>
      <w:pPr>
        <w:spacing w:after="0" w:line="101"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MG is a rare autoimmune disease that causes debilitating muscle weakness and fatigue. It is estimated to affect over 120,000 patients in the U.S. and Europe. MG patients develop antibodies that lead to an immunological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3" w:name="page64"/>
    <w:bookmarkEnd w:id="6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attack on critical signaling proteins at the junction between nerve and muscle cells, thereby inhibiting the ability of nerves to communicate properly with muscles. This results in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However, as the disease progresses, symptom-free periods become less frequent and disease exacerbations can last for months. Disease symptoms reach their maximum levels within two to three years in approximately 80% of patients. Up to 20% of MG patients experience a respiratory crisis at least once in their lives. During the crisis phase, decline in respiratory function can become life-threatening. Patients in crisis often require intubation and mechanical ventilation.</w:t>
      </w:r>
    </w:p>
    <w:p>
      <w:pPr>
        <w:spacing w:after="0" w:line="73" w:lineRule="exact"/>
        <w:rPr>
          <w:sz w:val="20"/>
          <w:szCs w:val="20"/>
          <w:color w:val="auto"/>
        </w:rPr>
      </w:pPr>
    </w:p>
    <w:p>
      <w:pPr>
        <w:ind w:left="800" w:right="1119"/>
        <w:spacing w:after="0" w:line="257" w:lineRule="auto"/>
        <w:rPr>
          <w:sz w:val="20"/>
          <w:szCs w:val="20"/>
          <w:color w:val="auto"/>
        </w:rPr>
      </w:pPr>
      <w:r>
        <w:rPr>
          <w:rFonts w:ascii="Times New Roman" w:cs="Times New Roman" w:eastAsia="Times New Roman" w:hAnsi="Times New Roman"/>
          <w:sz w:val="16"/>
          <w:szCs w:val="16"/>
          <w:color w:val="auto"/>
        </w:rPr>
        <w:t>There are no known cures for MG and the current standard of care consists of chronic use of steroids and other immunosuppressants. These treatments must be administered continually and carry risks such as infection, osteoporosis, and metabolic diseases. Newer agents, such as those that block the complement pathway or inhibit FcRn, are typically administered continually.</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Clinical Development</w:t>
      </w:r>
    </w:p>
    <w:p>
      <w:pPr>
        <w:spacing w:after="0" w:line="101" w:lineRule="exact"/>
        <w:rPr>
          <w:sz w:val="20"/>
          <w:szCs w:val="20"/>
          <w:color w:val="auto"/>
        </w:rPr>
      </w:pPr>
    </w:p>
    <w:p>
      <w:pPr>
        <w:jc w:val="both"/>
        <w:ind w:left="800" w:right="1339"/>
        <w:spacing w:after="0" w:line="312" w:lineRule="auto"/>
        <w:rPr>
          <w:sz w:val="20"/>
          <w:szCs w:val="20"/>
          <w:color w:val="auto"/>
        </w:rPr>
      </w:pPr>
      <w:r>
        <w:rPr>
          <w:rFonts w:ascii="Times New Roman" w:cs="Times New Roman" w:eastAsia="Times New Roman" w:hAnsi="Times New Roman"/>
          <w:sz w:val="15"/>
          <w:szCs w:val="15"/>
          <w:color w:val="auto"/>
        </w:rPr>
        <w:t>To date, we have completed the Phase 1b portion of the Phase 1/2 trial of Descartes-08 in MG, as well as the primary readout of the Phase 2a portion of the trial and topline results from the Phase 2b portion of this trial.</w:t>
      </w:r>
    </w:p>
    <w:p>
      <w:pPr>
        <w:spacing w:after="0" w:line="2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primary objective of the Phase 1b portion of the trial was to determine the maximum tolerated dose of Descartes-08 for patients with MG. To assess the safety and manufacturability of Descartes-08, the product candidate was administered in three ascending doses (3.5 x106 cells/kg; 17.5 x106 cells; 52.5 x106 cells/kg) to three patients with MG. After each infusion, patients were observed for at least one week, and a higher dose level was administered if there were no significant adverse effects observed at the initial dose. We observed Descartes-08 to be well-tolerated by the three patients who participated in this portion of the trial with no cytokine release syndrome or other serious product-related adverse events.</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primary objective of the Phase 2a portion of the trial was to determine the optimal dosing schedule for patients with MG using the highest dose level tested in Phase 1b (52.5 x106 cells/kg). This portion of the trial was designed to assess the safety and preliminary efficacy of Descartes-08 when administered across three different treatment schedules (six doses given twice-weekly, once-weekly, or once-monthly). This portion of the trial evaluated 11 patients with particularly advanced disease as assessed by both patient and clinician-reported outcomes. 79% of the 14 patients included in the Phase 1b and Phase 2a portions of the trial were classified at screening to have Class III or IV disease, as defined by the Myasthenia Gravis Foundation of America, indicating they have moderate-to-severe weakness affecting their muscles.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 xml:space="preserve">The results of the Phase 2a portion of the trial, published in the </w:t>
      </w:r>
      <w:r>
        <w:rPr>
          <w:rFonts w:ascii="Times New Roman" w:cs="Times New Roman" w:eastAsia="Times New Roman" w:hAnsi="Times New Roman"/>
          <w:sz w:val="16"/>
          <w:szCs w:val="16"/>
          <w:i w:val="1"/>
          <w:iCs w:val="1"/>
          <w:color w:val="auto"/>
        </w:rPr>
        <w:t>Lancet Neurology</w:t>
      </w:r>
      <w:r>
        <w:rPr>
          <w:rFonts w:ascii="Times New Roman" w:cs="Times New Roman" w:eastAsia="Times New Roman" w:hAnsi="Times New Roman"/>
          <w:sz w:val="16"/>
          <w:szCs w:val="16"/>
          <w:color w:val="auto"/>
        </w:rPr>
        <w:t xml:space="preserve"> in July 2023, indicated that after six weekly infusions of Descartes-08, the average improvement in all disease severity scores was three-to-five-fold greater than what is considered clinically meaningful by expert consensus. As shown in the figure below, clinical improvements persisted in all patients at month nine, and in five of the seven remaining patients at a final, 12-month follow-up. Of the two participants who lost response, one was retreated and experienced rapid improvement in clinical scores which was durable after 24 months of total follow-up. A third participant lost their response after approximately 18 months and experienced another deep response after treatment that was ongoing at the most recent, 23-month follow-up. Descartes-08 was observed to be well-tolerated with no reports of dose-limiting toxicities, cytokine release syndrome or neurotoxicity.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4" w:name="page65"/>
    <w:bookmarkEnd w:id="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77470</wp:posOffset>
            </wp:positionV>
            <wp:extent cx="4660265" cy="2994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60265" cy="299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50" w:lineRule="exact"/>
        <w:rPr>
          <w:sz w:val="20"/>
          <w:szCs w:val="20"/>
          <w:color w:val="auto"/>
        </w:rPr>
      </w:pPr>
    </w:p>
    <w:p>
      <w:pPr>
        <w:ind w:left="800" w:right="1019"/>
        <w:spacing w:after="0" w:line="233" w:lineRule="auto"/>
        <w:rPr>
          <w:sz w:val="20"/>
          <w:szCs w:val="20"/>
          <w:color w:val="auto"/>
        </w:rPr>
      </w:pPr>
      <w:r>
        <w:rPr>
          <w:rFonts w:ascii="Times New Roman" w:cs="Times New Roman" w:eastAsia="Times New Roman" w:hAnsi="Times New Roman"/>
          <w:sz w:val="12"/>
          <w:szCs w:val="12"/>
          <w:color w:val="auto"/>
        </w:rPr>
        <w:t>A-C: Mean change from Baseline (line) and standard error (bands) in Myasthenia Gravis Activities of Daily Living Score (MG-ADL, A), Quantitative Myasthenia Gravis Score (QMG, B), Myasthenia Gravis Composite Score (MGC, C) during 12 months of follow-up for MG-001 participants who received six once-weekly doses (n=7). MG-ADL is self-reported; MGC and QMG are neurologist-assessed. D: Change from Baseline in MGC Score after initial dosing and retreatment in participants experiencing relapses at Month 12 and Month 18, respectively.</w:t>
      </w:r>
    </w:p>
    <w:p>
      <w:pPr>
        <w:spacing w:after="0" w:line="1" w:lineRule="exact"/>
        <w:rPr>
          <w:sz w:val="20"/>
          <w:szCs w:val="20"/>
          <w:color w:val="auto"/>
        </w:rPr>
      </w:pPr>
    </w:p>
    <w:p>
      <w:pPr>
        <w:ind w:left="800" w:right="919" w:hanging="1"/>
        <w:spacing w:after="0" w:line="225" w:lineRule="auto"/>
        <w:tabs>
          <w:tab w:leader="none" w:pos="944"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Relative change in serum anti-acetylcholine receptor antibody levels in the three participants with detectable antibodies at baseline. Each line represents one patient.</w:t>
      </w:r>
    </w:p>
    <w:p>
      <w:pPr>
        <w:spacing w:after="0" w:line="65"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All three participants with detectable anti-acetylcholine receptor antibody levels before treatment had an average 42% reduction in antibody levels by month six. These reductions deepened to 68% by month nine and persisted at month 12. In summary, we observed continued clinical improvement and autoantibody reductions after BCMA-directed mRNA CAR-T treatment for MG that persisted through the one-year follow-up period.</w:t>
      </w:r>
    </w:p>
    <w:p>
      <w:pPr>
        <w:spacing w:after="0" w:line="67"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are also conducting a Phase 2b randomized, double-blind, placebo-controlled portion of the Phase 1/2 trial, for which we reported topline results in July 2024. The trial is designed to assess the primary endpoint of the proportion of patients achieving a five-point or greater reduction in their MGC score at day 85. Patients will receive six weekly infusions at the dose established in Phase 1b (52.5 x106 cells/kg). The trial also involves a crossover component, in which any patient originally assigned to placebo will be given the opportunity to receive Descartes-08 after completing trial treatment.</w:t>
      </w:r>
    </w:p>
    <w:p>
      <w:pPr>
        <w:spacing w:after="0" w:line="71" w:lineRule="exact"/>
        <w:rPr>
          <w:sz w:val="20"/>
          <w:szCs w:val="20"/>
          <w:color w:val="auto"/>
        </w:rPr>
      </w:pPr>
    </w:p>
    <w:p>
      <w:pPr>
        <w:ind w:left="800" w:right="999"/>
        <w:spacing w:after="0" w:line="280" w:lineRule="auto"/>
        <w:rPr>
          <w:sz w:val="20"/>
          <w:szCs w:val="20"/>
          <w:color w:val="auto"/>
        </w:rPr>
      </w:pPr>
      <w:r>
        <w:rPr>
          <w:rFonts w:ascii="Times New Roman" w:cs="Times New Roman" w:eastAsia="Times New Roman" w:hAnsi="Times New Roman"/>
          <w:sz w:val="15"/>
          <w:szCs w:val="15"/>
          <w:color w:val="auto"/>
        </w:rPr>
        <w:t>Secondary endpoints are designed to assess a variety of additional clinical outcomes, including determining safety and tolerability, quantifying the clinical effect of Descartes-08 over one year, assessing changes through day 85 in QMG, MG QoL 15R, MG Composite and MG post-intervention status and comparing the effect of Descartes-08 versus placebo on MG scales through day 85 in patients who cross over from placebo to Descartes-08.</w:t>
      </w:r>
    </w:p>
    <w:p>
      <w:pPr>
        <w:spacing w:after="0" w:line="50" w:lineRule="exact"/>
        <w:rPr>
          <w:sz w:val="20"/>
          <w:szCs w:val="20"/>
          <w:color w:val="auto"/>
        </w:rPr>
      </w:pPr>
    </w:p>
    <w:p>
      <w:pPr>
        <w:ind w:left="800" w:right="879"/>
        <w:spacing w:after="0" w:line="276" w:lineRule="auto"/>
        <w:rPr>
          <w:sz w:val="20"/>
          <w:szCs w:val="20"/>
          <w:color w:val="auto"/>
        </w:rPr>
      </w:pPr>
      <w:r>
        <w:rPr>
          <w:rFonts w:ascii="Times New Roman" w:cs="Times New Roman" w:eastAsia="Times New Roman" w:hAnsi="Times New Roman"/>
          <w:sz w:val="15"/>
          <w:szCs w:val="15"/>
          <w:color w:val="auto"/>
        </w:rPr>
        <w:t>In this portion of the trial, a total of 36 heavily pre-treated, highly symptomatic patients with MG were randomized and the pre-specified primary efficacy dataset (n=26) consisted of a modified intent-to-treat (“mITT”) population of all subjects enrolled at academic medical centers who received at least one dose of Descartes-08 (n=14) or placebo (n=12) and completed at least one post-baseline MG Composite (“MGC”) score follow-up assessment. The safety dataset comprised all subjects who received at least one dose of Descartes-08 (n=19) or placebo (n=17).</w:t>
      </w:r>
    </w:p>
    <w:p>
      <w:pPr>
        <w:spacing w:after="0" w:line="53" w:lineRule="exact"/>
        <w:rPr>
          <w:sz w:val="20"/>
          <w:szCs w:val="20"/>
          <w:color w:val="auto"/>
        </w:rPr>
      </w:pPr>
    </w:p>
    <w:p>
      <w:pPr>
        <w:ind w:left="800" w:right="1019"/>
        <w:spacing w:after="0" w:line="312" w:lineRule="auto"/>
        <w:rPr>
          <w:sz w:val="20"/>
          <w:szCs w:val="20"/>
          <w:color w:val="auto"/>
        </w:rPr>
      </w:pPr>
      <w:r>
        <w:rPr>
          <w:rFonts w:ascii="Times New Roman" w:cs="Times New Roman" w:eastAsia="Times New Roman" w:hAnsi="Times New Roman"/>
          <w:sz w:val="15"/>
          <w:szCs w:val="15"/>
          <w:color w:val="auto"/>
        </w:rPr>
        <w:t>The trial achieved its primary endpoint with statistical significance in the pre-specified mITT efficacy population, with 71% (10/14) of patients treated with Descartes-08 observed to have 5-point or greater improvements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5" w:name="page66"/>
    <w:bookmarkEnd w:id="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MGC score at Month 3 compared to 25% (3/12) of patients treated with placebo (p=0.018). 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Consistent with previously reported results from the Phase 2a open-label portion of the trial, Descartes-08</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responders experienced deep improvements across the MG severity scales at Month 3 (average MG-ADL (Activities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Daily Living) = -5.6; MGC= -8.3; QMG (Quantitative MG) = -5.0; QoL-15r (Quality of Life Revised Scale) =</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-7.9). The improvements seen at Month 3 persisted or further improved in patients evaluated at their Month 4 (n=5)</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Month 6 (n=3) follow-up visits, as of the June 19, 2024 data cutoff date. Consistent with findings from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Phase 2a open-label portion of the trial, Descartes-08 was observed to be well tolerated, and adverse events were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transient and mostly mild, supporting outpatient administration without the need for lymphodepleting chemotherapy.</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There were three serious adverse events reported: a Grade 2 infusion-related reaction, a Grade 3 infusion-related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reaction and a Grade 3 herpes simplex reactivation. Notably, there were no cases of cytokine release syndrome,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 cases of immune effector cell-associated neurotoxicity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154305</wp:posOffset>
            </wp:positionV>
            <wp:extent cx="4562475" cy="4049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62475" cy="404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2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Descartes-08 for the Treatment of Systemic Lupus Erythematosus</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Overview</w:t>
      </w:r>
    </w:p>
    <w:p>
      <w:pPr>
        <w:spacing w:after="0" w:line="101"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We are also developing Descartes-08 for the treatment of SLE, a chronic autoimmune disease that causes systemic inflammation which affects multiple organ systems.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6" w:name="page67"/>
    <w:bookmarkEnd w:id="6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Background Information About Systemic Lupus Erythematosus</w:t>
      </w:r>
    </w:p>
    <w:p>
      <w:pPr>
        <w:spacing w:after="0" w:line="101" w:lineRule="exact"/>
        <w:rPr>
          <w:sz w:val="20"/>
          <w:szCs w:val="20"/>
          <w:color w:val="auto"/>
        </w:rPr>
      </w:pPr>
    </w:p>
    <w:p>
      <w:pPr>
        <w:ind w:left="800" w:right="999"/>
        <w:spacing w:after="0" w:line="273" w:lineRule="auto"/>
        <w:rPr>
          <w:sz w:val="20"/>
          <w:szCs w:val="20"/>
          <w:color w:val="auto"/>
        </w:rPr>
      </w:pPr>
      <w:r>
        <w:rPr>
          <w:rFonts w:ascii="Times New Roman" w:cs="Times New Roman" w:eastAsia="Times New Roman" w:hAnsi="Times New Roman"/>
          <w:sz w:val="15"/>
          <w:szCs w:val="15"/>
          <w:color w:val="auto"/>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 SLE is the most common form of lupus, representing approximately 70% of lupus patients, and approximately three million adults worldwide are estimated to have SLE.</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Next Steps</w:t>
      </w:r>
    </w:p>
    <w:p>
      <w:pPr>
        <w:spacing w:after="0" w:line="101"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We recently initiated a multi-center open-label single-arm Phase 2 trial, for which we have received FDA IND allowance. The primary objective of this trial is to evaluate the safety, tolerability, and manufacturing feasibility of Descartes-08 mRNA CAR-T cells administered as six once-weekly outpatient infusions of 52.5x106 cells/kg without pre-treatment chemotherapy in approximately 30 patients with SLE. We also plan to amend our existing IND application in SLE to include pediatric autoimmune disease by year-end 2024.</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plan to initiate a Phase 1/2 basket trial in juvenile MG, juvenile SLE, juvenile non-systemic idiopathic arthritis (“JIA”) and juvenile dermatomyositis (“JDM”). All four are chronic autoimmune conditions with limited treatment options. Juvenile MG and SLE are similar to the adult variants, with a more severe phenotype and greater chance of long-term disability. Non-systemic JIA is characterized by persistent joint inflammation resulting in pain, swelling, and potential long-term damage if untreated. JDM is a rare autoimmune disease in children that causes inflammation of the muscles and skin, leading to muscle weakness, skin rashes, and potential difficulty in performing daily activities if not properly managed.</w:t>
      </w:r>
    </w:p>
    <w:p>
      <w:pPr>
        <w:spacing w:after="0" w:line="73"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We expect to hold our next meeting with the FDA before year-end 2024 to discuss plans for initiating a phase 3 clinical trial.</w:t>
      </w:r>
    </w:p>
    <w:p>
      <w:pPr>
        <w:spacing w:after="0" w:line="2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Descartes-15</w:t>
      </w:r>
    </w:p>
    <w:p>
      <w:pPr>
        <w:spacing w:after="0" w:line="105"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Descartes-15 is a next-generation, autologous anti-BCMA mRNA CAR-T. Using our proprietary technology and manufacturing platform, we designed Descartes-15 to be more resistant than Descartes-08 to recycling of the CAR upon multiple antigen exposures. We believe this is a particularly important feature to increase the durability of CAR expression on the surface of these cells. We observed that Descartes-15 was 10-fold more potent than Descartes-08 in preclinical studies, as illustrated in the below charts. In November 2023, we received IND allowance from the FDA to initiate the Phase 1 trial to test the safety of Descartes-15 in patients with multiple myeloma. In September 2024, we announced that the first patient had been dosed in this Phase 1 trial.</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7" w:name="page68"/>
    <w:bookmarkEnd w:id="6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77470</wp:posOffset>
            </wp:positionV>
            <wp:extent cx="4373880" cy="2978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73880" cy="297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0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The top panel in the above graphic shows the expression of the CAR protein on Descartes-15 cells as measured by flow cytometry over a period of nine days, which is higher compared to Descartes-08 and the CAR-negative control at every time point tested. The bottom left panel shows the percentage of BCMA-positive cells killed by Descartes-15, Descartes-08 and a CAR-negative control at different ratios of CAR and target cells (1:2, 1:8 and 1:32). The bottom right panel shows the percentage of BCMA-positive targets killed by Descartes-15, Descartes-08 and a CAR-negative control cells upon second encounter with BCMA-positive targets (“repeat exposure”), and illustrates that unlike Descartes-08, Descartes-15 cells maintained their capacity to kill BCMA-positive targets.</w:t>
      </w:r>
    </w:p>
    <w:p>
      <w:pPr>
        <w:spacing w:after="0" w:line="2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Next Steps</w:t>
      </w:r>
    </w:p>
    <w:p>
      <w:pPr>
        <w:spacing w:after="0" w:line="101"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intend to leverage our preclinical and clinical observations from the Descartes-08 development program and the Descartes-15 Phase 1 program to inform our clinical strategy for Descartes-15 for the treatment of autoimmune diseases.</w:t>
      </w: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Allogeneic Product Candidate</w:t>
      </w:r>
    </w:p>
    <w:p>
      <w:pPr>
        <w:spacing w:after="0" w:line="105"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Descartes-33 is our allogeneic mRNA MSC in preclinical development for treatment of autoimmune diseases. We are developing Descartes-33 to deliver a combination of therapeutic proteins that target key drivers in the pathogenesis of autoimmunity.</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03" w:lineRule="exact"/>
        <w:rPr>
          <w:sz w:val="20"/>
          <w:szCs w:val="20"/>
          <w:color w:val="auto"/>
        </w:rPr>
      </w:pPr>
    </w:p>
    <w:p>
      <w:pPr>
        <w:ind w:left="800" w:right="919"/>
        <w:spacing w:after="0" w:line="272" w:lineRule="auto"/>
        <w:rPr>
          <w:sz w:val="20"/>
          <w:szCs w:val="20"/>
          <w:color w:val="auto"/>
        </w:rPr>
      </w:pPr>
      <w:r>
        <w:rPr>
          <w:rFonts w:ascii="Times New Roman" w:cs="Times New Roman" w:eastAsia="Times New Roman" w:hAnsi="Times New Roman"/>
          <w:sz w:val="15"/>
          <w:szCs w:val="15"/>
          <w:color w:val="auto"/>
        </w:rPr>
        <w:t>We have established wholly owned internal manufacturing and research and development capabilities, which allow us to optimize processes rapidly and in an iterative manner. Our main manufacturing facility is located in Gaithersburg, Maryland and operates under current good manufacturing practice (“cGMP”). This facility enhances our control of product quality and production schedules and costs, allowing us to move assets from discovery to preclinical to clinical development quickly. We also entered into an agreement to lease additional manufacturing space located in Frederick, Maryland to transition and expand our clinical and commercial manufacturing capabilities for our maturing pipeline of innovative mRNA cell therapies for the treatment of autoimmune disease.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8" w:name="page69"/>
    <w:bookmarkEnd w:id="6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cGMP cell manufacturing facilities, with their dedicated quality management system, are also capable of mRNA production used in Descartes-08. We manufacture Descartes-08 in-house and are typically able to process and release lots for infusion within approximately three weeks. Our autologous cell therapy product candidates, including Descartes-08, are manufactured on a patient-by-patient basis. We have optimized our manufacturing processes through over 200 cGMP runs. We also maintain FDA-reviewed human umbilical cord MSC cell collection and banking operations.</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success depends in part on our ability to obtain, maintain, protect, defend and enforce proprietary protection for our drug candidates and other discoveries, inventions, trade secrets and know-how that are critical to our business operations. Our success also depends in part on our ability to operate without infringing, misappropriating or otherwise violating the proprietary rights of others, and in part on our ability to prevent others from infringing, misappropriating or violating our proprietary rights. A discussion of risks relating to intellectual property is provided under the section titled “Risk Factors—Risks Related to Our Intellectual Property.”</w:t>
      </w:r>
    </w:p>
    <w:p>
      <w:pPr>
        <w:spacing w:after="0" w:line="71" w:lineRule="exact"/>
        <w:rPr>
          <w:sz w:val="20"/>
          <w:szCs w:val="20"/>
          <w:color w:val="auto"/>
        </w:rPr>
      </w:pPr>
    </w:p>
    <w:p>
      <w:pPr>
        <w:ind w:left="800" w:right="839"/>
        <w:spacing w:after="0" w:line="266" w:lineRule="auto"/>
        <w:rPr>
          <w:sz w:val="20"/>
          <w:szCs w:val="20"/>
          <w:color w:val="auto"/>
        </w:rPr>
      </w:pPr>
      <w:r>
        <w:rPr>
          <w:rFonts w:ascii="Times New Roman" w:cs="Times New Roman" w:eastAsia="Times New Roman" w:hAnsi="Times New Roman"/>
          <w:sz w:val="15"/>
          <w:szCs w:val="15"/>
          <w:color w:val="auto"/>
        </w:rPr>
        <w:t>We intend to continue developing intellectual property, and we intend to aggressively protect our position in key technologies. Our patents are focused on several key technologies, including the use of our mRNA CAR-T technology and other developments in our mRNA cell therapy pipeline. As of December 31, 2023, we had three issued patents worldwide, including two patents issued in the United States (U.S. Patent Nos. 10,934,337 and 11,220,535) and one issued outside the United States (Japanese Patent No. 7,379,654), all three of which are composition-of-matter patents and are set to expire on March 13, 2040. Additionally, as of December 31, 2023, we had seven patent applications pending worldwide, including four U.S. applications and three applications outside the United States. A patent granted on U.S. Patent Application No. 17/540,947 will be set to expire on March 13, 2040, and a patent granted on U.S. Patent Application No. 17/919,092 will be set to expire on April 15, 2041, barring any potential patent term adjustment or terminal disclaimers. Both of these U.S. patent applications are directed to compositions of matter. In addition, PCT/US2024/020251 was filed on March 15, 2024 and claimed priority to U.S. provisional application No. 63/491,038, a composition-of-matter and method-of-use provisional application that was pending as of December 31, 2023, and any national stage application based on PCT/US2024/020251 will be set to expire on March 15, 2044. Also, PCT/US2024/020815 was filed on March 20, 2024 and claimed priority to U.S. provisional application No. 63/491,282, a composition-of-matter and method-of-use provisional application that was pending as of December 31, 2023, and any national stage applications based on PCT/US2024/020815 will be set to expire on March 20, 2044. In addition, a patent granted on EP patent application 20773688.5 will be set to expire on March 13, 2040; a patent granted on EP patent application 21789568.9 will be set to expire on April 14, 2041; and any patent granted on a national stage application based on PCT/US2022/074244, will be set to expire on July 28, 2042. All three of these patent applications were pending as of December 31, 2023, and are composition-of-matter applications. In addition, we had two registered marks protecting our brand and prospective products both domestically and internationally. With respect to the legacy Selecta assets, as of December 31, 2023, we had (i) 233 issued patents worldwide, including 20 patents issued in the United States and 213 issued outside the United States, set to expire on various dates in 2032 through 2043, (ii) 476 patent applications pending worldwide, including 42 U.S. applications and 434 applications outside the United States and (iii) two registered marks.</w:t>
      </w:r>
    </w:p>
    <w:p>
      <w:pPr>
        <w:spacing w:after="0" w:line="25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“Risk Factors—Risks Related to Our Intellectual Property.”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9" w:name="page70"/>
    <w:bookmarkEnd w:id="6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Key Agreements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Biogen License Agreement</w:t>
      </w:r>
    </w:p>
    <w:p>
      <w:pPr>
        <w:spacing w:after="0" w:line="103"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On September 8, 2023, we entered into the Biogen Agreement with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w:t>
      </w:r>
    </w:p>
    <w:p>
      <w:pPr>
        <w:spacing w:after="0" w:line="5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may terminate the Biogen Agreement for any reason or no reason, and Biogen may terminate the agreement after a notice-and-cure period of 30 days if we fail to pay a fee owed to Biogen or for any other material breach of the agreement. The Biogen Agreement will otherwise expire when all claims of all issued patents within the patents and patent applications licensed to us under the Biogen Agreement have expired or been finally rendered revoked, invalid or unenforceable by a decision of a court or government agency.</w:t>
      </w:r>
    </w:p>
    <w:p>
      <w:pPr>
        <w:spacing w:after="0" w:line="68"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NCI License Agreement</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Effective September 16, 2019, we entered into the NCI Agreement with NCI.</w:t>
      </w:r>
    </w:p>
    <w:p>
      <w:pPr>
        <w:spacing w:after="0" w:line="101"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spacing w:after="0" w:line="6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In connection with our entry into the NCI Agreement, we paid to NCI a one-time $100,000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w:t>
      </w:r>
    </w:p>
    <w:p>
      <w:pPr>
        <w:spacing w:after="0" w:line="68"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Under the NCI Agreement, we must use reasonable commercial efforts to bring licensed products and licensed processes to the point of Practical Application (as defined in the NCI Agreement). Upon our first commercial sale, we must use reasonable commercial efforts to make licensed products and licensed processes reasonably accessible to the United States public. After our first commercial sale, we must make reasonable quantities of licensed products or materials produced via licensed processes available to patient assistance programs and develop educational materials detailing the licensed products. Unless we obtain a waiver from NCI, we must have licensed products and licensed processes manufactured substantially in the United States. Prior to the first commercial sale, upon NCI’s request, we are obligated to provide NCI with commercially reasonable quantities of licensed products made through licensed processes to be used for in vitro research.</w:t>
      </w:r>
    </w:p>
    <w:p>
      <w:pPr>
        <w:spacing w:after="0" w:line="7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Additionally, we must use reasonable commercial efforts to initiate a Phase 3 clinical trial of a licensed product by the fourth quarter of 2024, submit a biologics license application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The NCI License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0" w:name="page71"/>
    <w:bookmarkEnd w:id="7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 NCI has the right to terminate this agreement, after giving written notice and providing a cure period in accordance with its terms, if we are in default of a material obligation. We have the unilateral right to terminate the agreement in any country or territory by giving NCI 60 days’ written notice. We agreed to indemnify NCI against any liability arising out of our, sublicensees’ or third parties’ use of the licensed patent rights and licensed products or licensed processes developed in connection with the licensed patent rights.</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Sobi License Agreement</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June 11, 2020, we entered into the Sobi License with Sobi. Pursuant to the Sobi License, we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which we refer to as the Compound, and ImmTOR. Pursuant to the Sobi License, in consideration of the license, Sobi agreed to pay us a one-time, upfront payment of $75.0 million. Sobi has also agreed to make milestone payments totaling up to</w:t>
      </w:r>
    </w:p>
    <w:p>
      <w:pPr>
        <w:spacing w:after="0" w:line="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$630.0 million to us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74"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Pursuant to the Sobi License, we agreed to supply (at cost) quantities of the Compound and ImmTOR as necessary for completion of the two Phase 3 clinical trials of SEL-212 (DISSOLVE I and DISSOLVE II) and a six-month placebo extension. We were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agreed to reimburse us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IND, BLA, and marketing authorization applications relating to the licensed product.</w:t>
      </w:r>
    </w:p>
    <w:p>
      <w:pPr>
        <w:spacing w:after="0" w:line="7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transactions contemplated by the Sobi License were consummated on July 28, 2020. Sobi may terminate the Sobi License for any reason upon 180 days’ written notice, whereby all rights granted under the Sobi License would revert back to us. In addition, if Sobi were to terminate the Sobi License, we have the option to obtain a license to all patents and know-how necessary to exploit SEL-212 in existence as of the termination date from Sobi in return for making an equitable royalty payment to Sobi.</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68"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73"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The key competitive factors affecting the success of any other cell therapy product candidates that we develop, if approved, are likely to be their efficacy, safety, convenience, price, the level of generic competition and the availability of reimbursement from government and other third-party payors.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1" w:name="page72"/>
    <w:bookmarkEnd w:id="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6" w:lineRule="auto"/>
        <w:rPr>
          <w:sz w:val="20"/>
          <w:szCs w:val="20"/>
          <w:color w:val="auto"/>
        </w:rPr>
      </w:pPr>
      <w:r>
        <w:rPr>
          <w:rFonts w:ascii="Times New Roman" w:cs="Times New Roman" w:eastAsia="Times New Roman" w:hAnsi="Times New Roman"/>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5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Descartes-08 may compete with products of other companies in the MG market, including Argenx SE, UCB S.A., Johnson &amp; Johnson, Alexion Pharmaceuticals, Inc. and Cabaletta Bio, Inc.</w:t>
      </w:r>
    </w:p>
    <w:p>
      <w:pPr>
        <w:spacing w:after="0" w:line="50"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Other companies developing CAR-T therapies include large, fully integrated pharmaceutical companies such as Novartis AG, Gilead Sciences, Inc., through its Kite Pharma, Inc. subsidiary, Bristol-Myers Squibb Company, AstraZeneca PLC and Janssen Pharmaceuticals, Inc. and biopharmaceutical companies such as Kyverna Therapeutics, Inc. and Cabaletta Bio, Inc.</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6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believe our cell therapy product candidates are subject to regulation in the United States as “biologics” or “biological products.” We expect to seek approval of Descartes-08 through a single BLA reviewed by FDA’s Center for Biologics Evaluation and Research (“CBER”).</w:t>
      </w:r>
    </w:p>
    <w:p>
      <w:pPr>
        <w:spacing w:after="0" w:line="62"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Biological products are subject to regulation under the Federal Food, Drug, and Cosmetic Act (“FD&amp;C Act”) and the Public Health Service Act (“PHS Act”), and other federal, state, local and foreign statutes and regulations. Descartes-08 and any other product candidates that we develop must be approved by the FDA before they may be legally marketed in the United States and by the appropriate foreign regulatory agency before they may be legally marketed in foreign countries.</w:t>
      </w:r>
    </w:p>
    <w:p>
      <w:pPr>
        <w:spacing w:after="0" w:line="68"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We regard our mRNA-modified products as cell therapy products and not as genetic engineering or gene therapy products, because mRNA modifications are not embodied in DNA or incorporated into a genome. However, it is possible that in some jurisdictions, regulations on genetic engineering or genetic therapy may intentionally or unintentionally apply to our technology. This could create additional regulatory burden.</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U.S. Biological Products Development Process</w:t>
      </w:r>
    </w:p>
    <w:p>
      <w:pPr>
        <w:spacing w:after="0" w:line="105"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process required by the FDA before a biologic, including a cell therapy, may be marketed in the United States is summarized below.</w:t>
      </w:r>
    </w:p>
    <w:p>
      <w:pPr>
        <w:spacing w:after="0" w:line="5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requirements including good laboratory practices (“GLPs”).</w:t>
      </w:r>
    </w:p>
    <w:p>
      <w:pPr>
        <w:spacing w:after="0" w:line="6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non-compliance with regulatory requirements, or other issues.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(“IBC”), that reviews and oversees research utilizing recombinant or synthetic nucleic acid molecules at an institution participating in a clinical trial.</w:t>
      </w:r>
    </w:p>
    <w:p>
      <w:pPr>
        <w:spacing w:after="0" w:line="77"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Clinical trials are conducted under protocols detailing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2" w:name="page73"/>
    <w:bookmarkEnd w:id="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monitored in accordance with the FDA’s regulations, including with respect to GCP requirements, including the requirement that all research subjects provide informed consent. Further, each clinical study must be reviewed and approved by an IRB at or servicing each institution at which the clinical study will be conducted. Human clinical trials are typically conducted in three sequential phases that may overlap or be combined:</w:t>
      </w:r>
    </w:p>
    <w:p>
      <w:pPr>
        <w:spacing w:after="0" w:line="67" w:lineRule="exact"/>
        <w:rPr>
          <w:sz w:val="20"/>
          <w:szCs w:val="20"/>
          <w:color w:val="auto"/>
        </w:rPr>
      </w:pPr>
    </w:p>
    <w:p>
      <w:pPr>
        <w:ind w:left="1740" w:right="839" w:hanging="628"/>
        <w:spacing w:after="0" w:line="257" w:lineRule="auto"/>
        <w:rPr>
          <w:sz w:val="20"/>
          <w:szCs w:val="20"/>
          <w:color w:val="auto"/>
        </w:rPr>
      </w:pPr>
      <w:r>
        <w:rPr>
          <w:rFonts w:ascii="Times New Roman" w:cs="Times New Roman" w:eastAsia="Times New Roman" w:hAnsi="Times New Roman"/>
          <w:sz w:val="16"/>
          <w:szCs w:val="16"/>
          <w:color w:val="auto"/>
        </w:rPr>
        <w:t>Phase 1. The biological product candidate is evaluated in a limited population of patients or healthy volunteers to identify the maximum tolerated dose, recommended Phase 2 dose, possible adverse effects and safety risks. For the types of products and therapeutic areas we focus on, Phase 1 studies will generally be done in patients and not healthy volunteers.</w:t>
      </w:r>
    </w:p>
    <w:p>
      <w:pPr>
        <w:spacing w:after="0" w:line="67" w:lineRule="exact"/>
        <w:rPr>
          <w:sz w:val="20"/>
          <w:szCs w:val="20"/>
          <w:color w:val="auto"/>
        </w:rPr>
      </w:pPr>
    </w:p>
    <w:p>
      <w:pPr>
        <w:jc w:val="both"/>
        <w:ind w:left="1740" w:right="939" w:hanging="628"/>
        <w:spacing w:after="0" w:line="262" w:lineRule="auto"/>
        <w:rPr>
          <w:sz w:val="20"/>
          <w:szCs w:val="20"/>
          <w:color w:val="auto"/>
        </w:rPr>
      </w:pPr>
      <w:r>
        <w:rPr>
          <w:rFonts w:ascii="Times New Roman" w:cs="Times New Roman" w:eastAsia="Times New Roman" w:hAnsi="Times New Roman"/>
          <w:sz w:val="16"/>
          <w:szCs w:val="16"/>
          <w:color w:val="auto"/>
        </w:rPr>
        <w:t>Phase 2. The biological product candidate is evaluated in a broader population to evaluate safety further and preliminarily evaluate the efficacy of the product for specific targeted diseases, and to determine the optimal dosing schedule.</w:t>
      </w:r>
    </w:p>
    <w:p>
      <w:pPr>
        <w:spacing w:after="0" w:line="62" w:lineRule="exact"/>
        <w:rPr>
          <w:sz w:val="20"/>
          <w:szCs w:val="20"/>
          <w:color w:val="auto"/>
        </w:rPr>
      </w:pPr>
    </w:p>
    <w:p>
      <w:pPr>
        <w:ind w:left="1740" w:right="959" w:hanging="628"/>
        <w:spacing w:after="0" w:line="257" w:lineRule="auto"/>
        <w:rPr>
          <w:sz w:val="20"/>
          <w:szCs w:val="20"/>
          <w:color w:val="auto"/>
        </w:rPr>
      </w:pPr>
      <w:r>
        <w:rPr>
          <w:rFonts w:ascii="Times New Roman" w:cs="Times New Roman" w:eastAsia="Times New Roman" w:hAnsi="Times New Roman"/>
          <w:sz w:val="16"/>
          <w:szCs w:val="16"/>
          <w:color w:val="auto"/>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candidate and provide an adequate basis for product labeling.</w:t>
      </w:r>
    </w:p>
    <w:p>
      <w:pPr>
        <w:spacing w:after="0" w:line="67"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Cell and gene therapy products may differ from the traditional clinical trial phases. For example, clinical trials for cell and gene therapy products are often structured as a hybrid Phase 1/2 study where a small group of participants with the disease are enrolled and both safety and efficacy tests are performed.</w:t>
      </w:r>
    </w:p>
    <w:p>
      <w:pPr>
        <w:spacing w:after="0" w:line="62"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FDA or the sponsor or a separate data safety monitoring board may suspend or terminate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 or otherwise in the interest of patient welfare.</w:t>
      </w:r>
    </w:p>
    <w:p>
      <w:pPr>
        <w:spacing w:after="0" w:line="68"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Sponsors of clinical trials of FDA-regulated products, including biologics, are also required to register and disclose certain clinical trial information, which is publicly available at www.clinicaltrials.gov.</w:t>
      </w:r>
    </w:p>
    <w:p>
      <w:pPr>
        <w:spacing w:after="0" w:line="5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(“PREA”), a BLA or supplement to a BLA must contain a pediatric assessment unless the applicant has obtained a waiver or deferral. Pediatric assessment contains data gathered from pediatric studies using appropriate formulations for each age group for which the assessment is required and other data adequate to assess the safety and effectiveness of the biological product candidate for the claimed indications in all relevant pediatric subpopulations and to support dosing and administration for each pediatric subpopulation for which the product is safe and effective. Sponsors with an application for a new active ingredient, new indication, new dosage form, new dosing regimen, or new route of administration must submit an initial Pediatric Study Plan (“PSP”) (or a deferral or waiver, as appropriate) within 60 days of an end-of-Phase 2 meeting or as may be agreed between the sponsor and FDA. Unless otherwise required by regulation, PREA does not apply to any biological product for an indication for which orphan designation has been granted.</w:t>
      </w:r>
    </w:p>
    <w:p>
      <w:pPr>
        <w:spacing w:after="0" w:line="72" w:lineRule="exact"/>
        <w:rPr>
          <w:sz w:val="20"/>
          <w:szCs w:val="20"/>
          <w:color w:val="auto"/>
        </w:rPr>
      </w:pPr>
    </w:p>
    <w:p>
      <w:pPr>
        <w:ind w:left="800" w:right="1219"/>
        <w:spacing w:after="0" w:line="257" w:lineRule="auto"/>
        <w:rPr>
          <w:sz w:val="20"/>
          <w:szCs w:val="20"/>
          <w:color w:val="auto"/>
        </w:rPr>
      </w:pPr>
      <w:r>
        <w:rPr>
          <w:rFonts w:ascii="Times New Roman" w:cs="Times New Roman" w:eastAsia="Times New Roman" w:hAnsi="Times New Roman"/>
          <w:sz w:val="16"/>
          <w:szCs w:val="16"/>
          <w:color w:val="auto"/>
        </w:rPr>
        <w:t>Under the Prescription Drug Fee User Act, as amended (“PDUFA”), each BLA must be accompanied by a substantial user fee. Fee waiver or reductions are available under certain circumstances, including for the first application filed by a small business. In addition, no user fees are assessed on BLAs on products designated as orphan drugs unless the product also includes a non-orphan indication.</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Within 60 days following submission of the application, the FDA conducts a preliminary review of a BLA to determine whether they are sufficiently complete to permit substantive review. The FDA may request additional information before deciding whether to accept a BLA for filing. The FDA may refuse to file any BLA that it deems incomplete or otherwise not reviewable and may request additional information. If the submission 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3" w:name="page74"/>
    <w:bookmarkEnd w:id="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accepted for filing, the FDA substantively reviews the BLA to determine, among other things, whether the proposed product is safe, pure and potent, and manufactured in accordance with appropriate procedures and controls to ensure product quality.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The FDA may waive the review by an advisory committee and is not bound by the recommendation of an advisory committee, but it often follows such recommendations. During the biological product approval process, the FDA also will review proposed product labeling and will determine whether a REMS is necessary to assure the safe use of the biological product candidate. If the FDA concludes a REMS is needed, the sponsor of the BLA must submit a proposed REMS; the FDA will not approve the BLA without a REMS, if required.</w:t>
      </w:r>
    </w:p>
    <w:p>
      <w:pPr>
        <w:spacing w:after="0" w:line="71" w:lineRule="exact"/>
        <w:rPr>
          <w:sz w:val="20"/>
          <w:szCs w:val="20"/>
          <w:color w:val="auto"/>
        </w:rPr>
      </w:pPr>
    </w:p>
    <w:p>
      <w:pPr>
        <w:jc w:val="both"/>
        <w:ind w:left="800" w:right="1139"/>
        <w:spacing w:after="0" w:line="262" w:lineRule="auto"/>
        <w:rPr>
          <w:sz w:val="20"/>
          <w:szCs w:val="20"/>
          <w:color w:val="auto"/>
        </w:rPr>
      </w:pPr>
      <w:r>
        <w:rPr>
          <w:rFonts w:ascii="Times New Roman" w:cs="Times New Roman" w:eastAsia="Times New Roman" w:hAnsi="Times New Roman"/>
          <w:sz w:val="16"/>
          <w:szCs w:val="16"/>
          <w:color w:val="auto"/>
        </w:rPr>
        <w:t>Before approving a BLA, the FDA will inspect the facilities in which the product is manufactured to determine whether the manufacturing processes and facilities are in compliance with cGMPs. The FDA may also audit the clinical investigation sites to determine that they have complied with good clinical practices.</w:t>
      </w:r>
    </w:p>
    <w:p>
      <w:pPr>
        <w:spacing w:after="0" w:line="62"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Notwithstanding the submission of relevant data and information, the FDA may ultimately deny approval or seek additional information from the applicant. Data obtained from clinical trials are not always conclusive and the FDA may interpret data differently than the applicant interprets the same data. The FDA may also raise questions about product manufacturing and quality control.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7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One of the performance goals agreed to by the FDA under PDUFA is to review 90% of standard BLAs in 10 months from the filing date and 90% of priority BLAs in six months from the filing date, whereupon a review decision is to be made. Two additional months are added to these timelines for new molecular entities. The FDA does not always meet its PDUFA goal dates for standard and priority BLAs.</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Orphan Designation</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Prior to the submission of a BLA, 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Descartes-08 has been granted Orphan Drug Designation for the treatment of MG.</w:t>
      </w:r>
    </w:p>
    <w:p>
      <w:pPr>
        <w:spacing w:after="0" w:line="2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Expedited Development and Review Programs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The FDA offers various programs, including the Fast Track program, Breakthrough Therapy designation, and the RMAT designation that are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4" w:name="page75"/>
    <w:bookmarkEnd w:id="7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treatment, diagnosis, or prevention compared to available therapies.</w:t>
      </w:r>
    </w:p>
    <w:p>
      <w:pPr>
        <w:spacing w:after="0" w:line="6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Additionally, a product may be eligible for accelerated approval.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The Food and Drug Omnibus Reform Act of 2022 (“FDORA”), added the failure to conduct post-approval studies with due diligence or to submit timely progress reports on such studies to the list of prohibited acts under the FD&amp;C Act, which means that any such failures, whether they result from a sponsor’s actions or the actions of third parties, could provide the basis for enforcement actions. In addition, the FDA currently requires as a condition for accelerated approval that promotional materials be submitted prior to use, which could adversely impact the timing of the commercial launch of the product.</w:t>
      </w:r>
    </w:p>
    <w:p>
      <w:pPr>
        <w:spacing w:after="0" w:line="74"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under the provisions of The Food and Drug Safety and Innovation Act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Fast Track, priority review, accelerated approval, and breakthrough therapy designations do not change the standards for approval and may not necessarily expedite the development or approval process.</w:t>
      </w:r>
    </w:p>
    <w:p>
      <w:pPr>
        <w:spacing w:after="0" w:line="71"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In 2016, the 21st Century Cures Act established what the FDA describes as a regenerative medicine adventure therapy (“RMAT”) designation. The RMAT designation program is intended to facilitate an efficient development program for, and expedite review of, any product that meets the following criteria: (i) the product qualifies as an RMAT, which is defined as a cell therapy, therapeutic tissue engineering product, human cell and tissue product, or any combination product using such therapies or products, with limited exceptions; (ii) the product is intended to treat, modify, reverse, or cure a serious or life-threatening disease or condition; and (iii) preliminary clinical evidence indicates that the product has the potential to address unmet medical needs for such a disease or condition. RMAT designation provides all the benefits of Breakthrough Therapy Designation, including early interactions to discuss any potential surrogate or intermediate endpoints to be used to support accelerated approval, eligibility for rolling review and potential eligibility for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as appropriate. Descartes-08 has been granted RMAT designation for the treatment of MG.</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Post-approval Requirements</w:t>
      </w:r>
    </w:p>
    <w:p>
      <w:pPr>
        <w:spacing w:after="0" w:line="105"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5" w:name="page76"/>
    <w:bookmarkEnd w:id="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We also must comply with the FDA’s advertising and promotion requirements, such as the prohibition on promoting products for uses or in patient populations that are not described in the product’s approved labeling, known as “off-label use,” and the requirement to balance information provided about a product’s benefits with important safety information.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expensive and onerous government investigations, and adverse publicity.</w:t>
      </w:r>
    </w:p>
    <w:p>
      <w:pPr>
        <w:spacing w:after="0" w:line="70" w:lineRule="exact"/>
        <w:rPr>
          <w:sz w:val="20"/>
          <w:szCs w:val="20"/>
          <w:color w:val="auto"/>
        </w:rPr>
      </w:pPr>
    </w:p>
    <w:p>
      <w:pPr>
        <w:ind w:left="800" w:right="1319"/>
        <w:spacing w:after="0" w:line="288" w:lineRule="auto"/>
        <w:rPr>
          <w:sz w:val="20"/>
          <w:szCs w:val="20"/>
          <w:color w:val="auto"/>
        </w:rPr>
      </w:pPr>
      <w:r>
        <w:rPr>
          <w:rFonts w:ascii="Times New Roman" w:cs="Times New Roman" w:eastAsia="Times New Roman" w:hAnsi="Times New Roman"/>
          <w:sz w:val="15"/>
          <w:szCs w:val="15"/>
          <w:color w:val="auto"/>
        </w:rPr>
        <w:t>Conventional DNA-modified CAR-T cell products have been subject to extensive post-approval surveillance requirements. Because the mRNA of our products is temporary, we do not believe that our mRNA-modified products will be subject to requirements of this nature, although other post-approval requirements will apply.</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Biosimilars and Exclusivity</w:t>
      </w:r>
    </w:p>
    <w:p>
      <w:pPr>
        <w:spacing w:after="0" w:line="105"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The ACA includes a subtitle called the BPCIA, which created an abbreviated approval pathway for biological products that are biosimilar to or interchangeable with an FDA-licensed reference biological product.</w:t>
      </w:r>
    </w:p>
    <w:p>
      <w:pPr>
        <w:spacing w:after="0" w:line="2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The FDA has approved a number of products under these provisions.</w:t>
      </w:r>
    </w:p>
    <w:p>
      <w:pPr>
        <w:spacing w:after="0" w:line="62"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To the Company’s knowledge, the definition of “biosimilar” with regard to an mRNA-modified cell therapy has not been expressly stated in statute, regulation, or guidance, and has not been reviewed by a court. The regulatory pathway for a biosimilar to one of our products thus remains somewhat uncertain.</w:t>
      </w:r>
    </w:p>
    <w:p>
      <w:pPr>
        <w:spacing w:after="0" w:line="62"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A biological product may also obtain pediatric exclusivity in the United States. For a biological product, pediatric exclusivity, if granted, adds six months to existing regulatory exclusivity periods. This six-month exclusivity, which runs from the end of other exclusivity protection, may be granted based on the voluntary completion of a pediatric study in accordance with an FDA-issued “Written Request” for such a study or studies.</w:t>
      </w:r>
    </w:p>
    <w:p>
      <w:pPr>
        <w:spacing w:after="0" w:line="77"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The BPCIA is complex and continues to be interpreted and implemented by the FDA. As a result, the ultimate impact, implementation and meaning of the BPCIA is subject to significant uncertainty.</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 Outside of the United States</w:t>
      </w:r>
    </w:p>
    <w:p>
      <w:pPr>
        <w:spacing w:after="0" w:line="105"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Whether or not we obtain FDA approval for a product, we must obtain the requisite approvals from regulatory authorities in countries outside the United States prior to the commencement of clinical studies or marketing of the product in those countries.</w:t>
      </w:r>
    </w:p>
    <w:p>
      <w:pPr>
        <w:spacing w:after="0" w:line="62"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6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In the European Economic Area (“EEA”), which is composed of the 27 member states of the European Union (“EU”), plus Norway, Iceland and Liechtenstein, medicinal products can only be commercialized after obtaining a Marketing Authorization (“MA”). There are two types of MAs.</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EU MA, which is issued by the European Commission through the Centralized Procedure, is based on the opinion of the Committee for Medicinal Products for Human Use (“CHMP”) of the European Medicines Agency (“EMA”), and which is valid throughout the entire territory of the EEA. The Centralized Procedure is mandatory for certain types of products, such as biotechnology medicinal products, orphan medicinal products, advanced therapy medicinal products (comprising gene therapy, somatic cell therapy and tissue engineered products),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6" w:name="page77"/>
    <w:bookmarkEnd w:id="7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39"/>
        <w:spacing w:after="0" w:line="252" w:lineRule="auto"/>
        <w:rPr>
          <w:sz w:val="20"/>
          <w:szCs w:val="20"/>
          <w:color w:val="auto"/>
        </w:rPr>
      </w:pPr>
      <w:r>
        <w:rPr>
          <w:rFonts w:ascii="Times New Roman" w:cs="Times New Roman" w:eastAsia="Times New Roman" w:hAnsi="Times New Roman"/>
          <w:sz w:val="16"/>
          <w:szCs w:val="16"/>
          <w:color w:val="auto"/>
        </w:rPr>
        <w:t>among others. The Centralized Procedure is optional for other products containing a new active substance not yet authorized in the EEA, or for other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w:t>
      </w:r>
    </w:p>
    <w:p>
      <w:pPr>
        <w:spacing w:after="0" w:line="7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To obtain regulatory approval of medical product under EU regulatory systems, we must submit a marketing authorization application, which is similar to the U.S. BLA. The EU also provides opportunities for market exclusivity. Upon receiving marketing authorization, “new active substances” generally receive eight years of data exclusivity, which prevents regulatory authorities in the EU from referencing the innovator’s data to assess a generic or biosimilar application, and an additional two years of market exclusivity, during which no generic or biosimilar product can be marketed. However, there is no guarantee that a product will be considered by the EU’s regulatory authorities to be a new active substance, and products may not qualify for data exclusivity. Products receiving orphan designation in the EU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7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The criteria for designating an “orphan medicinal product” in the EU are similar in principle to those in the United States. Under Article 3 of Regulation (EC) 141/2000, a medicinal product may be designated as orphan if (i) it is intended for the diagnosis, prevention or treatment of a life-threatening or chronically debilitating condition; (ii) either (a) such condition affects no more than five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certain financial and exclusivity incentives.</w:t>
      </w:r>
    </w:p>
    <w:p>
      <w:pPr>
        <w:spacing w:after="0" w:line="7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For other countries outside of the EU,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67"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When conducting clinical trials in the EU, we must adhere to the provisions of the EU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w:t>
      </w:r>
    </w:p>
    <w:p>
      <w:pPr>
        <w:spacing w:after="0" w:line="7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7" w:name="page78"/>
    <w:bookmarkEnd w:id="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2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Other Healthcare Laws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other third parties on the other. The majority of states also similar have anti-kickback laws, which in some cases apply to items and services reimbursed by private insurance.</w:t>
      </w:r>
    </w:p>
    <w:p>
      <w:pPr>
        <w:spacing w:after="0" w:line="7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Manufacturers can be held liable under false claims laws, even if they do not submit claims to the government, where they are found to have caused submission of false claims by, among other things, providing incorrect coding or billing advice about their products to customers that file claims, or by engaging or off-label promotion to customers that file claims.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Many states also have similar fraud and abuse statutes or regulations that apply to items and services reimbursed under Medicaid and other state programs, or, in several states, apply regardless of the payor.</w:t>
      </w:r>
    </w:p>
    <w:p>
      <w:pPr>
        <w:spacing w:after="0" w:line="6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7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In addition, the Physician Payments Sunshine Act requires applicable manufacturers to annually report certain payments and “transfers of value” provided to physicians (defined to include doctors, dentists, optometrists, podiatrists and chiropractors), certain other health care providers, as well as ownership and investment interests held by physicians and their immediate family members.</w:t>
      </w:r>
    </w:p>
    <w:p>
      <w:pPr>
        <w:spacing w:after="0" w:line="67"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Sanctions under these federal and state fraud and abuse laws may include civil monetary penalties and criminal fines, exclusion from government healthcare programs, and imprisonment.</w:t>
      </w:r>
    </w:p>
    <w:p>
      <w:pPr>
        <w:spacing w:after="0" w:line="50" w:lineRule="exact"/>
        <w:rPr>
          <w:sz w:val="20"/>
          <w:szCs w:val="20"/>
          <w:color w:val="auto"/>
        </w:rPr>
      </w:pPr>
    </w:p>
    <w:p>
      <w:pPr>
        <w:ind w:left="800" w:right="1019"/>
        <w:spacing w:after="0" w:line="280" w:lineRule="auto"/>
        <w:rPr>
          <w:sz w:val="20"/>
          <w:szCs w:val="20"/>
          <w:color w:val="auto"/>
        </w:rPr>
      </w:pPr>
      <w:r>
        <w:rPr>
          <w:rFonts w:ascii="Times New Roman" w:cs="Times New Roman" w:eastAsia="Times New Roman" w:hAnsi="Times New Roman"/>
          <w:sz w:val="15"/>
          <w:szCs w:val="15"/>
          <w:color w:val="auto"/>
        </w:rPr>
        <w:t>We may also be subject to data privacy and security regulation by both the federal government and the states in which we conduct our business. HIPAA, as amended by HITECH and their respective implementing regulations, impose specified requirements relating to the privacy, security and transmission of individually identifiable health information held by covered entities and their business associates. Among other things, HITECH made HIPAA’s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8" w:name="page79"/>
    <w:bookmarkEnd w:id="7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w:t>
      </w:r>
    </w:p>
    <w:p>
      <w:pPr>
        <w:spacing w:after="0" w:line="2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105"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62" w:lineRule="exact"/>
        <w:rPr>
          <w:sz w:val="20"/>
          <w:szCs w:val="20"/>
          <w:color w:val="auto"/>
        </w:rPr>
      </w:pPr>
    </w:p>
    <w:p>
      <w:pPr>
        <w:ind w:left="800" w:right="1039"/>
        <w:spacing w:after="0" w:line="253" w:lineRule="auto"/>
        <w:rPr>
          <w:sz w:val="20"/>
          <w:szCs w:val="20"/>
          <w:color w:val="auto"/>
        </w:rPr>
      </w:pPr>
      <w:r>
        <w:rPr>
          <w:rFonts w:ascii="Times New Roman" w:cs="Times New Roman" w:eastAsia="Times New Roman" w:hAnsi="Times New Roman"/>
          <w:sz w:val="16"/>
          <w:szCs w:val="16"/>
          <w:color w:val="auto"/>
        </w:rPr>
        <w:t>Federal, state and local governments in the U.S. have established and continue to consider policies to limit the growth of healthcare costs, including the cost of prescription drugs.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prescription drugs.</w:t>
      </w:r>
    </w:p>
    <w:p>
      <w:pPr>
        <w:spacing w:after="0" w:line="71"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At the federal level, for example, the Inflation Reduction Act of 2022 (“IRA”), was signed into law. Key provisions of the IRA include the following, among others:</w:t>
      </w:r>
    </w:p>
    <w:p>
      <w:pPr>
        <w:spacing w:after="0" w:line="50" w:lineRule="exact"/>
        <w:rPr>
          <w:sz w:val="20"/>
          <w:szCs w:val="20"/>
          <w:color w:val="auto"/>
        </w:rPr>
      </w:pPr>
    </w:p>
    <w:p>
      <w:pPr>
        <w:ind w:left="1420" w:right="1419" w:hanging="305"/>
        <w:spacing w:after="0" w:line="277" w:lineRule="auto"/>
        <w:tabs>
          <w:tab w:leader="none" w:pos="14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requires manufacturers to pay rebates for Medicare Part B and Part D drugs whose price increases exceed inflation.</w:t>
      </w:r>
    </w:p>
    <w:p>
      <w:pPr>
        <w:spacing w:after="0" w:line="50" w:lineRule="exact"/>
        <w:rPr>
          <w:rFonts w:ascii="Times New Roman" w:cs="Times New Roman" w:eastAsia="Times New Roman" w:hAnsi="Times New Roman"/>
          <w:sz w:val="16"/>
          <w:szCs w:val="16"/>
          <w:color w:val="auto"/>
        </w:rPr>
      </w:pPr>
    </w:p>
    <w:p>
      <w:pPr>
        <w:ind w:left="1420" w:right="859" w:hanging="305"/>
        <w:spacing w:after="0" w:line="280"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IRA eliminates the so-called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50" w:lineRule="exact"/>
        <w:rPr>
          <w:rFonts w:ascii="Times New Roman" w:cs="Times New Roman" w:eastAsia="Times New Roman" w:hAnsi="Times New Roman"/>
          <w:sz w:val="15"/>
          <w:szCs w:val="15"/>
          <w:color w:val="auto"/>
        </w:rPr>
      </w:pPr>
    </w:p>
    <w:p>
      <w:pPr>
        <w:ind w:left="1420" w:right="1059" w:hanging="305"/>
        <w:spacing w:after="0" w:line="277" w:lineRule="auto"/>
        <w:tabs>
          <w:tab w:leader="none" w:pos="14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delays the rebate rule that would require pass through of pharmacy benefit manager rebates to beneficiaries.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9" w:name="page80"/>
    <w:bookmarkEnd w:id="7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19" w:hanging="305"/>
        <w:spacing w:after="0" w:line="251"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directs the Centers for Medicare and Medicaid Services (“CMS”), to engage in price-capped negotiation for certain Medicare Part B and Part D products. Specifically, the IRA’s Price Negotiation Program applies to high-expenditure single-source drugs and biologics that have been approved for at least seven or 11 years, respectively, among other negotiation selection criteria, beginning with 10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Manufacturers that fail to comply with the IRA may be subject to various penalties, including civil monetary penalties or a potential excise tax. The IRA permits the Secretary of Health and Human Services (the “HHS Secretary”)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71" w:lineRule="exact"/>
        <w:rPr>
          <w:sz w:val="20"/>
          <w:szCs w:val="20"/>
          <w:color w:val="auto"/>
        </w:rPr>
      </w:pPr>
    </w:p>
    <w:p>
      <w:pPr>
        <w:ind w:left="800" w:right="859"/>
        <w:spacing w:after="0" w:line="273" w:lineRule="auto"/>
        <w:rPr>
          <w:sz w:val="20"/>
          <w:szCs w:val="20"/>
          <w:color w:val="auto"/>
        </w:rPr>
      </w:pPr>
      <w:r>
        <w:rPr>
          <w:rFonts w:ascii="Times New Roman" w:cs="Times New Roman" w:eastAsia="Times New Roman" w:hAnsi="Times New Roman"/>
          <w:sz w:val="15"/>
          <w:szCs w:val="15"/>
          <w:color w:val="auto"/>
        </w:rPr>
        <w:t>In addition, other legislative changes have been proposed and adopted in the United States.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w:t>
      </w:r>
    </w:p>
    <w:p>
      <w:pPr>
        <w:spacing w:after="0" w:line="58"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The Biden administration has indicated that lowering prescription drug prices is a priority. On October 14, 2022, President Biden signed an executive order to lower prescription drug costs for Americans. In response to this directive, the HHS Secretary announced and the Center for Medicare and Medicaid Innovation is developing three new models intended to lower drug costs under Medicare and Medicaid, including establishing a new approach for administering outcomes-based agreements for cell and gene therapies. President Biden also signed an executive order on July 9, 2021 affirming the administration’s policy to, among other things, support legislative reforms that would lower the prices of prescription drugs, including by supporting the development and market entry of lower-cost generic drugs and biosimilars, and support the enactment of a public health insurance option. Among other things, the executive order directs the HHS Secretary to provide a report on actions to combat excessive pricing of prescription drugs, continue to clarify and improve the approval framework for generic drugs and identify and address any efforts to impede generic drug competition, enhance the domestic drug supply chain, reduce the price that the federal government pays for drugs, and address price gouging in the industry. The executive order also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In response, authorities in Canada have passed rules designed to safeguard the Canadian drug supply from shortages. On January 5, 2024, the FDA authorized Florida’s Agency for Health Care Administration’s drug importation proposal, the first step toward Florida facilitating importation of certain prescription drugs from Canada.</w:t>
      </w:r>
    </w:p>
    <w:p>
      <w:pPr>
        <w:spacing w:after="0" w:line="200" w:lineRule="exact"/>
        <w:rPr>
          <w:sz w:val="20"/>
          <w:szCs w:val="20"/>
          <w:color w:val="auto"/>
        </w:rPr>
      </w:pP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Employees and Human Capital Resources</w:t>
      </w:r>
    </w:p>
    <w:p>
      <w:pPr>
        <w:spacing w:after="0" w:line="105"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At Cartesian Therapeutics, we consider human capital to be an essential driver of our business and successful strategy creation and execution. Our people, driven by our collaborative, pioneering, and patient-focused culture, propel our business forward, strengthening us for long-term success.</w:t>
      </w:r>
    </w:p>
    <w:p>
      <w:pPr>
        <w:spacing w:after="0" w:line="62"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As of December 31, 2023, we had 38 employees, 26 of whom are primarily engaged in research and development activities and 12 in corporate functions. 37 of our employees are employed by us on a full-time basis. 73.6% of our employees have at least one of a Masters, PhD, or MD degree. All employees reside and work in the United States and our employees are not represented by a labor union. We consider our employee relations to be strong and in good standing.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0" w:name="page81"/>
    <w:bookmarkEnd w:id="8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human resources solutions, coupled with an intentional culture dialog aimed to drive a high engagement, high performance, patient centric culture.</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Employees are also eligible to receive an annual cash bonus and to participate in a 401(k) retirement plan with an industry competitive company match.</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Properties</w:t>
      </w:r>
    </w:p>
    <w:p>
      <w:pPr>
        <w:spacing w:after="0" w:line="105"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Our corporate headquarters are currently located at 704 Quince Orchard Road, Gaithersburg, Maryland and consists of 7,909 total square feet of leased office, laboratory, and manufacturing space under a lease that expires in January 2027. Additionally, we lease approximately 29,050 square feet consisting of integrated manufacturing and office space in Frederick, Maryland under a lease that expires in June 2031, and we lease approximately 32,294 total square feet of office and laboratory space in Watertown, Massachusetts under a lease that expires in May 2028.</w:t>
      </w:r>
    </w:p>
    <w:p>
      <w:pPr>
        <w:spacing w:after="0" w:line="2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We are not party to any material legal proceedings.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1" w:name="page82"/>
    <w:bookmarkEnd w:id="8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 PRICE AND DIVIDENDS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ticker symbol “RNAC.” We have not applied to list, and we do not plan to list, the Series A Preferred Stock or Series B Preferred Stock on any national securities exchange. As of September 3, 2024, there were 115 holders of record of our Common Stock.</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provides information on our equity compensation plans as of December 31, 2023.</w:t>
      </w:r>
    </w:p>
    <w:p>
      <w:pPr>
        <w:spacing w:after="0" w:line="19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20" w:type="dxa"/>
            <w:vAlign w:val="bottom"/>
          </w:tcPr>
          <w:p>
            <w:pPr>
              <w:spacing w:after="0"/>
              <w:rPr>
                <w:sz w:val="12"/>
                <w:szCs w:val="12"/>
                <w:color w:val="auto"/>
              </w:rPr>
            </w:pPr>
          </w:p>
        </w:tc>
        <w:tc>
          <w:tcPr>
            <w:tcW w:w="11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Number of securities</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Number of securities</w:t>
            </w:r>
          </w:p>
        </w:tc>
        <w:tc>
          <w:tcPr>
            <w:tcW w:w="120" w:type="dxa"/>
            <w:vAlign w:val="bottom"/>
          </w:tcPr>
          <w:p>
            <w:pPr>
              <w:spacing w:after="0"/>
              <w:rPr>
                <w:sz w:val="11"/>
                <w:szCs w:val="11"/>
                <w:color w:val="auto"/>
              </w:rPr>
            </w:pPr>
          </w:p>
        </w:tc>
        <w:tc>
          <w:tcPr>
            <w:tcW w:w="96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 of</w:t>
            </w:r>
          </w:p>
        </w:tc>
        <w:tc>
          <w:tcPr>
            <w:tcW w:w="120" w:type="dxa"/>
            <w:vAlign w:val="bottom"/>
          </w:tcPr>
          <w:p>
            <w:pPr>
              <w:spacing w:after="0"/>
              <w:rPr>
                <w:sz w:val="11"/>
                <w:szCs w:val="11"/>
                <w:color w:val="auto"/>
              </w:rPr>
            </w:pPr>
          </w:p>
        </w:tc>
        <w:tc>
          <w:tcPr>
            <w:tcW w:w="116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remaining available</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to be issued upon</w:t>
            </w:r>
          </w:p>
        </w:tc>
        <w:tc>
          <w:tcPr>
            <w:tcW w:w="120" w:type="dxa"/>
            <w:vAlign w:val="bottom"/>
          </w:tcPr>
          <w:p>
            <w:pPr>
              <w:spacing w:after="0"/>
              <w:rPr>
                <w:sz w:val="11"/>
                <w:szCs w:val="11"/>
                <w:color w:val="auto"/>
              </w:rPr>
            </w:pPr>
          </w:p>
        </w:tc>
        <w:tc>
          <w:tcPr>
            <w:tcW w:w="960" w:type="dxa"/>
            <w:vAlign w:val="bottom"/>
            <w:gridSpan w:val="4"/>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1"/>
                <w:szCs w:val="11"/>
                <w:color w:val="auto"/>
              </w:rPr>
            </w:pPr>
          </w:p>
        </w:tc>
        <w:tc>
          <w:tcPr>
            <w:tcW w:w="116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for future issuance</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of outstanding</w:t>
            </w:r>
          </w:p>
        </w:tc>
        <w:tc>
          <w:tcPr>
            <w:tcW w:w="120" w:type="dxa"/>
            <w:vAlign w:val="bottom"/>
          </w:tcPr>
          <w:p>
            <w:pPr>
              <w:spacing w:after="0"/>
              <w:rPr>
                <w:sz w:val="11"/>
                <w:szCs w:val="11"/>
                <w:color w:val="auto"/>
              </w:rPr>
            </w:pPr>
          </w:p>
        </w:tc>
        <w:tc>
          <w:tcPr>
            <w:tcW w:w="96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20" w:type="dxa"/>
            <w:vAlign w:val="bottom"/>
          </w:tcPr>
          <w:p>
            <w:pPr>
              <w:spacing w:after="0"/>
              <w:rPr>
                <w:sz w:val="11"/>
                <w:szCs w:val="11"/>
                <w:color w:val="auto"/>
              </w:rPr>
            </w:pPr>
          </w:p>
        </w:tc>
        <w:tc>
          <w:tcPr>
            <w:tcW w:w="116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 equity</w:t>
            </w:r>
          </w:p>
        </w:tc>
        <w:tc>
          <w:tcPr>
            <w:tcW w:w="0" w:type="dxa"/>
            <w:vAlign w:val="bottom"/>
          </w:tcPr>
          <w:p>
            <w:pPr>
              <w:spacing w:after="0"/>
              <w:rPr>
                <w:sz w:val="1"/>
                <w:szCs w:val="1"/>
                <w:color w:val="auto"/>
              </w:rPr>
            </w:pPr>
          </w:p>
        </w:tc>
      </w:tr>
      <w:tr>
        <w:trPr>
          <w:trHeight w:val="129"/>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20" w:type="dxa"/>
            <w:vAlign w:val="bottom"/>
          </w:tcPr>
          <w:p>
            <w:pPr>
              <w:spacing w:after="0"/>
              <w:rPr>
                <w:sz w:val="11"/>
                <w:szCs w:val="11"/>
                <w:color w:val="auto"/>
              </w:rPr>
            </w:pPr>
          </w:p>
        </w:tc>
        <w:tc>
          <w:tcPr>
            <w:tcW w:w="1300" w:type="dxa"/>
            <w:vAlign w:val="bottom"/>
            <w:gridSpan w:val="3"/>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stock options, warrants</w:t>
            </w:r>
          </w:p>
        </w:tc>
        <w:tc>
          <w:tcPr>
            <w:tcW w:w="120" w:type="dxa"/>
            <w:vAlign w:val="bottom"/>
          </w:tcPr>
          <w:p>
            <w:pPr>
              <w:spacing w:after="0"/>
              <w:rPr>
                <w:sz w:val="11"/>
                <w:szCs w:val="11"/>
                <w:color w:val="auto"/>
              </w:rPr>
            </w:pPr>
          </w:p>
        </w:tc>
        <w:tc>
          <w:tcPr>
            <w:tcW w:w="960" w:type="dxa"/>
            <w:vAlign w:val="bottom"/>
            <w:gridSpan w:val="4"/>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warrants and</w:t>
            </w:r>
          </w:p>
        </w:tc>
        <w:tc>
          <w:tcPr>
            <w:tcW w:w="120" w:type="dxa"/>
            <w:vAlign w:val="bottom"/>
          </w:tcPr>
          <w:p>
            <w:pPr>
              <w:spacing w:after="0"/>
              <w:rPr>
                <w:sz w:val="11"/>
                <w:szCs w:val="11"/>
                <w:color w:val="auto"/>
              </w:rPr>
            </w:pPr>
          </w:p>
        </w:tc>
        <w:tc>
          <w:tcPr>
            <w:tcW w:w="116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compensation</w:t>
            </w:r>
          </w:p>
        </w:tc>
        <w:tc>
          <w:tcPr>
            <w:tcW w:w="0" w:type="dxa"/>
            <w:vAlign w:val="bottom"/>
          </w:tcPr>
          <w:p>
            <w:pPr>
              <w:spacing w:after="0"/>
              <w:rPr>
                <w:sz w:val="1"/>
                <w:szCs w:val="1"/>
                <w:color w:val="auto"/>
              </w:rPr>
            </w:pPr>
          </w:p>
        </w:tc>
      </w:tr>
      <w:tr>
        <w:trPr>
          <w:trHeight w:val="190"/>
        </w:trPr>
        <w:tc>
          <w:tcPr>
            <w:tcW w:w="3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and rights</w:t>
            </w:r>
          </w:p>
        </w:tc>
        <w:tc>
          <w:tcPr>
            <w:tcW w:w="120" w:type="dxa"/>
            <w:vAlign w:val="bottom"/>
          </w:tcPr>
          <w:p>
            <w:pPr>
              <w:spacing w:after="0"/>
              <w:rPr>
                <w:sz w:val="16"/>
                <w:szCs w:val="16"/>
                <w:color w:val="auto"/>
              </w:rPr>
            </w:pPr>
          </w:p>
        </w:tc>
        <w:tc>
          <w:tcPr>
            <w:tcW w:w="960" w:type="dxa"/>
            <w:vAlign w:val="bottom"/>
            <w:tcBorders>
              <w:bottom w:val="single" w:sz="8" w:color="auto"/>
            </w:tcBorders>
            <w:gridSpan w:val="4"/>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0"/>
              </w:rPr>
              <w:t>rights</w:t>
            </w:r>
            <w:r>
              <w:rPr>
                <w:rFonts w:ascii="Times New Roman" w:cs="Times New Roman" w:eastAsia="Times New Roman" w:hAnsi="Times New Roman"/>
                <w:sz w:val="21"/>
                <w:szCs w:val="21"/>
                <w:b w:val="1"/>
                <w:bCs w:val="1"/>
                <w:color w:val="auto"/>
                <w:w w:val="90"/>
                <w:vertAlign w:val="superscript"/>
              </w:rPr>
              <w:t>(1)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line="190" w:lineRule="exact"/>
              <w:rPr>
                <w:sz w:val="20"/>
                <w:szCs w:val="20"/>
                <w:color w:val="auto"/>
              </w:rPr>
            </w:pPr>
            <w:r>
              <w:rPr>
                <w:rFonts w:ascii="Times New Roman" w:cs="Times New Roman" w:eastAsia="Times New Roman" w:hAnsi="Times New Roman"/>
                <w:sz w:val="13"/>
                <w:szCs w:val="13"/>
                <w:b w:val="1"/>
                <w:bCs w:val="1"/>
                <w:color w:val="auto"/>
                <w:w w:val="91"/>
              </w:rPr>
              <w:t>plans</w:t>
            </w:r>
            <w:r>
              <w:rPr>
                <w:rFonts w:ascii="Times New Roman" w:cs="Times New Roman" w:eastAsia="Times New Roman" w:hAnsi="Times New Roman"/>
                <w:sz w:val="21"/>
                <w:szCs w:val="21"/>
                <w:b w:val="1"/>
                <w:bCs w:val="1"/>
                <w:color w:val="auto"/>
                <w:w w:val="91"/>
                <w:vertAlign w:val="superscript"/>
              </w:rPr>
              <w:t>(2)</w:t>
            </w:r>
          </w:p>
        </w:tc>
        <w:tc>
          <w:tcPr>
            <w:tcW w:w="0" w:type="dxa"/>
            <w:vAlign w:val="bottom"/>
          </w:tcPr>
          <w:p>
            <w:pPr>
              <w:spacing w:after="0"/>
              <w:rPr>
                <w:sz w:val="1"/>
                <w:szCs w:val="1"/>
                <w:color w:val="auto"/>
              </w:rPr>
            </w:pPr>
          </w:p>
        </w:tc>
      </w:tr>
      <w:tr>
        <w:trPr>
          <w:trHeight w:val="161"/>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6"/>
                <w:szCs w:val="16"/>
                <w:color w:val="auto"/>
              </w:rPr>
              <w:t>holders</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line="226"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(4)</w:t>
            </w:r>
          </w:p>
        </w:tc>
        <w:tc>
          <w:tcPr>
            <w:tcW w:w="5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ind w:left="100"/>
              <w:spacing w:after="0" w:line="226"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(4)</w:t>
            </w:r>
          </w:p>
        </w:tc>
        <w:tc>
          <w:tcPr>
            <w:tcW w:w="1280" w:type="dxa"/>
            <w:vAlign w:val="bottom"/>
            <w:gridSpan w:val="4"/>
            <w:shd w:val="clear" w:color="auto" w:fill="CCEEFF"/>
          </w:tcPr>
          <w:p>
            <w:pPr>
              <w:jc w:val="right"/>
              <w:ind w:right="120"/>
              <w:spacing w:after="0" w:line="226" w:lineRule="exact"/>
              <w:rPr>
                <w:sz w:val="20"/>
                <w:szCs w:val="20"/>
                <w:color w:val="auto"/>
              </w:rPr>
            </w:pPr>
            <w:r>
              <w:rPr>
                <w:rFonts w:ascii="Times New Roman" w:cs="Times New Roman" w:eastAsia="Times New Roman" w:hAnsi="Times New Roman"/>
                <w:sz w:val="16"/>
                <w:szCs w:val="16"/>
                <w:color w:val="auto"/>
              </w:rPr>
              <w:t>795,941</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177"/>
        </w:trPr>
        <w:tc>
          <w:tcPr>
            <w:tcW w:w="36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160"/>
              <w:spacing w:after="0" w:line="238" w:lineRule="exact"/>
              <w:rPr>
                <w:sz w:val="20"/>
                <w:szCs w:val="20"/>
                <w:color w:val="auto"/>
              </w:rPr>
            </w:pPr>
            <w:r>
              <w:rPr>
                <w:rFonts w:ascii="Times New Roman" w:cs="Times New Roman" w:eastAsia="Times New Roman" w:hAnsi="Times New Roman"/>
                <w:sz w:val="16"/>
                <w:szCs w:val="16"/>
                <w:color w:val="auto"/>
              </w:rPr>
              <w:t>holders</w:t>
            </w:r>
            <w:r>
              <w:rPr>
                <w:rFonts w:ascii="Times New Roman" w:cs="Times New Roman" w:eastAsia="Times New Roman" w:hAnsi="Times New Roman"/>
                <w:sz w:val="26"/>
                <w:szCs w:val="26"/>
                <w:color w:val="auto"/>
                <w:vertAlign w:val="superscript"/>
              </w:rPr>
              <w:t>(6)</w:t>
            </w:r>
          </w:p>
        </w:tc>
        <w:tc>
          <w:tcPr>
            <w:tcW w:w="360" w:type="dxa"/>
            <w:vAlign w:val="bottom"/>
            <w:gridSpan w:val="2"/>
          </w:tcPr>
          <w:p>
            <w:pPr>
              <w:spacing w:after="0"/>
              <w:rPr>
                <w:sz w:val="20"/>
                <w:szCs w:val="20"/>
                <w:color w:val="auto"/>
              </w:rPr>
            </w:pPr>
          </w:p>
        </w:tc>
        <w:tc>
          <w:tcPr>
            <w:tcW w:w="1060" w:type="dxa"/>
            <w:vAlign w:val="bottom"/>
            <w:gridSpan w:val="2"/>
          </w:tcPr>
          <w:p>
            <w:pPr>
              <w:jc w:val="right"/>
              <w:ind w:right="100"/>
              <w:spacing w:after="0" w:line="238" w:lineRule="exact"/>
              <w:rPr>
                <w:sz w:val="20"/>
                <w:szCs w:val="20"/>
                <w:color w:val="auto"/>
              </w:rPr>
            </w:pPr>
            <w:r>
              <w:rPr>
                <w:rFonts w:ascii="Times New Roman" w:cs="Times New Roman" w:eastAsia="Times New Roman" w:hAnsi="Times New Roman"/>
                <w:sz w:val="16"/>
                <w:szCs w:val="16"/>
                <w:color w:val="auto"/>
                <w:w w:val="93"/>
              </w:rPr>
              <w:t>790,977.299</w:t>
            </w:r>
            <w:r>
              <w:rPr>
                <w:rFonts w:ascii="Times New Roman" w:cs="Times New Roman" w:eastAsia="Times New Roman" w:hAnsi="Times New Roman"/>
                <w:sz w:val="26"/>
                <w:szCs w:val="26"/>
                <w:color w:val="auto"/>
                <w:w w:val="93"/>
                <w:vertAlign w:val="superscript"/>
              </w:rPr>
              <w:t>(7)</w:t>
            </w:r>
          </w:p>
        </w:tc>
        <w:tc>
          <w:tcPr>
            <w:tcW w:w="1080" w:type="dxa"/>
            <w:vAlign w:val="bottom"/>
            <w:gridSpan w:val="5"/>
          </w:tcPr>
          <w:p>
            <w:pPr>
              <w:ind w:left="420"/>
              <w:spacing w:after="0"/>
              <w:rPr>
                <w:sz w:val="20"/>
                <w:szCs w:val="20"/>
                <w:color w:val="auto"/>
              </w:rPr>
            </w:pPr>
            <w:r>
              <w:rPr>
                <w:rFonts w:ascii="Times New Roman" w:cs="Times New Roman" w:eastAsia="Times New Roman" w:hAnsi="Times New Roman"/>
                <w:sz w:val="16"/>
                <w:szCs w:val="16"/>
                <w:color w:val="auto"/>
              </w:rPr>
              <w:t>$4.34</w:t>
            </w:r>
          </w:p>
        </w:tc>
        <w:tc>
          <w:tcPr>
            <w:tcW w:w="1280" w:type="dxa"/>
            <w:vAlign w:val="bottom"/>
            <w:gridSpan w:val="4"/>
          </w:tcPr>
          <w:p>
            <w:pPr>
              <w:jc w:val="right"/>
              <w:ind w:right="120"/>
              <w:spacing w:after="0" w:line="238" w:lineRule="exact"/>
              <w:rPr>
                <w:sz w:val="20"/>
                <w:szCs w:val="20"/>
                <w:color w:val="auto"/>
              </w:rPr>
            </w:pPr>
            <w:r>
              <w:rPr>
                <w:rFonts w:ascii="Times New Roman" w:cs="Times New Roman" w:eastAsia="Times New Roman" w:hAnsi="Times New Roman"/>
                <w:sz w:val="16"/>
                <w:szCs w:val="16"/>
                <w:color w:val="auto"/>
              </w:rPr>
              <w:t>278,360</w:t>
            </w:r>
            <w:r>
              <w:rPr>
                <w:rFonts w:ascii="Times New Roman" w:cs="Times New Roman" w:eastAsia="Times New Roman" w:hAnsi="Times New Roman"/>
                <w:sz w:val="26"/>
                <w:szCs w:val="26"/>
                <w:color w:val="auto"/>
                <w:vertAlign w:val="superscript"/>
              </w:rPr>
              <w:t>(8)</w:t>
            </w:r>
          </w:p>
        </w:tc>
        <w:tc>
          <w:tcPr>
            <w:tcW w:w="0" w:type="dxa"/>
            <w:vAlign w:val="bottom"/>
          </w:tcPr>
          <w:p>
            <w:pPr>
              <w:spacing w:after="0"/>
              <w:rPr>
                <w:sz w:val="1"/>
                <w:szCs w:val="1"/>
                <w:color w:val="auto"/>
              </w:rPr>
            </w:pPr>
          </w:p>
        </w:tc>
      </w:tr>
      <w:tr>
        <w:trPr>
          <w:trHeight w:val="258"/>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CCEEFF"/>
            </w:tcBorders>
            <w:gridSpan w:val="2"/>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790,977.</w:t>
            </w:r>
            <w:r>
              <w:rPr>
                <w:rFonts w:ascii="Times New Roman" w:cs="Times New Roman" w:eastAsia="Times New Roman" w:hAnsi="Times New Roman"/>
                <w:sz w:val="16"/>
                <w:szCs w:val="16"/>
                <w:u w:val="single" w:color="auto"/>
                <w:color w:val="auto"/>
                <w:w w:val="97"/>
              </w:rPr>
              <w:t>299</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4.34</w:t>
            </w:r>
          </w:p>
        </w:tc>
        <w:tc>
          <w:tcPr>
            <w:tcW w:w="3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1,074,301</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135890</wp:posOffset>
            </wp:positionV>
            <wp:extent cx="7239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33" w:lineRule="exact"/>
        <w:rPr>
          <w:sz w:val="20"/>
          <w:szCs w:val="20"/>
          <w:color w:val="auto"/>
        </w:rPr>
      </w:pPr>
    </w:p>
    <w:p>
      <w:pPr>
        <w:ind w:left="1100" w:hanging="301"/>
        <w:spacing w:after="0"/>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weighted-average exercise price of outstanding options and is calculated without taking into account outstanding RSUs.</w:t>
      </w:r>
    </w:p>
    <w:p>
      <w:pPr>
        <w:spacing w:after="0" w:line="28" w:lineRule="exact"/>
        <w:rPr>
          <w:rFonts w:ascii="Times New Roman" w:cs="Times New Roman" w:eastAsia="Times New Roman" w:hAnsi="Times New Roman"/>
          <w:sz w:val="13"/>
          <w:szCs w:val="13"/>
          <w:color w:val="auto"/>
        </w:rPr>
      </w:pPr>
    </w:p>
    <w:p>
      <w:pPr>
        <w:ind w:left="1100" w:right="839" w:hanging="301"/>
        <w:spacing w:after="0" w:line="217"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terms of the 2016 Plan, the number of shares of Common Stock available for issuance under the 2016 Plan automatically increases on each January 1, until and including January 1, 2034, by an amount equal to the lesser of: (a) 4% of the number of shares of the Company’s Common Stock outstanding on the last day of the applicable preceding calendar year and (b) such smaller number of shares as is determined by our Board of Directors. Pursuant to the terms of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of Directors.</w:t>
      </w:r>
    </w:p>
    <w:p>
      <w:pPr>
        <w:spacing w:after="0" w:line="15"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2016 Plan and the 2016 ESPP.</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no outstanding stock options, warrants or rights under the 2016 Plan and the 2016 ESPP as of December 31, 2023.</w:t>
      </w:r>
    </w:p>
    <w:p>
      <w:pPr>
        <w:spacing w:after="0" w:line="28" w:lineRule="exact"/>
        <w:rPr>
          <w:rFonts w:ascii="Times New Roman" w:cs="Times New Roman" w:eastAsia="Times New Roman" w:hAnsi="Times New Roman"/>
          <w:sz w:val="13"/>
          <w:szCs w:val="13"/>
          <w:color w:val="auto"/>
        </w:rPr>
      </w:pPr>
    </w:p>
    <w:p>
      <w:pPr>
        <w:ind w:left="1100" w:right="859" w:hanging="301"/>
        <w:spacing w:after="0" w:line="237"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750,146 shares of Common Stock available for issuance under the 2016 Plan and 45,795 shares of Common Stock available for issuance under the 2016 ESPP.</w:t>
      </w:r>
    </w:p>
    <w:p>
      <w:pPr>
        <w:spacing w:after="0" w:line="13" w:lineRule="exact"/>
        <w:rPr>
          <w:rFonts w:ascii="Times New Roman" w:cs="Times New Roman" w:eastAsia="Times New Roman" w:hAnsi="Times New Roman"/>
          <w:sz w:val="13"/>
          <w:szCs w:val="13"/>
          <w:color w:val="auto"/>
        </w:rPr>
      </w:pPr>
    </w:p>
    <w:p>
      <w:pPr>
        <w:ind w:left="1100" w:right="879" w:hanging="301"/>
        <w:spacing w:after="0" w:line="223"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2018 Plan and the Old Cartesian Plan. 1,247,268 shares of Common Stock are issuable upon exercise of outstanding stock options under the Old Cartesian Plan at a weighted-average exercise price of $2.76. See Note 13 to our consolidated audited financial statements as of and for the year ended December 31, 2023 included elsewhere in the registration statement of which this prospectus forms a part for a description of the material features of the 2018 Plan and the Old Cartesian Plan.</w:t>
      </w:r>
    </w:p>
    <w:p>
      <w:pPr>
        <w:spacing w:after="0" w:line="14" w:lineRule="exact"/>
        <w:rPr>
          <w:rFonts w:ascii="Times New Roman" w:cs="Times New Roman" w:eastAsia="Times New Roman" w:hAnsi="Times New Roman"/>
          <w:sz w:val="13"/>
          <w:szCs w:val="13"/>
          <w:color w:val="auto"/>
        </w:rPr>
      </w:pPr>
    </w:p>
    <w:p>
      <w:pPr>
        <w:ind w:left="1100" w:right="879" w:hanging="301"/>
        <w:spacing w:after="0" w:line="220"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outstanding options to purchase 776,865 shares of Common Stock and to purchase 14,112.299 shares of Series A Preferred Stock, convertible to 470,403 shares of Common Stock, under the Old Cartesian Plan and no outstanding stock options, warrants or rights under the 2018 Plan as of December 31, 2023. Following the automatic conversion of the majority of our Series A Preferred Stock into Common Stock on April 8, 2024 (the “Series A Preferred Stock Automatic Conversion”), the options exercisable for 14,112.299 shares of Series A Preferred Stock became exercisable for Common Stock.</w:t>
      </w:r>
    </w:p>
    <w:p>
      <w:pPr>
        <w:spacing w:after="0" w:line="15" w:lineRule="exact"/>
        <w:rPr>
          <w:rFonts w:ascii="Times New Roman" w:cs="Times New Roman" w:eastAsia="Times New Roman" w:hAnsi="Times New Roman"/>
          <w:sz w:val="13"/>
          <w:szCs w:val="13"/>
          <w:color w:val="auto"/>
        </w:rPr>
      </w:pPr>
    </w:p>
    <w:p>
      <w:pPr>
        <w:ind w:left="1100" w:right="979" w:hanging="301"/>
        <w:spacing w:after="0" w:line="237"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150,043 shares of Common Stock available for issuance under the 2018 Plan and 128,317 shares of Common Stock available for issuance under the Old Cartesian Plan.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2" w:name="page83"/>
    <w:bookmarkEnd w:id="8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3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03" w:lineRule="exact"/>
        <w:rPr>
          <w:sz w:val="20"/>
          <w:szCs w:val="20"/>
          <w:color w:val="auto"/>
        </w:rPr>
      </w:pPr>
    </w:p>
    <w:p>
      <w:pPr>
        <w:ind w:left="800" w:right="899"/>
        <w:spacing w:after="0" w:line="280" w:lineRule="auto"/>
        <w:rPr>
          <w:sz w:val="20"/>
          <w:szCs w:val="20"/>
          <w:color w:val="auto"/>
        </w:rPr>
      </w:pPr>
      <w:r>
        <w:rPr>
          <w:rFonts w:ascii="Times New Roman" w:cs="Times New Roman" w:eastAsia="Times New Roman" w:hAnsi="Times New Roman"/>
          <w:sz w:val="15"/>
          <w:szCs w:val="15"/>
          <w:color w:val="auto"/>
        </w:rPr>
        <w:t>Our Board of Directors currently consists of nine directors and is divided into three classes. Each class serves for three years, with the terms of office of the respective classes expiring in successive years. Directors in Class III will stand for election at our Annual Meeting expected to be held in 2025. The terms of office of directors in Class I and Class II do not expire until the annual meetings of stockholders to be held in 2026 and 2027, respectively.</w:t>
      </w:r>
    </w:p>
    <w:p>
      <w:pPr>
        <w:spacing w:after="0" w:line="50"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Our current directors, and their ages as of July 29, 2024, position with Cartesian and length of board service are provided in the table below. Additional biographical descriptions of each director are set forth in the text below the table. These descriptions include the primary individual experience, qualifications, qualities and skills of each of our directors.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Served as a</w:t>
            </w: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Director</w:t>
            </w:r>
          </w:p>
        </w:tc>
        <w:tc>
          <w:tcPr>
            <w:tcW w:w="100" w:type="dxa"/>
            <w:vAlign w:val="bottom"/>
          </w:tcPr>
          <w:p>
            <w:pPr>
              <w:spacing w:after="0"/>
              <w:rPr>
                <w:sz w:val="11"/>
                <w:szCs w:val="11"/>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0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3"/>
              </w:rPr>
              <w:t>Director</w:t>
            </w:r>
          </w:p>
        </w:tc>
        <w:tc>
          <w:tcPr>
            <w:tcW w:w="80" w:type="dxa"/>
            <w:vAlign w:val="bottom"/>
          </w:tcPr>
          <w:p>
            <w:pPr>
              <w:spacing w:after="0"/>
              <w:rPr>
                <w:sz w:val="11"/>
                <w:szCs w:val="11"/>
                <w:color w:val="auto"/>
              </w:rPr>
            </w:pPr>
          </w:p>
        </w:tc>
        <w:tc>
          <w:tcPr>
            <w:tcW w:w="3620" w:type="dxa"/>
            <w:vAlign w:val="bottom"/>
            <w:vMerge w:val="restart"/>
          </w:tcPr>
          <w:p>
            <w:pPr>
              <w:ind w:left="1120"/>
              <w:spacing w:after="0"/>
              <w:rPr>
                <w:sz w:val="20"/>
                <w:szCs w:val="20"/>
                <w:color w:val="auto"/>
              </w:rPr>
            </w:pPr>
            <w:r>
              <w:rPr>
                <w:rFonts w:ascii="Times New Roman" w:cs="Times New Roman" w:eastAsia="Times New Roman" w:hAnsi="Times New Roman"/>
                <w:sz w:val="13"/>
                <w:szCs w:val="13"/>
                <w:b w:val="1"/>
                <w:bCs w:val="1"/>
                <w:color w:val="auto"/>
              </w:rPr>
              <w:t>Position(s) with Cartesian</w:t>
            </w:r>
          </w:p>
        </w:tc>
        <w:tc>
          <w:tcPr>
            <w:tcW w:w="0" w:type="dxa"/>
            <w:vAlign w:val="bottom"/>
          </w:tcPr>
          <w:p>
            <w:pPr>
              <w:spacing w:after="0"/>
              <w:rPr>
                <w:sz w:val="1"/>
                <w:szCs w:val="1"/>
                <w:color w:val="auto"/>
              </w:rPr>
            </w:pPr>
          </w:p>
        </w:tc>
      </w:tr>
      <w:tr>
        <w:trPr>
          <w:trHeight w:val="167"/>
        </w:trPr>
        <w:tc>
          <w:tcPr>
            <w:tcW w:w="2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Since</w:t>
            </w:r>
          </w:p>
        </w:tc>
        <w:tc>
          <w:tcPr>
            <w:tcW w:w="80" w:type="dxa"/>
            <w:vAlign w:val="bottom"/>
          </w:tcPr>
          <w:p>
            <w:pPr>
              <w:spacing w:after="0"/>
              <w:rPr>
                <w:sz w:val="14"/>
                <w:szCs w:val="14"/>
                <w:color w:val="auto"/>
              </w:rPr>
            </w:pPr>
          </w:p>
        </w:tc>
        <w:tc>
          <w:tcPr>
            <w:tcW w:w="3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 Directors: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Michael Singer, M.D., Ph.D.</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50</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3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76</w:t>
            </w:r>
          </w:p>
        </w:tc>
        <w:tc>
          <w:tcPr>
            <w:tcW w:w="7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2016</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77</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2017</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 Directors: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66</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2019</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p>
        </w:tc>
        <w:tc>
          <w:tcPr>
            <w:tcW w:w="3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51</w:t>
            </w:r>
          </w:p>
        </w:tc>
        <w:tc>
          <w:tcPr>
            <w:tcW w:w="7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Kemal Malik, MBBS</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61</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III Directors: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71</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2016</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3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54</w:t>
            </w:r>
          </w:p>
        </w:tc>
        <w:tc>
          <w:tcPr>
            <w:tcW w:w="7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2018</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51</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800" w:right="899"/>
        <w:spacing w:after="0" w:line="268" w:lineRule="auto"/>
        <w:rPr>
          <w:sz w:val="20"/>
          <w:szCs w:val="20"/>
          <w:color w:val="auto"/>
        </w:rPr>
      </w:pPr>
      <w:r>
        <w:rPr>
          <w:rFonts w:ascii="Times New Roman" w:cs="Times New Roman" w:eastAsia="Times New Roman" w:hAnsi="Times New Roman"/>
          <w:sz w:val="15"/>
          <w:szCs w:val="15"/>
          <w:i w:val="1"/>
          <w:iCs w:val="1"/>
          <w:color w:val="auto"/>
        </w:rPr>
        <w:t>Michael Singer, M.D., Ph.D</w:t>
      </w:r>
      <w:r>
        <w:rPr>
          <w:rFonts w:ascii="Times New Roman" w:cs="Times New Roman" w:eastAsia="Times New Roman" w:hAnsi="Times New Roman"/>
          <w:sz w:val="15"/>
          <w:szCs w:val="15"/>
          <w:color w:val="auto"/>
        </w:rPr>
        <w:t>. Dr. Singer co-founded and served as Chief Scientific Officer, later Chief Strategy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 and Chairman of the Board of Old Cartesian from 2016 until its acquisition by the Company in 2023. Prior to Old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w:t>
      </w:r>
    </w:p>
    <w:p>
      <w:pPr>
        <w:spacing w:after="0" w:line="3" w:lineRule="exact"/>
        <w:rPr>
          <w:sz w:val="20"/>
          <w:szCs w:val="20"/>
          <w:color w:val="auto"/>
        </w:rPr>
      </w:pPr>
    </w:p>
    <w:p>
      <w:pPr>
        <w:ind w:left="800" w:right="1159"/>
        <w:spacing w:after="0" w:line="250" w:lineRule="auto"/>
        <w:rPr>
          <w:sz w:val="20"/>
          <w:szCs w:val="20"/>
          <w:color w:val="auto"/>
        </w:rPr>
      </w:pPr>
      <w:r>
        <w:rPr>
          <w:rFonts w:ascii="Times New Roman" w:cs="Times New Roman" w:eastAsia="Times New Roman" w:hAnsi="Times New Roman"/>
          <w:sz w:val="16"/>
          <w:szCs w:val="16"/>
          <w:color w:val="auto"/>
        </w:rPr>
        <w:t>Dr. Singer received his B.S. in biology, M.Phil and Ph.D. in neuroscience, and M.D. from Yale University and completed internship and residency at Harvard. He is a registered U.S. patent agent. Dr. Singer’s extensive knowledge of our business and our product candidates contributed to the Board of Directors’ conclusion that he should serve as a director of our Company.</w:t>
      </w:r>
    </w:p>
    <w:p>
      <w:pPr>
        <w:spacing w:after="0" w:line="6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Timothy A. Springer, Ph.D</w:t>
      </w:r>
      <w:r>
        <w:rPr>
          <w:rFonts w:ascii="Times New Roman" w:cs="Times New Roman" w:eastAsia="Times New Roman" w:hAnsi="Times New Roman"/>
          <w:sz w:val="16"/>
          <w:szCs w:val="16"/>
          <w:color w:val="auto"/>
        </w:rPr>
        <w:t>. Timothy A. Springer, Ph.D. has served as a member of our Board of Directors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Morphic Therapeutic and a founder, investor and former director of Scholar Rock, where he served as a director until May 2019.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In 2022, Dr. Springer received the Albert Lasker Basic Medical Research Award.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3" w:name="page84"/>
    <w:bookmarkEnd w:id="8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i w:val="1"/>
          <w:iCs w:val="1"/>
          <w:color w:val="auto"/>
        </w:rPr>
        <w:t>Patrick Zenner</w:t>
      </w:r>
      <w:r>
        <w:rPr>
          <w:rFonts w:ascii="Times New Roman" w:cs="Times New Roman" w:eastAsia="Times New Roman" w:hAnsi="Times New Roman"/>
          <w:sz w:val="16"/>
          <w:szCs w:val="16"/>
          <w:color w:val="auto"/>
        </w:rPr>
        <w:t>. Patrick Zenner has served as a member of our Board of Directors since June 2017, also serving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Emeritus of the board of trustees of Fairleigh Dickinson University. In addition, Mr. Zenner served as Chairman of the board and a director of West Pharmaceutical Services, Inc. from 2002 until May 2022.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w:t>
      </w:r>
    </w:p>
    <w:p>
      <w:pPr>
        <w:spacing w:after="0" w:line="4" w:lineRule="exact"/>
        <w:rPr>
          <w:sz w:val="20"/>
          <w:szCs w:val="20"/>
          <w:color w:val="auto"/>
        </w:rPr>
      </w:pPr>
    </w:p>
    <w:p>
      <w:pPr>
        <w:ind w:left="800" w:right="1019"/>
        <w:spacing w:after="0" w:line="250" w:lineRule="auto"/>
        <w:rPr>
          <w:sz w:val="20"/>
          <w:szCs w:val="20"/>
          <w:color w:val="auto"/>
        </w:rPr>
      </w:pPr>
      <w:r>
        <w:rPr>
          <w:rFonts w:ascii="Times New Roman" w:cs="Times New Roman" w:eastAsia="Times New Roman" w:hAnsi="Times New Roman"/>
          <w:sz w:val="16"/>
          <w:szCs w:val="16"/>
          <w:color w:val="auto"/>
        </w:rPr>
        <w:t>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6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Carrie S. Cox</w:t>
      </w:r>
      <w:r>
        <w:rPr>
          <w:rFonts w:ascii="Times New Roman" w:cs="Times New Roman" w:eastAsia="Times New Roman" w:hAnsi="Times New Roman"/>
          <w:sz w:val="16"/>
          <w:szCs w:val="16"/>
          <w:color w:val="auto"/>
        </w:rPr>
        <w:t>. Carrie S. Cox has served as a member of our Board of Directors and as chairman of the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since November 2019. Ms. Cox has also served as chairman and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 of directors of Texas Instruments Incorporated since 2004. Ms. Cox previously served as the chairman of the board of directors of electroCore, Inc. from July 2018 to March 2020 and Array BioPharma, Inc. from August 2018 to July 2019, and served on the boards of directors of Celgene Corporation from December 2009 to November 2019, and Cardinal Health from December 2009 to November 2023.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 of Directors’ conclusion that she should serve as a director of our Company.</w:t>
      </w:r>
    </w:p>
    <w:p>
      <w:pPr>
        <w:spacing w:after="0" w:line="74"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Murat Kalayoglu, M.D., Ph.D</w:t>
      </w:r>
      <w:r>
        <w:rPr>
          <w:rFonts w:ascii="Times New Roman" w:cs="Times New Roman" w:eastAsia="Times New Roman" w:hAnsi="Times New Roman"/>
          <w:sz w:val="16"/>
          <w:szCs w:val="16"/>
          <w:color w:val="auto"/>
        </w:rPr>
        <w:t>. Dr. Kalayoglu co-founded and served as Chief Executive Officer of Old Cartesian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2016 until its acquisition by the Company in 2023. Prior to co-founding Old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 Dr. Kalayoglu’s extensive knowledge of our business and our product candidates contributed to the Board’s conclusion that he should serve as a director of our Company.</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Kemal Malik, MBBS</w:t>
      </w:r>
      <w:r>
        <w:rPr>
          <w:rFonts w:ascii="Times New Roman" w:cs="Times New Roman" w:eastAsia="Times New Roman" w:hAnsi="Times New Roman"/>
          <w:sz w:val="16"/>
          <w:szCs w:val="16"/>
          <w:color w:val="auto"/>
        </w:rPr>
        <w:t>. Kemal Malik has served on the board of directors of Syncona Ltd. since June 2020. Dr. Malik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previously served on the board of directors of Acceleron Pharma Inc. until its acquisition by Merck Sharp &amp; Dohme Corp. in 2021. From February 2014 to December 2019, Dr. Malik served on the Board of Management of Bayer AG and was responsible for Innovation and the Asia/Pacific Regions. Dr. Malik joined Bayer in 1995 as Head of Metabolism and Oncology Europe in the then Pharmaceuticals Business Group. He subsequently served as Head of Global Medical Development before being appointed Head of Global Development and a member of the Executive Committee of Bayer Healthcare AG until his appointment to the Board of Management of Bayer AG. Dr. Malik received his Bachelor of Medicine, Bachelor of Surgery from the University of London. The Company believes Dr. Malik’s experience as a pharmaceutical industry executive, vast industry knowledge and experience serving on the board of directors of multiple biotechnology and pharmaceutical companies contributed to our Board of Directors’ conclusion that he should serve as a director of our Company.</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Timothy C. Barabe</w:t>
      </w:r>
      <w:r>
        <w:rPr>
          <w:rFonts w:ascii="Times New Roman" w:cs="Times New Roman" w:eastAsia="Times New Roman" w:hAnsi="Times New Roman"/>
          <w:sz w:val="16"/>
          <w:szCs w:val="16"/>
          <w:color w:val="auto"/>
        </w:rPr>
        <w:t>. Timothy C. Barabe has served as a member of our Board of Directors since July 2016.</w:t>
      </w:r>
    </w:p>
    <w:p>
      <w:pPr>
        <w:spacing w:after="0" w:line="25"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4" w:name="page85"/>
    <w:bookmarkEnd w:id="8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2014 to 2017, Mr. Barabe served on the board of directors of Opexa Therapeutics, Inc. Mr. Barabe retired in</w:t>
      </w:r>
    </w:p>
    <w:p>
      <w:pPr>
        <w:spacing w:after="0" w:line="23" w:lineRule="exact"/>
        <w:rPr>
          <w:sz w:val="20"/>
          <w:szCs w:val="20"/>
          <w:color w:val="auto"/>
        </w:rPr>
      </w:pPr>
    </w:p>
    <w:p>
      <w:pPr>
        <w:ind w:left="800" w:right="859"/>
        <w:spacing w:after="0" w:line="264" w:lineRule="auto"/>
        <w:rPr>
          <w:sz w:val="20"/>
          <w:szCs w:val="20"/>
          <w:color w:val="auto"/>
        </w:rPr>
      </w:pPr>
      <w:r>
        <w:rPr>
          <w:rFonts w:ascii="Times New Roman" w:cs="Times New Roman" w:eastAsia="Times New Roman" w:hAnsi="Times New Roman"/>
          <w:sz w:val="15"/>
          <w:szCs w:val="15"/>
          <w:color w:val="auto"/>
        </w:rPr>
        <w:t>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w:t>
      </w:r>
    </w:p>
    <w:p>
      <w:pPr>
        <w:spacing w:after="0" w:line="2" w:lineRule="exact"/>
        <w:rPr>
          <w:sz w:val="20"/>
          <w:szCs w:val="20"/>
          <w:color w:val="auto"/>
        </w:rPr>
      </w:pPr>
    </w:p>
    <w:p>
      <w:pPr>
        <w:ind w:left="800" w:right="1059"/>
        <w:spacing w:after="0" w:line="251" w:lineRule="auto"/>
        <w:rPr>
          <w:sz w:val="20"/>
          <w:szCs w:val="20"/>
          <w:color w:val="auto"/>
        </w:rPr>
      </w:pPr>
      <w:r>
        <w:rPr>
          <w:rFonts w:ascii="Times New Roman" w:cs="Times New Roman" w:eastAsia="Times New Roman" w:hAnsi="Times New Roman"/>
          <w:sz w:val="16"/>
          <w:szCs w:val="16"/>
          <w:color w:val="auto"/>
        </w:rPr>
        <w:t>Mr. Barabe’s experience as a senior financial executive of life sciences companies and knowledge of the pharmaceutical and biotech industries contributed to our Board of Directors’ conclusion that he should serve as a director of our Company.</w:t>
      </w:r>
    </w:p>
    <w:p>
      <w:pPr>
        <w:spacing w:after="0" w:line="69"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Carsten Brunn, Ph.D</w:t>
      </w:r>
      <w:r>
        <w:rPr>
          <w:rFonts w:ascii="Times New Roman" w:cs="Times New Roman" w:eastAsia="Times New Roman" w:hAnsi="Times New Roman"/>
          <w:sz w:val="16"/>
          <w:szCs w:val="16"/>
          <w:color w:val="auto"/>
        </w:rPr>
        <w:t>. Carsten Brunn, Ph.D. has served as our President, Chief Executive Officer and member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of Directors since December 2018. Dr. Brunn previously served as a member of the Board of Directors of Surface Oncology, Inc., a public oncology company, from June 2022 until September 2023. Prior to joining Cartesian Therapeutics,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w:t>
      </w:r>
    </w:p>
    <w:p>
      <w:pPr>
        <w:spacing w:after="0" w:line="5" w:lineRule="exact"/>
        <w:rPr>
          <w:sz w:val="20"/>
          <w:szCs w:val="20"/>
          <w:color w:val="auto"/>
        </w:rPr>
      </w:pPr>
    </w:p>
    <w:p>
      <w:pPr>
        <w:ind w:left="800" w:right="839"/>
        <w:spacing w:after="0" w:line="248" w:lineRule="auto"/>
        <w:rPr>
          <w:sz w:val="20"/>
          <w:szCs w:val="20"/>
          <w:color w:val="auto"/>
        </w:rPr>
      </w:pPr>
      <w:r>
        <w:rPr>
          <w:rFonts w:ascii="Times New Roman" w:cs="Times New Roman" w:eastAsia="Times New Roman" w:hAnsi="Times New Roman"/>
          <w:sz w:val="16"/>
          <w:szCs w:val="16"/>
          <w:color w:val="auto"/>
        </w:rPr>
        <w:t>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also currently serves on the board of directors of the Biotechnology Innovation Organization (BIO), a private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 of Directors’ conclusion that he should serve as a director of our Company.</w:t>
      </w:r>
    </w:p>
    <w:p>
      <w:pPr>
        <w:spacing w:after="0" w:line="75"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Nishan de Silva, M.D., M.B.A. </w:t>
      </w:r>
      <w:r>
        <w:rPr>
          <w:rFonts w:ascii="Times New Roman" w:cs="Times New Roman" w:eastAsia="Times New Roman" w:hAnsi="Times New Roman"/>
          <w:sz w:val="16"/>
          <w:szCs w:val="16"/>
          <w:color w:val="auto"/>
        </w:rPr>
        <w:t>Nishan de Silva, M.D., M.B.A. has served as a member of our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June 2021. Dr. de Silva most recently served as Chief Executive Officer of Radionetics Oncology, a private company, from March 2022 to July 2023.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Dr. de Silva also previously served on the board of directors at CONNECT, a private organization, until November 2019.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 of Directors’ conclusion that he should serve as a director of our Company.</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All of our directors and our former directors, Göran Ando, M.D., Scott D. Myers, and Aymeric Sallin, other than Carsten Brunn, Ph.D. and Timothy A. Springer,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5" w:name="page86"/>
    <w:bookmarkEnd w:id="8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independent because he is the President and Chief Executive Officer of Cartesian. Dr. Springer is not independent because of his affiliation with one of our significant stockholders, his significant direct stockholding, and his history as a scientific advisor to the Company. There are no family relationships among any of our directors or executive officers.</w:t>
      </w:r>
    </w:p>
    <w:p>
      <w:pPr>
        <w:spacing w:after="0" w:line="67"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All members of our Audit Committee, Compensation Committee and Nominating and Corporate Governance Committee must be independent directors under the applicable rules, regulations and listing standards of Nasdaq. Members of the Audit Committee also must satisfy the independence criteria set forth in Rule 10A-3 under the Exchange Act. Members of the Compensation Committee also must satisfy the independence criteria set forth in Rule 10C under the Exchange Act, and related Nasdaq listing standards with respect to their affiliation with Cartesian and any consulting, advisory or other fees they may have received from Cartesian. Our Board of Directors has determined that all members of our Audit Committee, Compensation Committee and Nominating and Corporate Governance Committee are independent and satisfy the relevant SEC, Exchange Act and Nasdaq independence requirements for such committees.</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Candidates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Nominating and Corporate Governance Committee is primarily responsible for searching for qualified director candidates for election to the Board of Directors and filling vacancies on the Board of Directors.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77"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In evaluating the suitability of individual candidates (both new candidates and current members of the Board of Directors), the Nominating and Corporate Governance Committee, in recommending candidates for election, and the Board of Directors,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of Directors evaluates each individual in the context of the Board of Directors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of Directors.</w:t>
      </w:r>
    </w:p>
    <w:p>
      <w:pPr>
        <w:spacing w:after="0" w:line="25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Cartesian Therapeutics, Inc., 704 Quince Orchard Road, Gaithersburg, Maryland 20878.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6" w:name="page87"/>
    <w:bookmarkEnd w:id="8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Communications from Stockholders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Board of Directors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of Directors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of Directors should address such communications to the Board of Directors in writing: c/o Secretary, Cartesian Therapeutics, Inc., 704 Quince Orchard Road, Gaithersburg, Maryland 20878.</w:t>
      </w:r>
    </w:p>
    <w:p>
      <w:pPr>
        <w:spacing w:after="0" w:line="3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Our Bylaws and Corporate Governance Guidelines provide our Board of Directors with flexibility to combine or separate the positions of Chairman of the Board of Directors and Chief Executive Officer in accordance with its determination that utilizing one or the other structure would be in the best interests of the Company. Currently, the role of Chairman of the Board of Directors is separate from the role of Chief Executive Officer, with Carrie S. Cox serving as Chairman of the Board of Directors and Dr. Brunn serving as Chief Executive Officer. The Board of Directors evaluates whether the positions of Chairman of the Board of Directors and Chief Executive Officer should be combined or separated on an ongoing basis based on factors such as the experience of the applicable individuals and the current business environment of the Company. After considering these factors, the Board of Directors determined that continuing to separate the positions of Chairman and Chief Executive Officer was appropriate for the Company at this time.</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If, in the future, the Chairman of the Board of Directors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of Directors at which the Chairman of the Board of Directors is not present, including any executive sessions of the independent directors, approving the Board of Directors’ meeting schedules and agendas, and acting as liaison between the independent directors of the Board and the Chief Executive Officer and the Chairman of the Board of Directors. Our Board of Directors is comprised of individuals with extensive experience in the biotechnology and pharmaceutical industries and, with the exception of Drs. Brunn and Springer, is comprised of directors who meet the independence standards of Nasdaq. For these reasons and because of the strong leadership of Dr. Brunn as President and Chief Executive Officer and Ms. Cox as Chairman of the Board of Directors,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74"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7" w:name="page88"/>
    <w:bookmarkEnd w:id="8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effectiveness of the Corporate Governance Guidelines. Our Compensation Committee assesses and monitors whether any of our compensation policies and programs has the potential to encourage excessive risk-taking. The Board of Directors does not believe that its role in the oversight of our risks affects the Board of Directors’ leadership structure.</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Annual Board Evaluation</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Our Corporate Governance Guidelines require the Nominating and Corporate Governance Committee to periodically oversee an assessment of the Board of Directors and its committees.</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103"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of Business Conduct and Ethics is posted on our website, www.cartesiantherapeutics.com. In addition, we intend to post on our website all disclosures that are required by law or the rules of Nasdaq concerning any amendments to, or waivers from, any provision of the Code of Business Conduct and Ethics.</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Diversity Commitment</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Diversity and inclusion of the Board of Directors is critical to the success of Cartesian. Our Board of Directors is committed to ensuring its membership has sufficient diversity of expertise, experience, background and perspective to support the long-term success of the Company. As presently constituted, the Board of Directors represents a deliberate mix of members who have a deep understanding of our business as well as members who have different skill sets and points of view on substantive matters pertaining to the Company’s business. Our nomination process and our Board of Directors’ approach to assessment and evaluation of our nominees support our commitment to diversity and inclusion.</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of Directors. The Board of Directors continually assesses the size and the mix of experiences and backgrounds of its members, including gender, ethnic, and racial composition. Cartesian evaluates the effectiveness of this policy through annual self-evaluations completed by the Board of Directors and each of its committees.</w:t>
      </w:r>
    </w:p>
    <w:p>
      <w:pPr>
        <w:spacing w:after="0" w:line="73" w:lineRule="exact"/>
        <w:rPr>
          <w:sz w:val="20"/>
          <w:szCs w:val="20"/>
          <w:color w:val="auto"/>
        </w:rPr>
      </w:pPr>
    </w:p>
    <w:p>
      <w:pPr>
        <w:ind w:left="800" w:right="939"/>
        <w:spacing w:after="0" w:line="270" w:lineRule="auto"/>
        <w:rPr>
          <w:sz w:val="20"/>
          <w:szCs w:val="20"/>
          <w:color w:val="auto"/>
        </w:rPr>
      </w:pPr>
      <w:r>
        <w:rPr>
          <w:rFonts w:ascii="Times New Roman" w:cs="Times New Roman" w:eastAsia="Times New Roman" w:hAnsi="Times New Roman"/>
          <w:sz w:val="15"/>
          <w:szCs w:val="15"/>
          <w:color w:val="auto"/>
        </w:rPr>
        <w:t>The Board of Directors firmly believes that it plays a key role in the oversight of Cartesian’s culture and in holding management accountable for the creation and stewardship of that culture. One of the ways the Board of Directors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of Directors, and acting as a role model and conducting business with high integrity. These objectives are meant, in part, to drive and maintain a positive corporate culture to attract, engage, and retain key talent for the Company. Additionally, the Board of Directors believes an engaged and empowered workforce contributes significantly to the creation of stockholder value.</w:t>
      </w:r>
    </w:p>
    <w:p>
      <w:pPr>
        <w:spacing w:after="0" w:line="59"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In evaluating the suitability of individual candidates for internal positions and to serve on our Board of Directors, Cartesian is proud to consider many factors, including diversity of expertise and experience in substantive matters pertaining to our company’s business, as well as diversity of background and perspective, including, but not limited to, with respect to age, gender, race, sexual orientation, religion, and relevant experience.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8" w:name="page89"/>
    <w:bookmarkEnd w:id="8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Diversity Matrix</w:t>
      </w:r>
    </w:p>
    <w:p>
      <w:pPr>
        <w:spacing w:after="0" w:line="103" w:lineRule="exact"/>
        <w:rPr>
          <w:sz w:val="20"/>
          <w:szCs w:val="20"/>
          <w:color w:val="auto"/>
        </w:rPr>
      </w:pPr>
    </w:p>
    <w:p>
      <w:pPr>
        <w:ind w:left="800" w:right="879"/>
        <w:spacing w:after="0" w:line="312" w:lineRule="auto"/>
        <w:rPr>
          <w:sz w:val="20"/>
          <w:szCs w:val="20"/>
          <w:color w:val="auto"/>
        </w:rPr>
      </w:pPr>
      <w:r>
        <w:rPr>
          <w:rFonts w:ascii="Times New Roman" w:cs="Times New Roman" w:eastAsia="Times New Roman" w:hAnsi="Times New Roman"/>
          <w:sz w:val="15"/>
          <w:szCs w:val="15"/>
          <w:color w:val="auto"/>
        </w:rPr>
        <w:t>The following board diversity matrix presents information as of July 29, 2024 regarding the diversity characteristics of our Board of Directors in accordance with Nasdaq listing standard 5606, as self-reported by our directors.</w:t>
      </w:r>
    </w:p>
    <w:p>
      <w:pPr>
        <w:spacing w:after="0" w:line="59" w:lineRule="exact"/>
        <w:rPr>
          <w:sz w:val="20"/>
          <w:szCs w:val="20"/>
          <w:color w:val="auto"/>
        </w:rPr>
      </w:pPr>
    </w:p>
    <w:tbl>
      <w:tblPr>
        <w:tblLayout w:type="fixed"/>
        <w:tblInd w:w="810" w:type="dxa"/>
        <w:tblCellMar>
          <w:top w:w="0" w:type="dxa"/>
          <w:left w:w="0" w:type="dxa"/>
          <w:bottom w:w="0" w:type="dxa"/>
          <w:right w:w="0" w:type="dxa"/>
        </w:tblCellMar>
      </w:tblPr>
      <w:tr>
        <w:trPr>
          <w:trHeight w:val="216"/>
        </w:trPr>
        <w:tc>
          <w:tcPr>
            <w:tcW w:w="4040" w:type="dxa"/>
            <w:vAlign w:val="bottom"/>
            <w:tcBorders>
              <w:top w:val="single" w:sz="8" w:color="auto"/>
              <w:left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right w:val="single" w:sz="8" w:color="auto"/>
            </w:tcBorders>
            <w:vMerge w:val="restart"/>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8"/>
              </w:rPr>
              <w:t>Female</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right w:val="single" w:sz="8" w:color="auto"/>
            </w:tcBorders>
            <w:vMerge w:val="restart"/>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9"/>
              </w:rPr>
              <w:t>Male</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Did Not</w:t>
            </w:r>
          </w:p>
        </w:tc>
        <w:tc>
          <w:tcPr>
            <w:tcW w:w="0" w:type="dxa"/>
            <w:vAlign w:val="bottom"/>
          </w:tcPr>
          <w:p>
            <w:pPr>
              <w:spacing w:after="0"/>
              <w:rPr>
                <w:sz w:val="1"/>
                <w:szCs w:val="1"/>
                <w:color w:val="auto"/>
              </w:rPr>
            </w:pPr>
          </w:p>
        </w:tc>
      </w:tr>
      <w:tr>
        <w:trPr>
          <w:trHeight w:val="167"/>
        </w:trPr>
        <w:tc>
          <w:tcPr>
            <w:tcW w:w="40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Binary</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Disclose Gender</w:t>
            </w:r>
          </w:p>
        </w:tc>
        <w:tc>
          <w:tcPr>
            <w:tcW w:w="0" w:type="dxa"/>
            <w:vAlign w:val="bottom"/>
          </w:tcPr>
          <w:p>
            <w:pPr>
              <w:spacing w:after="0"/>
              <w:rPr>
                <w:sz w:val="1"/>
                <w:szCs w:val="1"/>
                <w:color w:val="auto"/>
              </w:rPr>
            </w:pPr>
          </w:p>
        </w:tc>
      </w:tr>
      <w:tr>
        <w:trPr>
          <w:trHeight w:val="21"/>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Directors</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87"/>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 Directors</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Who Identify in Any of the Categories Below</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06"/>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7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Asian</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06"/>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Hispanic or Latinx</w:t>
            </w:r>
          </w:p>
        </w:tc>
        <w:tc>
          <w:tcPr>
            <w:tcW w:w="7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06"/>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White</w:t>
            </w:r>
          </w:p>
        </w:tc>
        <w:tc>
          <w:tcPr>
            <w:tcW w:w="7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06"/>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LGBTQ+</w:t>
            </w:r>
          </w:p>
        </w:tc>
        <w:tc>
          <w:tcPr>
            <w:tcW w:w="7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right w:val="single" w:sz="8" w:color="auto"/>
            </w:tcBorders>
            <w:shd w:val="clear" w:color="auto" w:fill="CCEEFF"/>
          </w:tcPr>
          <w:p>
            <w:pPr>
              <w:jc w:val="center"/>
              <w:ind w:right="109"/>
              <w:spacing w:after="0"/>
              <w:rPr>
                <w:sz w:val="20"/>
                <w:szCs w:val="20"/>
                <w:color w:val="auto"/>
              </w:rPr>
            </w:pPr>
            <w:r>
              <w:rPr>
                <w:rFonts w:ascii="Times New Roman" w:cs="Times New Roman" w:eastAsia="Times New Roman" w:hAnsi="Times New Roman"/>
                <w:sz w:val="16"/>
                <w:szCs w:val="16"/>
                <w:color w:val="auto"/>
                <w:w w:val="99"/>
              </w:rPr>
              <w:t>0</w:t>
            </w: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auto"/>
            </w:tcBorders>
            <w:shd w:val="clear" w:color="auto" w:fill="CCEEFF"/>
          </w:tcPr>
          <w:p>
            <w:pPr>
              <w:jc w:val="center"/>
              <w:ind w:right="109"/>
              <w:spacing w:after="0"/>
              <w:rPr>
                <w:sz w:val="20"/>
                <w:szCs w:val="20"/>
                <w:color w:val="auto"/>
              </w:rPr>
            </w:pPr>
            <w:r>
              <w:rPr>
                <w:rFonts w:ascii="Times New Roman" w:cs="Times New Roman" w:eastAsia="Times New Roman" w:hAnsi="Times New Roman"/>
                <w:sz w:val="16"/>
                <w:szCs w:val="16"/>
                <w:color w:val="auto"/>
                <w:w w:val="99"/>
              </w:rPr>
              <w:t>1</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4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Anti-Hedging Policy</w:t>
      </w:r>
    </w:p>
    <w:p>
      <w:pPr>
        <w:spacing w:after="0" w:line="103" w:lineRule="exact"/>
        <w:rPr>
          <w:sz w:val="20"/>
          <w:szCs w:val="20"/>
          <w:color w:val="auto"/>
        </w:rPr>
      </w:pPr>
    </w:p>
    <w:p>
      <w:pPr>
        <w:ind w:left="800" w:right="939"/>
        <w:spacing w:after="0" w:line="288" w:lineRule="auto"/>
        <w:rPr>
          <w:sz w:val="20"/>
          <w:szCs w:val="20"/>
          <w:color w:val="auto"/>
        </w:rPr>
      </w:pPr>
      <w:r>
        <w:rPr>
          <w:rFonts w:ascii="Times New Roman" w:cs="Times New Roman" w:eastAsia="Times New Roman" w:hAnsi="Times New Roman"/>
          <w:sz w:val="15"/>
          <w:szCs w:val="15"/>
          <w:color w:val="auto"/>
        </w:rPr>
        <w:t>Our Board of Directors has adopted an Insider Trading Policy, which applies to all of our directors, officers and employees. The Insider Trading Policy prohibits our directors, officers and employees and any entities they control from engaging in all hedging or monetization transactions, such as zero-cost collars and forward sale contracts.</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Attendance By Members Of The Board At Meetings</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There were eighteen meetings of the Board of Directors during the fiscal year ended December 31, 2023. Our independent directors also held regularly scheduled executive sessions. During the fiscal year ended December 31, 2023, each director attended at least 75% of the aggregate of (i) all meetings of the Board of Directors and (ii) all meetings of the committees on which the director served, in each case during the period in which he or she served as a director.</w:t>
      </w:r>
    </w:p>
    <w:p>
      <w:pPr>
        <w:spacing w:after="0" w:line="6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Under our Corporate Governance Guidelines, which are available on the “Corporate Governance” section of the “Investors &amp; News” page of our website at www.cartesiantherapeutics.com, a director is expected to spend the time and effort necessary to properly discharge his or her responsibilities. Accordingly, a director is expected to regularly prepare for and attend meetings of the Board of Directors and all committees on which the director sits (including separate meetings of the independent directors), with the understanding that, on occasion, a director may be unable to attend a meeting. A director who is unable to attend a meeting of the Board of Directors or a committee of the Board of Directors is expected to notify the Chairman of the Board of Directors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directors attended the 2024 Annual Meeting of Stockholders.</w:t>
      </w:r>
    </w:p>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Our Board of Directors has established four standing committees—Audit, Compensation, Nominating and Corporate Governance, and Science, IP and Quality.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9" w:name="page90"/>
    <w:bookmarkEnd w:id="8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277" w:lineRule="auto"/>
        <w:rPr>
          <w:sz w:val="20"/>
          <w:szCs w:val="20"/>
          <w:color w:val="auto"/>
        </w:rPr>
      </w:pPr>
      <w:r>
        <w:rPr>
          <w:rFonts w:ascii="Times New Roman" w:cs="Times New Roman" w:eastAsia="Times New Roman" w:hAnsi="Times New Roman"/>
          <w:sz w:val="16"/>
          <w:szCs w:val="16"/>
          <w:color w:val="auto"/>
        </w:rPr>
        <w:t>The current members of each of the committees of the Board of Directors and committee Chairs are set forth in the following chart.</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Nominating and</w:t>
            </w:r>
          </w:p>
        </w:tc>
        <w:tc>
          <w:tcPr>
            <w:tcW w:w="1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Science, IP and</w:t>
            </w:r>
          </w:p>
        </w:tc>
        <w:tc>
          <w:tcPr>
            <w:tcW w:w="0" w:type="dxa"/>
            <w:vAlign w:val="bottom"/>
          </w:tcPr>
          <w:p>
            <w:pPr>
              <w:spacing w:after="0"/>
              <w:rPr>
                <w:sz w:val="1"/>
                <w:szCs w:val="1"/>
                <w:color w:val="auto"/>
              </w:rPr>
            </w:pPr>
          </w:p>
        </w:tc>
      </w:tr>
      <w:tr>
        <w:trPr>
          <w:trHeight w:val="131"/>
        </w:trPr>
        <w:tc>
          <w:tcPr>
            <w:tcW w:w="3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1"/>
                <w:szCs w:val="11"/>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Audit</w:t>
            </w:r>
          </w:p>
        </w:tc>
        <w:tc>
          <w:tcPr>
            <w:tcW w:w="1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Governance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Quality</w:t>
            </w:r>
          </w:p>
        </w:tc>
        <w:tc>
          <w:tcPr>
            <w:tcW w:w="0" w:type="dxa"/>
            <w:vAlign w:val="bottom"/>
          </w:tcPr>
          <w:p>
            <w:pPr>
              <w:spacing w:after="0"/>
              <w:rPr>
                <w:sz w:val="1"/>
                <w:szCs w:val="1"/>
                <w:color w:val="auto"/>
              </w:rPr>
            </w:pP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Chair</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Chair</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Kemal Malik, MBBS</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Singer, M.D., Ph.D.</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7"/>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Audit Committee</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Our Audit Committee’s responsibilities include:</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420" w:right="89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50"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work of our independent registered public accounting firm, including through the receipt and consideration of reports from such firm;</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our internal control over financial reporting, disclosure controls and procedures and code of business conduct and ethics;</w:t>
      </w:r>
    </w:p>
    <w:p>
      <w:pPr>
        <w:spacing w:after="0" w:line="50" w:lineRule="exact"/>
        <w:rPr>
          <w:rFonts w:ascii="Times New Roman" w:cs="Times New Roman" w:eastAsia="Times New Roman" w:hAnsi="Times New Roman"/>
          <w:sz w:val="16"/>
          <w:szCs w:val="16"/>
          <w:color w:val="auto"/>
        </w:rPr>
      </w:pPr>
    </w:p>
    <w:p>
      <w:pPr>
        <w:ind w:left="1420" w:right="999" w:hanging="305"/>
        <w:spacing w:after="0" w:line="262"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our risk management policies and conducting regular risk assessments related to all matters affecting the enterprise, including cybersecurity, and receives periodic reports on our cybersecurity risks and activities;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regarding hiring employees from the independent registered public accounting firm and procedures for the receipt and retention of accounting related complaints and concerns;</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independently with our internal auditing staff, if any, independent registered public accounting firm and management;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ratifying any related person transactions;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the SEC rules.</w:t>
      </w:r>
    </w:p>
    <w:p>
      <w:pPr>
        <w:spacing w:after="0" w:line="101"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The Audit Committee charter is available on the “Corporate Governance” section of the “Investors &amp; News” page of our website at www.cartesiantherapeutics.com. The members of the Audit Committee are Timothy C. Barabe, Carrie S. Cox, Nishan de Silva, M.D., M.B.A, and Patrick Zenner. Mr. Barabe serves as the Chairman of the Audit Committee. Our Board of Directors has affirmatively determined that each of Mr. Barabe, Ms. Cox, Dr. de Silva and Mr. Zenner is independent for purposes of serving on an audit committee under Rule 10A-3 promulgated under the Exchange Act and the Nasdaq rules. The members of our Audit Committee meet the requirements for financial literacy under the applicable rules of Nasdaq. Our Board of Directors has determined that each of Mr. Barabe and Mr. Zenner qualifies as an “audit committee financial expert” as defined by Item 407(d)(5)(ii) of Regulation S-K.</w:t>
      </w:r>
    </w:p>
    <w:p>
      <w:pPr>
        <w:spacing w:after="0" w:line="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Audit Committee met six times.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0" w:name="page91"/>
    <w:bookmarkEnd w:id="9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103"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Our Compensation Committee is responsible for assisting the Board of Directors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1420" w:right="119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approving corporate goals and objectives relevant to Chief Executive Officer compensation;</w:t>
      </w:r>
    </w:p>
    <w:p>
      <w:pPr>
        <w:spacing w:after="0" w:line="50"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of Directors with respect to, the compensation of our Chief Executive Officer and other executive officers;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 evaluation of our senior executives;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our cash and equity incentive plans;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director compensation;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our “Compensation Discussion and Analysis”;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annual compensation committee report, if required by SEC rules.</w:t>
      </w:r>
    </w:p>
    <w:p>
      <w:pPr>
        <w:spacing w:after="0" w:line="101"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Compensation Committee has the authority to retain or obtain the advice of compensation consultants, legal counsel and other advisors to assist it in carrying out its responsibilities.</w:t>
      </w:r>
    </w:p>
    <w:p>
      <w:pPr>
        <w:spacing w:after="0" w:line="5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Compensation Committee may delegate its authority under its charter to one or more subcommittees as it deems appropriate from time to time as further described in its charter, which is available on the “Corporate Governance” section of the “Investors &amp; News” page of our website at www.cartesiantherapeutics.com. The Compensation Committee may also delegate to an officer the authority to grant equity awards to certain employees, as further described in its charter and subject to the terms of our equity plans.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2023, the Compensation Committee engaged Compensia, Inc. (“Compensia”), a compensation consulting firm, to assess and make recommendations with respect to the amount and types of compensation to provide our executives and directors. Compensia reported directly to the Compensation Committee; however, our Chief Executive Officer consulted with Compensia with respect to its assessments of the compensation of executive officers other than the Chief Executive Officer. The Compensation Committee reviewed compensation assessments provided by Compensia comparing our compensation to that of a group of peer companies within our industry and met with Compensia to discuss compensation of our executive officers and our Board of Directors, including the Chief Executive Officer, and to receive input and advice. The Compensation Committee has considered the adviser independence factors required under SEC rules as they relate to Compensia and does not believe Compensia’s prior work in 2022 or work in 2023 raised a conflict of interest.</w:t>
      </w:r>
    </w:p>
    <w:p>
      <w:pPr>
        <w:spacing w:after="0" w:line="71"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The Compensation Committee uses competitive compensation data from an annual total compensation study of peer companies performed by Compensia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7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The members of the Compensation Committee are Carrie S. Cox, Kemal Malik, MBBS, and Patrick Zenner. Carrie S. Cox serves as Chairman of the Compensation Committee. Our Board of Directors has determined that each of Ms. Cox, Dr. Malik, and Mr. Zenner and our former directors and Compensation Committee members Göran Ando, M.D., Scott D. Myers, and Aymeric Sallin, is independent under the applicable SEC and Nasdaq rules, including the heightened standard for independence specific to members of a compensation committee, and is a “non-employee director” as defined in Rule 16b-3 promulgated under the Exchange Act.</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Compensation Committee met eleven times.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1" w:name="page92"/>
    <w:bookmarkEnd w:id="9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Nominating and Corporate Governance Committee’s responsibilities include:</w:t>
      </w:r>
    </w:p>
    <w:p>
      <w:pPr>
        <w:spacing w:after="0" w:line="101" w:lineRule="exact"/>
        <w:rPr>
          <w:sz w:val="20"/>
          <w:szCs w:val="20"/>
          <w:color w:val="auto"/>
        </w:rPr>
      </w:pPr>
    </w:p>
    <w:p>
      <w:pPr>
        <w:ind w:left="1420" w:hanging="305"/>
        <w:spacing w:after="0"/>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board members;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our Board of Directors the persons to be nominated for election as directors and to each board committee;</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management succession planning;</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our Board of Directors corporate governance principles;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 periodic assessment of our Board of Directors.</w:t>
      </w:r>
    </w:p>
    <w:p>
      <w:pPr>
        <w:spacing w:after="0" w:line="101" w:lineRule="exact"/>
        <w:rPr>
          <w:sz w:val="20"/>
          <w:szCs w:val="20"/>
          <w:color w:val="auto"/>
        </w:rPr>
      </w:pPr>
    </w:p>
    <w:p>
      <w:pPr>
        <w:jc w:val="both"/>
        <w:ind w:left="800" w:right="899"/>
        <w:spacing w:after="0" w:line="272" w:lineRule="auto"/>
        <w:rPr>
          <w:sz w:val="20"/>
          <w:szCs w:val="20"/>
          <w:color w:val="auto"/>
        </w:rPr>
      </w:pPr>
      <w:r>
        <w:rPr>
          <w:rFonts w:ascii="Times New Roman" w:cs="Times New Roman" w:eastAsia="Times New Roman" w:hAnsi="Times New Roman"/>
          <w:sz w:val="15"/>
          <w:szCs w:val="15"/>
          <w:color w:val="auto"/>
        </w:rPr>
        <w:t>The Nominating and Corporate Governance Committee charter is available on the “Corporate Governance” section of the “Investors &amp; News” page of our website at www.cartesiantherapeutics.com. The members of the Nominating and Corporate Governance Committee are Timothy C. Barabe, Michael Singer, M.D., Ph.D., and Patrick Zenner.</w:t>
      </w:r>
    </w:p>
    <w:p>
      <w:pPr>
        <w:spacing w:after="0" w:line="1" w:lineRule="exact"/>
        <w:rPr>
          <w:sz w:val="20"/>
          <w:szCs w:val="20"/>
          <w:color w:val="auto"/>
        </w:rPr>
      </w:pPr>
    </w:p>
    <w:p>
      <w:pPr>
        <w:ind w:left="800" w:right="1059"/>
        <w:spacing w:after="0" w:line="250" w:lineRule="auto"/>
        <w:rPr>
          <w:sz w:val="20"/>
          <w:szCs w:val="20"/>
          <w:color w:val="auto"/>
        </w:rPr>
      </w:pPr>
      <w:r>
        <w:rPr>
          <w:rFonts w:ascii="Times New Roman" w:cs="Times New Roman" w:eastAsia="Times New Roman" w:hAnsi="Times New Roman"/>
          <w:sz w:val="16"/>
          <w:szCs w:val="16"/>
          <w:color w:val="auto"/>
        </w:rPr>
        <w:t>Mr. Zenner serves as the Chairman of the Nominating and Corporate Governance Committee. Our Board of Directors has determined that each of Mr. Barabe, Dr. Singer, and Mr. Zenner, and our former director and Nominating and Corporate Governance Committee member, Scott D. Myers, is independent under the applicable Nasdaq rules.</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Nominating and Corporate Governance Committee met four times.</w:t>
      </w:r>
    </w:p>
    <w:p>
      <w:pPr>
        <w:spacing w:after="0" w:line="3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Science, IP and Quality Committee</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The Science, IP and Quality Committee of the Board of Directors (the “SIPQ Committee”) does not maintain a charter in order to preserve maximum flexibility for its activities. Some of the activities undertaken by the SIPQ Committee include:</w:t>
      </w:r>
    </w:p>
    <w:p>
      <w:pPr>
        <w:spacing w:after="0" w:line="62" w:lineRule="exact"/>
        <w:rPr>
          <w:sz w:val="20"/>
          <w:szCs w:val="20"/>
          <w:color w:val="auto"/>
        </w:rPr>
      </w:pPr>
    </w:p>
    <w:p>
      <w:pPr>
        <w:ind w:left="1420" w:right="839" w:hanging="305"/>
        <w:spacing w:after="0" w:line="312" w:lineRule="auto"/>
        <w:tabs>
          <w:tab w:leader="none" w:pos="14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Company’s research and development strategy as well as the Company’s long-term strategic goals and objectives, and monitoring the Company’s progress in achieving such goals and objectives;</w:t>
      </w:r>
    </w:p>
    <w:p>
      <w:pPr>
        <w:spacing w:after="0" w:line="26" w:lineRule="exact"/>
        <w:rPr>
          <w:rFonts w:ascii="Times New Roman" w:cs="Times New Roman" w:eastAsia="Times New Roman" w:hAnsi="Times New Roman"/>
          <w:sz w:val="15"/>
          <w:szCs w:val="15"/>
          <w:color w:val="auto"/>
        </w:rPr>
      </w:pPr>
    </w:p>
    <w:p>
      <w:pPr>
        <w:ind w:left="1420" w:right="83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of Directors on scientific, technological, and research and development matters, and on strategic issues associated with the Company’s product pipeline and technology;</w:t>
      </w:r>
    </w:p>
    <w:p>
      <w:pPr>
        <w:spacing w:after="0" w:line="50" w:lineRule="exact"/>
        <w:rPr>
          <w:rFonts w:ascii="Times New Roman" w:cs="Times New Roman" w:eastAsia="Times New Roman" w:hAnsi="Times New Roman"/>
          <w:sz w:val="16"/>
          <w:szCs w:val="16"/>
          <w:color w:val="auto"/>
        </w:rPr>
      </w:pPr>
    </w:p>
    <w:p>
      <w:pPr>
        <w:ind w:left="1420" w:right="959" w:hanging="305"/>
        <w:spacing w:after="0" w:line="262"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62" w:lineRule="exact"/>
        <w:rPr>
          <w:rFonts w:ascii="Times New Roman" w:cs="Times New Roman" w:eastAsia="Times New Roman" w:hAnsi="Times New Roman"/>
          <w:sz w:val="16"/>
          <w:szCs w:val="16"/>
          <w:color w:val="auto"/>
        </w:rPr>
      </w:pPr>
    </w:p>
    <w:p>
      <w:pPr>
        <w:ind w:left="1420" w:right="139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quality, direction, and competitiveness of the Company’s research and development programs, and product pipeline;</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organization, resources and capabilities of the Company’s research, analytical, chemistry, manufacturing, and controls, and clinical departments;</w:t>
      </w:r>
    </w:p>
    <w:p>
      <w:pPr>
        <w:spacing w:after="0" w:line="50"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strategies and approaches to acquiring, in licensing, out licensing, and maintaining innovation and technology positions;</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of Directors on the scientific, medical, and technical aspects of significant acquisitions, in licenses, out licenses, and other strategic business development transactions;</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62"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62" w:lineRule="exact"/>
        <w:rPr>
          <w:rFonts w:ascii="Times New Roman" w:cs="Times New Roman" w:eastAsia="Times New Roman" w:hAnsi="Times New Roman"/>
          <w:sz w:val="16"/>
          <w:szCs w:val="16"/>
          <w:color w:val="auto"/>
        </w:rPr>
      </w:pPr>
    </w:p>
    <w:p>
      <w:pPr>
        <w:ind w:left="1420" w:right="839" w:hanging="305"/>
        <w:spacing w:after="0" w:line="288" w:lineRule="auto"/>
        <w:tabs>
          <w:tab w:leader="none" w:pos="14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advising the Board of Directors, and the committees of the Board of Directors, as requested, with regard to performance and succession planning of the Company’s officers and other leadership of the research and development, manufacturing, medical, and other technical or scientific functions within the Company;</w:t>
      </w:r>
    </w:p>
    <w:p>
      <w:pPr>
        <w:spacing w:after="0" w:line="44"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opining on the strategy for the Company’s intellectual property portfolio;</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2" w:name="page93"/>
    <w:bookmarkEnd w:id="9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99" w:hanging="305"/>
        <w:spacing w:after="0" w:line="277" w:lineRule="auto"/>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counsel and know-how to the Company’s management in the area of research and development and the Company’s product pipeline and technology; and</w:t>
      </w:r>
    </w:p>
    <w:p>
      <w:pPr>
        <w:spacing w:after="0" w:line="50" w:lineRule="exact"/>
        <w:rPr>
          <w:rFonts w:ascii="Times New Roman" w:cs="Times New Roman" w:eastAsia="Times New Roman" w:hAnsi="Times New Roman"/>
          <w:sz w:val="16"/>
          <w:szCs w:val="16"/>
          <w:color w:val="auto"/>
        </w:rPr>
      </w:pPr>
    </w:p>
    <w:p>
      <w:pPr>
        <w:ind w:left="1420" w:right="1499" w:hanging="305"/>
        <w:spacing w:after="0" w:line="277" w:lineRule="auto"/>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out other tasks or providing other advice related to the Company’s product pipeline and technology as may be requested by the Board of Directors.</w:t>
      </w:r>
    </w:p>
    <w:p>
      <w:pPr>
        <w:spacing w:after="0" w:line="50" w:lineRule="exact"/>
        <w:rPr>
          <w:sz w:val="20"/>
          <w:szCs w:val="20"/>
          <w:color w:val="auto"/>
        </w:rPr>
      </w:pPr>
    </w:p>
    <w:p>
      <w:pPr>
        <w:ind w:left="800" w:right="859"/>
        <w:spacing w:after="0" w:line="288" w:lineRule="auto"/>
        <w:rPr>
          <w:sz w:val="20"/>
          <w:szCs w:val="20"/>
          <w:color w:val="auto"/>
        </w:rPr>
      </w:pPr>
      <w:r>
        <w:rPr>
          <w:rFonts w:ascii="Times New Roman" w:cs="Times New Roman" w:eastAsia="Times New Roman" w:hAnsi="Times New Roman"/>
          <w:sz w:val="15"/>
          <w:szCs w:val="15"/>
          <w:color w:val="auto"/>
        </w:rPr>
        <w:t>The SIPQ Committee was formed on March 20, 2024, and consequently did not meet in 2023. The members of the SIPQ Committee are Nishan de Silva, M.D., M.B.A, Murat Kalayoglu, M.D., Ph.D., Kemal Malik, MBBS, Michael Singer, M.D., Ph.D., and Timothy A. Springer, Ph.D. Dr. Kalayoglu serves as the Chairman of the SIPQ Committee.</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No member of our Compensation Committee is currently, or has been at any time, a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last completed fiscal year.</w:t>
      </w:r>
    </w:p>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names of our current executive officers, their ages as of July 29, 2024, and their positions are shown below.</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r>
        <w:trPr>
          <w:trHeight w:val="218"/>
        </w:trPr>
        <w:tc>
          <w:tcPr>
            <w:tcW w:w="382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Carsten Brunn, Ph.D.</w:t>
            </w:r>
            <w:r>
              <w:rPr>
                <w:rFonts w:ascii="Times New Roman" w:cs="Times New Roman" w:eastAsia="Times New Roman" w:hAnsi="Times New Roman"/>
                <w:sz w:val="25"/>
                <w:szCs w:val="25"/>
                <w:color w:val="auto"/>
                <w:vertAlign w:val="superscript"/>
              </w:rPr>
              <w:t>(1)</w:t>
            </w:r>
          </w:p>
        </w:tc>
        <w:tc>
          <w:tcPr>
            <w:tcW w:w="34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54</w:t>
            </w:r>
          </w:p>
        </w:tc>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34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50</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2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34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46</w:t>
            </w:r>
          </w:p>
        </w:tc>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Technology Officer</w:t>
            </w:r>
          </w:p>
        </w:tc>
      </w:t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34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43</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Scientific Officer</w:t>
            </w:r>
          </w:p>
        </w:tc>
      </w:tr>
      <w:tr>
        <w:trPr>
          <w:trHeight w:val="22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Milos Miljkovic, M.D.</w:t>
            </w:r>
          </w:p>
        </w:tc>
        <w:tc>
          <w:tcPr>
            <w:tcW w:w="34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40</w:t>
            </w:r>
          </w:p>
        </w:tc>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Emily English, Ph.D.</w:t>
            </w:r>
          </w:p>
        </w:tc>
        <w:tc>
          <w:tcPr>
            <w:tcW w:w="34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44</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Senior Vice President, Head of Manufacturing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154940</wp:posOffset>
            </wp:positionV>
            <wp:extent cx="7239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64" w:lineRule="exact"/>
        <w:rPr>
          <w:sz w:val="20"/>
          <w:szCs w:val="20"/>
          <w:color w:val="auto"/>
        </w:rPr>
      </w:pPr>
    </w:p>
    <w:p>
      <w:pPr>
        <w:ind w:left="1100" w:hanging="301"/>
        <w:spacing w:after="0"/>
        <w:tabs>
          <w:tab w:leader="none" w:pos="11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Dr. Brunn’s biographical information, see “Directors” above.</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Board of Directors chooses executive officers, who then serve at the Board of Directors’ discretion.</w:t>
      </w:r>
    </w:p>
    <w:p>
      <w:pPr>
        <w:spacing w:after="0" w:line="99"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Blaine Davis. </w:t>
      </w:r>
      <w:r>
        <w:rPr>
          <w:rFonts w:ascii="Times New Roman" w:cs="Times New Roman" w:eastAsia="Times New Roman" w:hAnsi="Times New Roman"/>
          <w:sz w:val="16"/>
          <w:szCs w:val="16"/>
          <w:color w:val="auto"/>
        </w:rPr>
        <w:t>Blaine Davis has served as our Chief Financial Officer since November 2022. Prior to joining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Mr. Davis served as Chief Financial Officer at Protara Therapeutics, Inc., a publicly-traded biotechnology company, from February 2020 to September 2022. Before joining Protara Therapeutics, Inc., Mr. Davis served as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 in Biology and Psychology with a minor in Economics from Middlebury College.</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 xml:space="preserve">Metin Kurtoglu, M.D, Ph.D. </w:t>
      </w:r>
      <w:r>
        <w:rPr>
          <w:rFonts w:ascii="Times New Roman" w:cs="Times New Roman" w:eastAsia="Times New Roman" w:hAnsi="Times New Roman"/>
          <w:sz w:val="16"/>
          <w:szCs w:val="16"/>
          <w:color w:val="auto"/>
        </w:rPr>
        <w:t>Dr. Kurtoglu has served as the Chief Technology Officer of the Company since</w:t>
      </w:r>
    </w:p>
    <w:p>
      <w:pPr>
        <w:spacing w:after="0" w:line="25" w:lineRule="exact"/>
        <w:rPr>
          <w:sz w:val="20"/>
          <w:szCs w:val="20"/>
          <w:color w:val="auto"/>
        </w:rPr>
      </w:pPr>
    </w:p>
    <w:p>
      <w:pPr>
        <w:ind w:left="800" w:right="819"/>
        <w:spacing w:after="0" w:line="264" w:lineRule="auto"/>
        <w:rPr>
          <w:sz w:val="20"/>
          <w:szCs w:val="20"/>
          <w:color w:val="auto"/>
        </w:rPr>
      </w:pPr>
      <w:r>
        <w:rPr>
          <w:rFonts w:ascii="Times New Roman" w:cs="Times New Roman" w:eastAsia="Times New Roman" w:hAnsi="Times New Roman"/>
          <w:sz w:val="15"/>
          <w:szCs w:val="15"/>
          <w:color w:val="auto"/>
        </w:rPr>
        <w:t>March 2024, prior to which Dr. Kurtoglu served as the Company’s Chief Operations Officer from November 2023 to March 2024. Prior to becoming the Company’s Chief Operating Officer, Dr. Kurtoglu served as the Chief Operating Officer from 2021 to November 2023, Chief Medical Officer and Chief GMP Manufacturing from 2019 to 2021 and Chief Medical Officer from 2016 to 2019 of Old Cartesian. Dr. Kurtoglu’s clinical and basic science research career spans over 20 years and has focused on developing novel targets for drug-resistant cancer cells and cancer stem cells, including multiple myeloma. He has also been an investigator in various cancer immunotherapy trials.</w:t>
      </w:r>
    </w:p>
    <w:p>
      <w:pPr>
        <w:spacing w:after="0" w:line="2"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Dr. Kurtoglu is a medical oncologist board certified in internal medicine. He completed his residency and graduate training at the University of Miami, and clinical and research fellowship at the NCI / NIH.</w:t>
      </w:r>
    </w:p>
    <w:p>
      <w:pPr>
        <w:spacing w:after="0" w:line="65" w:lineRule="exact"/>
        <w:rPr>
          <w:sz w:val="20"/>
          <w:szCs w:val="20"/>
          <w:color w:val="auto"/>
        </w:rPr>
      </w:pPr>
    </w:p>
    <w:p>
      <w:pPr>
        <w:ind w:left="800" w:right="111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Chris Jewell, Ph.D. </w:t>
      </w:r>
      <w:r>
        <w:rPr>
          <w:rFonts w:ascii="Times New Roman" w:cs="Times New Roman" w:eastAsia="Times New Roman" w:hAnsi="Times New Roman"/>
          <w:sz w:val="15"/>
          <w:szCs w:val="15"/>
          <w:color w:val="auto"/>
        </w:rPr>
        <w:t>Dr. Jewell has served as the Chief Scientific Officer of the Company since November 2023.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Prior to assuming his role as the Company’s Chief Scientific Officer, Dr. Jewell served as the Chief Scientific Officer of Old Cartesian from January 2023 to November 2023 and previously collaborated with Old Cartesian through sponsored research. Dr. Jewell established his laboratory at the University of Maryland in 2012, where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3" w:name="page94"/>
    <w:bookmarkEnd w:id="9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he was promoted to Associate Professor in 2017 and to Full Professor in 2020, a position he served until April 2024. His expertise in bioengineering, immunology, and nanotechnology 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Nature, Nature Materials, The Proceedings of the National Academy of Sciences (PNAS), and Nature Biotechnology.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w:t>
      </w:r>
    </w:p>
    <w:p>
      <w:pPr>
        <w:spacing w:after="0" w:line="7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Milos Miljkovic, M.D. </w:t>
      </w:r>
      <w:r>
        <w:rPr>
          <w:rFonts w:ascii="Times New Roman" w:cs="Times New Roman" w:eastAsia="Times New Roman" w:hAnsi="Times New Roman"/>
          <w:sz w:val="16"/>
          <w:szCs w:val="16"/>
          <w:color w:val="auto"/>
        </w:rPr>
        <w:t>Dr. Miljkovic has served as the Chief Medical Officer of the Company since November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 is board-certified in hematology, medical oncology, and internal medicine. Prior to serving as Old Cartesian’s Chief Medical Officer from 2021 to November 2023, he served at the National Cancer Institute as an Assistant Research Physician from 2017 to 2021, Chief Fellow, Hematology/Oncology from 2016 to 2017 and as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w:t>
      </w:r>
    </w:p>
    <w:p>
      <w:pPr>
        <w:spacing w:after="0" w:line="7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Emily English, Ph.D. </w:t>
      </w:r>
      <w:r>
        <w:rPr>
          <w:rFonts w:ascii="Times New Roman" w:cs="Times New Roman" w:eastAsia="Times New Roman" w:hAnsi="Times New Roman"/>
          <w:sz w:val="16"/>
          <w:szCs w:val="16"/>
          <w:color w:val="auto"/>
        </w:rPr>
        <w:t>Dr. English has served as the Senior Vice President, Head of Manufacturing Operations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since April 2024, and as its Vice President, Quality from November 2023 to April 2024. Dr. English served as Vice President, Quality at Old Cartesian from December 2022 to November 2023, and had previously served as Old Cartesian’s Senior Director, Quality, from December 2021 to December 2022, and its Director, Quality from April 2021 to December 2021. Dr. English served as Venture Partner at Baltimore Venture Partners, a private investment firm, from August 2020 to April 2021. She also served as Chief Executive Officer of Gemstone Biotherapeutics, a private biotechnology company, from June 2018 to June 2020, and as Chief Operating Officer at Gemstone from June 2017 to May 2018. Dr. English also served on the Board of Directors of the BioTechnical Institute of Maryland, Inc. from December 2018 to June 2021, and served on the advisory board of the University of Maryland’s Department of Bioengineering from July 2019 to June 2021. Dr. English holds a bachelor’s of science degree in Chemistry from the University of Maryland, and a Ph.D. in Chemistry from the University of Wisconsin-Madison.</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None of our executive officers are related to any other executive officer or to any of our directors.</w:t>
      </w:r>
    </w:p>
    <w:p>
      <w:pPr>
        <w:spacing w:after="0" w:line="10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Pursuant to the Merger Agreement, the Company previously agreed to appoint each of Dr. Jewell, Dr. Miljkovic and Dr. Kurtoglu to their roles as Chief Scientific Officer, Chief Medical Officer and Chief Operating Officer, respectively. Other than pursuant to the Merger Agreement, there are no known arrangements or understandings between Dr. Jewell, Dr. Miljkovic or Dr. Kurtoglu and any other person pursuant to which any of them were selected as an officer.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4" w:name="page95"/>
    <w:bookmarkEnd w:id="9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This Compensation Discussion and Analysis is intended to assist our stockholders in understanding our executive compensation program by providing an overview of our executive compensation-related policies, practices, and decisions for 2023. It also explains how we determined the material elements of compensation for our principal executive officer, our principal financial officer, the two executive officers (other than our principal executive officer and principal financial officer) who were our most highly compensated currently serving executive officers for the year ended December 31, 2023, and the two executive officers who would have been among our two highly compensated executive officers for the year ended December 31, 2023 but for the fact that such individuals were not serving as executive officers at the end of the year ended December 31, 2023, whom we refer to collectively as our “Named Executive Officers.” For 2023, our Named Executive Officers were:</w:t>
      </w:r>
    </w:p>
    <w:p>
      <w:pPr>
        <w:spacing w:after="0" w:line="73" w:lineRule="exact"/>
        <w:rPr>
          <w:sz w:val="20"/>
          <w:szCs w:val="20"/>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Carsten Brunn, Ph.D., our President and Chief Executive Officer (our “CEO”);</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Blaine Davis, our Chief Financial Officer (our “CFO”);</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Metin Kurtoglu, M.D., Ph.D., our Chief Technology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 Jewell, Ph.D., our Chief Scientific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Peter G. Traber, M.D., our former Chief Medical Officer;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Lloyd Johnston, Ph.D., our former Chief Operations Officer.</w:t>
      </w:r>
    </w:p>
    <w:p>
      <w:pPr>
        <w:spacing w:after="0" w:line="101" w:lineRule="exact"/>
        <w:rPr>
          <w:sz w:val="20"/>
          <w:szCs w:val="20"/>
          <w:color w:val="auto"/>
        </w:rPr>
      </w:pPr>
    </w:p>
    <w:p>
      <w:pPr>
        <w:ind w:left="800" w:right="939"/>
        <w:spacing w:after="0" w:line="280" w:lineRule="auto"/>
        <w:rPr>
          <w:sz w:val="20"/>
          <w:szCs w:val="20"/>
          <w:color w:val="auto"/>
        </w:rPr>
      </w:pPr>
      <w:r>
        <w:rPr>
          <w:rFonts w:ascii="Times New Roman" w:cs="Times New Roman" w:eastAsia="Times New Roman" w:hAnsi="Times New Roman"/>
          <w:sz w:val="15"/>
          <w:szCs w:val="15"/>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executive officers, including our Named Executive Officers, in 2023.</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Business Highlights</w:t>
      </w:r>
    </w:p>
    <w:p>
      <w:pPr>
        <w:spacing w:after="0" w:line="105" w:lineRule="exact"/>
        <w:rPr>
          <w:sz w:val="20"/>
          <w:szCs w:val="20"/>
          <w:color w:val="auto"/>
        </w:rPr>
      </w:pPr>
    </w:p>
    <w:p>
      <w:pPr>
        <w:ind w:left="1420" w:right="919" w:hanging="305"/>
        <w:spacing w:after="0" w:line="276" w:lineRule="auto"/>
        <w:tabs>
          <w:tab w:leader="none" w:pos="14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13, 2023, we announced our Merger with Old Cartesian, a clinical-stage biotechnology company pioneering mRNA cell therapies for autoimmune diseases. In connection with the Merger, we also announced a $60.25 million private placement financing led by Timothy A. Springer, Ph.D., a member of our Board of Directors. Since consummating the Merger, we have been focused on continuing to advance our pipeline of innovative cell therapies, with several clinical milestones expected in 2024.</w:t>
      </w:r>
    </w:p>
    <w:p>
      <w:pPr>
        <w:spacing w:after="0" w:line="53" w:lineRule="exact"/>
        <w:rPr>
          <w:rFonts w:ascii="Times New Roman" w:cs="Times New Roman" w:eastAsia="Times New Roman" w:hAnsi="Times New Roman"/>
          <w:sz w:val="15"/>
          <w:szCs w:val="15"/>
          <w:color w:val="auto"/>
        </w:rPr>
      </w:pPr>
    </w:p>
    <w:p>
      <w:pPr>
        <w:ind w:left="1420" w:right="819" w:hanging="305"/>
        <w:spacing w:after="0" w:line="250" w:lineRule="auto"/>
        <w:tabs>
          <w:tab w:leader="none" w:pos="14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2023, we announced a strategic initiative designed to maximize stockholder value associated with our legacy product candidate, SEL-212. As part of the initiative, we announced plans to halt further investments in our pipeline programs outside of SEL-212 and Xork and to stop or discontinue non-essential activities. SEL-212 is a combination of our ImmTOR immune tolerance platform and a therapeutic uricase enzyme (pegadricase). In March 2023, we and our SEL-212 development partner, Sobi, reported positive Phase 3 data from the DISSOLVE I and II Phase 3, placebo-controlled, randomized clinical trials of SEL-212 for the treatment of patients with chronic refractory gout. Both trials met their primary endpoint, and SEL-212 was observed to be well-tolerated. In October 2023, we announced that we entered into an agreement to transition the manufacturing and development rights and remaining clinical operations of ImmTOR for SEL-212 to Sobi. Under the terms of the agreement, 15 of our employees transferred their employment to full-time positions at Sobi.</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5" w:name="page96"/>
    <w:bookmarkEnd w:id="9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Executive Compensation Highlights</w:t>
      </w:r>
    </w:p>
    <w:p>
      <w:pPr>
        <w:spacing w:after="0" w:line="105"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Consistent with our performance and compensation philosophy, the Compensation Committee took the following compensation actions for our Named Executive Officers for 2023:</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2023 Base Salary</w:t>
            </w: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Annual Bonus</w:t>
            </w: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Annual Time-</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Annual Time-</w:t>
            </w:r>
          </w:p>
        </w:tc>
        <w:tc>
          <w:tcPr>
            <w:tcW w:w="0" w:type="dxa"/>
            <w:vAlign w:val="bottom"/>
          </w:tcPr>
          <w:p>
            <w:pPr>
              <w:spacing w:after="0"/>
              <w:rPr>
                <w:sz w:val="1"/>
                <w:szCs w:val="1"/>
                <w:color w:val="auto"/>
              </w:rPr>
            </w:pPr>
          </w:p>
        </w:tc>
      </w:tr>
      <w:tr>
        <w:trPr>
          <w:trHeight w:val="131"/>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Target as a</w:t>
            </w:r>
          </w:p>
        </w:tc>
        <w:tc>
          <w:tcPr>
            <w:tcW w:w="10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Based Stock Options</w:t>
            </w:r>
          </w:p>
        </w:tc>
        <w:tc>
          <w:tcPr>
            <w:tcW w:w="8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Based RSU Awards</w:t>
            </w: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Increase from 2022</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 of Base Salary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shares)</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shares)</w:t>
            </w:r>
          </w:p>
        </w:tc>
        <w:tc>
          <w:tcPr>
            <w:tcW w:w="0" w:type="dxa"/>
            <w:vAlign w:val="bottom"/>
          </w:tcPr>
          <w:p>
            <w:pPr>
              <w:spacing w:after="0"/>
              <w:rPr>
                <w:sz w:val="1"/>
                <w:szCs w:val="1"/>
                <w:color w:val="auto"/>
              </w:rPr>
            </w:pP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160" w:type="dxa"/>
            <w:vAlign w:val="bottom"/>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6"/>
                <w:szCs w:val="16"/>
                <w:color w:val="auto"/>
              </w:rPr>
              <w:t>5.4%</w:t>
            </w:r>
          </w:p>
        </w:tc>
        <w:tc>
          <w:tcPr>
            <w:tcW w:w="15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55%</w:t>
            </w:r>
          </w:p>
        </w:tc>
        <w:tc>
          <w:tcPr>
            <w:tcW w:w="124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42,499</w:t>
            </w:r>
          </w:p>
        </w:tc>
        <w:tc>
          <w:tcPr>
            <w:tcW w:w="11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9,426</w:t>
            </w:r>
          </w:p>
        </w:tc>
        <w:tc>
          <w:tcPr>
            <w:tcW w:w="0" w:type="dxa"/>
            <w:vAlign w:val="bottom"/>
          </w:tcPr>
          <w:p>
            <w:pPr>
              <w:spacing w:after="0"/>
              <w:rPr>
                <w:sz w:val="1"/>
                <w:szCs w:val="1"/>
                <w:color w:val="auto"/>
              </w:rPr>
            </w:pPr>
          </w:p>
        </w:tc>
      </w:tr>
      <w:tr>
        <w:trPr>
          <w:trHeight w:val="214"/>
        </w:trPr>
        <w:tc>
          <w:tcPr>
            <w:tcW w:w="23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Blaine Davis</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06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140" w:type="dxa"/>
            <w:vAlign w:val="bottom"/>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3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Chris Jewell, Ph.D.</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106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140" w:type="dxa"/>
            <w:vAlign w:val="bottom"/>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Peter G. Traber, M.D.</w:t>
            </w:r>
            <w:r>
              <w:rPr>
                <w:rFonts w:ascii="Times New Roman" w:cs="Times New Roman" w:eastAsia="Times New Roman" w:hAnsi="Times New Roman"/>
                <w:sz w:val="24"/>
                <w:szCs w:val="24"/>
                <w:color w:val="auto"/>
                <w:vertAlign w:val="superscript"/>
              </w:rPr>
              <w:t>(4)</w:t>
            </w:r>
          </w:p>
        </w:tc>
        <w:tc>
          <w:tcPr>
            <w:tcW w:w="1160" w:type="dxa"/>
            <w:vAlign w:val="bottom"/>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6"/>
                <w:szCs w:val="16"/>
                <w:color w:val="auto"/>
              </w:rPr>
              <w:t>9.0%</w:t>
            </w:r>
          </w:p>
        </w:tc>
        <w:tc>
          <w:tcPr>
            <w:tcW w:w="15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24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29,999</w:t>
            </w:r>
          </w:p>
        </w:tc>
        <w:tc>
          <w:tcPr>
            <w:tcW w:w="11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6,666</w:t>
            </w:r>
          </w:p>
        </w:tc>
        <w:tc>
          <w:tcPr>
            <w:tcW w:w="0" w:type="dxa"/>
            <w:vAlign w:val="bottom"/>
          </w:tcPr>
          <w:p>
            <w:pPr>
              <w:spacing w:after="0"/>
              <w:rPr>
                <w:sz w:val="1"/>
                <w:szCs w:val="1"/>
                <w:color w:val="auto"/>
              </w:rPr>
            </w:pPr>
          </w:p>
        </w:tc>
      </w:tr>
      <w:tr>
        <w:trPr>
          <w:trHeight w:val="348"/>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(5)</w:t>
            </w:r>
          </w:p>
        </w:tc>
        <w:tc>
          <w:tcPr>
            <w:tcW w:w="1160" w:type="dxa"/>
            <w:vAlign w:val="bottom"/>
            <w:gridSpan w:val="2"/>
          </w:tcPr>
          <w:p>
            <w:pPr>
              <w:jc w:val="right"/>
              <w:ind w:right="227"/>
              <w:spacing w:after="0"/>
              <w:rPr>
                <w:sz w:val="20"/>
                <w:szCs w:val="20"/>
                <w:color w:val="auto"/>
              </w:rPr>
            </w:pPr>
            <w:r>
              <w:rPr>
                <w:rFonts w:ascii="Times New Roman" w:cs="Times New Roman" w:eastAsia="Times New Roman" w:hAnsi="Times New Roman"/>
                <w:sz w:val="16"/>
                <w:szCs w:val="16"/>
                <w:color w:val="auto"/>
              </w:rPr>
              <w:t>4.5%</w:t>
            </w:r>
          </w:p>
        </w:tc>
        <w:tc>
          <w:tcPr>
            <w:tcW w:w="1540" w:type="dxa"/>
            <w:vAlign w:val="bottom"/>
            <w:gridSpan w:val="2"/>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240" w:type="dxa"/>
            <w:vAlign w:val="bottom"/>
            <w:gridSpan w:val="2"/>
          </w:tcPr>
          <w:p>
            <w:pPr>
              <w:jc w:val="right"/>
              <w:ind w:right="289"/>
              <w:spacing w:after="0"/>
              <w:rPr>
                <w:sz w:val="20"/>
                <w:szCs w:val="20"/>
                <w:color w:val="auto"/>
              </w:rPr>
            </w:pPr>
            <w:r>
              <w:rPr>
                <w:rFonts w:ascii="Times New Roman" w:cs="Times New Roman" w:eastAsia="Times New Roman" w:hAnsi="Times New Roman"/>
                <w:sz w:val="16"/>
                <w:szCs w:val="16"/>
                <w:color w:val="auto"/>
              </w:rPr>
              <w:t>15,833</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73025</wp:posOffset>
            </wp:positionV>
            <wp:extent cx="7239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35" w:lineRule="exact"/>
        <w:rPr>
          <w:sz w:val="20"/>
          <w:szCs w:val="20"/>
          <w:color w:val="auto"/>
        </w:rPr>
      </w:pPr>
    </w:p>
    <w:p>
      <w:pPr>
        <w:ind w:left="1100" w:right="859" w:hanging="301"/>
        <w:spacing w:after="0" w:line="228" w:lineRule="auto"/>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 and per the terms of his employment agreement was not eligible for a base salary increase, annual time-based stock options, or annual time-based RSU awards in 2022. Mr. Davis received a one-time grant of 41,666 options upon his hiring on November 28, 2022.</w:t>
      </w:r>
    </w:p>
    <w:p>
      <w:pPr>
        <w:spacing w:after="0" w:line="13"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to serve as our Chief Medical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to serve as our Chief Operations Officer on November 13, 2023.</w:t>
      </w:r>
    </w:p>
    <w:p>
      <w:pPr>
        <w:spacing w:after="0" w:line="2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Emphasis on Variable and Performance-Based Compensation</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annual compensation of our executive officers, including our Named Executive Officers, varies from year to year based on our corporate financial and operational results and individual performance. Our executive compensation program emphasizes “variable” pay over “fixed” pay and seeks to balance short-term and long-term incentives, as well as performance-based and time-based incentives. In 2023, the majority of the target total direct compensation of our CEO consisted of variable pay, including cash awarded under our annual bonus plan and long-term incentives in the form of equity awards for which value is likely to be variable. In particular, 18.4% of our CEO’s 2023 target total direct compensation was delivered in stock options, which derive their value from potential increases in our stock price. Fixed pay, primarily consisting of base salary, made up only 10.1% of our CEO’s target total direct compensation in 2023, while variable pay, consisting of annual incentives in the form of an annual bonus program and long-term incentives in the form of equity awards, made up 89.9%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2023:</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60" w:type="dxa"/>
            <w:vAlign w:val="bottom"/>
          </w:tcPr>
          <w:p>
            <w:pPr>
              <w:spacing w:after="0"/>
              <w:rPr>
                <w:sz w:val="12"/>
                <w:szCs w:val="12"/>
                <w:color w:val="auto"/>
              </w:rPr>
            </w:pPr>
          </w:p>
        </w:tc>
        <w:tc>
          <w:tcPr>
            <w:tcW w:w="2120" w:type="dxa"/>
            <w:vAlign w:val="bottom"/>
            <w:vMerge w:val="restart"/>
          </w:tcPr>
          <w:p>
            <w:pPr>
              <w:ind w:left="94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2"/>
              </w:rPr>
              <w:t>Total Pay</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of Pay</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of Pay</w:t>
            </w: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(Fixed)</w:t>
            </w:r>
          </w:p>
        </w:tc>
        <w:tc>
          <w:tcPr>
            <w:tcW w:w="80" w:type="dxa"/>
            <w:vAlign w:val="bottom"/>
          </w:tcPr>
          <w:p>
            <w:pPr>
              <w:spacing w:after="0"/>
              <w:rPr>
                <w:sz w:val="14"/>
                <w:szCs w:val="14"/>
                <w:color w:val="auto"/>
              </w:rPr>
            </w:pP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0" w:type="dxa"/>
            <w:vAlign w:val="bottom"/>
          </w:tcPr>
          <w:p>
            <w:pPr>
              <w:spacing w:after="0"/>
              <w:rPr>
                <w:sz w:val="1"/>
                <w:szCs w:val="1"/>
                <w:color w:val="auto"/>
              </w:rPr>
            </w:pP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2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7"/>
              </w:rPr>
              <w:t>$6,111,883</w:t>
            </w:r>
          </w:p>
        </w:tc>
        <w:tc>
          <w:tcPr>
            <w:tcW w:w="10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10.1%</w:t>
            </w:r>
          </w:p>
        </w:tc>
        <w:tc>
          <w:tcPr>
            <w:tcW w:w="108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18"/>
        </w:trPr>
        <w:tc>
          <w:tcPr>
            <w:tcW w:w="23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Officer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97"/>
              </w:rPr>
              <w:t>$2,494,759</w:t>
            </w: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17.6%</w:t>
            </w: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(1)</w:t>
            </w:r>
          </w:p>
        </w:tc>
        <w:tc>
          <w:tcPr>
            <w:tcW w:w="2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Chief Technology Officer</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71,243</w:t>
            </w:r>
          </w:p>
        </w:tc>
        <w:tc>
          <w:tcPr>
            <w:tcW w:w="10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70.6%</w:t>
            </w:r>
          </w:p>
        </w:tc>
        <w:tc>
          <w:tcPr>
            <w:tcW w:w="108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4"/>
        </w:trPr>
        <w:tc>
          <w:tcPr>
            <w:tcW w:w="23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Chris Jewell, Ph.D.</w:t>
            </w:r>
            <w:r>
              <w:rPr>
                <w:rFonts w:ascii="Times New Roman" w:cs="Times New Roman" w:eastAsia="Times New Roman" w:hAnsi="Times New Roman"/>
                <w:sz w:val="24"/>
                <w:szCs w:val="24"/>
                <w:color w:val="auto"/>
                <w:vertAlign w:val="superscript"/>
              </w:rPr>
              <w:t>(2)</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Chief Scientific Officer</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70.6%</w:t>
            </w: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Peter G. Traber, M.D.</w:t>
            </w:r>
            <w:r>
              <w:rPr>
                <w:rFonts w:ascii="Times New Roman" w:cs="Times New Roman" w:eastAsia="Times New Roman" w:hAnsi="Times New Roman"/>
                <w:sz w:val="24"/>
                <w:szCs w:val="24"/>
                <w:color w:val="auto"/>
                <w:vertAlign w:val="superscript"/>
              </w:rPr>
              <w:t>(3)</w:t>
            </w:r>
          </w:p>
        </w:tc>
        <w:tc>
          <w:tcPr>
            <w:tcW w:w="2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Former Chief Medical Officer</w:t>
            </w:r>
          </w:p>
        </w:tc>
        <w:tc>
          <w:tcPr>
            <w:tcW w:w="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7"/>
              </w:rPr>
              <w:t>$3,780,920</w:t>
            </w:r>
          </w:p>
        </w:tc>
        <w:tc>
          <w:tcPr>
            <w:tcW w:w="10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12.1%</w:t>
            </w:r>
          </w:p>
        </w:tc>
        <w:tc>
          <w:tcPr>
            <w:tcW w:w="108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348"/>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Former Chief Operations Officer</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97"/>
              </w:rPr>
              <w:t>$2,697,590</w:t>
            </w: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16.0%</w:t>
            </w: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73025</wp:posOffset>
            </wp:positionV>
            <wp:extent cx="7239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35" w:lineRule="exact"/>
        <w:rPr>
          <w:sz w:val="20"/>
          <w:szCs w:val="20"/>
          <w:color w:val="auto"/>
        </w:rPr>
      </w:pPr>
    </w:p>
    <w:p>
      <w:pPr>
        <w:ind w:left="1100" w:right="819" w:hanging="301"/>
        <w:spacing w:after="0" w:line="237" w:lineRule="auto"/>
        <w:tabs>
          <w:tab w:leader="none" w:pos="11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6" w:name="page97"/>
    <w:bookmarkEnd w:id="9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right="899" w:hanging="301"/>
        <w:spacing w:after="0" w:line="223" w:lineRule="auto"/>
        <w:tabs>
          <w:tab w:leader="none" w:pos="11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row represents Dr. Traber’s total pay at target. 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cash bonus plan for 2023 (the “2023 Bonus Plan”) by the Compensation Committee.</w:t>
      </w:r>
    </w:p>
    <w:p>
      <w:pPr>
        <w:spacing w:after="0" w:line="14" w:lineRule="exact"/>
        <w:rPr>
          <w:rFonts w:ascii="Times New Roman" w:cs="Times New Roman" w:eastAsia="Times New Roman" w:hAnsi="Times New Roman"/>
          <w:sz w:val="13"/>
          <w:szCs w:val="13"/>
          <w:color w:val="auto"/>
        </w:rPr>
      </w:pPr>
    </w:p>
    <w:p>
      <w:pPr>
        <w:ind w:left="1100" w:right="859" w:hanging="301"/>
        <w:spacing w:after="0" w:line="239" w:lineRule="auto"/>
        <w:tabs>
          <w:tab w:leader="none" w:pos="110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row represents Dr. Johnston’s total pay at target. Upon his departure as a full-time employee in December 2023, Dr. Johnston forfeited his 2023 annual target bonus opportunity of $173,888. However, as discussed under “—Post-Employment Compensation” below,</w:t>
      </w:r>
    </w:p>
    <w:p>
      <w:pPr>
        <w:ind w:left="1100" w:right="919"/>
        <w:spacing w:after="0" w:line="22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Johnston was paid an amount of $173,888 as a term of his separation agreement, which was approved separately from the 2023 Bonus Plan by the Compensation Committee.</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w:t>
      </w:r>
    </w:p>
    <w:p>
      <w:pPr>
        <w:spacing w:after="0" w:line="103" w:lineRule="exact"/>
        <w:rPr>
          <w:sz w:val="20"/>
          <w:szCs w:val="20"/>
          <w:color w:val="auto"/>
        </w:rPr>
      </w:pPr>
    </w:p>
    <w:p>
      <w:pPr>
        <w:ind w:left="800" w:right="879"/>
        <w:spacing w:after="0" w:line="276" w:lineRule="auto"/>
        <w:rPr>
          <w:sz w:val="20"/>
          <w:szCs w:val="20"/>
          <w:color w:val="auto"/>
        </w:rPr>
      </w:pPr>
      <w:r>
        <w:rPr>
          <w:rFonts w:ascii="Times New Roman" w:cs="Times New Roman" w:eastAsia="Times New Roman" w:hAnsi="Times New Roman"/>
          <w:sz w:val="15"/>
          <w:szCs w:val="15"/>
          <w:color w:val="auto"/>
        </w:rPr>
        <w:t>On November 13, 2023 we entered into the Merger Agreement, pursuant to which Sakura Merger Sub I, Inc., a Delaware corporation and wholly owned subsidiary of ours merged with and into Old Cartesian, pursuant to which Old Cartesian was the surviving corporation and became a wholly owned subsidiary of ours. Immediately following the First Merger, Old Cartesian merged with and into Sakura Merger Sub II, LLC, a Delaware limited liability company and wholly owned subsidiary of ours, pursuant to which Second Merger Sub was the surviving entity.</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Treatment of Equity Awards</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Merger Agreement provides that, among other things, upon the consummation of the First Merger:</w:t>
      </w:r>
    </w:p>
    <w:p>
      <w:pPr>
        <w:spacing w:after="0" w:line="101" w:lineRule="exact"/>
        <w:rPr>
          <w:sz w:val="20"/>
          <w:szCs w:val="20"/>
          <w:color w:val="auto"/>
        </w:rPr>
      </w:pPr>
    </w:p>
    <w:p>
      <w:pPr>
        <w:jc w:val="both"/>
        <w:ind w:left="1420" w:right="959" w:hanging="305"/>
        <w:spacing w:after="0" w:line="262" w:lineRule="auto"/>
        <w:tabs>
          <w:tab w:leader="none" w:pos="1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(a “Company Stock Option”) and each RSU award with respect to shares of Common Stock, in each case that was outstanding and unvested immediately prior to the Effective Time (as defined in the Merger Agreement), vested in full at the Effective Time;</w:t>
      </w:r>
    </w:p>
    <w:p>
      <w:pPr>
        <w:spacing w:after="0" w:line="62" w:lineRule="exact"/>
        <w:rPr>
          <w:rFonts w:ascii="Times New Roman" w:cs="Times New Roman" w:eastAsia="Times New Roman" w:hAnsi="Times New Roman"/>
          <w:sz w:val="16"/>
          <w:szCs w:val="16"/>
          <w:color w:val="auto"/>
        </w:rPr>
      </w:pPr>
    </w:p>
    <w:p>
      <w:pPr>
        <w:ind w:left="1420" w:right="819" w:hanging="305"/>
        <w:spacing w:after="0" w:line="251" w:lineRule="auto"/>
        <w:tabs>
          <w:tab w:leader="none" w:pos="1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$2.06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70"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table below illustrates the impact of these provisions on awards held by our Named Executive Officers: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Company Stock</w:t>
            </w: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RSUs Subject</w:t>
            </w: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Cash Received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Options Subject to</w:t>
            </w:r>
          </w:p>
        </w:tc>
        <w:tc>
          <w:tcPr>
            <w:tcW w:w="12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12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1"/>
                <w:szCs w:val="11"/>
                <w:color w:val="auto"/>
              </w:rPr>
            </w:pPr>
          </w:p>
        </w:tc>
        <w:tc>
          <w:tcPr>
            <w:tcW w:w="520" w:type="dxa"/>
            <w:vAlign w:val="bottom"/>
            <w:vMerge w:val="restart"/>
          </w:tcPr>
          <w:p>
            <w:pPr>
              <w:jc w:val="right"/>
              <w:ind w:right="47"/>
              <w:spacing w:after="0"/>
              <w:rPr>
                <w:sz w:val="20"/>
                <w:szCs w:val="20"/>
                <w:color w:val="auto"/>
              </w:rPr>
            </w:pPr>
            <w:r>
              <w:rPr>
                <w:rFonts w:ascii="Times New Roman" w:cs="Times New Roman" w:eastAsia="Times New Roman" w:hAnsi="Times New Roman"/>
                <w:sz w:val="13"/>
                <w:szCs w:val="13"/>
                <w:b w:val="1"/>
                <w:bCs w:val="1"/>
                <w:color w:val="auto"/>
              </w:rPr>
              <w:t>RSUs</w:t>
            </w:r>
          </w:p>
        </w:tc>
        <w:tc>
          <w:tcPr>
            <w:tcW w:w="12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for Canceled</w:t>
            </w:r>
          </w:p>
        </w:tc>
        <w:tc>
          <w:tcPr>
            <w:tcW w:w="120" w:type="dxa"/>
            <w:vAlign w:val="bottom"/>
          </w:tcPr>
          <w:p>
            <w:pPr>
              <w:spacing w:after="0"/>
              <w:rPr>
                <w:sz w:val="11"/>
                <w:szCs w:val="11"/>
                <w:color w:val="auto"/>
              </w:rPr>
            </w:pPr>
          </w:p>
        </w:tc>
        <w:tc>
          <w:tcPr>
            <w:tcW w:w="7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Received for</w:t>
            </w:r>
          </w:p>
        </w:tc>
        <w:tc>
          <w:tcPr>
            <w:tcW w:w="0" w:type="dxa"/>
            <w:vAlign w:val="bottom"/>
          </w:tcPr>
          <w:p>
            <w:pPr>
              <w:spacing w:after="0"/>
              <w:rPr>
                <w:sz w:val="1"/>
                <w:szCs w:val="1"/>
                <w:color w:val="auto"/>
              </w:rPr>
            </w:pPr>
          </w:p>
        </w:tc>
      </w:tr>
      <w:tr>
        <w:trPr>
          <w:trHeight w:val="131"/>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Accelerated</w:t>
            </w:r>
          </w:p>
        </w:tc>
        <w:tc>
          <w:tcPr>
            <w:tcW w:w="12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Accelerated</w:t>
            </w:r>
          </w:p>
        </w:tc>
        <w:tc>
          <w:tcPr>
            <w:tcW w:w="12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Company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27"/>
              <w:spacing w:after="0" w:line="131" w:lineRule="exact"/>
              <w:rPr>
                <w:sz w:val="20"/>
                <w:szCs w:val="20"/>
                <w:color w:val="auto"/>
              </w:rPr>
            </w:pPr>
            <w:r>
              <w:rPr>
                <w:rFonts w:ascii="Times New Roman" w:cs="Times New Roman" w:eastAsia="Times New Roman" w:hAnsi="Times New Roman"/>
                <w:sz w:val="13"/>
                <w:szCs w:val="13"/>
                <w:b w:val="1"/>
                <w:bCs w:val="1"/>
                <w:color w:val="auto"/>
                <w:w w:val="97"/>
              </w:rPr>
              <w:t>Canceled</w:t>
            </w:r>
          </w:p>
        </w:tc>
        <w:tc>
          <w:tcPr>
            <w:tcW w:w="0" w:type="dxa"/>
            <w:vAlign w:val="bottom"/>
          </w:tcPr>
          <w:p>
            <w:pPr>
              <w:spacing w:after="0"/>
              <w:rPr>
                <w:sz w:val="1"/>
                <w:szCs w:val="1"/>
                <w:color w:val="auto"/>
              </w:rPr>
            </w:pPr>
          </w:p>
        </w:tc>
      </w:tr>
      <w:tr>
        <w:trPr>
          <w:trHeight w:val="167"/>
        </w:trPr>
        <w:tc>
          <w:tcPr>
            <w:tcW w:w="2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Vesting</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Canceled</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Canceled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RSUs</w:t>
            </w:r>
          </w:p>
        </w:tc>
        <w:tc>
          <w:tcPr>
            <w:tcW w:w="0" w:type="dxa"/>
            <w:vAlign w:val="bottom"/>
          </w:tcPr>
          <w:p>
            <w:pPr>
              <w:spacing w:after="0"/>
              <w:rPr>
                <w:sz w:val="1"/>
                <w:szCs w:val="1"/>
                <w:color w:val="auto"/>
              </w:rPr>
            </w:pP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1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2,154,651</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521,125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5,569,100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521,125</w:t>
            </w:r>
          </w:p>
        </w:tc>
        <w:tc>
          <w:tcPr>
            <w:tcW w:w="102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$1,309,750</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$1,073,518</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14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color w:val="auto"/>
              </w:rPr>
              <w:t>1,250,000</w:t>
            </w:r>
          </w:p>
        </w:tc>
        <w:tc>
          <w:tcPr>
            <w:tcW w:w="12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987,500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p>
        </w:tc>
        <w:tc>
          <w:tcPr>
            <w:tcW w:w="11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1,339,155</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291,200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2,250,300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291,200</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837,000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599,872</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114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color w:val="auto"/>
              </w:rPr>
              <w:t>738,752</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color w:val="auto"/>
              </w:rPr>
              <w:t>173,000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1,667,357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173,000</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497,550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356,380</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12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Old Cartesian Options and Adoption of Old Cartesian’s 2016 Stock Incentive Plan</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At the Effective Time, each option to purchase shares of Old Cartesian common stock (an “Old Cartesian Option”), other than Old Cartesian Options held by Drs. Kurtoglu, Miljkovic, and Jewell, that was outstanding and unexercised immediately prior to the Effective Time, whether or not vested, was converted into an option to purchase Common Stock. At the Effective Time, each Old Cartesian Option held by Drs. Kurtoglu, Miljkovic,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7" w:name="page98"/>
    <w:bookmarkEnd w:id="9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and Jewell (a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 accordance with the terms of the Old Cartesian Plan and the terms of the stock option agreement by which such Old Cartesian Option is evidenced (but with changes to such documents as we in good faith determined were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From and after the Effective Time:</w:t>
      </w:r>
    </w:p>
    <w:p>
      <w:pPr>
        <w:spacing w:after="0" w:line="73" w:lineRule="exact"/>
        <w:rPr>
          <w:sz w:val="20"/>
          <w:szCs w:val="20"/>
          <w:color w:val="auto"/>
        </w:rPr>
      </w:pPr>
    </w:p>
    <w:p>
      <w:pPr>
        <w:ind w:left="1420" w:right="839" w:hanging="305"/>
        <w:spacing w:after="0" w:line="255"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subject to each Old Cartesian Option assumed by the Company was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per-share exercise price for Common Stock issuable upon exercise of each Old Cartesian Option assumed by the Company was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66" w:lineRule="exact"/>
        <w:rPr>
          <w:rFonts w:ascii="Times New Roman" w:cs="Times New Roman" w:eastAsia="Times New Roman" w:hAnsi="Times New Roman"/>
          <w:sz w:val="16"/>
          <w:szCs w:val="16"/>
          <w:color w:val="auto"/>
        </w:rPr>
      </w:pPr>
    </w:p>
    <w:p>
      <w:pPr>
        <w:ind w:left="1420" w:right="899" w:hanging="305"/>
        <w:spacing w:after="0" w:line="253"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Series A Preferred Stock subject to each Continuing Officer Option assumed by the Company was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for Series A Preferred Stock issuable upon exercise of each Continuing Officer Option assumed by the Company was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7"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Following the Series A Preferred Stock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8" w:name="page99"/>
    <w:bookmarkEnd w:id="9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As a result of the Merger, Drs. Kurtoglu and Jewell were granted Continuing Officer Options as summarized below:</w:t>
      </w:r>
    </w:p>
    <w:p>
      <w:pPr>
        <w:spacing w:after="0" w:line="21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2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 Underlying</w:t>
            </w:r>
          </w:p>
        </w:tc>
        <w:tc>
          <w:tcPr>
            <w:tcW w:w="12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29"/>
        </w:trPr>
        <w:tc>
          <w:tcPr>
            <w:tcW w:w="2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00" w:type="dxa"/>
            <w:vAlign w:val="bottom"/>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20" w:type="dxa"/>
            <w:vAlign w:val="bottom"/>
          </w:tcPr>
          <w:p>
            <w:pPr>
              <w:spacing w:after="0"/>
              <w:rPr>
                <w:sz w:val="11"/>
                <w:szCs w:val="11"/>
                <w:color w:val="auto"/>
              </w:rPr>
            </w:pPr>
          </w:p>
        </w:tc>
        <w:tc>
          <w:tcPr>
            <w:tcW w:w="1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Unexercised Options Not Yet</w:t>
            </w:r>
          </w:p>
        </w:tc>
        <w:tc>
          <w:tcPr>
            <w:tcW w:w="12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Expiration</w:t>
            </w:r>
          </w:p>
        </w:tc>
        <w:tc>
          <w:tcPr>
            <w:tcW w:w="0" w:type="dxa"/>
            <w:vAlign w:val="bottom"/>
          </w:tcPr>
          <w:p>
            <w:pPr>
              <w:spacing w:after="0"/>
              <w:rPr>
                <w:sz w:val="1"/>
                <w:szCs w:val="1"/>
                <w:color w:val="auto"/>
              </w:rPr>
            </w:pPr>
          </w:p>
        </w:tc>
      </w:tr>
      <w:tr>
        <w:trPr>
          <w:trHeight w:val="190"/>
        </w:trPr>
        <w:tc>
          <w:tcPr>
            <w:tcW w:w="2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3"/>
              </w:rPr>
              <w:t>Options Exercisable</w:t>
            </w:r>
            <w:r>
              <w:rPr>
                <w:rFonts w:ascii="Times New Roman" w:cs="Times New Roman" w:eastAsia="Times New Roman" w:hAnsi="Times New Roman"/>
                <w:sz w:val="21"/>
                <w:szCs w:val="21"/>
                <w:b w:val="1"/>
                <w:bCs w:val="1"/>
                <w:color w:val="auto"/>
                <w:w w:val="93"/>
                <w:vertAlign w:val="superscript"/>
              </w:rPr>
              <w:t>(1)</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1"/>
              </w:rPr>
              <w:t>Exercisable</w:t>
            </w:r>
            <w:r>
              <w:rPr>
                <w:rFonts w:ascii="Times New Roman" w:cs="Times New Roman" w:eastAsia="Times New Roman" w:hAnsi="Times New Roman"/>
                <w:sz w:val="21"/>
                <w:szCs w:val="21"/>
                <w:b w:val="1"/>
                <w:bCs w:val="1"/>
                <w:color w:val="auto"/>
                <w:w w:val="91"/>
                <w:vertAlign w:val="superscript"/>
              </w:rPr>
              <w:t>(1)</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213,820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4"/>
              </w:rPr>
              <w:t>$1.41</w:t>
            </w:r>
          </w:p>
        </w:tc>
        <w:tc>
          <w:tcPr>
            <w:tcW w:w="7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11/6/2026</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14,254</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4"/>
              </w:rPr>
              <w:t>$3.23</w:t>
            </w:r>
          </w:p>
        </w:tc>
        <w:tc>
          <w:tcPr>
            <w:tcW w:w="7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4/25/2031</w:t>
            </w:r>
          </w:p>
        </w:tc>
        <w:tc>
          <w:tcPr>
            <w:tcW w:w="0" w:type="dxa"/>
            <w:vAlign w:val="bottom"/>
          </w:tcPr>
          <w:p>
            <w:pPr>
              <w:spacing w:after="0"/>
              <w:rPr>
                <w:sz w:val="1"/>
                <w:szCs w:val="1"/>
                <w:color w:val="auto"/>
              </w:rPr>
            </w:pPr>
          </w:p>
        </w:tc>
      </w:tr>
      <w:tr>
        <w:trPr>
          <w:trHeight w:val="225"/>
        </w:trPr>
        <w:tc>
          <w:tcPr>
            <w:tcW w:w="2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3,563</w:t>
            </w:r>
          </w:p>
        </w:tc>
        <w:tc>
          <w:tcPr>
            <w:tcW w:w="19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10,691</w:t>
            </w:r>
          </w:p>
        </w:tc>
        <w:tc>
          <w:tcPr>
            <w:tcW w:w="5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4"/>
              </w:rPr>
              <w:t>$3.23</w:t>
            </w:r>
          </w:p>
        </w:tc>
        <w:tc>
          <w:tcPr>
            <w:tcW w:w="7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2/29/2032</w:t>
            </w:r>
          </w:p>
        </w:tc>
        <w:tc>
          <w:tcPr>
            <w:tcW w:w="0" w:type="dxa"/>
            <w:vAlign w:val="bottom"/>
          </w:tcPr>
          <w:p>
            <w:pPr>
              <w:spacing w:after="0"/>
              <w:rPr>
                <w:sz w:val="1"/>
                <w:szCs w:val="1"/>
                <w:color w:val="auto"/>
              </w:rPr>
            </w:pPr>
          </w:p>
        </w:tc>
      </w:tr>
      <w:tr>
        <w:trPr>
          <w:trHeight w:val="207"/>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100" w:type="dxa"/>
            <w:vAlign w:val="bottom"/>
          </w:tcPr>
          <w:p>
            <w:pPr>
              <w:spacing w:after="0"/>
              <w:rPr>
                <w:sz w:val="18"/>
                <w:szCs w:val="18"/>
                <w:color w:val="auto"/>
              </w:rPr>
            </w:pPr>
          </w:p>
        </w:tc>
        <w:tc>
          <w:tcPr>
            <w:tcW w:w="1320" w:type="dxa"/>
            <w:vAlign w:val="bottom"/>
          </w:tcPr>
          <w:p>
            <w:pPr>
              <w:jc w:val="right"/>
              <w:ind w:right="328"/>
              <w:spacing w:after="0"/>
              <w:rPr>
                <w:sz w:val="20"/>
                <w:szCs w:val="20"/>
                <w:color w:val="auto"/>
              </w:rPr>
            </w:pPr>
            <w:r>
              <w:rPr>
                <w:rFonts w:ascii="Times New Roman" w:cs="Times New Roman" w:eastAsia="Times New Roman" w:hAnsi="Times New Roman"/>
                <w:sz w:val="16"/>
                <w:szCs w:val="16"/>
                <w:color w:val="auto"/>
              </w:rPr>
              <w:t>84,638</w:t>
            </w:r>
          </w:p>
        </w:tc>
        <w:tc>
          <w:tcPr>
            <w:tcW w:w="1940" w:type="dxa"/>
            <w:vAlign w:val="bottom"/>
            <w:gridSpan w:val="2"/>
          </w:tcPr>
          <w:p>
            <w:pPr>
              <w:jc w:val="right"/>
              <w:ind w:right="630"/>
              <w:spacing w:after="0"/>
              <w:rPr>
                <w:sz w:val="20"/>
                <w:szCs w:val="20"/>
                <w:color w:val="auto"/>
              </w:rPr>
            </w:pPr>
            <w:r>
              <w:rPr>
                <w:rFonts w:ascii="Times New Roman" w:cs="Times New Roman" w:eastAsia="Times New Roman" w:hAnsi="Times New Roman"/>
                <w:sz w:val="16"/>
                <w:szCs w:val="16"/>
                <w:color w:val="auto"/>
              </w:rPr>
              <w:t>57,909</w:t>
            </w:r>
          </w:p>
        </w:tc>
        <w:tc>
          <w:tcPr>
            <w:tcW w:w="5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4"/>
              </w:rPr>
              <w:t>$3.23</w:t>
            </w:r>
          </w:p>
        </w:tc>
        <w:tc>
          <w:tcPr>
            <w:tcW w:w="7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154940</wp:posOffset>
            </wp:positionV>
            <wp:extent cx="7239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64" w:lineRule="exact"/>
        <w:rPr>
          <w:sz w:val="20"/>
          <w:szCs w:val="20"/>
          <w:color w:val="auto"/>
        </w:rPr>
      </w:pPr>
    </w:p>
    <w:p>
      <w:pPr>
        <w:ind w:left="1100" w:right="939" w:hanging="301"/>
        <w:spacing w:after="0" w:line="228" w:lineRule="auto"/>
        <w:tabs>
          <w:tab w:leader="none" w:pos="11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Continuing Officer Options were exercisable initially only for shares of Series A Preferred Stock. Following the conversion of the majority of the Company’s outstanding shares of Series A Preferred Stock, the Continuing Officer Options were converted into options to purchase shares of Common Stock. The numbers of shares presented in this column are shares of Common Stock.</w:t>
      </w:r>
    </w:p>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Retention Bonuses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August 25, 2023, our Board of Directors approved a one-time cash bonus payment (each, a “Retention Bonus” and together, the “Retention Bonuses”) to certain of our then-current executive officers equal to a multiplier of that executive officer’s annual base salary for 2023, including Dr. Brunn (2x annual base salary), Mr. Davis (2x annual base salary), Dr. Traber (1.5x annual base salary), and Dr. Johnston (2x annual base salary), provided that each such Retention Bonus recipient remains employed by us in good standing on March 31, 2024. In connection with the Merger, the Compensation Committee of the Board of Directors approved the acceleration of the payment of each Retention Bonus, each of which was paid shortly following the closing of the Merger, pursuant to retention bonus letters with each Retention Bonus recipient, provided that each Retention Bonus recipient will be required to repay his or her Retention Bonus in the event that he or she ceases to provide services to the Company prior to either March 31, 2024 (in the case of Drs. Traber and Johnston, who both provided services through this date) or June 30, 2024 (in the case of Dr. Brunn and Mr. Davis), unless the recipient’s termination is due to an involuntary termination of all of the recipient’s services by the Company without cause.</w:t>
      </w:r>
    </w:p>
    <w:p>
      <w:pPr>
        <w:spacing w:after="0" w:line="1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Practices</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endeavor to maintain sound executive compensation policies and practices, including compensation-related corporate governance standards, consistent with our executive compensation philosophy. During 2023,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What We Do</w:t>
      </w:r>
    </w:p>
    <w:p>
      <w:pPr>
        <w:spacing w:after="0" w:line="97" w:lineRule="exact"/>
        <w:rPr>
          <w:sz w:val="20"/>
          <w:szCs w:val="20"/>
          <w:color w:val="auto"/>
        </w:rPr>
      </w:pPr>
    </w:p>
    <w:p>
      <w:pPr>
        <w:jc w:val="both"/>
        <w:ind w:left="1420" w:right="899" w:hanging="305"/>
        <w:spacing w:after="0" w:line="265"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Compensation Committee Independence </w:t>
      </w:r>
      <w:r>
        <w:rPr>
          <w:rFonts w:ascii="Times New Roman" w:cs="Times New Roman" w:eastAsia="Times New Roman" w:hAnsi="Times New Roman"/>
          <w:sz w:val="16"/>
          <w:szCs w:val="16"/>
          <w:color w:val="auto"/>
        </w:rPr>
        <w:t>- Our Board of Directors maintains a Compensation Committee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comprised solely of independent directors who have established effective means for communicating with our stockholders regarding their executive compensation ideas and concerns.</w:t>
      </w:r>
    </w:p>
    <w:p>
      <w:pPr>
        <w:spacing w:after="0" w:line="55" w:lineRule="exact"/>
        <w:rPr>
          <w:rFonts w:ascii="MS PGothic" w:cs="MS PGothic" w:eastAsia="MS PGothic" w:hAnsi="MS PGothic"/>
          <w:sz w:val="16"/>
          <w:szCs w:val="16"/>
          <w:color w:val="auto"/>
        </w:rPr>
      </w:pPr>
    </w:p>
    <w:p>
      <w:pPr>
        <w:ind w:left="1420" w:right="879" w:hanging="305"/>
        <w:spacing w:after="0" w:line="291" w:lineRule="auto"/>
        <w:tabs>
          <w:tab w:leader="none" w:pos="1420" w:val="left"/>
        </w:tabs>
        <w:numPr>
          <w:ilvl w:val="0"/>
          <w:numId w:val="44"/>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i w:val="1"/>
          <w:iCs w:val="1"/>
          <w:color w:val="auto"/>
        </w:rPr>
        <w:t xml:space="preserve">Compensation Committee Advisor Independence </w:t>
      </w:r>
      <w:r>
        <w:rPr>
          <w:rFonts w:ascii="Times New Roman" w:cs="Times New Roman" w:eastAsia="Times New Roman" w:hAnsi="Times New Roman"/>
          <w:sz w:val="15"/>
          <w:szCs w:val="15"/>
          <w:color w:val="auto"/>
        </w:rPr>
        <w:t>- The Compensation Committee engages and retains its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own advisors. In 2023, the Compensation Committee engaged Compensia as compensation consultant to assist with its responsibilities. Compensia performs no consulting or other services for the Company.</w:t>
      </w:r>
    </w:p>
    <w:p>
      <w:pPr>
        <w:spacing w:after="0" w:line="37" w:lineRule="exact"/>
        <w:rPr>
          <w:rFonts w:ascii="MS PGothic" w:cs="MS PGothic" w:eastAsia="MS PGothic" w:hAnsi="MS PGothic"/>
          <w:sz w:val="15"/>
          <w:szCs w:val="15"/>
          <w:color w:val="auto"/>
          <w:highlight w:val="black"/>
        </w:rPr>
      </w:pPr>
    </w:p>
    <w:p>
      <w:pPr>
        <w:ind w:left="1420" w:right="899" w:hanging="305"/>
        <w:spacing w:after="0" w:line="265"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Annual Compensation Review </w:t>
      </w:r>
      <w:r>
        <w:rPr>
          <w:rFonts w:ascii="Times New Roman" w:cs="Times New Roman" w:eastAsia="Times New Roman" w:hAnsi="Times New Roman"/>
          <w:sz w:val="16"/>
          <w:szCs w:val="16"/>
          <w:color w:val="auto"/>
        </w:rPr>
        <w:t>- The Compensation Committee conducts an annual review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compensation philosophy and strategy, including a review of the compensation peer group used for comparative purposes.</w:t>
      </w:r>
    </w:p>
    <w:p>
      <w:pPr>
        <w:spacing w:after="0" w:line="55" w:lineRule="exact"/>
        <w:rPr>
          <w:rFonts w:ascii="MS PGothic" w:cs="MS PGothic" w:eastAsia="MS PGothic" w:hAnsi="MS PGothic"/>
          <w:sz w:val="16"/>
          <w:szCs w:val="16"/>
          <w:color w:val="auto"/>
        </w:rPr>
      </w:pPr>
    </w:p>
    <w:p>
      <w:pPr>
        <w:ind w:left="1420" w:right="879" w:hanging="305"/>
        <w:spacing w:after="0" w:line="259"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Compensation-Related Risk Assessment </w:t>
      </w:r>
      <w:r>
        <w:rPr>
          <w:rFonts w:ascii="Times New Roman" w:cs="Times New Roman" w:eastAsia="Times New Roman" w:hAnsi="Times New Roman"/>
          <w:sz w:val="16"/>
          <w:szCs w:val="16"/>
          <w:color w:val="auto"/>
        </w:rPr>
        <w:t>- We conduct an annual evaluation of our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programs, policies, and practices to ensure that they reflect an appropriate level of risk-taking but do not encourage our employees to take excessive or unnecessary risks that could have a material adverse impact on our Company.</w:t>
      </w:r>
    </w:p>
    <w:p>
      <w:pPr>
        <w:spacing w:after="0" w:line="60" w:lineRule="exact"/>
        <w:rPr>
          <w:rFonts w:ascii="MS PGothic" w:cs="MS PGothic" w:eastAsia="MS PGothic" w:hAnsi="MS PGothic"/>
          <w:sz w:val="16"/>
          <w:szCs w:val="16"/>
          <w:color w:val="auto"/>
        </w:rPr>
      </w:pPr>
    </w:p>
    <w:p>
      <w:pPr>
        <w:ind w:left="1420" w:hanging="305"/>
        <w:spacing w:after="0"/>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Emphasize Long-Term Equity Compensation </w:t>
      </w:r>
      <w:r>
        <w:rPr>
          <w:rFonts w:ascii="Times New Roman" w:cs="Times New Roman" w:eastAsia="Times New Roman" w:hAnsi="Times New Roman"/>
          <w:sz w:val="16"/>
          <w:szCs w:val="16"/>
          <w:color w:val="auto"/>
        </w:rPr>
        <w:t>- The Compensation Committee uses equity awards to</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9" w:name="page100"/>
    <w:bookmarkEnd w:id="9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40" w:right="879"/>
        <w:spacing w:after="0" w:line="262" w:lineRule="auto"/>
        <w:rPr>
          <w:sz w:val="20"/>
          <w:szCs w:val="20"/>
          <w:color w:val="auto"/>
        </w:rPr>
      </w:pPr>
      <w:r>
        <w:rPr>
          <w:rFonts w:ascii="Times New Roman" w:cs="Times New Roman" w:eastAsia="Times New Roman" w:hAnsi="Times New Roman"/>
          <w:sz w:val="16"/>
          <w:szCs w:val="16"/>
          <w:color w:val="auto"/>
        </w:rPr>
        <w:t>deliver long-term incentive 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58" w:lineRule="exact"/>
        <w:rPr>
          <w:sz w:val="20"/>
          <w:szCs w:val="20"/>
          <w:color w:val="auto"/>
        </w:rPr>
      </w:pPr>
    </w:p>
    <w:p>
      <w:pPr>
        <w:ind w:left="1420" w:right="839" w:hanging="305"/>
        <w:spacing w:after="0" w:line="291" w:lineRule="auto"/>
        <w:tabs>
          <w:tab w:leader="none" w:pos="14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Limited Executive Perquisites </w:t>
      </w:r>
      <w:r>
        <w:rPr>
          <w:rFonts w:ascii="Times New Roman" w:cs="Times New Roman" w:eastAsia="Times New Roman" w:hAnsi="Times New Roman"/>
          <w:sz w:val="15"/>
          <w:szCs w:val="15"/>
          <w:color w:val="auto"/>
        </w:rPr>
        <w:t>- We provide only modest amounts of perquisites or other personal benefits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that serve a sound business purpose to the Named Executive Officers. In addition, the Named Executive Officers participate in our health and welfare benefit programs on the same terms as all of our employees.</w:t>
      </w:r>
    </w:p>
    <w:p>
      <w:pPr>
        <w:spacing w:after="0" w:line="37" w:lineRule="exact"/>
        <w:rPr>
          <w:rFonts w:ascii="MS PGothic" w:cs="MS PGothic" w:eastAsia="MS PGothic" w:hAnsi="MS PGothic"/>
          <w:sz w:val="15"/>
          <w:szCs w:val="15"/>
          <w:color w:val="auto"/>
        </w:rPr>
      </w:pPr>
    </w:p>
    <w:p>
      <w:pPr>
        <w:ind w:left="1420" w:right="859" w:hanging="305"/>
        <w:spacing w:after="0" w:line="259" w:lineRule="auto"/>
        <w:tabs>
          <w:tab w:leader="none" w:pos="142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“Double-Trigger” Change in Control Arrangements </w:t>
      </w:r>
      <w:r>
        <w:rPr>
          <w:rFonts w:ascii="Times New Roman" w:cs="Times New Roman" w:eastAsia="Times New Roman" w:hAnsi="Times New Roman"/>
          <w:sz w:val="16"/>
          <w:szCs w:val="16"/>
          <w:color w:val="auto"/>
        </w:rPr>
        <w:t>- The post-employment compensation arrangements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our executive officers, including our Named Executive Officers, are based on a “double-trigger” arrangement that provides for the receipt of payments and benefits only in the event of (i) a change in control of the Company and (ii) a qualifying termination of employment.</w:t>
      </w:r>
    </w:p>
    <w:p>
      <w:pPr>
        <w:spacing w:after="0" w:line="60" w:lineRule="exact"/>
        <w:rPr>
          <w:rFonts w:ascii="MS PGothic" w:cs="MS PGothic" w:eastAsia="MS PGothic" w:hAnsi="MS PGothic"/>
          <w:sz w:val="16"/>
          <w:szCs w:val="16"/>
          <w:color w:val="auto"/>
        </w:rPr>
      </w:pPr>
    </w:p>
    <w:p>
      <w:pPr>
        <w:ind w:left="1420" w:right="1119" w:hanging="305"/>
        <w:spacing w:after="0" w:line="259" w:lineRule="auto"/>
        <w:tabs>
          <w:tab w:leader="none" w:pos="142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Executive Clawback Policy - </w:t>
      </w:r>
      <w:r>
        <w:rPr>
          <w:rFonts w:ascii="Times New Roman" w:cs="Times New Roman" w:eastAsia="Times New Roman" w:hAnsi="Times New Roman"/>
          <w:sz w:val="16"/>
          <w:szCs w:val="16"/>
          <w:color w:val="auto"/>
        </w:rPr>
        <w:t>Effective as of October 2, 2023, we instituted a new executive clawback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policy, compliant with new SEC rules, which allows the Board of Directors to recover any incentive awards from any executive officer in the event the Company is required to file a restatement of its financial reporting as a result of that executive officer’s fraud or misconduct.</w:t>
      </w:r>
    </w:p>
    <w:p>
      <w:pPr>
        <w:spacing w:after="0" w:line="60" w:lineRule="exact"/>
        <w:rPr>
          <w:rFonts w:ascii="MS PGothic" w:cs="MS PGothic" w:eastAsia="MS PGothic" w:hAnsi="MS PGothic"/>
          <w:sz w:val="16"/>
          <w:szCs w:val="16"/>
          <w:color w:val="auto"/>
        </w:rPr>
      </w:pPr>
    </w:p>
    <w:p>
      <w:pPr>
        <w:ind w:left="1420" w:right="819" w:hanging="305"/>
        <w:spacing w:after="0" w:line="265" w:lineRule="auto"/>
        <w:tabs>
          <w:tab w:leader="none" w:pos="142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Reasonable Change-in-Control Arrangements </w:t>
      </w:r>
      <w:r>
        <w:rPr>
          <w:rFonts w:ascii="Times New Roman" w:cs="Times New Roman" w:eastAsia="Times New Roman" w:hAnsi="Times New Roman"/>
          <w:sz w:val="16"/>
          <w:szCs w:val="16"/>
          <w:color w:val="auto"/>
        </w:rPr>
        <w:t>- We believe the post-employment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arrangements for our executive officers, including our Named Executive Officers, provide for amounts and multiples that are within reasonable market norms.</w:t>
      </w:r>
    </w:p>
    <w:p>
      <w:pPr>
        <w:spacing w:after="0" w:line="55" w:lineRule="exact"/>
        <w:rPr>
          <w:rFonts w:ascii="MS PGothic" w:cs="MS PGothic" w:eastAsia="MS PGothic" w:hAnsi="MS PGothic"/>
          <w:sz w:val="16"/>
          <w:szCs w:val="16"/>
          <w:color w:val="auto"/>
        </w:rPr>
      </w:pPr>
    </w:p>
    <w:p>
      <w:pPr>
        <w:ind w:left="1420" w:right="919" w:hanging="305"/>
        <w:spacing w:after="0" w:line="308" w:lineRule="auto"/>
        <w:tabs>
          <w:tab w:leader="none" w:pos="14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Prohibition on Hedging and Pledging </w:t>
      </w:r>
      <w:r>
        <w:rPr>
          <w:rFonts w:ascii="Times New Roman" w:cs="Times New Roman" w:eastAsia="Times New Roman" w:hAnsi="Times New Roman"/>
          <w:sz w:val="15"/>
          <w:szCs w:val="15"/>
          <w:color w:val="auto"/>
        </w:rPr>
        <w:t>- Under our Insider Trading Policy, we prohibit our employees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from hedging any Company securities and from pledging any Company securities as collateral for a loan.</w:t>
      </w:r>
    </w:p>
    <w:p>
      <w:pPr>
        <w:spacing w:after="0" w:line="32" w:lineRule="exact"/>
        <w:rPr>
          <w:rFonts w:ascii="MS PGothic" w:cs="MS PGothic" w:eastAsia="MS PGothic" w:hAnsi="MS PGothic"/>
          <w:sz w:val="15"/>
          <w:szCs w:val="15"/>
          <w:color w:val="auto"/>
        </w:rPr>
      </w:pPr>
    </w:p>
    <w:p>
      <w:pPr>
        <w:ind w:left="1420" w:right="1339" w:hanging="305"/>
        <w:spacing w:after="0" w:line="318" w:lineRule="auto"/>
        <w:tabs>
          <w:tab w:leader="none" w:pos="14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Succession Planning </w:t>
      </w:r>
      <w:r>
        <w:rPr>
          <w:rFonts w:ascii="Times New Roman" w:cs="Times New Roman" w:eastAsia="Times New Roman" w:hAnsi="Times New Roman"/>
          <w:sz w:val="15"/>
          <w:szCs w:val="15"/>
          <w:color w:val="auto"/>
        </w:rPr>
        <w:t>- Our Board of Directors reviews the risks associated with our key executive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positions on an annual basis so that we continue to evaluate an adequate succession strategy.</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What We Do Not Do</w:t>
      </w:r>
    </w:p>
    <w:p>
      <w:pPr>
        <w:spacing w:after="0" w:line="97" w:lineRule="exact"/>
        <w:rPr>
          <w:sz w:val="20"/>
          <w:szCs w:val="20"/>
          <w:color w:val="auto"/>
        </w:rPr>
      </w:pPr>
    </w:p>
    <w:p>
      <w:pPr>
        <w:ind w:left="1420" w:right="839" w:hanging="305"/>
        <w:spacing w:after="0" w:line="265" w:lineRule="auto"/>
        <w:tabs>
          <w:tab w:leader="none" w:pos="1420" w:val="left"/>
        </w:tabs>
        <w:numPr>
          <w:ilvl w:val="0"/>
          <w:numId w:val="4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Retirement Programs </w:t>
      </w:r>
      <w:r>
        <w:rPr>
          <w:rFonts w:ascii="Times New Roman" w:cs="Times New Roman" w:eastAsia="Times New Roman" w:hAnsi="Times New Roman"/>
          <w:sz w:val="16"/>
          <w:szCs w:val="16"/>
          <w:color w:val="auto"/>
        </w:rPr>
        <w:t>- Other than our Section 401(k) plan generally available to all employees, we do not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offer defined benefit or contribution retirement plans or arrangements or nonqualified deferred compensation plans or arrangements for our executive officers, including our Named Executive Officers.</w:t>
      </w:r>
    </w:p>
    <w:p>
      <w:pPr>
        <w:spacing w:after="0" w:line="55" w:lineRule="exact"/>
        <w:rPr>
          <w:rFonts w:ascii="MS PGothic" w:cs="MS PGothic" w:eastAsia="MS PGothic" w:hAnsi="MS PGothic"/>
          <w:sz w:val="16"/>
          <w:szCs w:val="16"/>
          <w:color w:val="auto"/>
        </w:rPr>
      </w:pPr>
    </w:p>
    <w:p>
      <w:pPr>
        <w:ind w:left="1420" w:right="1219" w:hanging="305"/>
        <w:spacing w:after="0" w:line="283" w:lineRule="auto"/>
        <w:tabs>
          <w:tab w:leader="none" w:pos="1420" w:val="left"/>
        </w:tabs>
        <w:numPr>
          <w:ilvl w:val="0"/>
          <w:numId w:val="4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No Dividends </w:t>
      </w:r>
      <w:r>
        <w:rPr>
          <w:rFonts w:ascii="Times New Roman" w:cs="Times New Roman" w:eastAsia="Times New Roman" w:hAnsi="Times New Roman"/>
          <w:sz w:val="16"/>
          <w:szCs w:val="16"/>
          <w:color w:val="auto"/>
        </w:rPr>
        <w:t>- We do not pay dividends or dividend equivalents on unvested or unearned RSUs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performance-based RSU awards.</w:t>
      </w:r>
    </w:p>
    <w:p>
      <w:pPr>
        <w:spacing w:after="0" w:line="41" w:lineRule="exact"/>
        <w:rPr>
          <w:rFonts w:ascii="MS PGothic" w:cs="MS PGothic" w:eastAsia="MS PGothic" w:hAnsi="MS PGothic"/>
          <w:sz w:val="16"/>
          <w:szCs w:val="16"/>
          <w:color w:val="auto"/>
        </w:rPr>
      </w:pPr>
    </w:p>
    <w:p>
      <w:pPr>
        <w:ind w:left="1420" w:right="899" w:hanging="305"/>
        <w:spacing w:after="0" w:line="283" w:lineRule="auto"/>
        <w:tabs>
          <w:tab w:leader="none" w:pos="1420" w:val="left"/>
        </w:tabs>
        <w:numPr>
          <w:ilvl w:val="0"/>
          <w:numId w:val="4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No Stock Option Repricing </w:t>
      </w:r>
      <w:r>
        <w:rPr>
          <w:rFonts w:ascii="Times New Roman" w:cs="Times New Roman" w:eastAsia="Times New Roman" w:hAnsi="Times New Roman"/>
          <w:sz w:val="16"/>
          <w:szCs w:val="16"/>
          <w:color w:val="auto"/>
        </w:rPr>
        <w:t>- We do not reprice options to purchase shares of our Common Stock without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stockholder approval.</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Philosophy and Guiding Principles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0"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and its impact on our financial condition. While the Compensation Committee considers all of the factors in its deliberations, it places no formal weighting on any one factor.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0" w:name="page101"/>
    <w:bookmarkEnd w:id="10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Compensation-Setting Process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Role of the Compensation Committee</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News” page of our website at www.cartesiantherapeutics.com.</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While the Compensation Committee determines our overall compensation philosophy and approves the compensation of our executive officers, it relies on its compensation consultant,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 of Directors.</w:t>
      </w:r>
    </w:p>
    <w:p>
      <w:pPr>
        <w:spacing w:after="0" w:line="73"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w:t>
      </w:r>
    </w:p>
    <w:p>
      <w:pPr>
        <w:spacing w:after="0" w:line="1" w:lineRule="exact"/>
        <w:rPr>
          <w:sz w:val="20"/>
          <w:szCs w:val="20"/>
          <w:color w:val="auto"/>
        </w:rPr>
      </w:pPr>
    </w:p>
    <w:p>
      <w:pPr>
        <w:ind w:left="800" w:right="879" w:hanging="1"/>
        <w:spacing w:after="0" w:line="272" w:lineRule="auto"/>
        <w:tabs>
          <w:tab w:leader="none" w:pos="1077"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56"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 of Directors.</w:t>
      </w:r>
    </w:p>
    <w:p>
      <w:pPr>
        <w:spacing w:after="0" w:line="6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The factors considered by the Compensation Committee in determining the compensation of our executive officers, including our Named Executive Officers, for 2023 included:</w:t>
      </w:r>
    </w:p>
    <w:p>
      <w:pPr>
        <w:spacing w:after="0" w:line="50" w:lineRule="exact"/>
        <w:rPr>
          <w:sz w:val="20"/>
          <w:szCs w:val="20"/>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recommendations of our CEO (except with respect to his own compensation) as described below;</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growth and other elements of financial and operational performance;</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and individual achievements against one or more short-term and long-term performance objectives;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performance of each executive officer against his management objectives;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77" w:lineRule="auto"/>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review of the relevant competitive market analysis prepared by its compensation consultant (as described below);</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future contribution of the individual executive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compensation awards we have made to our executive officers;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pay equity based on the impact on our business and performance.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1" w:name="page102"/>
    <w:bookmarkEnd w:id="10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Role of Our CEO</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At the end of each year, our CEO reviews the performance of our other executive officers, including the other Named Executive Officers, for such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77" w:lineRule="exact"/>
        <w:rPr>
          <w:sz w:val="20"/>
          <w:szCs w:val="20"/>
          <w:color w:val="auto"/>
        </w:rPr>
      </w:pPr>
    </w:p>
    <w:p>
      <w:pPr>
        <w:ind w:left="800" w:right="1079"/>
        <w:spacing w:after="0" w:line="253" w:lineRule="auto"/>
        <w:rPr>
          <w:sz w:val="20"/>
          <w:szCs w:val="20"/>
          <w:color w:val="auto"/>
        </w:rPr>
      </w:pPr>
      <w:r>
        <w:rPr>
          <w:rFonts w:ascii="Times New Roman" w:cs="Times New Roman" w:eastAsia="Times New Roman" w:hAnsi="Times New Roman"/>
          <w:sz w:val="16"/>
          <w:szCs w:val="16"/>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Role of Compensation Consultant</w:t>
      </w:r>
    </w:p>
    <w:p>
      <w:pPr>
        <w:spacing w:after="0" w:line="105" w:lineRule="exact"/>
        <w:rPr>
          <w:sz w:val="20"/>
          <w:szCs w:val="20"/>
          <w:color w:val="auto"/>
        </w:rPr>
      </w:pPr>
    </w:p>
    <w:p>
      <w:pPr>
        <w:ind w:left="800" w:right="1119"/>
        <w:spacing w:after="0" w:line="257" w:lineRule="auto"/>
        <w:rPr>
          <w:sz w:val="20"/>
          <w:szCs w:val="20"/>
          <w:color w:val="auto"/>
        </w:rPr>
      </w:pPr>
      <w:r>
        <w:rPr>
          <w:rFonts w:ascii="Times New Roman" w:cs="Times New Roman" w:eastAsia="Times New Roman" w:hAnsi="Times New Roman"/>
          <w:sz w:val="16"/>
          <w:szCs w:val="16"/>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7" w:lineRule="exact"/>
        <w:rPr>
          <w:sz w:val="20"/>
          <w:szCs w:val="20"/>
          <w:color w:val="auto"/>
        </w:rPr>
      </w:pPr>
    </w:p>
    <w:p>
      <w:pPr>
        <w:ind w:left="800" w:right="1099"/>
        <w:spacing w:after="0" w:line="257" w:lineRule="auto"/>
        <w:rPr>
          <w:sz w:val="20"/>
          <w:szCs w:val="20"/>
          <w:color w:val="auto"/>
        </w:rPr>
      </w:pPr>
      <w:r>
        <w:rPr>
          <w:rFonts w:ascii="Times New Roman" w:cs="Times New Roman" w:eastAsia="Times New Roman" w:hAnsi="Times New Roman"/>
          <w:sz w:val="16"/>
          <w:szCs w:val="16"/>
          <w:color w:val="auto"/>
        </w:rPr>
        <w:t>In 2023, pursuant to this authority, the Compensation Committee engaged Compensia, a national compensation consulting firm, to provide information, analysis, and other assistance relating to our executive compensation program on an ongoing basis. The nature and scope of the services provided to the Compensation Committee by Compensia in 2023 were as follows:</w:t>
      </w:r>
    </w:p>
    <w:p>
      <w:pPr>
        <w:spacing w:after="0" w:line="19" w:lineRule="exact"/>
        <w:rPr>
          <w:sz w:val="20"/>
          <w:szCs w:val="20"/>
          <w:color w:val="auto"/>
        </w:rPr>
      </w:pPr>
    </w:p>
    <w:p>
      <w:pPr>
        <w:ind w:left="1420" w:hanging="305"/>
        <w:spacing w:after="0"/>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developed and subsequently updated the compensation peer group;</w:t>
      </w:r>
    </w:p>
    <w:p>
      <w:pPr>
        <w:spacing w:after="0" w:line="53" w:lineRule="exact"/>
        <w:rPr>
          <w:rFonts w:ascii="Times New Roman" w:cs="Times New Roman" w:eastAsia="Times New Roman" w:hAnsi="Times New Roman"/>
          <w:sz w:val="16"/>
          <w:szCs w:val="16"/>
          <w:color w:val="auto"/>
        </w:rPr>
      </w:pPr>
    </w:p>
    <w:p>
      <w:pPr>
        <w:ind w:left="1420" w:right="959" w:hanging="305"/>
        <w:spacing w:after="0" w:line="277" w:lineRule="auto"/>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advice with respect to compensation best practices and market trends for executive officers and members of our Board of Directors;</w:t>
      </w:r>
    </w:p>
    <w:p>
      <w:pPr>
        <w:spacing w:after="0" w:line="2" w:lineRule="exact"/>
        <w:rPr>
          <w:rFonts w:ascii="Times New Roman" w:cs="Times New Roman" w:eastAsia="Times New Roman" w:hAnsi="Times New Roman"/>
          <w:sz w:val="16"/>
          <w:szCs w:val="16"/>
          <w:color w:val="auto"/>
        </w:rPr>
      </w:pPr>
    </w:p>
    <w:p>
      <w:pPr>
        <w:ind w:left="1420" w:right="959" w:hanging="305"/>
        <w:spacing w:after="0" w:line="277" w:lineRule="auto"/>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an analysis of the levels of overall compensation and each element of compensation for of our executive officers and non-executive employees;</w:t>
      </w:r>
    </w:p>
    <w:p>
      <w:pPr>
        <w:spacing w:after="0" w:line="2"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an analysis of the levels of overall compensation and each element of compensation for the members of our Board of Directors; and</w:t>
      </w:r>
    </w:p>
    <w:p>
      <w:pPr>
        <w:ind w:left="1420" w:hanging="305"/>
        <w:spacing w:after="0"/>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provided </w:t>
      </w:r>
      <w:r>
        <w:rPr>
          <w:rFonts w:ascii="Times New Roman" w:cs="Times New Roman" w:eastAsia="Times New Roman" w:hAnsi="Times New Roman"/>
          <w:sz w:val="16"/>
          <w:szCs w:val="16"/>
          <w:i w:val="1"/>
          <w:iCs w:val="1"/>
          <w:color w:val="auto"/>
        </w:rPr>
        <w:t>ad hoc</w:t>
      </w:r>
      <w:r>
        <w:rPr>
          <w:rFonts w:ascii="Times New Roman" w:cs="Times New Roman" w:eastAsia="Times New Roman" w:hAnsi="Times New Roman"/>
          <w:sz w:val="16"/>
          <w:szCs w:val="16"/>
          <w:color w:val="auto"/>
        </w:rPr>
        <w:t xml:space="preserve"> advice and support throughout the year.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2" w:name="page103"/>
    <w:bookmarkEnd w:id="10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Representatives of Compensia attended meetings of the Compensation Committee as requested and also communicated with the Compensation Committee outside of meetings. Compensia reported to the Compensation Committee rather than to management, although Compensia was permitted to meet with members of management, including our CEO and members of our executive compensation staff, for purposes of gathering information on proposals that management may make to the Compensation Committee. During 2023, Compensia met with various executive officers to collect data and obtain management’s perspective on various executive compensation proposals.</w:t>
      </w:r>
    </w:p>
    <w:p>
      <w:pPr>
        <w:spacing w:after="0" w:line="7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Compensia has not provided any other services to us nor received any compensation other than with respect to the services described above.</w:t>
      </w:r>
    </w:p>
    <w:p>
      <w:pPr>
        <w:spacing w:after="0" w:line="50" w:lineRule="exact"/>
        <w:rPr>
          <w:sz w:val="20"/>
          <w:szCs w:val="20"/>
          <w:color w:val="auto"/>
        </w:rPr>
      </w:pPr>
    </w:p>
    <w:p>
      <w:pPr>
        <w:ind w:left="800" w:right="979"/>
        <w:spacing w:after="0" w:line="280" w:lineRule="auto"/>
        <w:rPr>
          <w:sz w:val="20"/>
          <w:szCs w:val="20"/>
          <w:color w:val="auto"/>
        </w:rPr>
      </w:pPr>
      <w:r>
        <w:rPr>
          <w:rFonts w:ascii="Times New Roman" w:cs="Times New Roman" w:eastAsia="Times New Roman" w:hAnsi="Times New Roman"/>
          <w:sz w:val="15"/>
          <w:szCs w:val="15"/>
          <w:color w:val="auto"/>
        </w:rPr>
        <w:t>The Compensation Committee has assessed the independence of Compensia taking into account, among other things, the various factors as set forth in Exchange Act Rule 10C-1 and the enhanced independence standards and factors set forth in the applicable Nasdaq listing standards, and has concluded that its relationship with Compensia and the work of Compensia on behalf of the Compensation Committee has not raised any conflict of interest.</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Competitive Positioning</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Compensation Committee believes that the competitive market for executive talent includes the biotechnology industry broadly. Accordingly, it develops a compensation peer group to contain a carefully selected cross-section of such public biotechnology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Compensation Peer Group</w:t>
      </w:r>
    </w:p>
    <w:p>
      <w:pPr>
        <w:spacing w:after="0" w:line="105"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2"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In 2023, the Compensation Committee directed Compensia to formulate a group of peer companies to be used as a reference for market positioning and for assessing competitive market practices. Compensia undertook a detailed review of the pool of U.S.-based publicly traded companies, taking into consideration our industry and sector, the size of such companies (based on revenues and market capitalization) relative to our size and growth rate, and the following additional factors:</w:t>
      </w:r>
    </w:p>
    <w:p>
      <w:pPr>
        <w:spacing w:after="0" w:line="68" w:lineRule="exact"/>
        <w:rPr>
          <w:sz w:val="20"/>
          <w:szCs w:val="20"/>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stage of clinical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area(s) of therapeutic focus;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market capitalization;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organizational complexities and growth attributes;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business focus and corporate strategy; and</w:t>
      </w:r>
    </w:p>
    <w:p>
      <w:pPr>
        <w:spacing w:after="0" w:line="101"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operational performance (for consistency with our strategy and future performance expectations).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3" w:name="page104"/>
    <w:bookmarkEnd w:id="10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Following this review, Compensia recommended to the Compensation Committee the following peer group to</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consist of 20 publicly traded biotechnology companies, which the Compensation Committee subsequently approved.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selected companies had market capitalizations ranging from approximately $154 million to approximately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$1.3 billion, with a median of approximately $654 million. The companies comprising the updated compensation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peer group were as follows:</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4D Molecular Therapeutics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Dyne Therapeutics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7"/>
              </w:rPr>
              <w:t>Lineage Cell Therapeutics</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Aldeyra Therapeutics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Editas Medicine</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MeiraGTx</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Allogene Therapeutics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Genelux</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REGENXBIO</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Alpine Immune Sciences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Gritstone Bio</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Replimune Group</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AnaptysBio</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Inovio Pharmaceuticals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Sana Biotechnology</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Cabaletta Bio</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iTeos Therapeutics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Viridian Therapeutics</w:t>
            </w:r>
          </w:p>
        </w:tc>
      </w:tr>
      <w:tr>
        <w:trPr>
          <w:trHeight w:val="207"/>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Cogent Biosciences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Kymera Therapeutics</w:t>
            </w:r>
          </w:p>
        </w:tc>
        <w:tc>
          <w:tcPr>
            <w:tcW w:w="2180" w:type="dxa"/>
            <w:vAlign w:val="bottom"/>
          </w:tcPr>
          <w:p>
            <w:pPr>
              <w:spacing w:after="0"/>
              <w:rPr>
                <w:sz w:val="18"/>
                <w:szCs w:val="18"/>
                <w:color w:val="auto"/>
              </w:rPr>
            </w:pPr>
          </w:p>
        </w:tc>
      </w:tr>
    </w:tbl>
    <w:p>
      <w:pPr>
        <w:spacing w:after="0" w:line="12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Elements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three primary elements of our executive compensation programs are: (1) base salary, (2) annual cash bonus opportunities, and (3) long-term incentives in the form of equity awards, as described below. Additionally during the year ended December 31, 2023, we utilized non-recurring retention bonuses.</w:t>
      </w:r>
    </w:p>
    <w:p>
      <w:pPr>
        <w:sectPr>
          <w:pgSz w:w="11900" w:h="16838" w:orient="portrait"/>
          <w:cols w:equalWidth="0" w:num="1">
            <w:col w:w="9019"/>
          </w:cols>
          <w:pgMar w:left="1440" w:top="248" w:right="1440" w:bottom="1440" w:gutter="0" w:footer="0" w:header="0"/>
        </w:sectPr>
      </w:pP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80" w:type="dxa"/>
            <w:vAlign w:val="bottom"/>
          </w:tcPr>
          <w:p>
            <w:pPr>
              <w:spacing w:after="0"/>
              <w:rPr>
                <w:sz w:val="12"/>
                <w:szCs w:val="12"/>
                <w:color w:val="auto"/>
              </w:rPr>
            </w:pPr>
          </w:p>
        </w:tc>
        <w:tc>
          <w:tcPr>
            <w:tcW w:w="24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What This Element Rewards</w:t>
            </w:r>
          </w:p>
        </w:tc>
        <w:tc>
          <w:tcPr>
            <w:tcW w:w="0" w:type="dxa"/>
            <w:vAlign w:val="bottom"/>
          </w:tcPr>
          <w:p>
            <w:pPr>
              <w:spacing w:after="0"/>
              <w:rPr>
                <w:sz w:val="1"/>
                <w:szCs w:val="1"/>
                <w:color w:val="auto"/>
              </w:rPr>
            </w:pPr>
          </w:p>
        </w:tc>
      </w:tr>
      <w:tr>
        <w:trPr>
          <w:trHeight w:val="17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Element</w:t>
            </w:r>
          </w:p>
        </w:tc>
        <w:tc>
          <w:tcPr>
            <w:tcW w:w="180" w:type="dxa"/>
            <w:vAlign w:val="bottom"/>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Base salary</w:t>
            </w: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Individual performance, level of</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experience, expected future</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performance and contributions.</w:t>
            </w:r>
          </w:p>
        </w:tc>
        <w:tc>
          <w:tcPr>
            <w:tcW w:w="0" w:type="dxa"/>
            <w:vAlign w:val="bottom"/>
          </w:tcPr>
          <w:p>
            <w:pPr>
              <w:spacing w:after="0"/>
              <w:rPr>
                <w:sz w:val="1"/>
                <w:szCs w:val="1"/>
                <w:color w:val="auto"/>
              </w:rPr>
            </w:pPr>
          </w:p>
        </w:tc>
      </w:tr>
      <w:tr>
        <w:trPr>
          <w:trHeight w:val="565"/>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Annual cash</w:t>
            </w: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Achievement of pre-established</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bonuses</w:t>
            </w: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corporate and individual performance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objectives (for 2023, focused on the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advancement of our pipeline,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corporate strategy and business</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9"/>
              </w:rPr>
              <w:t>development, culture and engagement,</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and the company’s financials, as well</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as management objectives).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Retention</w:t>
      </w:r>
      <w:r>
        <w:rPr>
          <w:sz w:val="20"/>
          <w:szCs w:val="20"/>
          <w:color w:val="auto"/>
        </w:rPr>
        <w:tab/>
      </w:r>
      <w:r>
        <w:rPr>
          <w:rFonts w:ascii="Times New Roman" w:cs="Times New Roman" w:eastAsia="Times New Roman" w:hAnsi="Times New Roman"/>
          <w:sz w:val="16"/>
          <w:szCs w:val="16"/>
          <w:color w:val="auto"/>
        </w:rPr>
        <w:t>Maintain a stable management team</w:t>
      </w:r>
    </w:p>
    <w:p>
      <w:pPr>
        <w:spacing w:after="0" w:line="23"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bonuses</w:t>
      </w:r>
      <w:r>
        <w:rPr>
          <w:sz w:val="20"/>
          <w:szCs w:val="20"/>
          <w:color w:val="auto"/>
        </w:rPr>
        <w:tab/>
      </w:r>
      <w:r>
        <w:rPr>
          <w:rFonts w:ascii="Times New Roman" w:cs="Times New Roman" w:eastAsia="Times New Roman" w:hAnsi="Times New Roman"/>
          <w:sz w:val="16"/>
          <w:szCs w:val="16"/>
          <w:color w:val="auto"/>
        </w:rPr>
        <w:t>and retain key Company talent</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through short-term market volatility</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and changes in corporate strategy.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171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71700" cy="7620"/>
                    </a:xfrm>
                    <a:prstGeom prst="rect">
                      <a:avLst/>
                    </a:prstGeom>
                    <a:noFill/>
                  </pic:spPr>
                </pic:pic>
              </a:graphicData>
            </a:graphic>
          </wp:anchor>
        </w:drawing>
      </w:r>
    </w:p>
    <w:p>
      <w:pPr>
        <w:spacing w:after="0" w:line="26" w:lineRule="exact"/>
        <w:rPr>
          <w:sz w:val="20"/>
          <w:szCs w:val="20"/>
          <w:color w:val="auto"/>
        </w:rPr>
      </w:pPr>
    </w:p>
    <w:p>
      <w:pPr>
        <w:ind w:right="839"/>
        <w:spacing w:after="0" w:line="252" w:lineRule="auto"/>
        <w:rPr>
          <w:sz w:val="20"/>
          <w:szCs w:val="20"/>
          <w:color w:val="auto"/>
        </w:rPr>
      </w:pPr>
      <w:r>
        <w:rPr>
          <w:rFonts w:ascii="Times New Roman" w:cs="Times New Roman" w:eastAsia="Times New Roman" w:hAnsi="Times New Roman"/>
          <w:sz w:val="16"/>
          <w:szCs w:val="16"/>
          <w:color w:val="auto"/>
        </w:rPr>
        <w:t>Provides competitive level of fixed compensation determined by the market value of the position, with actual base salaries established based on the facts and circumstances of each executive officer and each individual position.</w:t>
      </w:r>
    </w:p>
    <w:p>
      <w:pPr>
        <w:spacing w:after="0" w:line="1" w:lineRule="exact"/>
        <w:rPr>
          <w:sz w:val="20"/>
          <w:szCs w:val="20"/>
          <w:color w:val="auto"/>
        </w:rPr>
      </w:pPr>
    </w:p>
    <w:p>
      <w:pPr>
        <w:ind w:right="939"/>
        <w:spacing w:after="0" w:line="253" w:lineRule="auto"/>
        <w:rPr>
          <w:sz w:val="20"/>
          <w:szCs w:val="20"/>
          <w:color w:val="auto"/>
        </w:rPr>
      </w:pPr>
      <w:r>
        <w:rPr>
          <w:rFonts w:ascii="Times New Roman" w:cs="Times New Roman" w:eastAsia="Times New Roman" w:hAnsi="Times New Roman"/>
          <w:sz w:val="16"/>
          <w:szCs w:val="16"/>
          <w:color w:val="auto"/>
        </w:rPr>
        <w:t>Motivate executive officers to achieve certain corporate objectives and drive the company’s value.  </w:t>
      </w:r>
    </w:p>
    <w:p>
      <w:pPr>
        <w:ind w:right="859"/>
        <w:spacing w:after="0" w:line="247" w:lineRule="auto"/>
        <w:rPr>
          <w:sz w:val="20"/>
          <w:szCs w:val="20"/>
          <w:color w:val="auto"/>
        </w:rPr>
      </w:pPr>
      <w:r>
        <w:rPr>
          <w:rFonts w:ascii="Times New Roman" w:cs="Times New Roman" w:eastAsia="Times New Roman" w:hAnsi="Times New Roman"/>
          <w:sz w:val="16"/>
          <w:szCs w:val="16"/>
          <w:color w:val="auto"/>
        </w:rPr>
        <w:t>Generally, performance levels are established to incent our executive officers to achieve or exceed performance objectives. For 2023, payouts for corporate performance objectives were not weighted individually, and the Compensation Committee had discretion to determine payouts based on overall achievement of the corporate goals as a group, taking into account overachievement on certain objectives, if applicable. Payouts for individual performance objectives could range from 0% to an undetermined percentage.</w:t>
      </w:r>
    </w:p>
    <w:p>
      <w:pPr>
        <w:spacing w:after="0" w:line="7" w:lineRule="exact"/>
        <w:rPr>
          <w:sz w:val="20"/>
          <w:szCs w:val="20"/>
          <w:color w:val="auto"/>
        </w:rPr>
      </w:pPr>
    </w:p>
    <w:p>
      <w:pPr>
        <w:ind w:right="859"/>
        <w:spacing w:after="0" w:line="251" w:lineRule="auto"/>
        <w:rPr>
          <w:sz w:val="20"/>
          <w:szCs w:val="20"/>
          <w:color w:val="auto"/>
        </w:rPr>
      </w:pPr>
      <w:r>
        <w:rPr>
          <w:rFonts w:ascii="Times New Roman" w:cs="Times New Roman" w:eastAsia="Times New Roman" w:hAnsi="Times New Roman"/>
          <w:sz w:val="16"/>
          <w:szCs w:val="16"/>
          <w:color w:val="auto"/>
        </w:rPr>
        <w:t>Designed to stabilize the executive leadership team and reduce the possibility of turnover. These non-recurring retention bonuses awarded during the year ended December 31, 2023 were subject to repayment in the event the award recipient resigned other than for “Good Reason” or was earlier terminated by the Board of Directors prior to</w:t>
      </w:r>
    </w:p>
    <w:p>
      <w:pPr>
        <w:spacing w:after="0" w:line="200" w:lineRule="exact"/>
        <w:rPr>
          <w:sz w:val="20"/>
          <w:szCs w:val="20"/>
          <w:color w:val="auto"/>
        </w:rPr>
      </w:pPr>
    </w:p>
    <w:p>
      <w:pPr>
        <w:sectPr>
          <w:pgSz w:w="11900" w:h="16838" w:orient="portrait"/>
          <w:cols w:equalWidth="0" w:num="2">
            <w:col w:w="4600" w:space="180"/>
            <w:col w:w="4239"/>
          </w:cols>
          <w:pgMar w:left="1440" w:top="248" w:right="1440" w:bottom="1440" w:gutter="0" w:footer="0" w:header="0"/>
          <w:type w:val="continuous"/>
        </w:sectPr>
      </w:pP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04" w:name="page105"/>
    <w:bookmarkEnd w:id="10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6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w w:val="95"/>
              </w:rPr>
              <w:t>What This Element Rewards</w:t>
            </w: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Element</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6350</wp:posOffset>
            </wp:positionV>
            <wp:extent cx="24130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1300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Long-term</w:t>
      </w:r>
      <w:r>
        <w:rPr>
          <w:sz w:val="20"/>
          <w:szCs w:val="20"/>
          <w:color w:val="auto"/>
        </w:rPr>
        <w:tab/>
      </w:r>
      <w:r>
        <w:rPr>
          <w:rFonts w:ascii="Times New Roman" w:cs="Times New Roman" w:eastAsia="Times New Roman" w:hAnsi="Times New Roman"/>
          <w:sz w:val="15"/>
          <w:szCs w:val="15"/>
          <w:color w:val="auto"/>
        </w:rPr>
        <w:t>Achievement of corporate and</w:t>
      </w:r>
    </w:p>
    <w:p>
      <w:pPr>
        <w:spacing w:after="0" w:line="23"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incentives/equity</w:t>
        <w:tab/>
        <w:t>individual performance objectives</w:t>
      </w:r>
    </w:p>
    <w:p>
      <w:pPr>
        <w:spacing w:after="0" w:line="6"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awards</w:t>
      </w:r>
      <w:r>
        <w:rPr>
          <w:sz w:val="20"/>
          <w:szCs w:val="20"/>
          <w:color w:val="auto"/>
        </w:rPr>
        <w:tab/>
      </w:r>
      <w:r>
        <w:rPr>
          <w:rFonts w:ascii="Times New Roman" w:cs="Times New Roman" w:eastAsia="Times New Roman" w:hAnsi="Times New Roman"/>
          <w:sz w:val="16"/>
          <w:szCs w:val="16"/>
          <w:color w:val="auto"/>
        </w:rPr>
        <w:t>designed to enhance long-term</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stockholder value and attract, retain,</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motivate, and reward executive</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officers over extended periods for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achieving important corporate</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objectives. Time-based vesting</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requirements promote retention of</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highly-valued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171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71700" cy="7620"/>
                    </a:xfrm>
                    <a:prstGeom prst="rect">
                      <a:avLst/>
                    </a:prstGeom>
                    <a:noFill/>
                  </pic:spPr>
                </pic:pic>
              </a:graphicData>
            </a:graphic>
          </wp:anchor>
        </w:drawing>
      </w:r>
    </w:p>
    <w:p>
      <w:pPr>
        <w:spacing w:after="0" w:line="26" w:lineRule="exact"/>
        <w:rPr>
          <w:sz w:val="20"/>
          <w:szCs w:val="20"/>
          <w:color w:val="auto"/>
        </w:rPr>
      </w:pPr>
    </w:p>
    <w:p>
      <w:pPr>
        <w:ind w:right="859"/>
        <w:spacing w:after="0" w:line="255" w:lineRule="auto"/>
        <w:rPr>
          <w:sz w:val="20"/>
          <w:szCs w:val="20"/>
          <w:color w:val="auto"/>
        </w:rPr>
      </w:pPr>
      <w:r>
        <w:rPr>
          <w:rFonts w:ascii="Times New Roman" w:cs="Times New Roman" w:eastAsia="Times New Roman" w:hAnsi="Times New Roman"/>
          <w:sz w:val="16"/>
          <w:szCs w:val="16"/>
          <w:color w:val="auto"/>
        </w:rPr>
        <w:t>March 31, 2024 (in the cases of Drs. Traber and Johnston) or June 30, 2024 (in the cases of Dr. Brunn and Mr. Davis).</w:t>
      </w:r>
    </w:p>
    <w:p>
      <w:pPr>
        <w:spacing w:after="0" w:line="1" w:lineRule="exact"/>
        <w:rPr>
          <w:sz w:val="20"/>
          <w:szCs w:val="20"/>
          <w:color w:val="auto"/>
        </w:rPr>
      </w:pPr>
    </w:p>
    <w:p>
      <w:pPr>
        <w:ind w:right="819"/>
        <w:spacing w:after="0" w:line="250" w:lineRule="auto"/>
        <w:rPr>
          <w:sz w:val="20"/>
          <w:szCs w:val="20"/>
          <w:color w:val="auto"/>
        </w:rPr>
      </w:pPr>
      <w:r>
        <w:rPr>
          <w:rFonts w:ascii="Times New Roman" w:cs="Times New Roman" w:eastAsia="Times New Roman" w:hAnsi="Times New Roman"/>
          <w:sz w:val="16"/>
          <w:szCs w:val="16"/>
          <w:color w:val="auto"/>
        </w:rPr>
        <w:t>Annual equity awards that vest over four years and provide a variable “at risk” pay opportunity. Because the ultimate value of these equity awards is directly related to the market price of our Common Stock, and the awards are only earned over an extended period of time subject to vesting, they serve to focus management on the creation and maintenance of long-term stockholder value and also provide retentive value to key employees.</w:t>
      </w:r>
    </w:p>
    <w:p>
      <w:pPr>
        <w:spacing w:after="0" w:line="312" w:lineRule="exact"/>
        <w:rPr>
          <w:sz w:val="20"/>
          <w:szCs w:val="20"/>
          <w:color w:val="auto"/>
        </w:rPr>
      </w:pPr>
    </w:p>
    <w:p>
      <w:pPr>
        <w:sectPr>
          <w:pgSz w:w="11900" w:h="16838" w:orient="portrait"/>
          <w:cols w:equalWidth="0" w:num="2">
            <w:col w:w="4440" w:space="340"/>
            <w:col w:w="4239"/>
          </w:cols>
          <w:pgMar w:left="1440" w:top="248" w:right="1440" w:bottom="1440" w:gutter="0" w:footer="0" w:header="0"/>
        </w:sect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executive officers also participate in the standard employee benefit plans available to all of our employees.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2023 under each of these elements.</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10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7"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62" w:lineRule="exact"/>
        <w:rPr>
          <w:sz w:val="20"/>
          <w:szCs w:val="20"/>
          <w:color w:val="auto"/>
        </w:rPr>
      </w:pPr>
    </w:p>
    <w:p>
      <w:pPr>
        <w:ind w:left="800" w:right="899"/>
        <w:spacing w:after="0" w:line="312" w:lineRule="auto"/>
        <w:rPr>
          <w:sz w:val="20"/>
          <w:szCs w:val="20"/>
          <w:color w:val="auto"/>
        </w:rPr>
      </w:pPr>
      <w:r>
        <w:rPr>
          <w:rFonts w:ascii="Times New Roman" w:cs="Times New Roman" w:eastAsia="Times New Roman" w:hAnsi="Times New Roman"/>
          <w:sz w:val="15"/>
          <w:szCs w:val="15"/>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27"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December 2022, and in the cases of Dr. Jewell and Dr. Kurtoglu, December 2023,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2023 were as follows: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2022 Base Salary</w:t>
            </w:r>
          </w:p>
        </w:tc>
        <w:tc>
          <w:tcPr>
            <w:tcW w:w="1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Base Salary</w:t>
            </w:r>
          </w:p>
        </w:tc>
        <w:tc>
          <w:tcPr>
            <w:tcW w:w="14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Adjustment</w:t>
            </w:r>
          </w:p>
        </w:tc>
      </w:tr>
      <w:tr>
        <w:trPr>
          <w:trHeight w:val="22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0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$592,072</w:t>
            </w:r>
          </w:p>
        </w:tc>
        <w:tc>
          <w:tcPr>
            <w:tcW w:w="10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$624,000</w:t>
            </w:r>
          </w:p>
        </w:tc>
        <w:tc>
          <w:tcPr>
            <w:tcW w:w="1420" w:type="dxa"/>
            <w:vAlign w:val="bottom"/>
            <w:gridSpan w:val="2"/>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rPr>
              <w:t>5.4%</w:t>
            </w:r>
          </w:p>
        </w:tc>
      </w:tr>
      <w:tr>
        <w:trPr>
          <w:trHeight w:val="20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08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$440,000</w:t>
            </w:r>
          </w:p>
        </w:tc>
        <w:tc>
          <w:tcPr>
            <w:tcW w:w="10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$440,000</w:t>
            </w:r>
          </w:p>
        </w:tc>
        <w:tc>
          <w:tcPr>
            <w:tcW w:w="140" w:type="dxa"/>
            <w:vAlign w:val="bottom"/>
          </w:tcPr>
          <w:p>
            <w:pPr>
              <w:spacing w:after="0"/>
              <w:rPr>
                <w:sz w:val="17"/>
                <w:szCs w:val="17"/>
                <w:color w:val="auto"/>
              </w:rPr>
            </w:pPr>
          </w:p>
        </w:tc>
        <w:tc>
          <w:tcPr>
            <w:tcW w:w="1280" w:type="dxa"/>
            <w:vAlign w:val="bottom"/>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Metin Kurtoglu, M.D., Ph.D.</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$402,500</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82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Christopher Jewell, Ph.D.</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7"/>
                <w:szCs w:val="17"/>
                <w:color w:val="auto"/>
              </w:rPr>
            </w:pP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$300,000</w:t>
            </w:r>
          </w:p>
        </w:tc>
        <w:tc>
          <w:tcPr>
            <w:tcW w:w="140" w:type="dxa"/>
            <w:vAlign w:val="bottom"/>
          </w:tcPr>
          <w:p>
            <w:pPr>
              <w:spacing w:after="0"/>
              <w:rPr>
                <w:sz w:val="17"/>
                <w:szCs w:val="17"/>
                <w:color w:val="auto"/>
              </w:rPr>
            </w:pPr>
          </w:p>
        </w:tc>
        <w:tc>
          <w:tcPr>
            <w:tcW w:w="1280" w:type="dxa"/>
            <w:vAlign w:val="bottom"/>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Peter Traber, M.D.</w:t>
            </w:r>
            <w:r>
              <w:rPr>
                <w:rFonts w:ascii="Times New Roman" w:cs="Times New Roman" w:eastAsia="Times New Roman" w:hAnsi="Times New Roman"/>
                <w:sz w:val="23"/>
                <w:szCs w:val="23"/>
                <w:color w:val="auto"/>
                <w:vertAlign w:val="superscript"/>
              </w:rPr>
              <w:t>(3)</w:t>
            </w:r>
          </w:p>
        </w:tc>
        <w:tc>
          <w:tcPr>
            <w:tcW w:w="10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$458,920</w:t>
            </w:r>
          </w:p>
        </w:tc>
        <w:tc>
          <w:tcPr>
            <w:tcW w:w="10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$500,000</w:t>
            </w:r>
          </w:p>
        </w:tc>
        <w:tc>
          <w:tcPr>
            <w:tcW w:w="1420" w:type="dxa"/>
            <w:vAlign w:val="bottom"/>
            <w:gridSpan w:val="2"/>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rPr>
              <w:t>9.0%</w:t>
            </w:r>
          </w:p>
        </w:tc>
      </w:tr>
      <w:tr>
        <w:trPr>
          <w:trHeight w:val="34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108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$416,000</w:t>
            </w:r>
          </w:p>
        </w:tc>
        <w:tc>
          <w:tcPr>
            <w:tcW w:w="10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$434,720</w:t>
            </w:r>
          </w:p>
        </w:tc>
        <w:tc>
          <w:tcPr>
            <w:tcW w:w="142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65405</wp:posOffset>
            </wp:positionV>
            <wp:extent cx="7239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23" w:lineRule="exact"/>
        <w:rPr>
          <w:sz w:val="20"/>
          <w:szCs w:val="20"/>
          <w:color w:val="auto"/>
        </w:rPr>
      </w:pPr>
    </w:p>
    <w:p>
      <w:pPr>
        <w:ind w:left="1100" w:right="1559" w:hanging="301"/>
        <w:spacing w:after="0" w:line="237" w:lineRule="auto"/>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to serve as our Chief Medical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to serve as our Chief Operations Officer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05" w:name="page106"/>
    <w:bookmarkEnd w:id="10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Annual Cash Bonuses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68"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7"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December 2023, the Compensation Committee determined to award cash bonus opportunities to our executive officers, including our Named Executive Officers, pursuant to the 2023 Bonus Plan. Under the 2023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U.S.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71"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Under the 2023 Bonus Plan, the Compensation Committee could, in its sole discretion and at any time, increase, reduce, or eliminate a participant’s actual bonus payment, and/or increase, reduce, or eliminate the amount allocated to the bonus pool for the year. Further, the actual bonus payment for any participant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 During 2023, the Compensation Committee did not exercise any such individual discretion in determining bonus payouts.</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Target Bonus Opportunities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For 2023, the target annual cash bonus opportunities for each of our Named Executive Officers under the 2023</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Bonus Plan, expressed as a percentage of his or her annual base salary, were as follows:</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240" w:type="dxa"/>
            <w:vAlign w:val="bottom"/>
          </w:tcPr>
          <w:p>
            <w:pPr>
              <w:spacing w:after="0"/>
              <w:rPr>
                <w:sz w:val="12"/>
                <w:szCs w:val="12"/>
                <w:color w:val="auto"/>
              </w:rPr>
            </w:pPr>
          </w:p>
        </w:tc>
        <w:tc>
          <w:tcPr>
            <w:tcW w:w="17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Target Bonus Opportunity</w:t>
            </w:r>
          </w:p>
        </w:tc>
        <w:tc>
          <w:tcPr>
            <w:tcW w:w="2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240" w:type="dxa"/>
            <w:vAlign w:val="bottom"/>
          </w:tcPr>
          <w:p>
            <w:pPr>
              <w:spacing w:after="0"/>
              <w:rPr>
                <w:sz w:val="12"/>
                <w:szCs w:val="1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240" w:type="dxa"/>
            <w:vAlign w:val="bottom"/>
          </w:tcPr>
          <w:p>
            <w:pPr>
              <w:spacing w:after="0"/>
              <w:rPr>
                <w:sz w:val="11"/>
                <w:szCs w:val="11"/>
                <w:color w:val="auto"/>
              </w:rPr>
            </w:pPr>
          </w:p>
        </w:tc>
        <w:tc>
          <w:tcPr>
            <w:tcW w:w="5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Base</w:t>
            </w:r>
          </w:p>
        </w:tc>
        <w:tc>
          <w:tcPr>
            <w:tcW w:w="24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Bonus</w:t>
            </w:r>
          </w:p>
        </w:tc>
        <w:tc>
          <w:tcPr>
            <w:tcW w:w="240" w:type="dxa"/>
            <w:vAlign w:val="bottom"/>
          </w:tcPr>
          <w:p>
            <w:pPr>
              <w:spacing w:after="0"/>
              <w:rPr>
                <w:sz w:val="11"/>
                <w:szCs w:val="11"/>
                <w:color w:val="auto"/>
              </w:rPr>
            </w:pPr>
          </w:p>
        </w:tc>
        <w:tc>
          <w:tcPr>
            <w:tcW w:w="740" w:type="dxa"/>
            <w:vAlign w:val="bottom"/>
          </w:tcPr>
          <w:p>
            <w:pPr>
              <w:ind w:left="200"/>
              <w:spacing w:after="0" w:line="131" w:lineRule="exact"/>
              <w:rPr>
                <w:sz w:val="20"/>
                <w:szCs w:val="20"/>
                <w:color w:val="auto"/>
              </w:rPr>
            </w:pPr>
            <w:r>
              <w:rPr>
                <w:rFonts w:ascii="Times New Roman" w:cs="Times New Roman" w:eastAsia="Times New Roman" w:hAnsi="Times New Roman"/>
                <w:sz w:val="13"/>
                <w:szCs w:val="13"/>
                <w:b w:val="1"/>
                <w:bCs w:val="1"/>
                <w:color w:val="auto"/>
              </w:rPr>
              <w:t>Bonus</w:t>
            </w:r>
          </w:p>
        </w:tc>
        <w:tc>
          <w:tcPr>
            <w:tcW w:w="0" w:type="dxa"/>
            <w:vAlign w:val="bottom"/>
          </w:tcPr>
          <w:p>
            <w:pPr>
              <w:spacing w:after="0"/>
              <w:rPr>
                <w:sz w:val="1"/>
                <w:szCs w:val="1"/>
                <w:color w:val="auto"/>
              </w:rPr>
            </w:pPr>
          </w:p>
        </w:tc>
      </w:tr>
      <w:tr>
        <w:trPr>
          <w:trHeight w:val="167"/>
        </w:trPr>
        <w:tc>
          <w:tcPr>
            <w:tcW w:w="2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Salary</w:t>
            </w:r>
          </w:p>
        </w:tc>
        <w:tc>
          <w:tcPr>
            <w:tcW w:w="2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(as a percentage of base salary)</w:t>
            </w:r>
          </w:p>
        </w:tc>
        <w:tc>
          <w:tcPr>
            <w:tcW w:w="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Opportunity</w:t>
            </w:r>
          </w:p>
        </w:tc>
        <w:tc>
          <w:tcPr>
            <w:tcW w:w="24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$624,000</w:t>
            </w:r>
          </w:p>
        </w:tc>
        <w:tc>
          <w:tcPr>
            <w:tcW w:w="196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6"/>
                <w:szCs w:val="16"/>
                <w:color w:val="auto"/>
              </w:rPr>
              <w:t>55%</w:t>
            </w:r>
          </w:p>
        </w:tc>
        <w:tc>
          <w:tcPr>
            <w:tcW w:w="9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$343,200</w:t>
            </w: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$343,200</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$440,000</w:t>
            </w:r>
          </w:p>
        </w:tc>
        <w:tc>
          <w:tcPr>
            <w:tcW w:w="1960" w:type="dxa"/>
            <w:vAlign w:val="bottom"/>
            <w:gridSpan w:val="2"/>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$176,000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$176,000</w:t>
            </w:r>
          </w:p>
        </w:tc>
        <w:tc>
          <w:tcPr>
            <w:tcW w:w="0" w:type="dxa"/>
            <w:vAlign w:val="bottom"/>
          </w:tcPr>
          <w:p>
            <w:pPr>
              <w:spacing w:after="0"/>
              <w:rPr>
                <w:sz w:val="1"/>
                <w:szCs w:val="1"/>
                <w:color w:val="auto"/>
              </w:rPr>
            </w:pPr>
          </w:p>
        </w:tc>
      </w:tr>
      <w:tr>
        <w:trPr>
          <w:trHeight w:val="220"/>
        </w:trPr>
        <w:tc>
          <w:tcPr>
            <w:tcW w:w="272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(1)</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$402,500</w:t>
            </w:r>
          </w:p>
        </w:tc>
        <w:tc>
          <w:tcPr>
            <w:tcW w:w="196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$161,000</w:t>
            </w: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$ 20,930</w:t>
            </w:r>
          </w:p>
        </w:tc>
        <w:tc>
          <w:tcPr>
            <w:tcW w:w="0" w:type="dxa"/>
            <w:vAlign w:val="bottom"/>
          </w:tcPr>
          <w:p>
            <w:pPr>
              <w:spacing w:after="0"/>
              <w:rPr>
                <w:sz w:val="1"/>
                <w:szCs w:val="1"/>
                <w:color w:val="auto"/>
              </w:rPr>
            </w:pPr>
          </w:p>
        </w:tc>
      </w:tr>
      <w:tr>
        <w:trPr>
          <w:trHeight w:val="214"/>
        </w:trPr>
        <w:tc>
          <w:tcPr>
            <w:tcW w:w="27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Christopher Jewell, Ph.D.</w:t>
            </w:r>
            <w:r>
              <w:rPr>
                <w:rFonts w:ascii="Times New Roman" w:cs="Times New Roman" w:eastAsia="Times New Roman" w:hAnsi="Times New Roman"/>
                <w:sz w:val="24"/>
                <w:szCs w:val="24"/>
                <w:color w:val="auto"/>
                <w:vertAlign w:val="superscript"/>
              </w:rPr>
              <w:t>(2)</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$300,000</w:t>
            </w:r>
          </w:p>
        </w:tc>
        <w:tc>
          <w:tcPr>
            <w:tcW w:w="1960" w:type="dxa"/>
            <w:vAlign w:val="bottom"/>
            <w:gridSpan w:val="2"/>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$120,000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$ 15,600</w:t>
            </w: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Traber, M.D.</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$500,000</w:t>
            </w:r>
          </w:p>
        </w:tc>
        <w:tc>
          <w:tcPr>
            <w:tcW w:w="196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$200,000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ind w:left="420"/>
              <w:spacing w:after="0" w:line="213"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9"/>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$434,720</w:t>
            </w:r>
          </w:p>
        </w:tc>
        <w:tc>
          <w:tcPr>
            <w:tcW w:w="1960" w:type="dxa"/>
            <w:vAlign w:val="bottom"/>
            <w:gridSpan w:val="2"/>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$173,888</w:t>
            </w:r>
          </w:p>
        </w:tc>
        <w:tc>
          <w:tcPr>
            <w:tcW w:w="240" w:type="dxa"/>
            <w:vAlign w:val="bottom"/>
          </w:tcPr>
          <w:p>
            <w:pPr>
              <w:spacing w:after="0"/>
              <w:rPr>
                <w:sz w:val="24"/>
                <w:szCs w:val="24"/>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31"/>
                <w:szCs w:val="31"/>
                <w:color w:val="auto"/>
                <w:w w:val="83"/>
                <w:vertAlign w:val="subscript"/>
              </w:rPr>
              <w:t>—</w:t>
            </w:r>
            <w:r>
              <w:rPr>
                <w:rFonts w:ascii="Times New Roman" w:cs="Times New Roman" w:eastAsia="Times New Roman" w:hAnsi="Times New Roman"/>
                <w:sz w:val="13"/>
                <w:szCs w:val="13"/>
                <w:color w:val="auto"/>
                <w:w w:val="83"/>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13335</wp:posOffset>
            </wp:positionV>
            <wp:extent cx="7239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35" w:lineRule="exact"/>
        <w:rPr>
          <w:sz w:val="20"/>
          <w:szCs w:val="20"/>
          <w:color w:val="auto"/>
        </w:rPr>
      </w:pPr>
    </w:p>
    <w:p>
      <w:pPr>
        <w:ind w:left="1100" w:hanging="301"/>
        <w:spacing w:after="0"/>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w:t>
      </w:r>
    </w:p>
    <w:p>
      <w:pPr>
        <w:ind w:left="1100" w:right="11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Kurtoglu’s title was changed to Chief Technology Officer. Dr. Kurtoglu received a pro-rated bonus based on employment with the Company since November 13, 2023.</w:t>
      </w:r>
    </w:p>
    <w:p>
      <w:pPr>
        <w:spacing w:after="0" w:line="14"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 Dr. Jewell received a pro-rated bonus based on employment with the Company since November 13, 2023.</w:t>
      </w:r>
    </w:p>
    <w:p>
      <w:pPr>
        <w:spacing w:after="0" w:line="13" w:lineRule="exact"/>
        <w:rPr>
          <w:rFonts w:ascii="Times New Roman" w:cs="Times New Roman" w:eastAsia="Times New Roman" w:hAnsi="Times New Roman"/>
          <w:sz w:val="13"/>
          <w:szCs w:val="13"/>
          <w:color w:val="auto"/>
        </w:rPr>
      </w:pPr>
    </w:p>
    <w:p>
      <w:pPr>
        <w:ind w:left="1100" w:right="919" w:hanging="301"/>
        <w:spacing w:after="0" w:line="228" w:lineRule="auto"/>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Johnston forfeited his 2023 annual target bonus opportunity of</w:t>
      </w:r>
    </w:p>
    <w:p>
      <w:pPr>
        <w:ind w:left="1100" w:right="10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$173,888. However, as discussed under “—Post-employment Compensation” below, Dr. Johnston was paid an amount of $173,888 as a term of his separation agreement, which was approved separately from the 2023 Bonus Plan by the Compensation Committee.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6" w:name="page107"/>
    <w:bookmarkEnd w:id="10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Corporate Performance Objectives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For purposes of the 2023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attracting and retaining key talent, and maximizing the potential value of our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2023 Bonus Plan.</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Performance Results and Bonus Decisions</w:t>
      </w:r>
    </w:p>
    <w:p>
      <w:pPr>
        <w:spacing w:after="0" w:line="105" w:lineRule="exact"/>
        <w:rPr>
          <w:sz w:val="20"/>
          <w:szCs w:val="20"/>
          <w:color w:val="auto"/>
        </w:rPr>
      </w:pPr>
    </w:p>
    <w:p>
      <w:pPr>
        <w:ind w:left="800" w:right="1339"/>
        <w:spacing w:after="0" w:line="277" w:lineRule="auto"/>
        <w:rPr>
          <w:sz w:val="20"/>
          <w:szCs w:val="20"/>
          <w:color w:val="auto"/>
        </w:rPr>
      </w:pPr>
      <w:r>
        <w:rPr>
          <w:rFonts w:ascii="Times New Roman" w:cs="Times New Roman" w:eastAsia="Times New Roman" w:hAnsi="Times New Roman"/>
          <w:sz w:val="16"/>
          <w:szCs w:val="16"/>
          <w:color w:val="auto"/>
        </w:rPr>
        <w:t>In December 2023, the Compensation Committee determined that our actual achievement with respect to the corporate performance objectives under the 2023 Bonus Plan was as follows: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Corporate Performance Measure</w:t>
            </w:r>
          </w:p>
        </w:tc>
        <w:tc>
          <w:tcPr>
            <w:tcW w:w="3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2023 Target Achievement %</w:t>
            </w: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Pipeline Development</w:t>
            </w:r>
          </w:p>
        </w:tc>
        <w:tc>
          <w:tcPr>
            <w:tcW w:w="188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100%</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Corporate Strategy and Business Development</w:t>
            </w:r>
          </w:p>
        </w:tc>
        <w:tc>
          <w:tcPr>
            <w:tcW w:w="1880" w:type="dxa"/>
            <w:vAlign w:val="bottom"/>
            <w:gridSpan w:val="2"/>
          </w:tcPr>
          <w:p>
            <w:pPr>
              <w:jc w:val="right"/>
              <w:ind w:right="457"/>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w:t>
            </w:r>
          </w:p>
        </w:tc>
        <w:tc>
          <w:tcPr>
            <w:tcW w:w="188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100%</w:t>
            </w:r>
          </w:p>
        </w:tc>
      </w:tr>
      <w:tr>
        <w:trPr>
          <w:trHeight w:val="48"/>
        </w:trPr>
        <w:tc>
          <w:tcPr>
            <w:tcW w:w="55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corporate performance measures that factored into the Compensation Committee’s determination included:</w:t>
      </w:r>
    </w:p>
    <w:p>
      <w:pPr>
        <w:spacing w:after="0" w:line="23" w:lineRule="exact"/>
        <w:rPr>
          <w:sz w:val="20"/>
          <w:szCs w:val="20"/>
          <w:color w:val="auto"/>
        </w:rPr>
      </w:pPr>
    </w:p>
    <w:p>
      <w:pPr>
        <w:ind w:left="800" w:right="899" w:hanging="1"/>
        <w:spacing w:after="0" w:line="270" w:lineRule="auto"/>
        <w:tabs>
          <w:tab w:leader="none" w:pos="989"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pipeline development goals, including advancing our clinical program for treatment of methylmalonic acidemia, the manufacturing and development of our Xork product, and completing the DISSOLVE clinical trial program; (ii) corporate strategy and business development goals, including pursuing strategic partnerships and enhancing the Company’s position with investors and analysts, and the Company’s successful completion of the Merger; and (iii) financial goals, including operating within budget and completing the year maintaining a certain cash balance.</w:t>
      </w:r>
    </w:p>
    <w:p>
      <w:pPr>
        <w:spacing w:after="0" w:line="5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the Compensation Committee approved bonus payments as follows for our Named Executive Officers: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Amount Related to</w:t>
            </w:r>
          </w:p>
        </w:tc>
        <w:tc>
          <w:tcPr>
            <w:tcW w:w="1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2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Percentage of Target</w:t>
            </w: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Target Annual Cash</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Corporate Performance</w:t>
            </w:r>
          </w:p>
        </w:tc>
        <w:tc>
          <w:tcPr>
            <w:tcW w:w="18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Cash Bonus</w:t>
            </w:r>
          </w:p>
        </w:tc>
        <w:tc>
          <w:tcPr>
            <w:tcW w:w="20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 Cash Bonus</w:t>
            </w: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Bonus Opportunity</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Objectives</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Payment</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Opportunity</w:t>
            </w:r>
          </w:p>
        </w:tc>
        <w:tc>
          <w:tcPr>
            <w:tcW w:w="0" w:type="dxa"/>
            <w:vAlign w:val="bottom"/>
          </w:tcPr>
          <w:p>
            <w:pPr>
              <w:spacing w:after="0"/>
              <w:rPr>
                <w:sz w:val="1"/>
                <w:szCs w:val="1"/>
                <w:color w:val="auto"/>
              </w:rPr>
            </w:pP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28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$343,200</w:t>
            </w:r>
          </w:p>
        </w:tc>
        <w:tc>
          <w:tcPr>
            <w:tcW w:w="1520" w:type="dxa"/>
            <w:vAlign w:val="bottom"/>
            <w:gridSpan w:val="2"/>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$343,200</w:t>
            </w:r>
          </w:p>
        </w:tc>
        <w:tc>
          <w:tcPr>
            <w:tcW w:w="96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$343,200</w:t>
            </w:r>
          </w:p>
        </w:tc>
        <w:tc>
          <w:tcPr>
            <w:tcW w:w="13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28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$176,000</w:t>
            </w:r>
          </w:p>
        </w:tc>
        <w:tc>
          <w:tcPr>
            <w:tcW w:w="152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color w:val="auto"/>
                <w:w w:val="96"/>
              </w:rPr>
              <w:t>$176,000</w:t>
            </w:r>
          </w:p>
        </w:tc>
        <w:tc>
          <w:tcPr>
            <w:tcW w:w="96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$176,000</w:t>
            </w: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(1)</w:t>
            </w:r>
          </w:p>
        </w:tc>
        <w:tc>
          <w:tcPr>
            <w:tcW w:w="128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$161,000</w:t>
            </w:r>
          </w:p>
        </w:tc>
        <w:tc>
          <w:tcPr>
            <w:tcW w:w="1520" w:type="dxa"/>
            <w:vAlign w:val="bottom"/>
            <w:gridSpan w:val="2"/>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$161,000</w:t>
            </w:r>
          </w:p>
        </w:tc>
        <w:tc>
          <w:tcPr>
            <w:tcW w:w="9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$ 20,930</w:t>
            </w: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23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Christopher Jewell, Ph.D.</w:t>
            </w:r>
            <w:r>
              <w:rPr>
                <w:rFonts w:ascii="Times New Roman" w:cs="Times New Roman" w:eastAsia="Times New Roman" w:hAnsi="Times New Roman"/>
                <w:sz w:val="24"/>
                <w:szCs w:val="24"/>
                <w:color w:val="auto"/>
                <w:vertAlign w:val="superscript"/>
              </w:rPr>
              <w:t>(2)</w:t>
            </w:r>
          </w:p>
        </w:tc>
        <w:tc>
          <w:tcPr>
            <w:tcW w:w="128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$120,000</w:t>
            </w:r>
          </w:p>
        </w:tc>
        <w:tc>
          <w:tcPr>
            <w:tcW w:w="152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color w:val="auto"/>
                <w:w w:val="96"/>
              </w:rPr>
              <w:t>$120,000</w:t>
            </w:r>
          </w:p>
        </w:tc>
        <w:tc>
          <w:tcPr>
            <w:tcW w:w="960" w:type="dxa"/>
            <w:vAlign w:val="bottom"/>
            <w:gridSpan w:val="2"/>
          </w:tcPr>
          <w:p>
            <w:pPr>
              <w:jc w:val="right"/>
              <w:ind w:right="31"/>
              <w:spacing w:after="0"/>
              <w:rPr>
                <w:sz w:val="20"/>
                <w:szCs w:val="20"/>
                <w:color w:val="auto"/>
              </w:rPr>
            </w:pPr>
            <w:r>
              <w:rPr>
                <w:rFonts w:ascii="Times New Roman" w:cs="Times New Roman" w:eastAsia="Times New Roman" w:hAnsi="Times New Roman"/>
                <w:sz w:val="16"/>
                <w:szCs w:val="16"/>
                <w:color w:val="auto"/>
              </w:rPr>
              <w:t>$ 15,600</w:t>
            </w: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Peter G. Traber, M.D.</w:t>
            </w:r>
            <w:r>
              <w:rPr>
                <w:rFonts w:ascii="Times New Roman" w:cs="Times New Roman" w:eastAsia="Times New Roman" w:hAnsi="Times New Roman"/>
                <w:sz w:val="24"/>
                <w:szCs w:val="24"/>
                <w:color w:val="auto"/>
                <w:vertAlign w:val="superscript"/>
              </w:rPr>
              <w:t>(3)</w:t>
            </w:r>
          </w:p>
        </w:tc>
        <w:tc>
          <w:tcPr>
            <w:tcW w:w="128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$200,000</w:t>
            </w:r>
          </w:p>
        </w:tc>
        <w:tc>
          <w:tcPr>
            <w:tcW w:w="1520" w:type="dxa"/>
            <w:vAlign w:val="bottom"/>
            <w:gridSpan w:val="2"/>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$200,000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128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$173,888</w:t>
            </w:r>
          </w:p>
        </w:tc>
        <w:tc>
          <w:tcPr>
            <w:tcW w:w="152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color w:val="auto"/>
                <w:w w:val="96"/>
              </w:rPr>
              <w:t>$173,888</w:t>
            </w:r>
          </w:p>
        </w:tc>
        <w:tc>
          <w:tcPr>
            <w:tcW w:w="18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73025</wp:posOffset>
            </wp:positionV>
            <wp:extent cx="7239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30" w:lineRule="exact"/>
        <w:rPr>
          <w:sz w:val="20"/>
          <w:szCs w:val="20"/>
          <w:color w:val="auto"/>
        </w:rPr>
      </w:pPr>
    </w:p>
    <w:p>
      <w:pPr>
        <w:ind w:left="1100" w:hanging="301"/>
        <w:spacing w:after="0"/>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w:t>
      </w:r>
    </w:p>
    <w:p>
      <w:pPr>
        <w:ind w:left="1100" w:right="11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Kurtoglu’s title was changed to Chief Technology Officer. Dr. Kurtoglu received a pro-rated bonus based on employment with the Company since November 13, 2023.</w:t>
      </w:r>
    </w:p>
    <w:p>
      <w:pPr>
        <w:spacing w:after="0" w:line="14"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 Dr. Jewell received a pro-rated bonus based on employment with the Company since November 13, 2023.</w:t>
      </w:r>
    </w:p>
    <w:p>
      <w:pPr>
        <w:spacing w:after="0" w:line="13" w:lineRule="exact"/>
        <w:rPr>
          <w:rFonts w:ascii="Times New Roman" w:cs="Times New Roman" w:eastAsia="Times New Roman" w:hAnsi="Times New Roman"/>
          <w:sz w:val="13"/>
          <w:szCs w:val="13"/>
          <w:color w:val="auto"/>
        </w:rPr>
      </w:pPr>
    </w:p>
    <w:p>
      <w:pPr>
        <w:ind w:left="1100" w:right="919" w:hanging="301"/>
        <w:spacing w:after="0" w:line="228" w:lineRule="auto"/>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Johnston forfeited his 2023 annual target bonus opportunity of</w:t>
      </w:r>
    </w:p>
    <w:p>
      <w:pPr>
        <w:ind w:left="1100" w:right="10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$173,888. However, as discussed under “—Post-employment Compensation” below, Dr. Johnston was paid an amount of $173,888 as a term of his separation agreement, which was approved separately from the 2023 Bonus Plan by the Compensation Committee.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7" w:name="page108"/>
    <w:bookmarkEnd w:id="10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Long-Term Incentive Compensation</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Additionally, the Compensation Committee believes these awards reward the individual performance of participants, in contrast to stock options, which only provide value to participants if the Company’s stock price appreciates. The Compensation Committee further believes these awards enable us to attract and retain key talent in our industry and aligns our executive officers’ interests with the long-term interests of our stockholders.</w:t>
      </w:r>
    </w:p>
    <w:p>
      <w:pPr>
        <w:spacing w:after="0" w:line="74"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December 2022, the Compensation Committee approved equity awards for our executive officers, including our Named Executive Officers, in recognition of our financial and operational results and each executive officer’s individual performance for 2022,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These equity awards consisted of both options to purchase shares of our Common Stock and, for certain executive officers, RSU awards that may be settled for shares of our Common Stock. The equity awards approved in December 2022 and granted to our Named Executive Officers in January 2023 were as follows: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240" w:type="dxa"/>
            <w:vAlign w:val="bottom"/>
          </w:tcPr>
          <w:p>
            <w:pPr>
              <w:spacing w:after="0"/>
              <w:rPr>
                <w:sz w:val="12"/>
                <w:szCs w:val="12"/>
                <w:color w:val="auto"/>
              </w:rPr>
            </w:pP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40" w:type="dxa"/>
            <w:vAlign w:val="bottom"/>
          </w:tcPr>
          <w:p>
            <w:pPr>
              <w:spacing w:after="0"/>
              <w:rPr>
                <w:sz w:val="12"/>
                <w:szCs w:val="12"/>
                <w:color w:val="auto"/>
              </w:rPr>
            </w:pPr>
          </w:p>
        </w:tc>
        <w:tc>
          <w:tcPr>
            <w:tcW w:w="1080" w:type="dxa"/>
            <w:vAlign w:val="bottom"/>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RSU Awards</w:t>
            </w:r>
          </w:p>
        </w:tc>
        <w:tc>
          <w:tcPr>
            <w:tcW w:w="0" w:type="dxa"/>
            <w:vAlign w:val="bottom"/>
          </w:tcPr>
          <w:p>
            <w:pPr>
              <w:spacing w:after="0"/>
              <w:rPr>
                <w:sz w:val="1"/>
                <w:szCs w:val="1"/>
                <w:color w:val="auto"/>
              </w:rPr>
            </w:pPr>
          </w:p>
        </w:tc>
      </w:tr>
      <w:tr>
        <w:trPr>
          <w:trHeight w:val="167"/>
        </w:trPr>
        <w:tc>
          <w:tcPr>
            <w:tcW w:w="4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0" w:type="dxa"/>
            <w:vAlign w:val="bottom"/>
          </w:tcPr>
          <w:p>
            <w:pPr>
              <w:spacing w:after="0"/>
              <w:rPr>
                <w:sz w:val="1"/>
                <w:szCs w:val="1"/>
                <w:color w:val="auto"/>
              </w:rPr>
            </w:pP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32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42,499</w:t>
            </w:r>
          </w:p>
        </w:tc>
        <w:tc>
          <w:tcPr>
            <w:tcW w:w="1320" w:type="dxa"/>
            <w:vAlign w:val="bottom"/>
            <w:gridSpan w:val="2"/>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9,426</w:t>
            </w:r>
          </w:p>
        </w:tc>
        <w:tc>
          <w:tcPr>
            <w:tcW w:w="0" w:type="dxa"/>
            <w:vAlign w:val="bottom"/>
          </w:tcPr>
          <w:p>
            <w:pPr>
              <w:spacing w:after="0"/>
              <w:rPr>
                <w:sz w:val="1"/>
                <w:szCs w:val="1"/>
                <w:color w:val="auto"/>
              </w:rPr>
            </w:pPr>
          </w:p>
        </w:tc>
      </w:tr>
      <w:tr>
        <w:trPr>
          <w:trHeight w:val="214"/>
        </w:trPr>
        <w:tc>
          <w:tcPr>
            <w:tcW w:w="476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Blaine Davis</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ind w:right="30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p>
        </w:tc>
        <w:tc>
          <w:tcPr>
            <w:tcW w:w="132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29,999</w:t>
            </w:r>
          </w:p>
        </w:tc>
        <w:tc>
          <w:tcPr>
            <w:tcW w:w="1320" w:type="dxa"/>
            <w:vAlign w:val="bottom"/>
            <w:gridSpan w:val="2"/>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6,666</w:t>
            </w:r>
          </w:p>
        </w:tc>
        <w:tc>
          <w:tcPr>
            <w:tcW w:w="0" w:type="dxa"/>
            <w:vAlign w:val="bottom"/>
          </w:tcPr>
          <w:p>
            <w:pPr>
              <w:spacing w:after="0"/>
              <w:rPr>
                <w:sz w:val="1"/>
                <w:szCs w:val="1"/>
                <w:color w:val="auto"/>
              </w:rPr>
            </w:pPr>
          </w:p>
        </w:tc>
      </w:tr>
      <w:tr>
        <w:trPr>
          <w:trHeight w:val="207"/>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1320" w:type="dxa"/>
            <w:vAlign w:val="bottom"/>
            <w:gridSpan w:val="2"/>
          </w:tcPr>
          <w:p>
            <w:pPr>
              <w:jc w:val="right"/>
              <w:ind w:right="247"/>
              <w:spacing w:after="0"/>
              <w:rPr>
                <w:sz w:val="20"/>
                <w:szCs w:val="20"/>
                <w:color w:val="auto"/>
              </w:rPr>
            </w:pPr>
            <w:r>
              <w:rPr>
                <w:rFonts w:ascii="Times New Roman" w:cs="Times New Roman" w:eastAsia="Times New Roman" w:hAnsi="Times New Roman"/>
                <w:sz w:val="16"/>
                <w:szCs w:val="16"/>
                <w:color w:val="auto"/>
              </w:rPr>
              <w:t>15,833</w:t>
            </w:r>
          </w:p>
        </w:tc>
        <w:tc>
          <w:tcPr>
            <w:tcW w:w="1320" w:type="dxa"/>
            <w:vAlign w:val="bottom"/>
            <w:gridSpan w:val="2"/>
          </w:tcPr>
          <w:p>
            <w:pPr>
              <w:jc w:val="right"/>
              <w:ind w:right="287"/>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(3)</w:t>
            </w:r>
          </w:p>
        </w:tc>
        <w:tc>
          <w:tcPr>
            <w:tcW w:w="240" w:type="dxa"/>
            <w:vAlign w:val="bottom"/>
          </w:tcPr>
          <w:p>
            <w:pPr>
              <w:spacing w:after="0"/>
              <w:rPr>
                <w:sz w:val="24"/>
                <w:szCs w:val="24"/>
                <w:color w:val="auto"/>
              </w:rPr>
            </w:pP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65405</wp:posOffset>
            </wp:positionV>
            <wp:extent cx="7239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23" w:lineRule="exact"/>
        <w:rPr>
          <w:sz w:val="20"/>
          <w:szCs w:val="20"/>
          <w:color w:val="auto"/>
        </w:rPr>
      </w:pPr>
    </w:p>
    <w:p>
      <w:pPr>
        <w:ind w:left="1100" w:right="819" w:hanging="301"/>
        <w:spacing w:after="0" w:line="228"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 and did not receive options to purchase shares of our Common Stock or RSUs in January 2023. Mr. Davis received a one-time grant of an option to purchase 41,666 shares of our Common Stock upon his hiring on November 28, 2022.</w:t>
      </w:r>
    </w:p>
    <w:p>
      <w:pPr>
        <w:spacing w:after="0" w:line="13" w:lineRule="exact"/>
        <w:rPr>
          <w:rFonts w:ascii="Times New Roman" w:cs="Times New Roman" w:eastAsia="Times New Roman" w:hAnsi="Times New Roman"/>
          <w:sz w:val="13"/>
          <w:szCs w:val="13"/>
          <w:color w:val="auto"/>
        </w:rPr>
      </w:pPr>
    </w:p>
    <w:p>
      <w:pPr>
        <w:ind w:left="1100" w:right="1279" w:hanging="301"/>
        <w:spacing w:after="0" w:line="268" w:lineRule="auto"/>
        <w:tabs>
          <w:tab w:leader="none" w:pos="11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Kurtoglu was appointed Chief Operations Officer on November 13, 2023, and did not receive options to purchase shares of our Common Stock or RSUs in January 2023. On March 28, 2024, Dr. Kurtoglu’s title was changed to Chief Technology Officer.</w:t>
      </w:r>
    </w:p>
    <w:p>
      <w:pPr>
        <w:ind w:left="1100" w:right="979" w:hanging="301"/>
        <w:spacing w:after="0" w:line="237"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 and did not receive options to purchase shares of our Common Stock or RSUs in January 2023.</w:t>
      </w:r>
    </w:p>
    <w:p>
      <w:pPr>
        <w:spacing w:after="0" w:line="64"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options to purchase shares of our Common Stock granted to our executive officers, including the Named Executive Officers, in January 2023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8" w:name="page109"/>
    <w:bookmarkEnd w:id="10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The RSU awards granted to our executive officers, including the Named Executive Officers, in January 2023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Welfare and Health Benefits</w:t>
      </w:r>
    </w:p>
    <w:p>
      <w:pPr>
        <w:spacing w:after="0" w:line="105"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We maintain a tax-qualified retirement plan under Section 401(k) of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All participants’ interests in their deferrals are 100% vested when contributed under both plans. In 2023, we matched 50% of contributions made by participants in the 401(k) plan up to a maximum Company match of 6% of an employee’s annual cash compensation. Company matches vest over two years with 25% vesting in year one and 100% vesting in year two. Under the plan, pre-tax contributions are allocated to each participant’s individual account and are then invested in selected investment alternatives according to the participants’ directions.</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71"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1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Perquisites and Other Personal Benefits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2023, none of the Named Executive Officers received perquisites or other personal benefits that were, in the aggregate, $10,000 or more for each Named Executive Officer, except that Blaine Davis received $459 representing payments on</w:t>
      </w:r>
    </w:p>
    <w:p>
      <w:pPr>
        <w:spacing w:after="0" w:line="3" w:lineRule="exact"/>
        <w:rPr>
          <w:sz w:val="20"/>
          <w:szCs w:val="20"/>
          <w:color w:val="auto"/>
        </w:rPr>
      </w:pPr>
    </w:p>
    <w:p>
      <w:pPr>
        <w:ind w:left="800" w:right="939"/>
        <w:spacing w:after="0" w:line="249" w:lineRule="auto"/>
        <w:rPr>
          <w:sz w:val="20"/>
          <w:szCs w:val="20"/>
          <w:color w:val="auto"/>
        </w:rPr>
      </w:pPr>
      <w:r>
        <w:rPr>
          <w:rFonts w:ascii="Times New Roman" w:cs="Times New Roman" w:eastAsia="Times New Roman" w:hAnsi="Times New Roman"/>
          <w:sz w:val="16"/>
          <w:szCs w:val="16"/>
          <w:color w:val="auto"/>
        </w:rPr>
        <w:t>Mr. Davis’ term life insurance policy, $900 representing reimbursement for cell phone expenses, and $9,900 representing 401(k) matching contributions; Peter G. Traber, M.D. received $5,158 representing payments on Dr. Traber’s term life insurance policy, $900 representing reimbursement for cell phone expenses, and $9,900 representing our 401(k) matching contributions; and Lloyd Johnston, Ph.D. received $1,806 representing payments on Dr. Johnston’s term life insurance policy and $9,900 representing 401(k) matching contributions.</w:t>
      </w:r>
    </w:p>
    <w:p>
      <w:pPr>
        <w:spacing w:after="0" w:line="74"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03" w:lineRule="exact"/>
        <w:rPr>
          <w:sz w:val="20"/>
          <w:szCs w:val="20"/>
          <w:color w:val="auto"/>
        </w:rPr>
      </w:pPr>
    </w:p>
    <w:p>
      <w:pPr>
        <w:ind w:left="800" w:right="1319"/>
        <w:spacing w:after="0" w:line="288" w:lineRule="auto"/>
        <w:rPr>
          <w:sz w:val="20"/>
          <w:szCs w:val="20"/>
          <w:color w:val="auto"/>
        </w:rPr>
      </w:pPr>
      <w:r>
        <w:rPr>
          <w:rFonts w:ascii="Times New Roman" w:cs="Times New Roman" w:eastAsia="Times New Roman" w:hAnsi="Times New Roman"/>
          <w:sz w:val="15"/>
          <w:szCs w:val="15"/>
          <w:color w:val="auto"/>
        </w:rPr>
        <w:t>During the period of their service with our Company, and in the cases of Dr. Jewell and Dr. Kurtoglu, since March 26, 2024 and March 28, 2024, respectively, we had employment agreements in place with each of our executive officers, including our CEO and our other Named Executive Officers to whom we have extended a</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9" w:name="page110"/>
    <w:bookmarkEnd w:id="10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written offer letter. Each of these arrangements was approved on our behalf by our Board of Directors or the Compensation Committee, as applicable, or by the CEO, subject to his authority as granted by the Board of Directors. We believe that these arrangements were appropriate to induce these individuals to forego other employment opportunities or leave their current employer for the uncertainty of a demanding position in a new and unfamiliar organization.</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filling these executive positions, our Board of Directors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of Directors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Each of these employment agreements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Post-Employment Compensation</w:t>
      </w:r>
    </w:p>
    <w:p>
      <w:pPr>
        <w:spacing w:after="0" w:line="103" w:lineRule="exact"/>
        <w:rPr>
          <w:sz w:val="20"/>
          <w:szCs w:val="20"/>
          <w:color w:val="auto"/>
        </w:rPr>
      </w:pPr>
    </w:p>
    <w:p>
      <w:pPr>
        <w:ind w:left="800" w:right="979"/>
        <w:spacing w:after="0" w:line="262" w:lineRule="auto"/>
        <w:rPr>
          <w:sz w:val="20"/>
          <w:szCs w:val="20"/>
          <w:color w:val="auto"/>
        </w:rPr>
      </w:pPr>
      <w:r>
        <w:rPr>
          <w:rFonts w:ascii="Times New Roman" w:cs="Times New Roman" w:eastAsia="Times New Roman" w:hAnsi="Times New Roman"/>
          <w:sz w:val="16"/>
          <w:szCs w:val="16"/>
          <w:color w:val="auto"/>
        </w:rPr>
        <w:t>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0"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6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3"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1" w:lineRule="exact"/>
        <w:rPr>
          <w:sz w:val="20"/>
          <w:szCs w:val="20"/>
          <w:color w:val="auto"/>
        </w:rPr>
      </w:pPr>
    </w:p>
    <w:p>
      <w:pPr>
        <w:jc w:val="both"/>
        <w:ind w:left="800" w:right="879"/>
        <w:spacing w:after="0" w:line="280" w:lineRule="auto"/>
        <w:rPr>
          <w:sz w:val="20"/>
          <w:szCs w:val="20"/>
          <w:color w:val="auto"/>
        </w:rPr>
      </w:pPr>
      <w:r>
        <w:rPr>
          <w:rFonts w:ascii="Times New Roman" w:cs="Times New Roman" w:eastAsia="Times New Roman" w:hAnsi="Times New Roman"/>
          <w:sz w:val="15"/>
          <w:szCs w:val="15"/>
          <w:color w:val="auto"/>
        </w:rPr>
        <w:t>In 2023, pursuant to his Separation Agreement, the Company agreed to provide Dr. Traber severance benefits of: (i) 12-months’ base salary and (ii) a bonus of $200,000 calculated based on his annual base salary of $500,000. Also in 2023, pursuant to his Separation Agreement, the Company agreed to provide Dr. Johnston severance benefits of: (i) 12-months’ base salary and (ii) a bonus of $173,888 calculated based on his annual base salary of $434,720.</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0" w:name="page111"/>
    <w:bookmarkEnd w:id="1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Compensation Policies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Compensation Recovery Policy</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Effective as of October 2, 2023, the Compensation Committee adopted a new executive compensation recovery policy (the “Clawback Policy”). Under the Clawback Policy, the Board of Directors, in its limited discretion, or, if so designated by the Board of Directors, the Compensation Committee, shall seek to recover, in the case that the Company is required to prepare an accounting restatement, subject to limited exceptions, any incentive-based compensation (whether in the form of cash or equity) in excess of the amount of incentive-based compensation that otherwise would have been received had it been determined in accordance with the accounting restatement, from any of its executive officers, as designated as such by the Board of Directors under Section 16 of the Exchange Act, and Rule 3b-7 under the Exchange Act, who have been designated as such over any period in the three fiscal years since the date the Company is required to prepare such an accounting restatement, whether or not the event the executive officer is deemed responsible for an event that results or resulted in a restatement of the Company’s financial disclosures as a result of fraud or misconduct.</w:t>
      </w:r>
    </w:p>
    <w:p>
      <w:pPr>
        <w:spacing w:after="0" w:line="77"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Further, we operate under the requirements of Section 304 of the Sarbanes-Oxley Act of 2002, as applicable to all public companies, under which our Board of Directors may seek reimbursement from our CEO and CFO if, as a result of their misconduct, we restate our financial results due to our material noncompliance with any financial reporting requirements under the federal securities laws.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Equity Award Grant Policy</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We have adopted an equity award grant policy that provides the following guidelines to be observed by the Compensation Committee and our Board of Directors in administering the grant of equity awards under our equity compensation plans:</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Under the 2016 Plan, equity awards may be granted to our employees, non-employee directors, and consultants. The</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exercise price of any option to purchase shares of our Common Stock may not be less than the fair market value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Common Stock on the date of grant. Stock option awards expire no longer than ten years after the date of grant.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Equity awards granted under our 2018 Plan may only be granted to employees as a means of inducing them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commence employment with the Company as an initial equity grant, and equity awards under the 2018 Plan are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granted with the same limitations on pricing and expiration as are included in the 2016 Plan. We may grant up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$100,000 per year in incentive stock options to employees, subject to the limitations of Section 422 of the Code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regulations issued thereunder.</w:t>
      </w:r>
    </w:p>
    <w:p>
      <w:pPr>
        <w:spacing w:after="0" w:line="84"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For more information on the Old Cartesian Plan and how any awards granted thereunder to our Named Executive Officers were treated in the Merger, please see the section entitled “—Merger” above.</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Derivatives Trading, Hedging, and Pledging Policies</w:t>
      </w:r>
    </w:p>
    <w:p>
      <w:pPr>
        <w:spacing w:after="0" w:line="103"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We have adopted a policy prohibiting our employees, including our executive officers, and members of our Board of Directors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of Directors may acquire, sell, or trade in any interest or position relating to the future price of our equity securities.</w:t>
      </w:r>
    </w:p>
    <w:p>
      <w:pPr>
        <w:spacing w:after="0" w:line="58"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We also have adopted a policy prohibiting the pledging of our Common Stock by our employees, including our executive officers, and members of our Board of Directors.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Tax and Accounting Considerations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Deductibility of Executive Compensation</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1" w:name="page112"/>
    <w:bookmarkEnd w:id="1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RSU awards that are subject to time-based vesting requirements generally will not be deductible since such awards do not qualify as “performance-based compensation.”</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77"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Taxation of Nonqualified Deferred Compensation</w:t>
      </w:r>
    </w:p>
    <w:p>
      <w:pPr>
        <w:spacing w:after="0" w:line="103" w:lineRule="exact"/>
        <w:rPr>
          <w:sz w:val="20"/>
          <w:szCs w:val="20"/>
          <w:color w:val="auto"/>
        </w:rPr>
      </w:pPr>
    </w:p>
    <w:p>
      <w:pPr>
        <w:ind w:left="800" w:right="979"/>
        <w:spacing w:after="0" w:line="252" w:lineRule="auto"/>
        <w:rPr>
          <w:sz w:val="20"/>
          <w:szCs w:val="20"/>
          <w:color w:val="auto"/>
        </w:rPr>
      </w:pPr>
      <w:r>
        <w:rPr>
          <w:rFonts w:ascii="Times New Roman" w:cs="Times New Roman" w:eastAsia="Times New Roman" w:hAnsi="Times New Roman"/>
          <w:sz w:val="16"/>
          <w:szCs w:val="16"/>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Taxation of “Parachute” Payments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2023 and we have not agreed and are not otherwise obligated to provide any executive officers, including any Named Executive Officer, with such a “gross-up” or other reimbursement payment.</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Accounting for Stock-Based Compensation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7"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U.S. GAAP, we review our valuation assumptions at each grant date, and, as a result,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2" w:name="page113"/>
    <w:bookmarkEnd w:id="1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1339"/>
        <w:spacing w:after="0" w:line="288" w:lineRule="auto"/>
        <w:rPr>
          <w:sz w:val="20"/>
          <w:szCs w:val="20"/>
          <w:color w:val="auto"/>
        </w:rPr>
      </w:pPr>
      <w:r>
        <w:rPr>
          <w:rFonts w:ascii="Times New Roman" w:cs="Times New Roman" w:eastAsia="Times New Roman" w:hAnsi="Times New Roman"/>
          <w:sz w:val="15"/>
          <w:szCs w:val="15"/>
          <w:color w:val="auto"/>
        </w:rPr>
        <w:t>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44" w:lineRule="exact"/>
        <w:rPr>
          <w:sz w:val="20"/>
          <w:szCs w:val="20"/>
          <w:color w:val="auto"/>
        </w:rPr>
      </w:pPr>
    </w:p>
    <w:p>
      <w:pPr>
        <w:ind w:left="800" w:right="1099"/>
        <w:spacing w:after="0" w:line="262" w:lineRule="auto"/>
        <w:rPr>
          <w:sz w:val="20"/>
          <w:szCs w:val="20"/>
          <w:color w:val="auto"/>
        </w:rPr>
      </w:pPr>
      <w:r>
        <w:rPr>
          <w:rFonts w:ascii="Times New Roman" w:cs="Times New Roman" w:eastAsia="Times New Roman" w:hAnsi="Times New Roman"/>
          <w:sz w:val="16"/>
          <w:szCs w:val="16"/>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3" w:name="page114"/>
    <w:bookmarkEnd w:id="1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AND DIRECTOR COMPENSATION</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offered to our Named Executive Officers identified below. For 2023, our Named Executive Officers and their positions as of December 31, 2023 were:</w:t>
      </w:r>
    </w:p>
    <w:p>
      <w:pPr>
        <w:spacing w:after="0" w:line="62" w:lineRule="exact"/>
        <w:rPr>
          <w:sz w:val="20"/>
          <w:szCs w:val="20"/>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Carsten Brunn, Ph.D., our President and Chief Executive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Blaine Davis, our Chief Financial Officer;</w:t>
      </w:r>
    </w:p>
    <w:p>
      <w:pPr>
        <w:spacing w:after="0" w:line="101" w:lineRule="exact"/>
        <w:rPr>
          <w:rFonts w:ascii="Times New Roman" w:cs="Times New Roman" w:eastAsia="Times New Roman" w:hAnsi="Times New Roman"/>
          <w:sz w:val="16"/>
          <w:szCs w:val="16"/>
          <w:color w:val="auto"/>
        </w:rPr>
      </w:pPr>
    </w:p>
    <w:p>
      <w:pPr>
        <w:ind w:left="1420" w:right="1719" w:hanging="305"/>
        <w:spacing w:after="0" w:line="277" w:lineRule="auto"/>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Christopher Jewell, Ph.D., our Chief Scientific Officer who served in that position beginning November 13, 2023;</w:t>
      </w:r>
    </w:p>
    <w:p>
      <w:pPr>
        <w:spacing w:after="0" w:line="50"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Metin Kurtoglu, M.D., Ph.D., who served as our Chief Operations Officer from November 13, 2023 until March 28, 2024, and then continued to serve as our Chief Technology Officer;</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Peter G. Traber, M.D., our former Chief Medical Officer;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Lloyd Johnston, Ph.D., our former Chief Operations Officer.</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8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Non-equity</w:t>
            </w:r>
          </w:p>
        </w:tc>
        <w:tc>
          <w:tcPr>
            <w:tcW w:w="40" w:type="dxa"/>
            <w:vAlign w:val="bottom"/>
          </w:tcPr>
          <w:p>
            <w:pPr>
              <w:spacing w:after="0"/>
              <w:rPr>
                <w:sz w:val="12"/>
                <w:szCs w:val="12"/>
                <w:color w:val="auto"/>
              </w:rPr>
            </w:pPr>
          </w:p>
        </w:tc>
        <w:tc>
          <w:tcPr>
            <w:tcW w:w="760" w:type="dxa"/>
            <w:vAlign w:val="bottom"/>
            <w:vMerge w:val="restart"/>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Bonus ($)</w:t>
            </w:r>
            <w:r>
              <w:rPr>
                <w:rFonts w:ascii="Times New Roman" w:cs="Times New Roman" w:eastAsia="Times New Roman" w:hAnsi="Times New Roman"/>
                <w:sz w:val="21"/>
                <w:szCs w:val="21"/>
                <w:b w:val="1"/>
                <w:bCs w:val="1"/>
                <w:color w:val="auto"/>
                <w:w w:val="89"/>
                <w:vertAlign w:val="superscript"/>
              </w:rPr>
              <w:t>(2)</w:t>
            </w:r>
          </w:p>
        </w:tc>
        <w:tc>
          <w:tcPr>
            <w:tcW w:w="4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awards</w:t>
            </w:r>
          </w:p>
        </w:tc>
        <w:tc>
          <w:tcPr>
            <w:tcW w:w="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3"/>
              </w:rPr>
              <w:t>awards</w:t>
            </w:r>
          </w:p>
        </w:tc>
        <w:tc>
          <w:tcPr>
            <w:tcW w:w="6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8"/>
              </w:rPr>
              <w:t>compensation compensation</w:t>
            </w:r>
          </w:p>
        </w:tc>
        <w:tc>
          <w:tcPr>
            <w:tcW w:w="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2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tcPr>
          <w:p>
            <w:pPr>
              <w:jc w:val="right"/>
              <w:ind w:right="46"/>
              <w:spacing w:after="0" w:line="190" w:lineRule="exact"/>
              <w:rPr>
                <w:sz w:val="20"/>
                <w:szCs w:val="20"/>
                <w:color w:val="auto"/>
              </w:rPr>
            </w:pPr>
            <w:r>
              <w:rPr>
                <w:rFonts w:ascii="Times New Roman" w:cs="Times New Roman" w:eastAsia="Times New Roman" w:hAnsi="Times New Roman"/>
                <w:sz w:val="13"/>
                <w:szCs w:val="13"/>
                <w:b w:val="1"/>
                <w:bCs w:val="1"/>
                <w:color w:val="auto"/>
              </w:rPr>
              <w:t>Year   ($)</w:t>
            </w:r>
            <w:r>
              <w:rPr>
                <w:rFonts w:ascii="Times New Roman" w:cs="Times New Roman" w:eastAsia="Times New Roman" w:hAnsi="Times New Roman"/>
                <w:sz w:val="21"/>
                <w:szCs w:val="21"/>
                <w:b w:val="1"/>
                <w:bCs w:val="1"/>
                <w:color w:val="auto"/>
                <w:vertAlign w:val="superscript"/>
              </w:rPr>
              <w:t>(1)</w:t>
            </w:r>
          </w:p>
        </w:tc>
        <w:tc>
          <w:tcPr>
            <w:tcW w:w="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560" w:type="dxa"/>
            <w:vAlign w:val="bottom"/>
            <w:gridSpan w:val="2"/>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88"/>
              </w:rPr>
              <w:t>($)</w:t>
            </w:r>
            <w:r>
              <w:rPr>
                <w:rFonts w:ascii="Times New Roman" w:cs="Times New Roman" w:eastAsia="Times New Roman" w:hAnsi="Times New Roman"/>
                <w:sz w:val="21"/>
                <w:szCs w:val="21"/>
                <w:b w:val="1"/>
                <w:bCs w:val="1"/>
                <w:color w:val="auto"/>
                <w:w w:val="88"/>
                <w:vertAlign w:val="superscript"/>
              </w:rPr>
              <w:t>(3)</w:t>
            </w:r>
          </w:p>
        </w:tc>
        <w:tc>
          <w:tcPr>
            <w:tcW w:w="680" w:type="dxa"/>
            <w:vAlign w:val="bottom"/>
            <w:gridSpan w:val="2"/>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82"/>
              </w:rPr>
              <w:t>($)</w:t>
            </w:r>
            <w:r>
              <w:rPr>
                <w:rFonts w:ascii="Times New Roman" w:cs="Times New Roman" w:eastAsia="Times New Roman" w:hAnsi="Times New Roman"/>
                <w:sz w:val="21"/>
                <w:szCs w:val="21"/>
                <w:b w:val="1"/>
                <w:bCs w:val="1"/>
                <w:color w:val="auto"/>
                <w:w w:val="82"/>
                <w:vertAlign w:val="superscript"/>
              </w:rPr>
              <w:t>(3)</w:t>
            </w:r>
          </w:p>
        </w:tc>
        <w:tc>
          <w:tcPr>
            <w:tcW w:w="820" w:type="dxa"/>
            <w:vAlign w:val="bottom"/>
            <w:gridSpan w:val="2"/>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88"/>
              </w:rPr>
              <w:t>($)</w:t>
            </w:r>
            <w:r>
              <w:rPr>
                <w:rFonts w:ascii="Times New Roman" w:cs="Times New Roman" w:eastAsia="Times New Roman" w:hAnsi="Times New Roman"/>
                <w:sz w:val="21"/>
                <w:szCs w:val="21"/>
                <w:b w:val="1"/>
                <w:bCs w:val="1"/>
                <w:color w:val="auto"/>
                <w:w w:val="88"/>
                <w:vertAlign w:val="superscript"/>
              </w:rPr>
              <w:t>(4)</w:t>
            </w:r>
          </w:p>
        </w:tc>
        <w:tc>
          <w:tcPr>
            <w:tcW w:w="800" w:type="dxa"/>
            <w:vAlign w:val="bottom"/>
            <w:gridSpan w:val="2"/>
          </w:tcPr>
          <w:p>
            <w:pPr>
              <w:jc w:val="right"/>
              <w:ind w:right="164"/>
              <w:spacing w:after="0" w:line="19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(5)</w:t>
            </w:r>
          </w:p>
        </w:tc>
        <w:tc>
          <w:tcPr>
            <w:tcW w:w="68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shd w:val="clear" w:color="auto" w:fill="CCEEFF"/>
              </w:rPr>
              <w:t>2023 618,228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1,323,000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319,564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1,123,658</w:t>
            </w:r>
          </w:p>
        </w:tc>
        <w:tc>
          <w:tcPr>
            <w:tcW w:w="8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shd w:val="clear" w:color="auto" w:fill="CCEEFF"/>
              </w:rPr>
              <w:t>343,200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2,384,233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6,111,883</w:t>
            </w:r>
          </w:p>
        </w:tc>
        <w:tc>
          <w:tcPr>
            <w:tcW w:w="0" w:type="dxa"/>
            <w:vAlign w:val="bottom"/>
          </w:tcPr>
          <w:p>
            <w:pPr>
              <w:spacing w:after="0"/>
              <w:rPr>
                <w:sz w:val="1"/>
                <w:szCs w:val="1"/>
                <w:color w:val="auto"/>
              </w:rPr>
            </w:pPr>
          </w:p>
        </w:tc>
      </w:tr>
      <w:tr>
        <w:trPr>
          <w:trHeight w:val="190"/>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2022 588,043</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749,053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2,628,525</w:t>
            </w:r>
          </w:p>
        </w:tc>
        <w:tc>
          <w:tcPr>
            <w:tcW w:w="8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325,655</w:t>
            </w:r>
          </w:p>
        </w:tc>
        <w:tc>
          <w:tcPr>
            <w:tcW w:w="8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966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4,292,242</w:t>
            </w:r>
          </w:p>
        </w:tc>
        <w:tc>
          <w:tcPr>
            <w:tcW w:w="0" w:type="dxa"/>
            <w:vAlign w:val="bottom"/>
          </w:tcPr>
          <w:p>
            <w:pPr>
              <w:spacing w:after="0"/>
              <w:rPr>
                <w:sz w:val="1"/>
                <w:szCs w:val="1"/>
                <w:color w:val="auto"/>
              </w:rPr>
            </w:pPr>
          </w:p>
        </w:tc>
      </w:tr>
      <w:tr>
        <w:trPr>
          <w:trHeight w:val="220"/>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4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Blaine Davis</w:t>
            </w:r>
            <w:r>
              <w:rPr>
                <w:rFonts w:ascii="Times New Roman" w:cs="Times New Roman" w:eastAsia="Times New Roman" w:hAnsi="Times New Roman"/>
                <w:sz w:val="24"/>
                <w:szCs w:val="24"/>
                <w:color w:val="auto"/>
                <w:vertAlign w:val="superscript"/>
              </w:rPr>
              <w:t>(6)</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7"/>
              </w:rPr>
              <w:t>2023 440,000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880,000</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176,000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998,759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2,494,759</w:t>
            </w:r>
          </w:p>
        </w:tc>
        <w:tc>
          <w:tcPr>
            <w:tcW w:w="0" w:type="dxa"/>
            <w:vAlign w:val="bottom"/>
          </w:tcPr>
          <w:p>
            <w:pPr>
              <w:spacing w:after="0"/>
              <w:rPr>
                <w:sz w:val="1"/>
                <w:szCs w:val="1"/>
                <w:color w:val="auto"/>
              </w:rPr>
            </w:pPr>
          </w:p>
        </w:tc>
      </w:tr>
      <w:tr>
        <w:trPr>
          <w:trHeight w:val="215"/>
        </w:trPr>
        <w:tc>
          <w:tcPr>
            <w:tcW w:w="22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5"/>
              </w:rPr>
              <w:t>33,846</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1,228,750</w:t>
            </w:r>
          </w:p>
        </w:tc>
        <w:tc>
          <w:tcPr>
            <w:tcW w:w="60" w:type="dxa"/>
            <w:vAlign w:val="bottom"/>
          </w:tcPr>
          <w:p>
            <w:pPr>
              <w:spacing w:after="0"/>
              <w:rPr>
                <w:sz w:val="18"/>
                <w:szCs w:val="18"/>
                <w:color w:val="auto"/>
              </w:rPr>
            </w:pP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1,110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1,263,706</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Peter G. Traber, M.D.</w:t>
            </w:r>
            <w:r>
              <w:rPr>
                <w:rFonts w:ascii="Times New Roman" w:cs="Times New Roman" w:eastAsia="Times New Roman" w:hAnsi="Times New Roman"/>
                <w:sz w:val="25"/>
                <w:szCs w:val="25"/>
                <w:color w:val="auto"/>
                <w:vertAlign w:val="superscript"/>
              </w:rPr>
              <w:t>(7)</w:t>
            </w:r>
          </w:p>
        </w:tc>
        <w:tc>
          <w:tcPr>
            <w:tcW w:w="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2023 458,920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793,170</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1,452,830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3,780,920</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Medical Officer</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2022 455,573</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298,562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1,035,133</w:t>
            </w:r>
          </w:p>
        </w:tc>
        <w:tc>
          <w:tcPr>
            <w:tcW w:w="8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183,568</w:t>
            </w:r>
          </w:p>
        </w:tc>
        <w:tc>
          <w:tcPr>
            <w:tcW w:w="8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31,147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2,003,983</w:t>
            </w:r>
          </w:p>
        </w:tc>
        <w:tc>
          <w:tcPr>
            <w:tcW w:w="0" w:type="dxa"/>
            <w:vAlign w:val="bottom"/>
          </w:tcPr>
          <w:p>
            <w:pPr>
              <w:spacing w:after="0"/>
              <w:rPr>
                <w:sz w:val="1"/>
                <w:szCs w:val="1"/>
                <w:color w:val="auto"/>
              </w:rPr>
            </w:pPr>
          </w:p>
        </w:tc>
      </w:tr>
      <w:tr>
        <w:trPr>
          <w:trHeight w:val="183"/>
        </w:trPr>
        <w:tc>
          <w:tcPr>
            <w:tcW w:w="224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Lloyd Johnston, Ph.D.</w:t>
            </w:r>
            <w:r>
              <w:rPr>
                <w:rFonts w:ascii="Times New Roman" w:cs="Times New Roman" w:eastAsia="Times New Roman" w:hAnsi="Times New Roman"/>
                <w:sz w:val="21"/>
                <w:szCs w:val="21"/>
                <w:color w:val="auto"/>
                <w:vertAlign w:val="superscript"/>
              </w:rPr>
              <w:t>(8)</w:t>
            </w:r>
          </w:p>
        </w:tc>
        <w:tc>
          <w:tcPr>
            <w:tcW w:w="6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7"/>
              </w:rPr>
              <w:t>2023 431,336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113,000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418,618</w:t>
            </w:r>
          </w:p>
        </w:tc>
        <w:tc>
          <w:tcPr>
            <w:tcW w:w="60" w:type="dxa"/>
            <w:vAlign w:val="bottom"/>
          </w:tcPr>
          <w:p>
            <w:pPr>
              <w:spacing w:after="0"/>
              <w:rPr>
                <w:sz w:val="15"/>
                <w:szCs w:val="15"/>
                <w:color w:val="auto"/>
              </w:rPr>
            </w:pP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865,636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2,697,590</w:t>
            </w:r>
          </w:p>
        </w:tc>
        <w:tc>
          <w:tcPr>
            <w:tcW w:w="0" w:type="dxa"/>
            <w:vAlign w:val="bottom"/>
          </w:tcPr>
          <w:p>
            <w:pPr>
              <w:spacing w:after="0"/>
              <w:rPr>
                <w:sz w:val="1"/>
                <w:szCs w:val="1"/>
                <w:color w:val="auto"/>
              </w:rPr>
            </w:pPr>
          </w:p>
        </w:tc>
      </w:tr>
      <w:tr>
        <w:trPr>
          <w:trHeight w:val="190"/>
        </w:trPr>
        <w:tc>
          <w:tcPr>
            <w:tcW w:w="22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Operations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2022 413,169</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238,320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846,225</w:t>
            </w:r>
          </w:p>
        </w:tc>
        <w:tc>
          <w:tcPr>
            <w:tcW w:w="82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166,400</w:t>
            </w:r>
          </w:p>
        </w:tc>
        <w:tc>
          <w:tcPr>
            <w:tcW w:w="8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10,245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1,674,359</w:t>
            </w:r>
          </w:p>
        </w:tc>
        <w:tc>
          <w:tcPr>
            <w:tcW w:w="0" w:type="dxa"/>
            <w:vAlign w:val="bottom"/>
          </w:tcPr>
          <w:p>
            <w:pPr>
              <w:spacing w:after="0"/>
              <w:rPr>
                <w:sz w:val="1"/>
                <w:szCs w:val="1"/>
                <w:color w:val="auto"/>
              </w:rPr>
            </w:pPr>
          </w:p>
        </w:tc>
      </w:tr>
      <w:tr>
        <w:trPr>
          <w:trHeight w:val="215"/>
        </w:trPr>
        <w:tc>
          <w:tcPr>
            <w:tcW w:w="22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(9)</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2023</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5"/>
              </w:rPr>
              <w:t>50,313</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20,930</w:t>
            </w: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71,243</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2022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4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Chris Jewell, Ph.D.</w:t>
            </w:r>
            <w:r>
              <w:rPr>
                <w:rFonts w:ascii="Times New Roman" w:cs="Times New Roman" w:eastAsia="Times New Roman" w:hAnsi="Times New Roman"/>
                <w:sz w:val="24"/>
                <w:szCs w:val="24"/>
                <w:color w:val="auto"/>
                <w:vertAlign w:val="superscript"/>
              </w:rPr>
              <w:t>(10)</w:t>
            </w: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2023</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5"/>
              </w:rPr>
              <w:t>37,500</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7"/>
              <w:spacing w:after="0"/>
              <w:rPr>
                <w:sz w:val="20"/>
                <w:szCs w:val="20"/>
                <w:color w:val="auto"/>
              </w:rPr>
            </w:pPr>
            <w:r>
              <w:rPr>
                <w:rFonts w:ascii="Times New Roman" w:cs="Times New Roman" w:eastAsia="Times New Roman" w:hAnsi="Times New Roman"/>
                <w:sz w:val="16"/>
                <w:szCs w:val="16"/>
                <w:color w:val="auto"/>
              </w:rPr>
              <w:t>15,600</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0" w:type="dxa"/>
            <w:vAlign w:val="bottom"/>
          </w:tcPr>
          <w:p>
            <w:pPr>
              <w:spacing w:after="0"/>
              <w:rPr>
                <w:sz w:val="1"/>
                <w:szCs w:val="1"/>
                <w:color w:val="auto"/>
              </w:rPr>
            </w:pPr>
          </w:p>
        </w:tc>
      </w:tr>
      <w:tr>
        <w:trPr>
          <w:trHeight w:val="209"/>
        </w:trPr>
        <w:tc>
          <w:tcPr>
            <w:tcW w:w="22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Scientific Officer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165735</wp:posOffset>
            </wp:positionV>
            <wp:extent cx="7239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0" w:lineRule="exact"/>
        <w:rPr>
          <w:sz w:val="20"/>
          <w:szCs w:val="20"/>
          <w:color w:val="auto"/>
        </w:rPr>
      </w:pPr>
    </w:p>
    <w:p>
      <w:pPr>
        <w:ind w:left="1100" w:right="91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represent actual earnings for the calendar year, which may be impacted by, among other things, hire date and the timing of any salary increases made during the year.</w:t>
      </w:r>
    </w:p>
    <w:p>
      <w:pPr>
        <w:spacing w:after="0" w:line="13" w:lineRule="exact"/>
        <w:rPr>
          <w:rFonts w:ascii="Times New Roman" w:cs="Times New Roman" w:eastAsia="Times New Roman" w:hAnsi="Times New Roman"/>
          <w:sz w:val="13"/>
          <w:szCs w:val="13"/>
          <w:color w:val="auto"/>
        </w:rPr>
      </w:pPr>
    </w:p>
    <w:p>
      <w:pPr>
        <w:ind w:left="1100" w:right="109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include one-time bonuses of $75,000 and $100,000 for Dr. Brunn and Dr. Traber, respectively, for efforts to deliver the positive topline data for the Company’s DISSOLVE I and DISSOLVE II Phase 3 clinical trials and retention bonuses.</w:t>
      </w:r>
    </w:p>
    <w:p>
      <w:pPr>
        <w:spacing w:after="0" w:line="13" w:lineRule="exact"/>
        <w:rPr>
          <w:rFonts w:ascii="Times New Roman" w:cs="Times New Roman" w:eastAsia="Times New Roman" w:hAnsi="Times New Roman"/>
          <w:sz w:val="13"/>
          <w:szCs w:val="13"/>
          <w:color w:val="auto"/>
        </w:rPr>
      </w:pPr>
    </w:p>
    <w:p>
      <w:pPr>
        <w:ind w:left="1100" w:right="959" w:hanging="301"/>
        <w:spacing w:after="0" w:line="228"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aggregate grant date fair value of stock and option awards computed in accordance with ASC Topic 718, excluding the effect of estimated forfeitures. For a description of the assumptions used in valuing these awards, see Note 13 to our consolidated audited financial statements included elsewhere in the registration statement of which this prospectus forms a part.</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amounts earned under our annual performance-based bonus program. For additional information, see “—Performance Bonuses” below.</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2" w:lineRule="auto"/>
        <w:tabs>
          <w:tab w:leader="none" w:pos="11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Dr. Brunn, the amount for 2022 includes $966 representing payments on Dr. Brunn’s term life insurance policy. The amount for 2023 includes $2,383,268 for settlement of outstanding awards as of November 13, 2023 in connection with the Merger and $965 representing payments on Dr. Brunn’s term life insurance policy. For Mr. Davis, the amount for 2022 includes $35 representing payments on Mr. Davis’ term life insurance policy, $75 representing reimbursement for cell phone expenses, and $1,000 representing our 401(k) matching contributions. The amount for 2023 includes $987,500 for settlement of outstanding awards as of November 13, 2023 in connection with the Merger, $459 representing payments on Mr. Davis’ term life insurance policy, $900 representing reimbursement for cell phone expenses, and $9,900 representing our 401(k) matching contributions. For Dr. Traber, the amount for 2022 includes $21,097 representing payments on Dr. Traber’s term life insurance policy, $900 representing reimbursement for cell phone expenses, and $9,150 representing our 401(k) matching contributions. The amount for 2023 includes $1,436,872 for settlement of outstanding awards as of November 13, 2023 in connection with the Merger, $5,158 representing payments on Dr. Traber’s term life insurance policy, $900 representing reimbursement for cell phone expenses, and $9,900 representing our 401(k) matching contributions.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4" w:name="page115"/>
    <w:bookmarkEnd w:id="1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899"/>
        <w:spacing w:after="0" w:line="223" w:lineRule="auto"/>
        <w:rPr>
          <w:sz w:val="20"/>
          <w:szCs w:val="20"/>
          <w:color w:val="auto"/>
        </w:rPr>
      </w:pPr>
      <w:r>
        <w:rPr>
          <w:rFonts w:ascii="Times New Roman" w:cs="Times New Roman" w:eastAsia="Times New Roman" w:hAnsi="Times New Roman"/>
          <w:sz w:val="13"/>
          <w:szCs w:val="13"/>
          <w:color w:val="auto"/>
        </w:rPr>
        <w:t>For Dr. Johnston, the amount for 2022 includes $9,150 representing our 401(k) matching contributions and $1,095 representing payments on Dr. Johnston’s term life insurance policy. The amount for 2023 includes $853,930 for settlement of outstanding awards as of November 13, 2023 in connection with the Merger, $1,806 representing payments on Dr. Johnston’s term life insurance policy, and $9,900 representing our 401(k) matching contributions.</w:t>
      </w:r>
    </w:p>
    <w:p>
      <w:pPr>
        <w:spacing w:after="0" w:line="14" w:lineRule="exact"/>
        <w:rPr>
          <w:sz w:val="20"/>
          <w:szCs w:val="20"/>
          <w:color w:val="auto"/>
        </w:rPr>
      </w:pPr>
    </w:p>
    <w:p>
      <w:pPr>
        <w:ind w:left="1100" w:hanging="301"/>
        <w:spacing w:after="0"/>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w:t>
      </w:r>
    </w:p>
    <w:p>
      <w:pPr>
        <w:spacing w:after="0" w:line="2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service as our Chief Medical Officer effective as of November 13, 2023. Upon his departure in December 2023,</w:t>
      </w:r>
    </w:p>
    <w:p>
      <w:pPr>
        <w:ind w:left="1100" w:right="89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Dr. Traber forfeited his 2023 annual target bonus opportunity of $200,000. However, Dr. Traber was paid an amount of $200,000 as a term of his separation agreement, which was approved separately from the 2023 Bonus Plan by the Compensation Committee, in 2024.</w:t>
      </w:r>
    </w:p>
    <w:p>
      <w:pPr>
        <w:spacing w:after="0" w:line="8" w:lineRule="exact"/>
        <w:rPr>
          <w:rFonts w:ascii="Times New Roman" w:cs="Times New Roman" w:eastAsia="Times New Roman" w:hAnsi="Times New Roman"/>
          <w:sz w:val="13"/>
          <w:szCs w:val="13"/>
          <w:color w:val="auto"/>
        </w:rPr>
      </w:pPr>
    </w:p>
    <w:p>
      <w:pPr>
        <w:ind w:left="1100" w:right="839" w:hanging="301"/>
        <w:spacing w:after="0" w:line="223" w:lineRule="auto"/>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service as our Chief Operations Officer effective as of November 13, 2023. Upon his departure as a full-time employee in December 2023, Dr. Johnston forfeited his 2023 annual target bonus opportunity of $173,888. However, Dr. Johnston was paid an amount of $173,888 as a term of his separation agreement, which was approved separately from the 2023 Bonus Plan by the Compensation Committee, in 2024.</w:t>
      </w:r>
    </w:p>
    <w:p>
      <w:pPr>
        <w:spacing w:after="0" w:line="14"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Narrative Disclosure to Summary Compensation Table</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Base Salaries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At the end of 2022, the Compensation Committee recommended to the Board of Directors and the Board of Directors approved an increase in Dr. Brunn’s annual base salary from $592,072 to $624,000 for 2023, an increase in Dr. Traber’s annual base salary from $458,920 to $500,000 for 2023, and an increase in Dr. Johnston’s annual base salary from $416,000 to $434,720 for 2023. Mr. Davis did not receive an increase to his annual base salary in 2023. Dr. Kurtoglu joined our Company in November 2023 with an annual base salary of $402,500. Dr. Jewell joined our Company in November 2023 with an annual base salary of $300,000. All base salaries for 2023, other than with respect to Mr. Davis, Dr. Kurtoglu, and Dr. Jewell, were effective as of March 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Performance Bonuses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2023 target bonus amount for Dr. Brunn was 55% of his base salary, and for each of Mr. Davis and Drs. Kurtoglu, Jewell, Traber, and Johnston was 40% of his base salary. Drs. Kurtoglu and Jewell were eligible to receive annual cash bonuses for 2023 at a pro-rated amount based on employment since November 13, 2023.</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2023, bonuses were entirely determined based on Company performance in meeting clinical, business development, culture and engagement, financial goals, and other corporate achievements.</w:t>
      </w:r>
    </w:p>
    <w:p>
      <w:pPr>
        <w:spacing w:after="0" w:line="71"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The actual cash bonuses earned by the named executives for 2023 are reported under the “Non-equity incentive plan compensation” column of the 2023 Summary Compensation Table above.</w:t>
      </w:r>
    </w:p>
    <w:p>
      <w:pPr>
        <w:spacing w:after="0" w:line="1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105" w:lineRule="exact"/>
        <w:rPr>
          <w:sz w:val="20"/>
          <w:szCs w:val="20"/>
          <w:color w:val="auto"/>
        </w:rPr>
      </w:pPr>
    </w:p>
    <w:p>
      <w:pPr>
        <w:ind w:left="800" w:right="1399"/>
        <w:spacing w:after="0" w:line="312" w:lineRule="auto"/>
        <w:rPr>
          <w:sz w:val="20"/>
          <w:szCs w:val="20"/>
          <w:color w:val="auto"/>
        </w:rPr>
      </w:pPr>
      <w:r>
        <w:rPr>
          <w:rFonts w:ascii="Times New Roman" w:cs="Times New Roman" w:eastAsia="Times New Roman" w:hAnsi="Times New Roman"/>
          <w:sz w:val="15"/>
          <w:szCs w:val="15"/>
          <w:color w:val="auto"/>
        </w:rPr>
        <w:t>We grant stock option awards to our Named Executive Officers as a long-term incentive component of their compensation. We have historically granted stock option awards to Named Executive Officers when they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5" w:name="page116"/>
    <w:bookmarkEnd w:id="1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312" w:lineRule="auto"/>
        <w:rPr>
          <w:sz w:val="20"/>
          <w:szCs w:val="20"/>
          <w:color w:val="auto"/>
        </w:rPr>
      </w:pPr>
      <w:r>
        <w:rPr>
          <w:rFonts w:ascii="Times New Roman" w:cs="Times New Roman" w:eastAsia="Times New Roman" w:hAnsi="Times New Roman"/>
          <w:sz w:val="15"/>
          <w:szCs w:val="15"/>
          <w:color w:val="auto"/>
        </w:rPr>
        <w:t>commenced employment with us and have from time to time thereafter made additional grants as, and when, our Board of Directors determined appropriate to recruit, retain or reward particular Named Executive Officers.</w:t>
      </w:r>
    </w:p>
    <w:p>
      <w:pPr>
        <w:spacing w:after="0" w:line="2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connection with our initial public offering, we adopted and our stockholders approved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 In connection with the Merger, all outstanding awards issued under the 2008 Plan were cancelled, and the Board of Directors formally terminated the 2008 Plan.</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also maintain the 2018 Plan, which was adopted by the Board of Directors on September 25, 2018 without stockholder approval pursuant to Rule 5635(c)(4) of the Nasdaq listing rules (“Rule 5635(c)(4)”) and provides for the grant of equity-based awards in the form of non-qualified stock options, stock appreciation rights, restricted stock awards, RSU awards and other stock or cash based awards. In accordance with Rule 5635(c)(4), awards under the 2018 Plan may only be made to a newly hired employee who has not previously been a member of the Board of Directors, or an employee who is being rehired following a bona fide period of non-employment by the Company, as a material inducement to the employee’s entering into employment with the Company.</w:t>
      </w:r>
    </w:p>
    <w:p>
      <w:pPr>
        <w:spacing w:after="0" w:line="1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connection with the Merger, we adopted the Old Cartesian Plan.</w:t>
      </w:r>
    </w:p>
    <w:p>
      <w:pPr>
        <w:spacing w:after="0" w:line="101"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of Directors may also construct alternate vesting schedules as it determines are appropriate to motivate particular employees. Moving forward in 2024, our Board of Directors determined that our stock option awards should typically vest as to 25% of the underlying shares on the first anniversary of the date of grant and in equal annual installments over the following three years, subject to the holder’s continued employment with us and potential accelerated vesting in certain circumstances. Our stock option awards may be intended to qualify as incentive stock options under the Code.</w:t>
      </w:r>
    </w:p>
    <w:p>
      <w:pPr>
        <w:spacing w:after="0" w:line="59"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early 2023, we made the following grants under the 2016 Plan: (i) to Dr. Brunn options to purchase 42,499 shares of our Common Stock and 9,426 RSUs; (ii) to Dr. Traber options to purchase 29,999 shares of our Common Stock and 6,666 RSUs; and (iii) to Dr. Johnston options to purchase 15,833 shares of our Common Stock and 3,333 RSUs. Additionally, at the commencement of his employment, Mr. Davis was granted options to purchase 41,666 shares of our Common Stock under the 2018 Plan. On November 13, 2023, in connection with the Merger, all then-outstanding equity awards were settled.</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Retirement, Health, Welfare and Additional Benefits</w:t>
      </w:r>
    </w:p>
    <w:p>
      <w:pPr>
        <w:spacing w:after="0" w:line="105"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7"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6% of an employee’s annual cash compensation. Company matches vest over two years with 25% vesting in year one and 100% vesting in year two.</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6" w:name="page117"/>
    <w:bookmarkEnd w:id="1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Outstanding Equity Awards At 2023 Fiscal Year End</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right"/>
              <w:ind w:right="598"/>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0"/>
                <w:szCs w:val="10"/>
                <w:color w:val="auto"/>
              </w:rPr>
            </w:pPr>
          </w:p>
        </w:tc>
        <w:tc>
          <w:tcPr>
            <w:tcW w:w="8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14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4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4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vMerge w:val="restart"/>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Commencement</w:t>
            </w:r>
          </w:p>
        </w:tc>
        <w:tc>
          <w:tcPr>
            <w:tcW w:w="1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options (#)</w:t>
            </w:r>
          </w:p>
        </w:tc>
        <w:tc>
          <w:tcPr>
            <w:tcW w:w="14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exercise</w:t>
            </w:r>
          </w:p>
        </w:tc>
        <w:tc>
          <w:tcPr>
            <w:tcW w:w="1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expiration</w:t>
            </w:r>
          </w:p>
        </w:tc>
        <w:tc>
          <w:tcPr>
            <w:tcW w:w="0" w:type="dxa"/>
            <w:vAlign w:val="bottom"/>
          </w:tcPr>
          <w:p>
            <w:pPr>
              <w:spacing w:after="0"/>
              <w:rPr>
                <w:sz w:val="1"/>
                <w:szCs w:val="1"/>
                <w:color w:val="auto"/>
              </w:rPr>
            </w:pPr>
          </w:p>
        </w:tc>
      </w:tr>
      <w:tr>
        <w:trPr>
          <w:trHeight w:val="190"/>
        </w:trPr>
        <w:tc>
          <w:tcPr>
            <w:tcW w:w="19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tcBorders>
              <w:bottom w:val="single" w:sz="8" w:color="auto"/>
            </w:tcBorders>
          </w:tcPr>
          <w:p>
            <w:pPr>
              <w:jc w:val="right"/>
              <w:ind w:right="106"/>
              <w:spacing w:after="0" w:line="190"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2"/>
              </w:rPr>
              <w:t>exercisable</w:t>
            </w:r>
            <w:r>
              <w:rPr>
                <w:rFonts w:ascii="Times New Roman" w:cs="Times New Roman" w:eastAsia="Times New Roman" w:hAnsi="Times New Roman"/>
                <w:sz w:val="21"/>
                <w:szCs w:val="21"/>
                <w:b w:val="1"/>
                <w:bCs w:val="1"/>
                <w:color w:val="auto"/>
                <w:w w:val="92"/>
                <w:vertAlign w:val="superscript"/>
              </w:rPr>
              <w:t>(2)</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3"/>
              </w:rPr>
              <w:t>unexercisable</w:t>
            </w:r>
            <w:r>
              <w:rPr>
                <w:rFonts w:ascii="Times New Roman" w:cs="Times New Roman" w:eastAsia="Times New Roman" w:hAnsi="Times New Roman"/>
                <w:sz w:val="21"/>
                <w:szCs w:val="21"/>
                <w:b w:val="1"/>
                <w:bCs w:val="1"/>
                <w:color w:val="auto"/>
                <w:w w:val="93"/>
                <w:vertAlign w:val="superscript"/>
              </w:rPr>
              <w:t>(2)</w:t>
            </w:r>
          </w:p>
        </w:tc>
        <w:tc>
          <w:tcPr>
            <w:tcW w:w="14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price ($)</w:t>
            </w:r>
          </w:p>
        </w:tc>
        <w:tc>
          <w:tcPr>
            <w:tcW w:w="14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181"/>
        </w:trPr>
        <w:tc>
          <w:tcPr>
            <w:tcW w:w="20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Metin Kurtoglu, M.D., Ph.D.</w:t>
            </w:r>
          </w:p>
        </w:tc>
        <w:tc>
          <w:tcPr>
            <w:tcW w:w="7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11/7/2016</w:t>
            </w:r>
          </w:p>
        </w:tc>
        <w:tc>
          <w:tcPr>
            <w:tcW w:w="1020" w:type="dxa"/>
            <w:vAlign w:val="bottom"/>
            <w:gridSpan w:val="2"/>
            <w:shd w:val="clear" w:color="auto" w:fill="CCEEFF"/>
          </w:tcPr>
          <w:p>
            <w:pPr>
              <w:jc w:val="right"/>
              <w:ind w:right="57"/>
              <w:spacing w:after="0" w:line="181" w:lineRule="exact"/>
              <w:rPr>
                <w:sz w:val="20"/>
                <w:szCs w:val="20"/>
                <w:color w:val="auto"/>
              </w:rPr>
            </w:pPr>
            <w:r>
              <w:rPr>
                <w:rFonts w:ascii="Times New Roman" w:cs="Times New Roman" w:eastAsia="Times New Roman" w:hAnsi="Times New Roman"/>
                <w:sz w:val="16"/>
                <w:szCs w:val="16"/>
                <w:color w:val="auto"/>
              </w:rPr>
              <w:t>11/7/2016</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3"/>
                <w:szCs w:val="13"/>
                <w:color w:val="auto"/>
              </w:rPr>
              <w:t>6,414.682</w:t>
            </w:r>
            <w:r>
              <w:rPr>
                <w:rFonts w:ascii="Times New Roman" w:cs="Times New Roman" w:eastAsia="Times New Roman" w:hAnsi="Times New Roman"/>
                <w:sz w:val="20"/>
                <w:szCs w:val="20"/>
                <w:color w:val="auto"/>
                <w:vertAlign w:val="superscript"/>
              </w:rPr>
              <w:t>(4)</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(4)</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3"/>
                <w:szCs w:val="13"/>
                <w:color w:val="auto"/>
              </w:rPr>
              <w:t xml:space="preserve">46.77 </w:t>
            </w:r>
            <w:r>
              <w:rPr>
                <w:rFonts w:ascii="Times New Roman" w:cs="Times New Roman" w:eastAsia="Times New Roman" w:hAnsi="Times New Roman"/>
                <w:sz w:val="20"/>
                <w:szCs w:val="20"/>
                <w:color w:val="auto"/>
                <w:vertAlign w:val="superscript"/>
              </w:rPr>
              <w:t>(4)</w:t>
            </w:r>
          </w:p>
        </w:tc>
        <w:tc>
          <w:tcPr>
            <w:tcW w:w="780" w:type="dxa"/>
            <w:vAlign w:val="bottom"/>
            <w:gridSpan w:val="2"/>
            <w:shd w:val="clear" w:color="auto" w:fill="CCEEFF"/>
          </w:tcPr>
          <w:p>
            <w:pPr>
              <w:jc w:val="center"/>
              <w:ind w:left="61"/>
              <w:spacing w:after="0" w:line="181" w:lineRule="exact"/>
              <w:rPr>
                <w:sz w:val="20"/>
                <w:szCs w:val="20"/>
                <w:color w:val="auto"/>
              </w:rPr>
            </w:pPr>
            <w:r>
              <w:rPr>
                <w:rFonts w:ascii="Times New Roman" w:cs="Times New Roman" w:eastAsia="Times New Roman" w:hAnsi="Times New Roman"/>
                <w:sz w:val="16"/>
                <w:szCs w:val="16"/>
                <w:color w:val="auto"/>
                <w:w w:val="98"/>
              </w:rPr>
              <w:t>11/6/2026</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4/26/2021</w:t>
            </w:r>
          </w:p>
        </w:tc>
        <w:tc>
          <w:tcPr>
            <w:tcW w:w="10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4/26/2021</w:t>
            </w:r>
          </w:p>
        </w:tc>
        <w:tc>
          <w:tcPr>
            <w:tcW w:w="98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6"/>
                <w:szCs w:val="16"/>
                <w:color w:val="auto"/>
              </w:rPr>
              <w:t>427.645</w:t>
            </w:r>
            <w:r>
              <w:rPr>
                <w:rFonts w:ascii="Times New Roman" w:cs="Times New Roman" w:eastAsia="Times New Roman" w:hAnsi="Times New Roman"/>
                <w:sz w:val="26"/>
                <w:szCs w:val="26"/>
                <w:color w:val="auto"/>
                <w:vertAlign w:val="superscript"/>
              </w:rPr>
              <w:t>(5)</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(5)</w:t>
            </w:r>
          </w:p>
        </w:tc>
        <w:tc>
          <w:tcPr>
            <w:tcW w:w="800" w:type="dxa"/>
            <w:vAlign w:val="bottom"/>
            <w:gridSpan w:val="2"/>
            <w:shd w:val="clear" w:color="auto" w:fill="CCEEFF"/>
          </w:tcPr>
          <w:p>
            <w:pPr>
              <w:jc w:val="center"/>
              <w:ind w:left="62"/>
              <w:spacing w:after="0" w:line="250" w:lineRule="exact"/>
              <w:rPr>
                <w:sz w:val="20"/>
                <w:szCs w:val="20"/>
                <w:color w:val="auto"/>
              </w:rPr>
            </w:pPr>
            <w:r>
              <w:rPr>
                <w:rFonts w:ascii="Times New Roman" w:cs="Times New Roman" w:eastAsia="Times New Roman" w:hAnsi="Times New Roman"/>
                <w:sz w:val="16"/>
                <w:szCs w:val="16"/>
                <w:color w:val="auto"/>
                <w:w w:val="90"/>
              </w:rPr>
              <w:t xml:space="preserve">107.59 </w:t>
            </w:r>
            <w:r>
              <w:rPr>
                <w:rFonts w:ascii="Times New Roman" w:cs="Times New Roman" w:eastAsia="Times New Roman" w:hAnsi="Times New Roman"/>
                <w:sz w:val="26"/>
                <w:szCs w:val="26"/>
                <w:color w:val="auto"/>
                <w:w w:val="90"/>
                <w:vertAlign w:val="superscript"/>
              </w:rPr>
              <w:t>(5)</w:t>
            </w:r>
          </w:p>
        </w:tc>
        <w:tc>
          <w:tcPr>
            <w:tcW w:w="78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8"/>
              </w:rPr>
              <w:t>4/25/2031</w:t>
            </w:r>
          </w:p>
        </w:tc>
        <w:tc>
          <w:tcPr>
            <w:tcW w:w="0" w:type="dxa"/>
            <w:vAlign w:val="bottom"/>
          </w:tcPr>
          <w:p>
            <w:pPr>
              <w:spacing w:after="0"/>
              <w:rPr>
                <w:sz w:val="1"/>
                <w:szCs w:val="1"/>
                <w:color w:val="auto"/>
              </w:rPr>
            </w:pPr>
          </w:p>
        </w:tc>
      </w:tr>
      <w:tr>
        <w:trPr>
          <w:trHeight w:val="214"/>
        </w:trPr>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10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3/1/2022</w:t>
            </w:r>
          </w:p>
        </w:tc>
        <w:tc>
          <w:tcPr>
            <w:tcW w:w="980" w:type="dxa"/>
            <w:vAlign w:val="bottom"/>
            <w:gridSpan w:val="2"/>
            <w:shd w:val="clear" w:color="auto" w:fill="CCEEFF"/>
          </w:tcPr>
          <w:p>
            <w:pPr>
              <w:jc w:val="right"/>
              <w:spacing w:after="0" w:line="213" w:lineRule="exact"/>
              <w:rPr>
                <w:sz w:val="20"/>
                <w:szCs w:val="20"/>
                <w:color w:val="auto"/>
              </w:rPr>
            </w:pPr>
            <w:r>
              <w:rPr>
                <w:rFonts w:ascii="Times New Roman" w:cs="Times New Roman" w:eastAsia="Times New Roman" w:hAnsi="Times New Roman"/>
                <w:sz w:val="15"/>
                <w:szCs w:val="15"/>
                <w:color w:val="auto"/>
              </w:rPr>
              <w:t>106.911</w:t>
            </w:r>
            <w:r>
              <w:rPr>
                <w:rFonts w:ascii="Times New Roman" w:cs="Times New Roman" w:eastAsia="Times New Roman" w:hAnsi="Times New Roman"/>
                <w:sz w:val="24"/>
                <w:szCs w:val="24"/>
                <w:color w:val="auto"/>
                <w:vertAlign w:val="superscript"/>
              </w:rPr>
              <w:t>(6)</w:t>
            </w:r>
          </w:p>
        </w:tc>
        <w:tc>
          <w:tcPr>
            <w:tcW w:w="1020" w:type="dxa"/>
            <w:vAlign w:val="bottom"/>
            <w:gridSpan w:val="2"/>
            <w:shd w:val="clear" w:color="auto" w:fill="CCEEFF"/>
          </w:tcPr>
          <w:p>
            <w:pPr>
              <w:jc w:val="right"/>
              <w:spacing w:after="0" w:line="213" w:lineRule="exact"/>
              <w:rPr>
                <w:sz w:val="20"/>
                <w:szCs w:val="20"/>
                <w:color w:val="auto"/>
              </w:rPr>
            </w:pPr>
            <w:r>
              <w:rPr>
                <w:rFonts w:ascii="Times New Roman" w:cs="Times New Roman" w:eastAsia="Times New Roman" w:hAnsi="Times New Roman"/>
                <w:sz w:val="15"/>
                <w:szCs w:val="15"/>
                <w:color w:val="auto"/>
              </w:rPr>
              <w:t>320.735</w:t>
            </w:r>
            <w:r>
              <w:rPr>
                <w:rFonts w:ascii="Times New Roman" w:cs="Times New Roman" w:eastAsia="Times New Roman" w:hAnsi="Times New Roman"/>
                <w:sz w:val="24"/>
                <w:szCs w:val="24"/>
                <w:color w:val="auto"/>
                <w:vertAlign w:val="superscript"/>
              </w:rPr>
              <w:t>(6)</w:t>
            </w:r>
          </w:p>
        </w:tc>
        <w:tc>
          <w:tcPr>
            <w:tcW w:w="800" w:type="dxa"/>
            <w:vAlign w:val="bottom"/>
            <w:gridSpan w:val="2"/>
            <w:shd w:val="clear" w:color="auto" w:fill="CCEEFF"/>
          </w:tcPr>
          <w:p>
            <w:pPr>
              <w:jc w:val="center"/>
              <w:ind w:left="62"/>
              <w:spacing w:after="0" w:line="213" w:lineRule="exact"/>
              <w:rPr>
                <w:sz w:val="20"/>
                <w:szCs w:val="20"/>
                <w:color w:val="auto"/>
              </w:rPr>
            </w:pPr>
            <w:r>
              <w:rPr>
                <w:rFonts w:ascii="Times New Roman" w:cs="Times New Roman" w:eastAsia="Times New Roman" w:hAnsi="Times New Roman"/>
                <w:sz w:val="15"/>
                <w:szCs w:val="15"/>
                <w:color w:val="auto"/>
                <w:w w:val="97"/>
              </w:rPr>
              <w:t xml:space="preserve">107.59 </w:t>
            </w:r>
            <w:r>
              <w:rPr>
                <w:rFonts w:ascii="Times New Roman" w:cs="Times New Roman" w:eastAsia="Times New Roman" w:hAnsi="Times New Roman"/>
                <w:sz w:val="24"/>
                <w:szCs w:val="24"/>
                <w:color w:val="auto"/>
                <w:w w:val="97"/>
                <w:vertAlign w:val="superscript"/>
              </w:rPr>
              <w:t>(6)</w:t>
            </w:r>
          </w:p>
        </w:tc>
        <w:tc>
          <w:tcPr>
            <w:tcW w:w="78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8"/>
              </w:rPr>
              <w:t>2/29/2032</w:t>
            </w:r>
          </w:p>
        </w:tc>
        <w:tc>
          <w:tcPr>
            <w:tcW w:w="0" w:type="dxa"/>
            <w:vAlign w:val="bottom"/>
          </w:tcPr>
          <w:p>
            <w:pPr>
              <w:spacing w:after="0"/>
              <w:rPr>
                <w:sz w:val="1"/>
                <w:szCs w:val="1"/>
                <w:color w:val="auto"/>
              </w:rPr>
            </w:pPr>
          </w:p>
        </w:tc>
      </w:tr>
      <w:tr>
        <w:trPr>
          <w:trHeight w:val="34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1/16/2023</w:t>
            </w:r>
          </w:p>
        </w:tc>
        <w:tc>
          <w:tcPr>
            <w:tcW w:w="10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1/16/2023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2539.177</w:t>
            </w:r>
            <w:r>
              <w:rPr>
                <w:rFonts w:ascii="Times New Roman" w:cs="Times New Roman" w:eastAsia="Times New Roman" w:hAnsi="Times New Roman"/>
                <w:sz w:val="26"/>
                <w:szCs w:val="26"/>
                <w:color w:val="auto"/>
                <w:vertAlign w:val="superscript"/>
              </w:rPr>
              <w:t>(8)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1737.277</w:t>
            </w:r>
            <w:r>
              <w:rPr>
                <w:rFonts w:ascii="Times New Roman" w:cs="Times New Roman" w:eastAsia="Times New Roman" w:hAnsi="Times New Roman"/>
                <w:sz w:val="26"/>
                <w:szCs w:val="26"/>
                <w:color w:val="auto"/>
                <w:vertAlign w:val="superscript"/>
              </w:rPr>
              <w:t>(8)</w:t>
            </w:r>
          </w:p>
        </w:tc>
        <w:tc>
          <w:tcPr>
            <w:tcW w:w="8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0"/>
              </w:rPr>
              <w:t>107.59</w:t>
            </w:r>
            <w:r>
              <w:rPr>
                <w:rFonts w:ascii="Times New Roman" w:cs="Times New Roman" w:eastAsia="Times New Roman" w:hAnsi="Times New Roman"/>
                <w:sz w:val="26"/>
                <w:szCs w:val="26"/>
                <w:color w:val="auto"/>
                <w:w w:val="90"/>
                <w:vertAlign w:val="superscript"/>
              </w:rPr>
              <w:t>(8)</w:t>
            </w:r>
          </w:p>
        </w:tc>
        <w:tc>
          <w:tcPr>
            <w:tcW w:w="78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8"/>
              </w:rPr>
              <w:t>1/15/2033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65405</wp:posOffset>
            </wp:positionV>
            <wp:extent cx="7239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23" w:lineRule="exact"/>
        <w:rPr>
          <w:sz w:val="20"/>
          <w:szCs w:val="20"/>
          <w:color w:val="auto"/>
        </w:rPr>
      </w:pPr>
    </w:p>
    <w:p>
      <w:pPr>
        <w:ind w:left="1100" w:right="91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November 13, 2023, we acquired Old Cartesian in the Merger. Options to purchase Old Cartesian common stock held by the reporting person were converted into options to purchase shares of Series A Preferred Stock in connection with the Merger.</w:t>
      </w:r>
    </w:p>
    <w:p>
      <w:pPr>
        <w:spacing w:after="0" w:line="13" w:lineRule="exact"/>
        <w:rPr>
          <w:rFonts w:ascii="Times New Roman" w:cs="Times New Roman" w:eastAsia="Times New Roman" w:hAnsi="Times New Roman"/>
          <w:sz w:val="13"/>
          <w:szCs w:val="13"/>
          <w:color w:val="auto"/>
        </w:rPr>
      </w:pPr>
    </w:p>
    <w:p>
      <w:pPr>
        <w:ind w:left="1100" w:right="859" w:hanging="301"/>
        <w:spacing w:after="0" w:line="239" w:lineRule="auto"/>
        <w:tabs>
          <w:tab w:leader="none" w:pos="110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these options were exercisable for Series A Preferred Stock. On March 27, 2024, we held a special meeting of stockholders (the “March 2024 Special Meeting”). At the March 2024 Special Meeting, our stockholders approved, and our Board of Directors subsequently implemented, a 1-for-30 reverse stock split of all then-outstanding shares of our Common Stock and the conversion of our Series A Preferred Stock into shares of Common Stock. Following the Series A Preferred Stock Automatic Conversion on April 8, 2024, options previously exercisable for shares of Series A Preferred Stock may be exercised solely for shares of Common Stock.</w:t>
      </w:r>
    </w:p>
    <w:p>
      <w:pPr>
        <w:spacing w:after="0" w:line="13" w:lineRule="exact"/>
        <w:rPr>
          <w:rFonts w:ascii="Times New Roman" w:cs="Times New Roman" w:eastAsia="Times New Roman" w:hAnsi="Times New Roman"/>
          <w:sz w:val="12"/>
          <w:szCs w:val="12"/>
          <w:color w:val="auto"/>
        </w:rPr>
      </w:pPr>
    </w:p>
    <w:p>
      <w:pPr>
        <w:ind w:left="1100" w:right="81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fully exercisable for 213,820 shares of Common Stock at an exercise price of $1.41.</w:t>
      </w:r>
    </w:p>
    <w:p>
      <w:pPr>
        <w:spacing w:after="0" w:line="13"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fully exercisable for 14,254 shares of Common Stock at an exercise price of $3.23.</w:t>
      </w:r>
    </w:p>
    <w:p>
      <w:pPr>
        <w:spacing w:after="0" w:line="13" w:lineRule="exact"/>
        <w:rPr>
          <w:rFonts w:ascii="Times New Roman" w:cs="Times New Roman" w:eastAsia="Times New Roman" w:hAnsi="Times New Roman"/>
          <w:sz w:val="13"/>
          <w:szCs w:val="13"/>
          <w:color w:val="auto"/>
        </w:rPr>
      </w:pPr>
    </w:p>
    <w:p>
      <w:pPr>
        <w:ind w:left="1100" w:right="859" w:hanging="301"/>
        <w:spacing w:after="0" w:line="228"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currently exercisable for 7,127 shares of Common Stock and become exercisable for the remaining 7,127 shares of Common Stock in two equal tranches on March 1, 2025 and March 1, 2026 at an exercise price of $3.23.</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28" w:lineRule="exact"/>
        <w:rPr>
          <w:rFonts w:ascii="Times New Roman" w:cs="Times New Roman" w:eastAsia="Times New Roman" w:hAnsi="Times New Roman"/>
          <w:sz w:val="13"/>
          <w:szCs w:val="13"/>
          <w:color w:val="auto"/>
        </w:rPr>
      </w:pPr>
    </w:p>
    <w:p>
      <w:pPr>
        <w:jc w:val="both"/>
        <w:ind w:left="1100" w:right="819" w:hanging="301"/>
        <w:spacing w:after="0" w:line="228"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currently exercisable for 114,328 shares of Common Stock and become exercisable for an additional 2,969 shares of Common Stock each month until they are fully exercisable on June 16, 2025 at an exercise price of $3.23.</w:t>
      </w:r>
    </w:p>
    <w:p>
      <w:pPr>
        <w:spacing w:after="0" w:line="2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7" w:lineRule="exact"/>
        <w:rPr>
          <w:sz w:val="20"/>
          <w:szCs w:val="20"/>
          <w:color w:val="auto"/>
        </w:rPr>
      </w:pPr>
    </w:p>
    <w:p>
      <w:pPr>
        <w:ind w:left="800" w:right="839"/>
        <w:spacing w:after="0" w:line="268" w:lineRule="auto"/>
        <w:rPr>
          <w:sz w:val="20"/>
          <w:szCs w:val="20"/>
          <w:color w:val="auto"/>
        </w:rPr>
      </w:pPr>
      <w:r>
        <w:rPr>
          <w:rFonts w:ascii="Times New Roman" w:cs="Times New Roman" w:eastAsia="Times New Roman" w:hAnsi="Times New Roman"/>
          <w:sz w:val="15"/>
          <w:szCs w:val="15"/>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61"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For purposes of the employment agreements, “cause” generally means, subject to applicable cure rights, the Named Executive Officer’s (i) commission of, or indictment or conviction of, any felony or any crime involving dishonesty;</w:t>
      </w:r>
    </w:p>
    <w:p>
      <w:pPr>
        <w:ind w:left="800" w:right="1439" w:hanging="1"/>
        <w:spacing w:after="0" w:line="255" w:lineRule="auto"/>
        <w:tabs>
          <w:tab w:leader="none" w:pos="103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in any fraud against our Company; (iii) intentional damage to any Company property; (iv) misconduct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7" w:name="page118"/>
    <w:bookmarkEnd w:id="1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which materially and adversely reflects upon the business, operations, or reputation of our Company; (v) breach of any material provision of the employment agreement or any other written agreement with our Company; or (vi) for Mr. Davis and Drs. Kurtoglu and Jewell,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 (i) a material reduction in his or her base salary or bonus opportunity; (ii) a material diminution in his or her authority, title, duties or areas of responsibility; (iii) for Drs. Brunn, Traber, and Johnston and Mr. Davis, the requirement that he or she report to someone other than the Board of Directors with respect to our Chief Executive Officer or the Chief Executive Officer with respect to our other Named Executive Officers; (iv) for Drs. Brunn, Traber, and Johnston and Mr. Davis, the relocation of his or her primary office to a location more than 40 miles from the Boston metropolitan area and for Drs. Kurtoglu and Jewell, the relocation of his primary office to a location more than 40 miles from Gaithersburg, Maryland; or (v) a material breach by us of the employment agreement or any other written agreement with the Named Executive Officer.</w:t>
      </w:r>
    </w:p>
    <w:p>
      <w:pPr>
        <w:spacing w:after="0" w:line="74"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3" w:lineRule="exact"/>
        <w:rPr>
          <w:sz w:val="20"/>
          <w:szCs w:val="20"/>
          <w:color w:val="auto"/>
        </w:rPr>
      </w:pPr>
    </w:p>
    <w:p>
      <w:pPr>
        <w:ind w:left="800" w:right="1119"/>
        <w:spacing w:after="0" w:line="262" w:lineRule="auto"/>
        <w:rPr>
          <w:sz w:val="20"/>
          <w:szCs w:val="20"/>
          <w:color w:val="auto"/>
        </w:rPr>
      </w:pPr>
      <w:r>
        <w:rPr>
          <w:rFonts w:ascii="Times New Roman" w:cs="Times New Roman" w:eastAsia="Times New Roman" w:hAnsi="Times New Roman"/>
          <w:sz w:val="16"/>
          <w:szCs w:val="16"/>
          <w:color w:val="auto"/>
        </w:rPr>
        <w:t>We maintain a compensation program for our non-employee directors. Under our non-employee director compensation program as in effect during 2023, each non-employee director received the following amounts for their services on our Board of Directors:</w:t>
      </w:r>
    </w:p>
    <w:p>
      <w:pPr>
        <w:spacing w:after="0" w:line="60" w:lineRule="exact"/>
        <w:rPr>
          <w:sz w:val="20"/>
          <w:szCs w:val="20"/>
          <w:color w:val="auto"/>
        </w:rPr>
      </w:pPr>
    </w:p>
    <w:p>
      <w:pPr>
        <w:ind w:left="800" w:right="1059"/>
        <w:spacing w:after="0" w:line="258" w:lineRule="auto"/>
        <w:rPr>
          <w:sz w:val="20"/>
          <w:szCs w:val="20"/>
          <w:color w:val="auto"/>
        </w:rPr>
      </w:pPr>
      <w:r>
        <w:rPr>
          <w:rFonts w:ascii="Times New Roman" w:cs="Times New Roman" w:eastAsia="Times New Roman" w:hAnsi="Times New Roman"/>
          <w:sz w:val="16"/>
          <w:szCs w:val="16"/>
          <w:i w:val="1"/>
          <w:iCs w:val="1"/>
          <w:color w:val="auto"/>
        </w:rPr>
        <w:t>Initial Equity Award</w:t>
      </w:r>
      <w:r>
        <w:rPr>
          <w:rFonts w:ascii="Times New Roman" w:cs="Times New Roman" w:eastAsia="Times New Roman" w:hAnsi="Times New Roman"/>
          <w:sz w:val="16"/>
          <w:szCs w:val="16"/>
          <w:color w:val="auto"/>
        </w:rPr>
        <w:t>. Upon a director’s initial election or appointment to our Board of Directors, the director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an option to purchase 80,000 shares of our Common Stock, which award vests in substantially equal monthly installments over three years following the date of grant, subject to accelerated vesting upon a change in control.</w:t>
      </w:r>
    </w:p>
    <w:p>
      <w:pPr>
        <w:spacing w:after="0" w:line="64" w:lineRule="exact"/>
        <w:rPr>
          <w:sz w:val="20"/>
          <w:szCs w:val="20"/>
          <w:color w:val="auto"/>
        </w:rPr>
      </w:pPr>
    </w:p>
    <w:p>
      <w:pPr>
        <w:ind w:left="800" w:right="859"/>
        <w:spacing w:after="0" w:line="254" w:lineRule="auto"/>
        <w:rPr>
          <w:sz w:val="20"/>
          <w:szCs w:val="20"/>
          <w:color w:val="auto"/>
        </w:rPr>
      </w:pPr>
      <w:r>
        <w:rPr>
          <w:rFonts w:ascii="Times New Roman" w:cs="Times New Roman" w:eastAsia="Times New Roman" w:hAnsi="Times New Roman"/>
          <w:sz w:val="16"/>
          <w:szCs w:val="16"/>
          <w:i w:val="1"/>
          <w:iCs w:val="1"/>
          <w:color w:val="auto"/>
        </w:rPr>
        <w:t>Annual Equity Award</w:t>
      </w:r>
      <w:r>
        <w:rPr>
          <w:rFonts w:ascii="Times New Roman" w:cs="Times New Roman" w:eastAsia="Times New Roman" w:hAnsi="Times New Roman"/>
          <w:sz w:val="16"/>
          <w:szCs w:val="16"/>
          <w:color w:val="auto"/>
        </w:rPr>
        <w:t>. If a director has served on our Board of Directors for at least six months as of the first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day in January of each year, the director received an option to purchase 2,500 shares of our Common Stock on that date, which award vests in a single installment on the first anniversary of the date of grant, subject to accelerated vesting upon a change in control. If such non-employee director served as the Chairman of the Board of Directors as of the first business day in January of each year, that non-employee director received an option to purchase 3,166 shares of our Common Stock that date, subject to the same vesting terms.</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Annual Retainer Fees</w:t>
      </w:r>
      <w:r>
        <w:rPr>
          <w:rFonts w:ascii="Times New Roman" w:cs="Times New Roman" w:eastAsia="Times New Roman" w:hAnsi="Times New Roman"/>
          <w:sz w:val="16"/>
          <w:szCs w:val="16"/>
          <w:color w:val="auto"/>
        </w:rPr>
        <w:t>. In addition to option grants, each director received an annual retainer for service on our</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Board of Directors and additional fees for service on a committee of our Board of Directors as follows:</w:t>
      </w:r>
    </w:p>
    <w:p>
      <w:pPr>
        <w:spacing w:after="0" w:line="60" w:lineRule="exact"/>
        <w:rPr>
          <w:sz w:val="20"/>
          <w:szCs w:val="20"/>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director fee of $40,000;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Board of Directors, $30,000 and lead independent director, $20,000;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Audit Committee, $15,000;</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member other than the chairman, $7,500;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Compensation Committee, $12,000;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member other than the chairman, $6,000;</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Nominating and Corporate Governance Committee, $9,000;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Nominating and Corporate Governance Committee member other than the chairman, $4,500;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now-disbanded Research and Development Committee, $12,000; and</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Committee member other than the chairman, $6,000.</w:t>
      </w:r>
    </w:p>
    <w:p>
      <w:pPr>
        <w:spacing w:after="0" w:line="101"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Director fees are paid in arrears in four equal quarterly installments not later than the fifteenth day following the final day of each calendar quarter, provided that the amount of each payment is prorated for any portion of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8" w:name="page119"/>
    <w:bookmarkEnd w:id="11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59"/>
        <w:spacing w:after="0" w:line="262" w:lineRule="auto"/>
        <w:rPr>
          <w:sz w:val="20"/>
          <w:szCs w:val="20"/>
          <w:color w:val="auto"/>
        </w:rPr>
      </w:pPr>
      <w:r>
        <w:rPr>
          <w:rFonts w:ascii="Times New Roman" w:cs="Times New Roman" w:eastAsia="Times New Roman" w:hAnsi="Times New Roman"/>
          <w:sz w:val="16"/>
          <w:szCs w:val="16"/>
          <w:color w:val="auto"/>
        </w:rPr>
        <w:t>quarter that a director is not serving on our Board of Directors.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6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Following review of a competitive assessment performed by Compensia, effective December 22, 2023, the Board of Directors approved the following amendments to our non-employee director compensation program, which are intended to align our program with the median of market:</w:t>
      </w:r>
    </w:p>
    <w:p>
      <w:pPr>
        <w:spacing w:after="0" w:line="39" w:lineRule="exact"/>
        <w:rPr>
          <w:sz w:val="20"/>
          <w:szCs w:val="20"/>
          <w:color w:val="auto"/>
        </w:rPr>
      </w:pPr>
    </w:p>
    <w:p>
      <w:pPr>
        <w:ind w:left="1420" w:hanging="305"/>
        <w:spacing w:after="0"/>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retainer fee for the lead independent director to $25,000.</w:t>
      </w:r>
    </w:p>
    <w:p>
      <w:pPr>
        <w:spacing w:after="0" w:line="65" w:lineRule="exact"/>
        <w:rPr>
          <w:rFonts w:ascii="Times New Roman" w:cs="Times New Roman" w:eastAsia="Times New Roman" w:hAnsi="Times New Roman"/>
          <w:sz w:val="16"/>
          <w:szCs w:val="16"/>
          <w:color w:val="auto"/>
        </w:rPr>
      </w:pPr>
    </w:p>
    <w:p>
      <w:pPr>
        <w:ind w:left="1420" w:right="1119" w:hanging="305"/>
        <w:spacing w:after="0" w:line="262" w:lineRule="auto"/>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retainer fee for the chairman of the Nominating and Corporate Governance Committee to $10,000 and to $5,000 for a Nominating and Corporate Governance committee member other than the chairman.</w:t>
      </w:r>
    </w:p>
    <w:p>
      <w:pPr>
        <w:spacing w:after="0" w:line="26" w:lineRule="exact"/>
        <w:rPr>
          <w:rFonts w:ascii="Times New Roman" w:cs="Times New Roman" w:eastAsia="Times New Roman" w:hAnsi="Times New Roman"/>
          <w:sz w:val="16"/>
          <w:szCs w:val="16"/>
          <w:color w:val="auto"/>
        </w:rPr>
      </w:pPr>
    </w:p>
    <w:p>
      <w:pPr>
        <w:ind w:left="1420" w:right="819" w:hanging="305"/>
        <w:spacing w:after="0" w:line="252" w:lineRule="auto"/>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equity awards from options to purchase 3,166 shares of Common Stock to options to purchase 4,000 shares of Common Stock for the Chairman of the Board of Directors and from options to purchase 2,500 shares of Common Stock to options to purchase 3,800 shares of Common Stock for each other non-employee director, and increasing the initial grant from options to purchase 3,166 shares of Common Stock to options to purchase 8,266 shares of Common Stock for the Chairman of the Board of Directors and from options to purchase 2,500 shares of Common Stock to options to purchase 7,600 shares of Common Stock for each other non-employee director.</w:t>
      </w:r>
    </w:p>
    <w:p>
      <w:pPr>
        <w:spacing w:after="0" w:line="49" w:lineRule="exact"/>
        <w:rPr>
          <w:rFonts w:ascii="Times New Roman" w:cs="Times New Roman" w:eastAsia="Times New Roman" w:hAnsi="Times New Roman"/>
          <w:sz w:val="16"/>
          <w:szCs w:val="16"/>
          <w:color w:val="auto"/>
        </w:rPr>
      </w:pPr>
    </w:p>
    <w:p>
      <w:pPr>
        <w:ind w:left="1420" w:right="859" w:hanging="305"/>
        <w:spacing w:after="0" w:line="253" w:lineRule="auto"/>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 framework for granting RSUs to members of the Board of Directors, such that each Board of Directors member received a one-time award of 5,933 RSUs, to vest in three equal annual installments, and such that subsequent RSU awards shall also be provided to each new member of the Board of Directors upon the commencement of their service, and further such that each Board of Directors member, on the first business day of January of each year, shall receive a one-time award of 2,966 RSUs, also to vest in three equal installments.</w:t>
      </w:r>
    </w:p>
    <w:p>
      <w:pPr>
        <w:spacing w:after="0" w:line="71" w:lineRule="exact"/>
        <w:rPr>
          <w:sz w:val="20"/>
          <w:szCs w:val="20"/>
          <w:color w:val="auto"/>
        </w:rPr>
      </w:pPr>
    </w:p>
    <w:p>
      <w:pPr>
        <w:ind w:left="800" w:right="1319"/>
        <w:spacing w:after="0" w:line="277" w:lineRule="auto"/>
        <w:rPr>
          <w:sz w:val="20"/>
          <w:szCs w:val="20"/>
          <w:color w:val="auto"/>
        </w:rPr>
      </w:pPr>
      <w:r>
        <w:rPr>
          <w:rFonts w:ascii="Times New Roman" w:cs="Times New Roman" w:eastAsia="Times New Roman" w:hAnsi="Times New Roman"/>
          <w:sz w:val="16"/>
          <w:szCs w:val="16"/>
          <w:color w:val="auto"/>
        </w:rPr>
        <w:t>Further, on March 20, 2024, the Board of Directors approved the following amendment to our non-employee director compensation program:</w:t>
      </w:r>
    </w:p>
    <w:p>
      <w:pPr>
        <w:spacing w:after="0" w:line="15" w:lineRule="exact"/>
        <w:rPr>
          <w:sz w:val="20"/>
          <w:szCs w:val="20"/>
          <w:color w:val="auto"/>
        </w:rPr>
      </w:pPr>
    </w:p>
    <w:p>
      <w:pPr>
        <w:ind w:left="1420" w:right="839" w:hanging="305"/>
        <w:spacing w:after="0" w:line="257" w:lineRule="auto"/>
        <w:tabs>
          <w:tab w:leader="none" w:pos="1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disbanding of the Research &amp; Development Committee and the formation of the Science, IP and Quality Committee, an annual retainer in the amount of $12,000 was established for the chairman of the Science, IP and Quality Committee, and in the amount of $6,000 for each member of the Committee other than the chairman.</w:t>
      </w:r>
    </w:p>
    <w:p>
      <w:pPr>
        <w:spacing w:after="0" w:line="67" w:lineRule="exact"/>
        <w:rPr>
          <w:sz w:val="20"/>
          <w:szCs w:val="20"/>
          <w:color w:val="auto"/>
        </w:rPr>
      </w:pPr>
    </w:p>
    <w:p>
      <w:pPr>
        <w:ind w:left="800" w:right="1399"/>
        <w:spacing w:after="0" w:line="277" w:lineRule="auto"/>
        <w:rPr>
          <w:sz w:val="20"/>
          <w:szCs w:val="20"/>
          <w:color w:val="auto"/>
        </w:rPr>
      </w:pPr>
      <w:r>
        <w:rPr>
          <w:rFonts w:ascii="Times New Roman" w:cs="Times New Roman" w:eastAsia="Times New Roman" w:hAnsi="Times New Roman"/>
          <w:sz w:val="16"/>
          <w:szCs w:val="16"/>
          <w:color w:val="auto"/>
        </w:rPr>
        <w:t>Dr. Brunn, our President and Chief Executive Officer, also serves on our Board of Directors but receives no additional compensation for this service.</w:t>
      </w:r>
    </w:p>
    <w:p>
      <w:pPr>
        <w:spacing w:after="0" w:line="50"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The following table sets forth the compensation earned to our non-employee directors for their service on our Board of Directors during 2023.</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2023 Director Compensation Table</w:t>
      </w:r>
    </w:p>
    <w:p>
      <w:pPr>
        <w:spacing w:after="0" w:line="139"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0" w:type="dxa"/>
            <w:vAlign w:val="bottom"/>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Fees earned or paid in cash ($)</w:t>
            </w:r>
            <w:r>
              <w:rPr>
                <w:rFonts w:ascii="Times New Roman" w:cs="Times New Roman" w:eastAsia="Times New Roman" w:hAnsi="Times New Roman"/>
                <w:sz w:val="21"/>
                <w:szCs w:val="21"/>
                <w:b w:val="1"/>
                <w:bCs w:val="1"/>
                <w:color w:val="auto"/>
                <w:w w:val="95"/>
                <w:vertAlign w:val="superscript"/>
              </w:rPr>
              <w:t>(1)</w:t>
            </w:r>
          </w:p>
        </w:tc>
        <w:tc>
          <w:tcPr>
            <w:tcW w:w="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Option awards ($)</w:t>
            </w:r>
            <w:r>
              <w:rPr>
                <w:rFonts w:ascii="Times New Roman" w:cs="Times New Roman" w:eastAsia="Times New Roman" w:hAnsi="Times New Roman"/>
                <w:sz w:val="21"/>
                <w:szCs w:val="21"/>
                <w:b w:val="1"/>
                <w:bCs w:val="1"/>
                <w:color w:val="auto"/>
                <w:w w:val="93"/>
                <w:vertAlign w:val="superscript"/>
              </w:rPr>
              <w:t>(2)</w:t>
            </w:r>
          </w:p>
        </w:tc>
        <w:tc>
          <w:tcPr>
            <w:tcW w:w="4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All other compensation ($)</w:t>
            </w:r>
            <w:r>
              <w:rPr>
                <w:rFonts w:ascii="Times New Roman" w:cs="Times New Roman" w:eastAsia="Times New Roman" w:hAnsi="Times New Roman"/>
                <w:sz w:val="21"/>
                <w:szCs w:val="21"/>
                <w:b w:val="1"/>
                <w:bCs w:val="1"/>
                <w:color w:val="auto"/>
                <w:w w:val="95"/>
                <w:vertAlign w:val="superscript"/>
              </w:rPr>
              <w:t>(3)</w:t>
            </w:r>
          </w:p>
        </w:tc>
        <w:tc>
          <w:tcPr>
            <w:tcW w:w="6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Total ($)</w:t>
            </w:r>
          </w:p>
        </w:tc>
      </w:tr>
      <w:tr>
        <w:trPr>
          <w:trHeight w:val="194"/>
        </w:trPr>
        <w:tc>
          <w:tcPr>
            <w:tcW w:w="21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Göran Ando, M.D.</w:t>
            </w:r>
            <w:r>
              <w:rPr>
                <w:rFonts w:ascii="Times New Roman" w:cs="Times New Roman" w:eastAsia="Times New Roman" w:hAnsi="Times New Roman"/>
                <w:sz w:val="22"/>
                <w:szCs w:val="22"/>
                <w:color w:val="auto"/>
                <w:vertAlign w:val="superscript"/>
              </w:rPr>
              <w:t>(4)</w:t>
            </w:r>
          </w:p>
        </w:tc>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6"/>
                <w:szCs w:val="16"/>
                <w:color w:val="auto"/>
              </w:rPr>
              <w:t>477</w:t>
            </w: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65,802</w:t>
            </w:r>
          </w:p>
        </w:tc>
      </w:t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1880" w:type="dxa"/>
            <w:vAlign w:val="bottom"/>
            <w:gridSpan w:val="2"/>
          </w:tcPr>
          <w:p>
            <w:pPr>
              <w:jc w:val="right"/>
              <w:ind w:right="629"/>
              <w:spacing w:after="0"/>
              <w:rPr>
                <w:sz w:val="20"/>
                <w:szCs w:val="20"/>
                <w:color w:val="auto"/>
              </w:rPr>
            </w:pPr>
            <w:r>
              <w:rPr>
                <w:rFonts w:ascii="Times New Roman" w:cs="Times New Roman" w:eastAsia="Times New Roman" w:hAnsi="Times New Roman"/>
                <w:sz w:val="16"/>
                <w:szCs w:val="16"/>
                <w:color w:val="auto"/>
              </w:rPr>
              <w:t>55,340</w:t>
            </w:r>
          </w:p>
        </w:tc>
        <w:tc>
          <w:tcPr>
            <w:tcW w:w="1160" w:type="dxa"/>
            <w:vAlign w:val="bottom"/>
            <w:gridSpan w:val="2"/>
          </w:tcPr>
          <w:p>
            <w:pPr>
              <w:jc w:val="right"/>
              <w:ind w:right="265"/>
              <w:spacing w:after="0"/>
              <w:rPr>
                <w:sz w:val="20"/>
                <w:szCs w:val="20"/>
                <w:color w:val="auto"/>
              </w:rPr>
            </w:pPr>
            <w:r>
              <w:rPr>
                <w:rFonts w:ascii="Times New Roman" w:cs="Times New Roman" w:eastAsia="Times New Roman" w:hAnsi="Times New Roman"/>
                <w:sz w:val="16"/>
                <w:szCs w:val="16"/>
                <w:color w:val="auto"/>
              </w:rPr>
              <w:t>76,213</w:t>
            </w:r>
          </w:p>
        </w:tc>
        <w:tc>
          <w:tcPr>
            <w:tcW w:w="1620" w:type="dxa"/>
            <w:vAlign w:val="bottom"/>
            <w:gridSpan w:val="2"/>
          </w:tcPr>
          <w:p>
            <w:pPr>
              <w:jc w:val="right"/>
              <w:ind w:right="465"/>
              <w:spacing w:after="0"/>
              <w:rPr>
                <w:sz w:val="20"/>
                <w:szCs w:val="20"/>
                <w:color w:val="auto"/>
              </w:rPr>
            </w:pPr>
            <w:r>
              <w:rPr>
                <w:rFonts w:ascii="Times New Roman" w:cs="Times New Roman" w:eastAsia="Times New Roman" w:hAnsi="Times New Roman"/>
                <w:sz w:val="16"/>
                <w:szCs w:val="16"/>
                <w:color w:val="auto"/>
              </w:rPr>
              <w:t>81,375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212,928</w:t>
            </w:r>
          </w:p>
        </w:tc>
      </w:tr>
      <w:tr>
        <w:trPr>
          <w:trHeight w:val="19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188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6"/>
                <w:szCs w:val="16"/>
                <w:color w:val="auto"/>
              </w:rPr>
              <w:t>83,908</w:t>
            </w:r>
          </w:p>
        </w:tc>
        <w:tc>
          <w:tcPr>
            <w:tcW w:w="116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93,633</w:t>
            </w:r>
          </w:p>
        </w:tc>
        <w:tc>
          <w:tcPr>
            <w:tcW w:w="1620" w:type="dxa"/>
            <w:vAlign w:val="bottom"/>
            <w:gridSpan w:val="2"/>
            <w:shd w:val="clear" w:color="auto" w:fill="CCEEFF"/>
          </w:tcPr>
          <w:p>
            <w:pPr>
              <w:jc w:val="right"/>
              <w:ind w:right="445"/>
              <w:spacing w:after="0"/>
              <w:rPr>
                <w:sz w:val="20"/>
                <w:szCs w:val="20"/>
                <w:color w:val="auto"/>
              </w:rPr>
            </w:pPr>
            <w:r>
              <w:rPr>
                <w:rFonts w:ascii="Times New Roman" w:cs="Times New Roman" w:eastAsia="Times New Roman" w:hAnsi="Times New Roman"/>
                <w:sz w:val="16"/>
                <w:szCs w:val="16"/>
                <w:color w:val="auto"/>
              </w:rPr>
              <w:t>114,775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292,316</w:t>
            </w:r>
          </w:p>
        </w:tc>
      </w:t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1880" w:type="dxa"/>
            <w:vAlign w:val="bottom"/>
            <w:gridSpan w:val="2"/>
          </w:tcPr>
          <w:p>
            <w:pPr>
              <w:jc w:val="right"/>
              <w:ind w:right="629"/>
              <w:spacing w:after="0"/>
              <w:rPr>
                <w:sz w:val="20"/>
                <w:szCs w:val="20"/>
                <w:color w:val="auto"/>
              </w:rPr>
            </w:pPr>
            <w:r>
              <w:rPr>
                <w:rFonts w:ascii="Times New Roman" w:cs="Times New Roman" w:eastAsia="Times New Roman" w:hAnsi="Times New Roman"/>
                <w:sz w:val="16"/>
                <w:szCs w:val="16"/>
                <w:color w:val="auto"/>
              </w:rPr>
              <w:t>53,500</w:t>
            </w:r>
          </w:p>
        </w:tc>
        <w:tc>
          <w:tcPr>
            <w:tcW w:w="1160" w:type="dxa"/>
            <w:vAlign w:val="bottom"/>
            <w:gridSpan w:val="2"/>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1620" w:type="dxa"/>
            <w:vAlign w:val="bottom"/>
            <w:gridSpan w:val="2"/>
          </w:tcPr>
          <w:p>
            <w:pPr>
              <w:jc w:val="right"/>
              <w:ind w:right="465"/>
              <w:spacing w:after="0"/>
              <w:rPr>
                <w:sz w:val="20"/>
                <w:szCs w:val="20"/>
                <w:color w:val="auto"/>
              </w:rPr>
            </w:pPr>
            <w:r>
              <w:rPr>
                <w:rFonts w:ascii="Times New Roman" w:cs="Times New Roman" w:eastAsia="Times New Roman" w:hAnsi="Times New Roman"/>
                <w:sz w:val="16"/>
                <w:szCs w:val="16"/>
                <w:color w:val="auto"/>
              </w:rPr>
              <w:t>69,750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188,575</w:t>
            </w:r>
          </w:p>
        </w:tc>
      </w:tr>
      <w:tr>
        <w:trPr>
          <w:trHeight w:val="190"/>
        </w:trPr>
        <w:tc>
          <w:tcPr>
            <w:tcW w:w="21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Murat Kalayoglu, M.D., Ph.D.</w:t>
            </w:r>
            <w:r>
              <w:rPr>
                <w:rFonts w:ascii="Times New Roman" w:cs="Times New Roman" w:eastAsia="Times New Roman" w:hAnsi="Times New Roman"/>
                <w:sz w:val="22"/>
                <w:szCs w:val="22"/>
                <w:color w:val="auto"/>
                <w:vertAlign w:val="superscript"/>
              </w:rPr>
              <w:t>(5)</w:t>
            </w:r>
          </w:p>
        </w:tc>
        <w:tc>
          <w:tcPr>
            <w:tcW w:w="1880" w:type="dxa"/>
            <w:vAlign w:val="bottom"/>
            <w:gridSpan w:val="2"/>
            <w:shd w:val="clear" w:color="auto" w:fill="CCEEFF"/>
          </w:tcPr>
          <w:p>
            <w:pPr>
              <w:jc w:val="right"/>
              <w:ind w:right="649"/>
              <w:spacing w:after="0"/>
              <w:rPr>
                <w:sz w:val="20"/>
                <w:szCs w:val="20"/>
                <w:color w:val="auto"/>
              </w:rPr>
            </w:pPr>
            <w:r>
              <w:rPr>
                <w:rFonts w:ascii="Times New Roman" w:cs="Times New Roman" w:eastAsia="Times New Roman" w:hAnsi="Times New Roman"/>
                <w:sz w:val="16"/>
                <w:szCs w:val="16"/>
                <w:color w:val="auto"/>
              </w:rPr>
              <w:t>5,370</w:t>
            </w: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r>
      <w:tr>
        <w:trPr>
          <w:trHeight w:val="190"/>
        </w:trPr>
        <w:tc>
          <w:tcPr>
            <w:tcW w:w="2160" w:type="dxa"/>
            <w:vAlign w:val="bottom"/>
          </w:tcPr>
          <w:p>
            <w:pPr>
              <w:spacing w:after="0" w:line="190" w:lineRule="exact"/>
              <w:rPr>
                <w:sz w:val="20"/>
                <w:szCs w:val="20"/>
                <w:color w:val="auto"/>
              </w:rPr>
            </w:pPr>
            <w:r>
              <w:rPr>
                <w:rFonts w:ascii="Times New Roman" w:cs="Times New Roman" w:eastAsia="Times New Roman" w:hAnsi="Times New Roman"/>
                <w:sz w:val="14"/>
                <w:szCs w:val="14"/>
                <w:color w:val="auto"/>
              </w:rPr>
              <w:t>Scott D. Myers</w:t>
            </w:r>
            <w:r>
              <w:rPr>
                <w:rFonts w:ascii="Times New Roman" w:cs="Times New Roman" w:eastAsia="Times New Roman" w:hAnsi="Times New Roman"/>
                <w:sz w:val="22"/>
                <w:szCs w:val="22"/>
                <w:color w:val="auto"/>
                <w:vertAlign w:val="superscript"/>
              </w:rPr>
              <w:t>(6)</w:t>
            </w:r>
          </w:p>
        </w:tc>
        <w:tc>
          <w:tcPr>
            <w:tcW w:w="1880" w:type="dxa"/>
            <w:vAlign w:val="bottom"/>
            <w:gridSpan w:val="2"/>
          </w:tcPr>
          <w:p>
            <w:pPr>
              <w:jc w:val="right"/>
              <w:ind w:right="629"/>
              <w:spacing w:after="0"/>
              <w:rPr>
                <w:sz w:val="20"/>
                <w:szCs w:val="20"/>
                <w:color w:val="auto"/>
              </w:rPr>
            </w:pPr>
            <w:r>
              <w:rPr>
                <w:rFonts w:ascii="Times New Roman" w:cs="Times New Roman" w:eastAsia="Times New Roman" w:hAnsi="Times New Roman"/>
                <w:sz w:val="16"/>
                <w:szCs w:val="16"/>
                <w:color w:val="auto"/>
              </w:rPr>
              <w:t>50,136</w:t>
            </w:r>
          </w:p>
        </w:tc>
        <w:tc>
          <w:tcPr>
            <w:tcW w:w="1160" w:type="dxa"/>
            <w:vAlign w:val="bottom"/>
            <w:gridSpan w:val="2"/>
          </w:tcPr>
          <w:p>
            <w:pPr>
              <w:jc w:val="right"/>
              <w:ind w:right="265"/>
              <w:spacing w:after="0"/>
              <w:rPr>
                <w:sz w:val="20"/>
                <w:szCs w:val="20"/>
                <w:color w:val="auto"/>
              </w:rPr>
            </w:pPr>
            <w:r>
              <w:rPr>
                <w:rFonts w:ascii="Times New Roman" w:cs="Times New Roman" w:eastAsia="Times New Roman" w:hAnsi="Times New Roman"/>
                <w:sz w:val="16"/>
                <w:szCs w:val="16"/>
                <w:color w:val="auto"/>
              </w:rPr>
              <w:t>76,213</w:t>
            </w:r>
          </w:p>
        </w:tc>
        <w:tc>
          <w:tcPr>
            <w:tcW w:w="1620" w:type="dxa"/>
            <w:vAlign w:val="bottom"/>
            <w:gridSpan w:val="2"/>
          </w:tcPr>
          <w:p>
            <w:pPr>
              <w:jc w:val="right"/>
              <w:ind w:right="465"/>
              <w:spacing w:after="0"/>
              <w:rPr>
                <w:sz w:val="20"/>
                <w:szCs w:val="20"/>
                <w:color w:val="auto"/>
              </w:rPr>
            </w:pPr>
            <w:r>
              <w:rPr>
                <w:rFonts w:ascii="Times New Roman" w:cs="Times New Roman" w:eastAsia="Times New Roman" w:hAnsi="Times New Roman"/>
                <w:sz w:val="16"/>
                <w:szCs w:val="16"/>
                <w:color w:val="auto"/>
              </w:rPr>
              <w:t>81,375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207,724</w:t>
            </w:r>
          </w:p>
        </w:tc>
      </w:tr>
      <w:tr>
        <w:trPr>
          <w:trHeight w:val="190"/>
        </w:trPr>
        <w:tc>
          <w:tcPr>
            <w:tcW w:w="21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Aymeric Sallin</w:t>
            </w:r>
            <w:r>
              <w:rPr>
                <w:rFonts w:ascii="Times New Roman" w:cs="Times New Roman" w:eastAsia="Times New Roman" w:hAnsi="Times New Roman"/>
                <w:sz w:val="22"/>
                <w:szCs w:val="22"/>
                <w:color w:val="auto"/>
                <w:vertAlign w:val="superscript"/>
              </w:rPr>
              <w:t>(7)</w:t>
            </w:r>
          </w:p>
        </w:tc>
        <w:tc>
          <w:tcPr>
            <w:tcW w:w="188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6"/>
                <w:szCs w:val="16"/>
                <w:color w:val="auto"/>
              </w:rPr>
              <w:t>46,000</w:t>
            </w:r>
          </w:p>
        </w:tc>
        <w:tc>
          <w:tcPr>
            <w:tcW w:w="116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162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69,750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181,075</w:t>
            </w:r>
          </w:p>
        </w:tc>
      </w:tr>
      <w:tr>
        <w:trPr>
          <w:trHeight w:val="190"/>
        </w:trPr>
        <w:tc>
          <w:tcPr>
            <w:tcW w:w="2160" w:type="dxa"/>
            <w:vAlign w:val="bottom"/>
          </w:tcPr>
          <w:p>
            <w:pPr>
              <w:spacing w:after="0" w:line="190" w:lineRule="exact"/>
              <w:rPr>
                <w:sz w:val="20"/>
                <w:szCs w:val="20"/>
                <w:color w:val="auto"/>
              </w:rPr>
            </w:pPr>
            <w:r>
              <w:rPr>
                <w:rFonts w:ascii="Times New Roman" w:cs="Times New Roman" w:eastAsia="Times New Roman" w:hAnsi="Times New Roman"/>
                <w:sz w:val="14"/>
                <w:szCs w:val="14"/>
                <w:color w:val="auto"/>
              </w:rPr>
              <w:t>Michael Singer, M.D., Ph.D.</w:t>
            </w:r>
            <w:r>
              <w:rPr>
                <w:rFonts w:ascii="Times New Roman" w:cs="Times New Roman" w:eastAsia="Times New Roman" w:hAnsi="Times New Roman"/>
                <w:sz w:val="22"/>
                <w:szCs w:val="22"/>
                <w:color w:val="auto"/>
                <w:vertAlign w:val="superscript"/>
              </w:rPr>
              <w:t>(8)</w:t>
            </w:r>
          </w:p>
        </w:tc>
        <w:tc>
          <w:tcPr>
            <w:tcW w:w="1880" w:type="dxa"/>
            <w:vAlign w:val="bottom"/>
            <w:gridSpan w:val="2"/>
          </w:tcPr>
          <w:p>
            <w:pPr>
              <w:jc w:val="right"/>
              <w:ind w:right="649"/>
              <w:spacing w:after="0"/>
              <w:rPr>
                <w:sz w:val="20"/>
                <w:szCs w:val="20"/>
                <w:color w:val="auto"/>
              </w:rPr>
            </w:pPr>
            <w:r>
              <w:rPr>
                <w:rFonts w:ascii="Times New Roman" w:cs="Times New Roman" w:eastAsia="Times New Roman" w:hAnsi="Times New Roman"/>
                <w:sz w:val="16"/>
                <w:szCs w:val="16"/>
                <w:color w:val="auto"/>
              </w:rPr>
              <w:t>5,712</w:t>
            </w:r>
          </w:p>
        </w:tc>
        <w:tc>
          <w:tcPr>
            <w:tcW w:w="40" w:type="dxa"/>
            <w:vAlign w:val="bottom"/>
          </w:tcPr>
          <w:p>
            <w:pPr>
              <w:spacing w:after="0"/>
              <w:rPr>
                <w:sz w:val="16"/>
                <w:szCs w:val="16"/>
                <w:color w:val="auto"/>
              </w:rPr>
            </w:pPr>
          </w:p>
        </w:tc>
        <w:tc>
          <w:tcPr>
            <w:tcW w:w="1120" w:type="dxa"/>
            <w:vAlign w:val="bottom"/>
          </w:tcPr>
          <w:p>
            <w:pPr>
              <w:jc w:val="right"/>
              <w:ind w:right="265"/>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580" w:type="dxa"/>
            <w:vAlign w:val="bottom"/>
          </w:tcPr>
          <w:p>
            <w:pPr>
              <w:jc w:val="right"/>
              <w:ind w:right="465"/>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5,712</w:t>
            </w:r>
          </w:p>
        </w:tc>
      </w:tr>
      <w:tr>
        <w:trPr>
          <w:trHeight w:val="19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88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6"/>
                <w:szCs w:val="16"/>
                <w:color w:val="auto"/>
              </w:rPr>
              <w:t>57,651</w:t>
            </w:r>
          </w:p>
        </w:tc>
        <w:tc>
          <w:tcPr>
            <w:tcW w:w="116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162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69,750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192,726</w:t>
            </w:r>
          </w:p>
        </w:tc>
      </w:tr>
      <w:tr>
        <w:trPr>
          <w:trHeight w:val="207"/>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1880" w:type="dxa"/>
            <w:vAlign w:val="bottom"/>
            <w:gridSpan w:val="2"/>
          </w:tcPr>
          <w:p>
            <w:pPr>
              <w:jc w:val="right"/>
              <w:ind w:right="629"/>
              <w:spacing w:after="0"/>
              <w:rPr>
                <w:sz w:val="20"/>
                <w:szCs w:val="20"/>
                <w:color w:val="auto"/>
              </w:rPr>
            </w:pPr>
            <w:r>
              <w:rPr>
                <w:rFonts w:ascii="Times New Roman" w:cs="Times New Roman" w:eastAsia="Times New Roman" w:hAnsi="Times New Roman"/>
                <w:sz w:val="16"/>
                <w:szCs w:val="16"/>
                <w:color w:val="auto"/>
              </w:rPr>
              <w:t>56,976</w:t>
            </w:r>
          </w:p>
        </w:tc>
        <w:tc>
          <w:tcPr>
            <w:tcW w:w="1160" w:type="dxa"/>
            <w:vAlign w:val="bottom"/>
            <w:gridSpan w:val="2"/>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1620" w:type="dxa"/>
            <w:vAlign w:val="bottom"/>
            <w:gridSpan w:val="2"/>
          </w:tcPr>
          <w:p>
            <w:pPr>
              <w:jc w:val="right"/>
              <w:ind w:right="465"/>
              <w:spacing w:after="0"/>
              <w:rPr>
                <w:sz w:val="20"/>
                <w:szCs w:val="20"/>
                <w:color w:val="auto"/>
              </w:rPr>
            </w:pPr>
            <w:r>
              <w:rPr>
                <w:rFonts w:ascii="Times New Roman" w:cs="Times New Roman" w:eastAsia="Times New Roman" w:hAnsi="Times New Roman"/>
                <w:sz w:val="16"/>
                <w:szCs w:val="16"/>
                <w:color w:val="auto"/>
              </w:rPr>
              <w:t>69,750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109855</wp:posOffset>
            </wp:positionV>
            <wp:extent cx="7239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92" w:lineRule="exact"/>
        <w:rPr>
          <w:sz w:val="20"/>
          <w:szCs w:val="20"/>
          <w:color w:val="auto"/>
        </w:rPr>
      </w:pPr>
    </w:p>
    <w:p>
      <w:pPr>
        <w:ind w:left="1100" w:hanging="301"/>
        <w:spacing w:after="0"/>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retainers earned for services rendered as members of the Board of Directors and related committees.</w:t>
      </w:r>
    </w:p>
    <w:p>
      <w:pPr>
        <w:spacing w:after="0" w:line="28" w:lineRule="exact"/>
        <w:rPr>
          <w:rFonts w:ascii="Times New Roman" w:cs="Times New Roman" w:eastAsia="Times New Roman" w:hAnsi="Times New Roman"/>
          <w:sz w:val="13"/>
          <w:szCs w:val="13"/>
          <w:color w:val="auto"/>
        </w:rPr>
      </w:pPr>
    </w:p>
    <w:p>
      <w:pPr>
        <w:ind w:left="1100" w:right="1019" w:hanging="301"/>
        <w:spacing w:after="0" w:line="228" w:lineRule="auto"/>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financial statements included elsewhere in the registration statement of which this prospectus forms a part.</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7" w:lineRule="auto"/>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outstanding as of the Merger date were canceled in the Merger in exchange for a cash payment representing the difference between the exercise price of the option and $2.06, the Cash-out Amount as applied in the Merger.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9" w:name="page120"/>
    <w:bookmarkEnd w:id="11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Ando resigned from the Board of Directors on January 4,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Kalayoglu was appointed to the Board of Directors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Myers resigned from the Board of Directors on November 21,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Sallin resigned from the Board of Directors on February 28, 2024.</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Singer was appointed to the Board of Directors on November 13, 2023.</w:t>
      </w:r>
    </w:p>
    <w:p>
      <w:pPr>
        <w:spacing w:after="0" w:line="80"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The table below shows the aggregate number of option awards (exercisable and unexercisable) held by each non-employee director as of December 31, 2023. None of our non-employee directors held unvested stock awards in the Company as of that date.</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Options outstanding</w:t>
            </w:r>
          </w:p>
        </w:tc>
        <w:tc>
          <w:tcPr>
            <w:tcW w:w="0" w:type="dxa"/>
            <w:vAlign w:val="bottom"/>
          </w:tcPr>
          <w:p>
            <w:pPr>
              <w:spacing w:after="0"/>
              <w:rPr>
                <w:sz w:val="1"/>
                <w:szCs w:val="1"/>
                <w:color w:val="auto"/>
              </w:rPr>
            </w:pPr>
          </w:p>
        </w:tc>
      </w:tr>
      <w:tr>
        <w:trPr>
          <w:trHeight w:val="190"/>
        </w:trPr>
        <w:tc>
          <w:tcPr>
            <w:tcW w:w="60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4"/>
              </w:rPr>
              <w:t>at fiscal year end</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Göran Ando</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Murat Kalayoglu, M.D., Ph.D.</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60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Scott D. Myers</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Aymeric Sallin</w:t>
            </w:r>
            <w:r>
              <w:rPr>
                <w:rFonts w:ascii="Times New Roman" w:cs="Times New Roman" w:eastAsia="Times New Roman" w:hAnsi="Times New Roman"/>
                <w:sz w:val="24"/>
                <w:szCs w:val="24"/>
                <w:color w:val="auto"/>
                <w:vertAlign w:val="superscript"/>
              </w:rPr>
              <w:t>(5)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60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Michael Singer, M.D., M.B.A.</w:t>
            </w:r>
            <w:r>
              <w:rPr>
                <w:rFonts w:ascii="Times New Roman" w:cs="Times New Roman" w:eastAsia="Times New Roman" w:hAnsi="Times New Roman"/>
                <w:sz w:val="24"/>
                <w:szCs w:val="24"/>
                <w:color w:val="auto"/>
                <w:vertAlign w:val="superscript"/>
              </w:rPr>
              <w:t>(6)</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162560</wp:posOffset>
            </wp:positionV>
            <wp:extent cx="7239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76" w:lineRule="exact"/>
        <w:rPr>
          <w:sz w:val="20"/>
          <w:szCs w:val="20"/>
          <w:color w:val="auto"/>
        </w:rPr>
      </w:pPr>
    </w:p>
    <w:p>
      <w:pPr>
        <w:jc w:val="both"/>
        <w:ind w:left="1100" w:right="959" w:hanging="301"/>
        <w:spacing w:after="0" w:line="228" w:lineRule="auto"/>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outstanding as of the Merger date, except with respect to Dr. Ando, whose options were cancelled on April 4, 2023 in connection with his retirement from the Board of Directors, were canceled in the Merger in exchange for a cash payment, representing the difference between the exercise price of the option and $2.06, the Cash-out Amount as applied in the Merger.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Ando resigned from the Board of Directors on January 4,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Kalayoglu was appointed to the Board of Directors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Myers resigned from the Board of Directors on November 21,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Sallin resigned from the Board of Directors on February 28, 2024.</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Singer was appointed to the Board of Directors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0" w:name="page121"/>
    <w:bookmarkEnd w:id="12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03" w:lineRule="exact"/>
        <w:rPr>
          <w:sz w:val="20"/>
          <w:szCs w:val="20"/>
          <w:color w:val="auto"/>
        </w:rPr>
      </w:pPr>
    </w:p>
    <w:p>
      <w:pPr>
        <w:ind w:left="1140" w:right="1140"/>
        <w:spacing w:after="0" w:line="249" w:lineRule="auto"/>
        <w:rPr>
          <w:sz w:val="20"/>
          <w:szCs w:val="20"/>
          <w:color w:val="auto"/>
        </w:rPr>
      </w:pPr>
      <w:r>
        <w:rPr>
          <w:rFonts w:ascii="Times New Roman" w:cs="Times New Roman" w:eastAsia="Times New Roman" w:hAnsi="Times New Roman"/>
          <w:sz w:val="16"/>
          <w:szCs w:val="16"/>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September 3,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21,387,549 shares of Common Stock outstanding as of September 3, 2024. In computing the number of shares beneficially owned by a person and the percentage ownership of that person, shares of Common Stock subject to options, warrants or other rights held by such person that are currently exercisable or will become exercisable within 60 days of September 3, 2024 are considered outstanding, although these shares are not considered outstanding for purposes of computing the percentage ownership of any other person. Although the conversion limitations on the Series B Preferred Stock prevent the Series B Preferred Stock from converting into Common Stock until stockholder approval of the proposal to issue shares of Common Stock upon the conversion of shares of Series B Preferred Stock (the “Conversion Proposal”) is obtained, we are separately presenting below beneficial ownership assuming the conversion of all shares of Series B Preferred Stock into Common Stock, subject to beneficial ownership limitations set by each holder of Series B Preferred Stock. The beneficial ownership information below also gives effect to beneficial ownership limitations applicable to certain holders of Series A Preferred Stock.</w:t>
      </w:r>
    </w:p>
    <w:p>
      <w:pPr>
        <w:spacing w:after="0" w:line="79" w:lineRule="exact"/>
        <w:rPr>
          <w:sz w:val="20"/>
          <w:szCs w:val="20"/>
          <w:color w:val="auto"/>
        </w:rPr>
      </w:pPr>
    </w:p>
    <w:p>
      <w:pPr>
        <w:ind w:left="1140" w:right="1160"/>
        <w:spacing w:after="0" w:line="257" w:lineRule="auto"/>
        <w:rPr>
          <w:sz w:val="20"/>
          <w:szCs w:val="20"/>
          <w:color w:val="auto"/>
        </w:rPr>
      </w:pPr>
      <w:r>
        <w:rPr>
          <w:rFonts w:ascii="Times New Roman" w:cs="Times New Roman" w:eastAsia="Times New Roman" w:hAnsi="Times New Roman"/>
          <w:sz w:val="16"/>
          <w:szCs w:val="16"/>
          <w:color w:val="auto"/>
        </w:rPr>
        <w:t>Unless otherwise indicated, the address of each beneficial owner listed below is 704 Quince Orchard Road, Gaithersburg, Maryland 20878.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Full Conversion of</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3"/>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No Conversion of</w:t>
            </w:r>
          </w:p>
        </w:tc>
        <w:tc>
          <w:tcPr>
            <w:tcW w:w="180" w:type="dxa"/>
            <w:vAlign w:val="bottom"/>
          </w:tcPr>
          <w:p>
            <w:pPr>
              <w:spacing w:after="0"/>
              <w:rPr>
                <w:sz w:val="11"/>
                <w:szCs w:val="11"/>
                <w:color w:val="auto"/>
              </w:rPr>
            </w:pPr>
          </w:p>
        </w:tc>
        <w:tc>
          <w:tcPr>
            <w:tcW w:w="1620" w:type="dxa"/>
            <w:vAlign w:val="bottom"/>
            <w:gridSpan w:val="3"/>
          </w:tcPr>
          <w:p>
            <w:pPr>
              <w:jc w:val="right"/>
              <w:ind w:right="97"/>
              <w:spacing w:after="0" w:line="131" w:lineRule="exact"/>
              <w:rPr>
                <w:sz w:val="20"/>
                <w:szCs w:val="20"/>
                <w:color w:val="auto"/>
              </w:rPr>
            </w:pPr>
            <w:r>
              <w:rPr>
                <w:rFonts w:ascii="Times New Roman" w:cs="Times New Roman" w:eastAsia="Times New Roman" w:hAnsi="Times New Roman"/>
                <w:sz w:val="13"/>
                <w:szCs w:val="13"/>
                <w:b w:val="1"/>
                <w:bCs w:val="1"/>
                <w:color w:val="auto"/>
              </w:rPr>
              <w:t>Preferred Stock (subject</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to beneficial ownership</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80" w:type="dxa"/>
            <w:vAlign w:val="bottom"/>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limitations)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5"/>
              </w:rPr>
              <w:t>Percentage of</w:t>
            </w:r>
          </w:p>
        </w:tc>
        <w:tc>
          <w:tcPr>
            <w:tcW w:w="180" w:type="dxa"/>
            <w:vAlign w:val="bottom"/>
          </w:tcPr>
          <w:p>
            <w:pPr>
              <w:spacing w:after="0"/>
              <w:rPr>
                <w:sz w:val="9"/>
                <w:szCs w:val="9"/>
                <w:color w:val="auto"/>
              </w:rPr>
            </w:pPr>
          </w:p>
        </w:tc>
        <w:tc>
          <w:tcPr>
            <w:tcW w:w="7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0" w:type="dxa"/>
            <w:vAlign w:val="bottom"/>
          </w:tcPr>
          <w:p>
            <w:pPr>
              <w:spacing w:after="0"/>
              <w:rPr>
                <w:sz w:val="9"/>
                <w:szCs w:val="9"/>
                <w:color w:val="auto"/>
              </w:rPr>
            </w:pPr>
          </w:p>
        </w:tc>
        <w:tc>
          <w:tcPr>
            <w:tcW w:w="7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16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8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16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5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Entities affiliated with Timothy A. Springer, Ph.D.</w:t>
            </w:r>
            <w:r>
              <w:rPr>
                <w:rFonts w:ascii="Times New Roman" w:cs="Times New Roman" w:eastAsia="Times New Roman" w:hAnsi="Times New Roman"/>
                <w:sz w:val="22"/>
                <w:szCs w:val="22"/>
                <w:color w:val="auto"/>
                <w:vertAlign w:val="superscript"/>
              </w:rPr>
              <w:t>(1)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6,482,256</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30.1%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8,841,756</w:t>
            </w:r>
          </w:p>
        </w:tc>
        <w:tc>
          <w:tcPr>
            <w:tcW w:w="9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34.4%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Entities affiliated with Murat Kalayoglu, M.D., Ph.D.</w:t>
            </w:r>
            <w:r>
              <w:rPr>
                <w:rFonts w:ascii="Times New Roman" w:cs="Times New Roman" w:eastAsia="Times New Roman" w:hAnsi="Times New Roman"/>
                <w:sz w:val="22"/>
                <w:szCs w:val="22"/>
                <w:color w:val="auto"/>
                <w:vertAlign w:val="superscript"/>
              </w:rPr>
              <w:t>(2)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3,539,442</w:t>
            </w:r>
          </w:p>
        </w:tc>
        <w:tc>
          <w:tcPr>
            <w:tcW w:w="9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16.6%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5,077,513</w:t>
            </w:r>
          </w:p>
        </w:tc>
        <w:tc>
          <w:tcPr>
            <w:tcW w:w="9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FMR, LLC</w:t>
            </w:r>
            <w:r>
              <w:rPr>
                <w:rFonts w:ascii="Times New Roman" w:cs="Times New Roman" w:eastAsia="Times New Roman" w:hAnsi="Times New Roman"/>
                <w:sz w:val="22"/>
                <w:szCs w:val="22"/>
                <w:color w:val="auto"/>
                <w:vertAlign w:val="superscript"/>
              </w:rPr>
              <w:t>(3)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2,722,656</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12.7%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2,722,656</w:t>
            </w:r>
          </w:p>
        </w:tc>
        <w:tc>
          <w:tcPr>
            <w:tcW w:w="9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10.7%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Carsten Brunn, Ph.D.</w:t>
            </w:r>
            <w:r>
              <w:rPr>
                <w:rFonts w:ascii="Times New Roman" w:cs="Times New Roman" w:eastAsia="Times New Roman" w:hAnsi="Times New Roman"/>
                <w:sz w:val="22"/>
                <w:szCs w:val="22"/>
                <w:color w:val="auto"/>
                <w:vertAlign w:val="superscript"/>
              </w:rPr>
              <w:t>(4)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Chris Jewell, Ph.D.</w:t>
            </w:r>
            <w:r>
              <w:rPr>
                <w:rFonts w:ascii="Times New Roman" w:cs="Times New Roman" w:eastAsia="Times New Roman" w:hAnsi="Times New Roman"/>
                <w:sz w:val="22"/>
                <w:szCs w:val="22"/>
                <w:color w:val="auto"/>
                <w:vertAlign w:val="superscript"/>
              </w:rPr>
              <w:t>(5)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120,266</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120,266</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Metin Kurtoglu, M.D., Ph.D.</w:t>
            </w:r>
            <w:r>
              <w:rPr>
                <w:rFonts w:ascii="Times New Roman" w:cs="Times New Roman" w:eastAsia="Times New Roman" w:hAnsi="Times New Roman"/>
                <w:sz w:val="22"/>
                <w:szCs w:val="22"/>
                <w:color w:val="auto"/>
                <w:vertAlign w:val="superscript"/>
              </w:rPr>
              <w:t>(6)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235,201</w:t>
            </w:r>
          </w:p>
        </w:tc>
        <w:tc>
          <w:tcPr>
            <w:tcW w:w="9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235,201</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Peter G. Traber, M.D.</w:t>
            </w:r>
            <w:r>
              <w:rPr>
                <w:rFonts w:ascii="Times New Roman" w:cs="Times New Roman" w:eastAsia="Times New Roman" w:hAnsi="Times New Roman"/>
                <w:sz w:val="22"/>
                <w:szCs w:val="22"/>
                <w:color w:val="auto"/>
                <w:vertAlign w:val="superscript"/>
              </w:rPr>
              <w:t>(7)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Lloyd Johnston, Ph.D.</w:t>
            </w:r>
            <w:r>
              <w:rPr>
                <w:rFonts w:ascii="Times New Roman" w:cs="Times New Roman" w:eastAsia="Times New Roman" w:hAnsi="Times New Roman"/>
                <w:sz w:val="22"/>
                <w:szCs w:val="22"/>
                <w:color w:val="auto"/>
                <w:vertAlign w:val="superscript"/>
              </w:rPr>
              <w:t>(8)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Carrie S. Cox</w:t>
            </w:r>
            <w:r>
              <w:rPr>
                <w:rFonts w:ascii="Times New Roman" w:cs="Times New Roman" w:eastAsia="Times New Roman" w:hAnsi="Times New Roman"/>
                <w:sz w:val="22"/>
                <w:szCs w:val="22"/>
                <w:color w:val="auto"/>
                <w:vertAlign w:val="superscript"/>
              </w:rPr>
              <w:t>(9)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10,486</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10,486</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Göran Ando, M.D.</w:t>
            </w:r>
            <w:r>
              <w:rPr>
                <w:rFonts w:ascii="Times New Roman" w:cs="Times New Roman" w:eastAsia="Times New Roman" w:hAnsi="Times New Roman"/>
                <w:sz w:val="22"/>
                <w:szCs w:val="22"/>
                <w:color w:val="auto"/>
                <w:vertAlign w:val="superscript"/>
              </w:rPr>
              <w:t>(10)</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Timothy C. Barabe</w:t>
            </w:r>
            <w:r>
              <w:rPr>
                <w:rFonts w:ascii="Times New Roman" w:cs="Times New Roman" w:eastAsia="Times New Roman" w:hAnsi="Times New Roman"/>
                <w:sz w:val="22"/>
                <w:szCs w:val="22"/>
                <w:color w:val="auto"/>
                <w:vertAlign w:val="superscript"/>
              </w:rPr>
              <w:t>(11)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17,944</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17,944</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Nishan de Silva, M.D., M.B.A.</w:t>
            </w:r>
            <w:r>
              <w:rPr>
                <w:rFonts w:ascii="Times New Roman" w:cs="Times New Roman" w:eastAsia="Times New Roman" w:hAnsi="Times New Roman"/>
                <w:sz w:val="22"/>
                <w:szCs w:val="22"/>
                <w:color w:val="auto"/>
                <w:vertAlign w:val="superscript"/>
              </w:rPr>
              <w:t>(12)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Murat Kalayoglu, M.D., Ph.D.</w:t>
            </w:r>
            <w:r>
              <w:rPr>
                <w:rFonts w:ascii="Times New Roman" w:cs="Times New Roman" w:eastAsia="Times New Roman" w:hAnsi="Times New Roman"/>
                <w:sz w:val="22"/>
                <w:szCs w:val="22"/>
                <w:color w:val="auto"/>
                <w:vertAlign w:val="superscript"/>
              </w:rPr>
              <w:t>(2)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3,539,442</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16.6%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5,077,513</w:t>
            </w:r>
          </w:p>
        </w:tc>
        <w:tc>
          <w:tcPr>
            <w:tcW w:w="9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Kemal Malik, MBBS</w:t>
            </w:r>
            <w:r>
              <w:rPr>
                <w:rFonts w:ascii="Times New Roman" w:cs="Times New Roman" w:eastAsia="Times New Roman" w:hAnsi="Times New Roman"/>
                <w:sz w:val="22"/>
                <w:szCs w:val="22"/>
                <w:color w:val="auto"/>
                <w:vertAlign w:val="superscript"/>
              </w:rPr>
              <w:t>(13)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Scott D. Myers</w:t>
            </w:r>
            <w:r>
              <w:rPr>
                <w:rFonts w:ascii="Times New Roman" w:cs="Times New Roman" w:eastAsia="Times New Roman" w:hAnsi="Times New Roman"/>
                <w:sz w:val="22"/>
                <w:szCs w:val="22"/>
                <w:color w:val="auto"/>
                <w:vertAlign w:val="superscript"/>
              </w:rPr>
              <w:t>(14)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Aymeric Sallin</w:t>
            </w:r>
            <w:r>
              <w:rPr>
                <w:rFonts w:ascii="Times New Roman" w:cs="Times New Roman" w:eastAsia="Times New Roman" w:hAnsi="Times New Roman"/>
                <w:sz w:val="22"/>
                <w:szCs w:val="22"/>
                <w:color w:val="auto"/>
                <w:vertAlign w:val="superscript"/>
              </w:rPr>
              <w:t>(15)</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Michael Singer, M.D., Ph.D.</w:t>
            </w:r>
            <w:r>
              <w:rPr>
                <w:rFonts w:ascii="Times New Roman" w:cs="Times New Roman" w:eastAsia="Times New Roman" w:hAnsi="Times New Roman"/>
                <w:sz w:val="22"/>
                <w:szCs w:val="22"/>
                <w:color w:val="auto"/>
                <w:vertAlign w:val="superscript"/>
              </w:rPr>
              <w:t>(16)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770,800</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3.6%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770,800</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Timothy A. Springer, Ph.D.</w:t>
            </w:r>
            <w:r>
              <w:rPr>
                <w:rFonts w:ascii="Times New Roman" w:cs="Times New Roman" w:eastAsia="Times New Roman" w:hAnsi="Times New Roman"/>
                <w:sz w:val="22"/>
                <w:szCs w:val="22"/>
                <w:color w:val="auto"/>
                <w:vertAlign w:val="superscript"/>
              </w:rPr>
              <w:t>(1)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6,482,256</w:t>
            </w:r>
          </w:p>
        </w:tc>
        <w:tc>
          <w:tcPr>
            <w:tcW w:w="9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30.1%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8,841,756</w:t>
            </w:r>
          </w:p>
        </w:tc>
        <w:tc>
          <w:tcPr>
            <w:tcW w:w="9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34.4%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Patrick Zenner</w:t>
            </w:r>
            <w:r>
              <w:rPr>
                <w:rFonts w:ascii="Times New Roman" w:cs="Times New Roman" w:eastAsia="Times New Roman" w:hAnsi="Times New Roman"/>
                <w:sz w:val="22"/>
                <w:szCs w:val="22"/>
                <w:color w:val="auto"/>
                <w:vertAlign w:val="superscript"/>
              </w:rPr>
              <w:t>(17)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560" w:type="dxa"/>
            <w:vAlign w:val="bottom"/>
            <w:gridSpan w:val="3"/>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All executive officers and directors as a group</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(14 persons)</w:t>
            </w:r>
            <w:r>
              <w:rPr>
                <w:rFonts w:ascii="Times New Roman" w:cs="Times New Roman" w:eastAsia="Times New Roman" w:hAnsi="Times New Roman"/>
                <w:sz w:val="25"/>
                <w:szCs w:val="25"/>
                <w:b w:val="1"/>
                <w:bCs w:val="1"/>
                <w:color w:val="auto"/>
                <w:vertAlign w:val="superscript"/>
              </w:rPr>
              <w:t>(18)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11,200,550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15,098,121</w:t>
            </w:r>
          </w:p>
        </w:tc>
        <w:tc>
          <w:tcPr>
            <w:tcW w:w="9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58.0%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Represents beneficial ownership of less than one percent.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120</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121" w:name="page122"/>
    <w:bookmarkEnd w:id="1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right="879" w:hanging="301"/>
        <w:spacing w:after="0" w:line="229"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July 5, 2024 and other information known to us, consists of (i) 4,373,966 shares of Common Stock held directly by Timothy A. Springer, Ph.D., a member of our Board of Directors, (ii) 1,636,832 shares of Common Stock issuable upon conversion of shares of Series B Preferred Stock held directly by Timothy A. Springer, Ph.D., (iii) 2,111 shares of Common Stock issuable upon exercise of outstanding options within 60 days of September 3, 2024 and held directly by Timothy A. Springer, Ph.D., (iv) 1,927,630 shares of Common Stock held by TAS Partners LLC (“TAS”) directly, (v) 721,361 shares of Common Stock issuable upon conversion of shares of Series B Preferred Stock held by TAS directly, (vi) 167,040 shares of Common Stock issuable upon exercise of underlying warrants exercisable within 60 days of September 3, 2024 held by TAS directly, (vii) 11,509 shares of Common Stock held by Dr. Chafen Lu, Dr. Springer’s wife, and (viii) 1,307 shares of Common Stock issuable upon conversion of shares of Series B Preferred Stock held by Dr. Chafen Lu.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w:t>
      </w:r>
    </w:p>
    <w:p>
      <w:pPr>
        <w:spacing w:after="0" w:line="2"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Springer, TAS, and Dr. Lu is 36 Woodman Road, Newton, MA, 02467.</w:t>
      </w:r>
    </w:p>
    <w:p>
      <w:pPr>
        <w:spacing w:after="0" w:line="14" w:lineRule="exact"/>
        <w:rPr>
          <w:rFonts w:ascii="Times New Roman" w:cs="Times New Roman" w:eastAsia="Times New Roman" w:hAnsi="Times New Roman"/>
          <w:sz w:val="12"/>
          <w:szCs w:val="12"/>
          <w:color w:val="auto"/>
        </w:rPr>
      </w:pPr>
    </w:p>
    <w:p>
      <w:pPr>
        <w:ind w:left="1100" w:right="839" w:hanging="301"/>
        <w:spacing w:after="0" w:line="229"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April 10, 2024 and other information known to us, consists of (i) 500,444 shares of Common Stock held directly by Murat Kalayoglu, M.D., Ph.D., a member of our Board of Directors, (ii) 2,111 shares of Common Stock issuable upon exercise of outstanding options within 60 days of September 3, 2024 and held directly by Murat Kalayoglu, M.D., Ph.D., (iii) 3,036,887 shares of Common Stock held by Seven One Eight Three Four Irrevocable Trust directly, and (iv) up to 3,398,448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w:t>
      </w:r>
    </w:p>
    <w:p>
      <w:pPr>
        <w:spacing w:after="0" w:line="3" w:lineRule="exact"/>
        <w:rPr>
          <w:rFonts w:ascii="Times New Roman" w:cs="Times New Roman" w:eastAsia="Times New Roman" w:hAnsi="Times New Roman"/>
          <w:sz w:val="12"/>
          <w:szCs w:val="12"/>
          <w:color w:val="auto"/>
        </w:rPr>
      </w:pPr>
    </w:p>
    <w:p>
      <w:pPr>
        <w:ind w:left="1100" w:right="859"/>
        <w:spacing w:after="0" w:line="21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numbers of shares of Common Stock presented in this row include only a total of 1,538,071 shares of Common Stock issuable upon conversion of the shares of Series A Preferred Stock held by Seven One Eight Three Four Irrevocable Trust, and assume Seven One Eight Three Four Irrevocable Trust does not convert any shares of Series A Preferred Stock beyond such limitation.</w:t>
      </w:r>
    </w:p>
    <w:p>
      <w:pPr>
        <w:spacing w:after="0" w:line="15" w:lineRule="exact"/>
        <w:rPr>
          <w:rFonts w:ascii="Times New Roman" w:cs="Times New Roman" w:eastAsia="Times New Roman" w:hAnsi="Times New Roman"/>
          <w:sz w:val="12"/>
          <w:szCs w:val="12"/>
          <w:color w:val="auto"/>
        </w:rPr>
      </w:pPr>
    </w:p>
    <w:p>
      <w:pPr>
        <w:ind w:left="1100" w:right="859" w:hanging="301"/>
        <w:spacing w:after="0" w:line="233"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13G/A filed with the SEC on August 12, 2024 and other information known to us, consists of 2,722,656 shares of Common Stock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14" w:lineRule="exact"/>
        <w:rPr>
          <w:rFonts w:ascii="Times New Roman" w:cs="Times New Roman" w:eastAsia="Times New Roman" w:hAnsi="Times New Roman"/>
          <w:sz w:val="12"/>
          <w:szCs w:val="12"/>
          <w:color w:val="auto"/>
        </w:rPr>
      </w:pPr>
    </w:p>
    <w:p>
      <w:pPr>
        <w:ind w:left="1100" w:hanging="301"/>
        <w:spacing w:after="0"/>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8,731 shares of Common Stock held by Dr. Brunn directly.</w:t>
      </w:r>
    </w:p>
    <w:p>
      <w:pPr>
        <w:spacing w:after="0" w:line="28" w:lineRule="exact"/>
        <w:rPr>
          <w:rFonts w:ascii="Times New Roman" w:cs="Times New Roman" w:eastAsia="Times New Roman" w:hAnsi="Times New Roman"/>
          <w:sz w:val="13"/>
          <w:szCs w:val="13"/>
          <w:color w:val="auto"/>
        </w:rPr>
      </w:pPr>
    </w:p>
    <w:p>
      <w:pPr>
        <w:ind w:left="1100" w:right="9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120,266 shares of Common Stock underlying outstanding stock options exercisable within 60 days of September 3, 2024 held by Dr. Jewell directly.</w:t>
      </w:r>
    </w:p>
    <w:p>
      <w:pPr>
        <w:spacing w:after="0" w:line="13" w:lineRule="exact"/>
        <w:rPr>
          <w:rFonts w:ascii="Times New Roman" w:cs="Times New Roman" w:eastAsia="Times New Roman" w:hAnsi="Times New Roman"/>
          <w:sz w:val="13"/>
          <w:szCs w:val="13"/>
          <w:color w:val="auto"/>
        </w:rPr>
      </w:pPr>
    </w:p>
    <w:p>
      <w:pPr>
        <w:ind w:left="1100" w:right="9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235,201 shares of Common Stock underlying outstanding stock options exercisable within 60 days of September 3, 2024 held by Dr. Kurtoglu directly.</w:t>
      </w:r>
    </w:p>
    <w:p>
      <w:pPr>
        <w:spacing w:after="0" w:line="13" w:lineRule="exact"/>
        <w:rPr>
          <w:rFonts w:ascii="Times New Roman" w:cs="Times New Roman" w:eastAsia="Times New Roman" w:hAnsi="Times New Roman"/>
          <w:sz w:val="13"/>
          <w:szCs w:val="13"/>
          <w:color w:val="auto"/>
        </w:rPr>
      </w:pPr>
    </w:p>
    <w:p>
      <w:pPr>
        <w:ind w:left="1100" w:right="10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5,301 shares of Common Stock held by Dr. Traber directly. Dr. Traber ceased service as our Chief Medical Officer effective November 13, 2023 and ceased full-time employment with the Company effective December 31, 2023.</w:t>
      </w:r>
    </w:p>
    <w:p>
      <w:pPr>
        <w:spacing w:after="0" w:line="13" w:lineRule="exact"/>
        <w:rPr>
          <w:rFonts w:ascii="Times New Roman" w:cs="Times New Roman" w:eastAsia="Times New Roman" w:hAnsi="Times New Roman"/>
          <w:sz w:val="13"/>
          <w:szCs w:val="13"/>
          <w:color w:val="auto"/>
        </w:rPr>
      </w:pPr>
    </w:p>
    <w:p>
      <w:pPr>
        <w:ind w:left="1100" w:right="11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2,983 shares of Common Stock held by Dr. Johnston directly. Dr. Johnston ceased service as our Chief Operations Officer effective November 13, 2023 and ceased full-time employment with the Company effective December 31, 2023.</w:t>
      </w:r>
    </w:p>
    <w:p>
      <w:pPr>
        <w:spacing w:after="0" w:line="13" w:lineRule="exact"/>
        <w:rPr>
          <w:rFonts w:ascii="Times New Roman" w:cs="Times New Roman" w:eastAsia="Times New Roman" w:hAnsi="Times New Roman"/>
          <w:sz w:val="13"/>
          <w:szCs w:val="13"/>
          <w:color w:val="auto"/>
        </w:rPr>
      </w:pPr>
    </w:p>
    <w:p>
      <w:pPr>
        <w:jc w:val="both"/>
        <w:ind w:left="1100" w:right="1099" w:hanging="301"/>
        <w:spacing w:after="0" w:line="228"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7,096 shares of Common Stock held by Ms. Cox directly, (ii) 1,094 shares of Common Stock issuable upon exercise of underlying warrants exercisable within 60 days of September 3, 2024, and (iii) 2,296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not aware of any beneficial ownership of Common Stock by Dr. Ando, who retired from the Board of Directors on January 4, 2023.</w:t>
      </w:r>
    </w:p>
    <w:p>
      <w:pPr>
        <w:spacing w:after="0" w:line="40" w:lineRule="exact"/>
        <w:rPr>
          <w:rFonts w:ascii="Times New Roman" w:cs="Times New Roman" w:eastAsia="Times New Roman" w:hAnsi="Times New Roman"/>
          <w:sz w:val="12"/>
          <w:szCs w:val="12"/>
          <w:color w:val="auto"/>
        </w:rPr>
      </w:pPr>
    </w:p>
    <w:p>
      <w:pPr>
        <w:ind w:left="1100" w:right="85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15,833 shares of Common Stock held by Mr. Barabe directly and (ii) 2,111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right="99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233 shares of Common Stock held by Dr. de Silva directly and (ii) 2,111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right="99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844 shares of Common Stock underlying outstanding stock options exercisable within 60 days of September 3, 2024 held by Dr. Malik directly.</w:t>
      </w:r>
    </w:p>
    <w:p>
      <w:pPr>
        <w:spacing w:after="0" w:line="13" w:lineRule="exact"/>
        <w:rPr>
          <w:rFonts w:ascii="Times New Roman" w:cs="Times New Roman" w:eastAsia="Times New Roman" w:hAnsi="Times New Roman"/>
          <w:sz w:val="13"/>
          <w:szCs w:val="13"/>
          <w:color w:val="auto"/>
        </w:rPr>
      </w:pPr>
    </w:p>
    <w:p>
      <w:pPr>
        <w:jc w:val="both"/>
        <w:ind w:left="1100" w:right="939" w:hanging="301"/>
        <w:spacing w:after="0" w:line="228"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2,694 shares of Common Stock held by Mr. Myers directly and (ii) 656 shares of Common Stock issuable upon exercise of underlying warrants exercisable within 60 days of September 3, 2024. Mr. Myers resigned from the Board of Directors on November 21, 2023.</w:t>
      </w:r>
    </w:p>
    <w:p>
      <w:pPr>
        <w:spacing w:after="0" w:line="13"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not aware of any beneficial ownership of Common Stock by Mr. Sallin directly. Mr. Sallin resigned from the Board of Directors on February 28, 2024.</w:t>
      </w:r>
    </w:p>
    <w:p>
      <w:pPr>
        <w:spacing w:after="0" w:line="13" w:lineRule="exact"/>
        <w:rPr>
          <w:rFonts w:ascii="Times New Roman" w:cs="Times New Roman" w:eastAsia="Times New Roman" w:hAnsi="Times New Roman"/>
          <w:sz w:val="13"/>
          <w:szCs w:val="13"/>
          <w:color w:val="auto"/>
        </w:rPr>
      </w:pPr>
    </w:p>
    <w:p>
      <w:pPr>
        <w:ind w:left="1100" w:right="879" w:hanging="301"/>
        <w:spacing w:after="0" w:line="250"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April 10, 2024 and other information known to us, consists of (i) 113,821 shares of Common Stock held by Dr. Singer directly, (ii) 383,796 shares of Common Stock held by Thirsty Brook 2010 Irrevocable Trust, a trust for which Dr. Singer is a trustee, that Dr. Singer has the right to acquire pursuant to a right of substitution in exchange for assets with</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2" w:name="page123"/>
    <w:bookmarkEnd w:id="1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1119"/>
        <w:spacing w:after="0" w:line="239" w:lineRule="auto"/>
        <w:rPr>
          <w:sz w:val="20"/>
          <w:szCs w:val="20"/>
          <w:color w:val="auto"/>
        </w:rPr>
      </w:pPr>
      <w:r>
        <w:rPr>
          <w:rFonts w:ascii="Times New Roman" w:cs="Times New Roman" w:eastAsia="Times New Roman" w:hAnsi="Times New Roman"/>
          <w:sz w:val="12"/>
          <w:szCs w:val="12"/>
          <w:color w:val="auto"/>
        </w:rPr>
        <w:t>an equal value to such shares, (iii) 56,719 shares of Common Stock held by Singer Asefzadeh Family Holding Trust, a trust for which Dr. Singer is a trustee and beneficiary, (iv) 7,127 shares of Common Stock held by Bakezilla 2019 Irrevocable Trust, a trust for which</w:t>
      </w:r>
    </w:p>
    <w:p>
      <w:pPr>
        <w:ind w:left="1120" w:right="819"/>
        <w:spacing w:after="0" w:line="234" w:lineRule="auto"/>
        <w:rPr>
          <w:sz w:val="20"/>
          <w:szCs w:val="20"/>
          <w:color w:val="auto"/>
        </w:rPr>
      </w:pPr>
      <w:r>
        <w:rPr>
          <w:rFonts w:ascii="Times New Roman" w:cs="Times New Roman" w:eastAsia="Times New Roman" w:hAnsi="Times New Roman"/>
          <w:sz w:val="12"/>
          <w:szCs w:val="12"/>
          <w:color w:val="auto"/>
        </w:rPr>
        <w:t>Dr. Singer is a trustee and beneficiary, (v) 14,788 shares of Common Stock held by Dr. Baharak Asefzadeh, Dr. Singer’s spouse, (vi) 96,219 shares of Common Stock held by a minor child of Dr. Singer through a custodial account established pursuant to the Uniform Transfer to Minors Act (“UTMA”) for which Dr. Singer serves as custodian, (vii) 96,219 shares of Common Stock held by a minor child of Dr. Singer through a custodial account established pursuant to the UTMA for which Dr. Singer serves as custodian, and (viii) 2,111 shares of Common Stock issuable upon exercise of outstanding options within 60 days of September 3, 2024 held by Dr. Singer directly.</w:t>
      </w:r>
    </w:p>
    <w:p>
      <w:pPr>
        <w:spacing w:after="0" w:line="14" w:lineRule="exact"/>
        <w:rPr>
          <w:sz w:val="20"/>
          <w:szCs w:val="20"/>
          <w:color w:val="auto"/>
        </w:rPr>
      </w:pPr>
    </w:p>
    <w:p>
      <w:pPr>
        <w:ind w:left="1100" w:right="1079" w:hanging="301"/>
        <w:spacing w:after="0" w:line="237" w:lineRule="auto"/>
        <w:tabs>
          <w:tab w:leader="none" w:pos="11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1,841 shares of Common Stock held by Mr. Zenner directly and (ii) 2,111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right="1139" w:hanging="301"/>
        <w:spacing w:after="0" w:line="223" w:lineRule="auto"/>
        <w:tabs>
          <w:tab w:leader="none" w:pos="11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10,661,143 shares of Common Stock owned directly or beneficially by our executive officers or members of our Board of Directors, (ii) 539,407 shares of Common Stock underlying outstanding stock options and warrants exercisable within 60 days of September 3, 2024, (iii) 1,538,071 shares of Common Stock issuable upon conversion of the shares of Series A Preferred Stock, and (iv) 2,359,500 shares of Common Stock issuable upon conversion of shares of Series B Preferred Stock.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3" w:name="page124"/>
    <w:bookmarkEnd w:id="1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b w:val="1"/>
          <w:bCs w:val="1"/>
          <w:color w:val="auto"/>
        </w:rPr>
        <w:t>CERTAIN RELATIONSHIPS AND RELATED TRANSACTIONS</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Person Transactions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Our Board of Directors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80"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 following are certain transactions, arrangements and relationships with our directors, executive officers and stockholders owning 5% or more of our outstanding Common Stock since January 1, 2022.</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 with Old Cartesian</w:t>
      </w:r>
    </w:p>
    <w:p>
      <w:pPr>
        <w:spacing w:after="0" w:line="103"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On November 13, 2023, we acquired Old Cartesian, in accordance with the terms of the Merger Agreement. Under the terms of the Merger Agreement, following the consummation of the Merger, in exchange for the outstanding shares of capital stock of Old Cartesian immediately prior to the effective time of the First Merger, we issued to the stockholders of Old Cartesian that are “accredited investors,” as defined in Regulation D promulgated under the Securities Act of 1933, as amended, (A) 224,099 shares of Common Stock, which amount is (together with the shares underlying assumed Cartesian Options other than the Continuing Officer Options, each as defined and discussed below) approximately 19.9% of the number of shares of Common Stock outstanding immediately prior to the Merger, and (B) 384,930.724 shares of our Series A Preferred Stock, each share of which is convertible into 33.333 shares of Common Stock, subject to certain conditions described below.</w:t>
      </w:r>
    </w:p>
    <w:p>
      <w:pPr>
        <w:spacing w:after="0" w:line="1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Upon the consummation of the First Merger:</w:t>
      </w:r>
    </w:p>
    <w:p>
      <w:pPr>
        <w:spacing w:after="0" w:line="101" w:lineRule="exact"/>
        <w:rPr>
          <w:sz w:val="20"/>
          <w:szCs w:val="20"/>
          <w:color w:val="auto"/>
        </w:rPr>
      </w:pPr>
    </w:p>
    <w:p>
      <w:pPr>
        <w:ind w:left="1420" w:right="919" w:hanging="305"/>
        <w:spacing w:after="0" w:line="262"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Stock Option and each RSU award with respect to shares of Common Stock, in each case that was outstanding and unvested immediately prior to the Effective Time (as defined in the Merger Agreement), vested in full at the Effective Time;</w:t>
      </w:r>
    </w:p>
    <w:p>
      <w:pPr>
        <w:spacing w:after="0" w:line="62" w:lineRule="exact"/>
        <w:rPr>
          <w:rFonts w:ascii="Times New Roman" w:cs="Times New Roman" w:eastAsia="Times New Roman" w:hAnsi="Times New Roman"/>
          <w:sz w:val="16"/>
          <w:szCs w:val="16"/>
          <w:color w:val="auto"/>
        </w:rPr>
      </w:pPr>
    </w:p>
    <w:p>
      <w:pPr>
        <w:ind w:left="1420" w:right="839" w:hanging="305"/>
        <w:spacing w:after="0" w:line="251"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70"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4" w:name="page125"/>
    <w:bookmarkEnd w:id="1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At the Effective Time, each Old Cartesian Option, other than Old Cartesian Options held by Drs. Kurtoglu, Miljkovic, and Jewell, that was outstanding and unexercised immediately prior to the Effective Time, whether or not vested, was converted into an option to purchase Common Stock. At the Effective Time, each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 accordance with the terms of the Old Cartesian Plan and the terms of the stock option agreement by which such Old Cartesian Option is evidenced (but with changes to such documents as we in good faith determine are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Following the Series A Preferred Stock Automatic Conversion, Continuing Officer Options became exercisable for Common Stock, rather than Series A Preferred Stock. From and after the Effective Time:</w:t>
      </w:r>
    </w:p>
    <w:p>
      <w:pPr>
        <w:spacing w:after="0" w:line="74" w:lineRule="exact"/>
        <w:rPr>
          <w:sz w:val="20"/>
          <w:szCs w:val="20"/>
          <w:color w:val="auto"/>
        </w:rPr>
      </w:pPr>
    </w:p>
    <w:p>
      <w:pPr>
        <w:ind w:left="1420" w:right="879" w:hanging="305"/>
        <w:spacing w:after="0" w:line="255"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subject to each Old Cartesian Option assumed by the Company will be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67" w:lineRule="exact"/>
        <w:rPr>
          <w:rFonts w:ascii="Times New Roman" w:cs="Times New Roman" w:eastAsia="Times New Roman" w:hAnsi="Times New Roman"/>
          <w:sz w:val="16"/>
          <w:szCs w:val="16"/>
          <w:color w:val="auto"/>
        </w:rPr>
      </w:pPr>
    </w:p>
    <w:p>
      <w:pPr>
        <w:ind w:left="1420" w:right="859" w:hanging="305"/>
        <w:spacing w:after="0" w:line="280" w:lineRule="auto"/>
        <w:tabs>
          <w:tab w:leader="none" w:pos="142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per-share exercise price for Common Stock issuable upon exercise of each Old Cartesian Option assumed by the Company will be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50" w:lineRule="exact"/>
        <w:rPr>
          <w:rFonts w:ascii="Times New Roman" w:cs="Times New Roman" w:eastAsia="Times New Roman" w:hAnsi="Times New Roman"/>
          <w:sz w:val="15"/>
          <w:szCs w:val="15"/>
          <w:color w:val="auto"/>
        </w:rPr>
      </w:pPr>
    </w:p>
    <w:p>
      <w:pPr>
        <w:ind w:left="1420" w:right="879" w:hanging="305"/>
        <w:spacing w:after="0" w:line="253"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Series A Preferred Stock subject to each Continuing Officer Option assumed by the Company will be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for Series A Preferred Stock issuable upon exercise of each Continuing Officer Option assumed by the Company will be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7"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Following the Series A Preferred Stock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57" w:lineRule="exact"/>
        <w:rPr>
          <w:sz w:val="20"/>
          <w:szCs w:val="20"/>
          <w:color w:val="auto"/>
        </w:rPr>
      </w:pPr>
    </w:p>
    <w:p>
      <w:pPr>
        <w:ind w:left="800" w:right="1319"/>
        <w:spacing w:after="0" w:line="262" w:lineRule="auto"/>
        <w:rPr>
          <w:sz w:val="20"/>
          <w:szCs w:val="20"/>
          <w:color w:val="auto"/>
        </w:rPr>
      </w:pPr>
      <w:r>
        <w:rPr>
          <w:rFonts w:ascii="Times New Roman" w:cs="Times New Roman" w:eastAsia="Times New Roman" w:hAnsi="Times New Roman"/>
          <w:sz w:val="16"/>
          <w:szCs w:val="16"/>
          <w:color w:val="auto"/>
        </w:rPr>
        <w:t>As consideration in the Merger, Drs. Kalayoglu and Singer, together with their affiliated entities, collectively received an aggregate of 230,125.536 shares of Series A Preferred Stock, which are convertible into 7,670,847 shares of Common Stock.</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5" w:name="page126"/>
    <w:bookmarkEnd w:id="1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As a result of the Merger, Drs. Kurtoglu, Jewell, and Miljkovic were granted Continuing Officer Options that are exercisable for 470,403 shares of Common Stock.</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execution of the Merger Agreement, we and Old Cartesian entered into stockholder support agreements (the “Support Agreements”) with certain of our pre-Merger officers, directors and stockholders. Pursuant to the Support Agreements, among other things, each of our pre-Merger stockholder parties thereto agreed to vote or cause to be voted all of the shares of Common Stock owned by such stockholder in favor of the proposals we submitted for stockholder approval at the March 2024 Special Meeting.</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November 2023 Private Placement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Concurrently with the Merger, we entered into a securities purchase agreement pursuant to which we issued and sold an aggregate of 149,330.115 shares of Series A Preferred Stock to Dr. Springer, TAS Partners LLC (an affiliate of Dr. Springer) and Dr. Kalayoglu, each of which was converted into 33.333 shares of Common Stock except that the shares beneficially owned by Dr. Kalayoglu converted only to the extent permitted by the Series A Certificate of Designation, for an aggregate purchase price of approximately $60.25 million. The following table sets forth the number of shares of Series A Preferred Stock purchased in this private placement by such parties:</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Shares of Series A Preferred</w:t>
            </w:r>
          </w:p>
        </w:tc>
        <w:tc>
          <w:tcPr>
            <w:tcW w:w="18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Aggregate</w:t>
            </w:r>
          </w:p>
        </w:tc>
        <w:tc>
          <w:tcPr>
            <w:tcW w:w="0" w:type="dxa"/>
            <w:vAlign w:val="bottom"/>
          </w:tcPr>
          <w:p>
            <w:pPr>
              <w:spacing w:after="0"/>
              <w:rPr>
                <w:sz w:val="1"/>
                <w:szCs w:val="1"/>
                <w:color w:val="auto"/>
              </w:rPr>
            </w:pPr>
          </w:p>
        </w:tc>
      </w:tr>
      <w:tr>
        <w:trPr>
          <w:trHeight w:val="167"/>
        </w:trPr>
        <w:tc>
          <w:tcPr>
            <w:tcW w:w="4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Stock Purchased</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Purchase Price</w:t>
            </w:r>
          </w:p>
        </w:tc>
        <w:tc>
          <w:tcPr>
            <w:tcW w:w="0" w:type="dxa"/>
            <w:vAlign w:val="bottom"/>
          </w:tcPr>
          <w:p>
            <w:pPr>
              <w:spacing w:after="0"/>
              <w:rPr>
                <w:sz w:val="1"/>
                <w:szCs w:val="1"/>
                <w:color w:val="auto"/>
              </w:rPr>
            </w:pP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76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6"/>
                <w:szCs w:val="16"/>
                <w:color w:val="auto"/>
              </w:rPr>
              <w:t>123,925.407</w:t>
            </w:r>
          </w:p>
        </w:tc>
        <w:tc>
          <w:tcPr>
            <w:tcW w:w="1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$50,000,000</w:t>
            </w:r>
          </w:p>
        </w:tc>
        <w:tc>
          <w:tcPr>
            <w:tcW w:w="0" w:type="dxa"/>
            <w:vAlign w:val="bottom"/>
          </w:tcPr>
          <w:p>
            <w:pPr>
              <w:spacing w:after="0"/>
              <w:rPr>
                <w:sz w:val="1"/>
                <w:szCs w:val="1"/>
                <w:color w:val="auto"/>
              </w:rPr>
            </w:pPr>
          </w:p>
        </w:tc>
      </w:tr>
      <w:tr>
        <w:trPr>
          <w:trHeight w:val="207"/>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760" w:type="dxa"/>
            <w:vAlign w:val="bottom"/>
            <w:gridSpan w:val="2"/>
          </w:tcPr>
          <w:p>
            <w:pPr>
              <w:jc w:val="right"/>
              <w:ind w:right="337"/>
              <w:spacing w:after="0"/>
              <w:rPr>
                <w:sz w:val="20"/>
                <w:szCs w:val="20"/>
                <w:color w:val="auto"/>
              </w:rPr>
            </w:pPr>
            <w:r>
              <w:rPr>
                <w:rFonts w:ascii="Times New Roman" w:cs="Times New Roman" w:eastAsia="Times New Roman" w:hAnsi="Times New Roman"/>
                <w:sz w:val="16"/>
                <w:szCs w:val="16"/>
                <w:color w:val="auto"/>
              </w:rPr>
              <w:t>24,785.081</w:t>
            </w: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$10,000,000</w:t>
            </w: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 One Eight Three Four Irrevocable Trust (affiliate of Murat</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Kalayoglu, M.D., Ph.D.)</w:t>
            </w:r>
          </w:p>
        </w:tc>
        <w:tc>
          <w:tcPr>
            <w:tcW w:w="176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6"/>
                <w:szCs w:val="16"/>
                <w:color w:val="auto"/>
              </w:rPr>
              <w:t>619.627</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8"/>
        </w:trPr>
        <w:tc>
          <w:tcPr>
            <w:tcW w:w="4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Additional details regarding these stockholders and their respective equity holdings are provided in this prospectus under the caption “Security Ownership of Certain Beneficial Owners and Management.”</w:t>
      </w:r>
    </w:p>
    <w:p>
      <w:pPr>
        <w:spacing w:after="0" w:line="50" w:lineRule="exact"/>
        <w:rPr>
          <w:sz w:val="20"/>
          <w:szCs w:val="20"/>
          <w:color w:val="auto"/>
        </w:rPr>
      </w:pPr>
    </w:p>
    <w:p>
      <w:pPr>
        <w:ind w:left="800" w:right="819"/>
        <w:spacing w:after="0" w:line="266" w:lineRule="auto"/>
        <w:rPr>
          <w:sz w:val="20"/>
          <w:szCs w:val="20"/>
          <w:color w:val="auto"/>
        </w:rPr>
      </w:pPr>
      <w:r>
        <w:rPr>
          <w:rFonts w:ascii="Times New Roman" w:cs="Times New Roman" w:eastAsia="Times New Roman" w:hAnsi="Times New Roman"/>
          <w:sz w:val="15"/>
          <w:szCs w:val="15"/>
          <w:color w:val="auto"/>
        </w:rPr>
        <w:t>In this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of the transaction. TAS Partners LLC agreed to settle its purchase for approximately $10.0 million within 30 days following the closing of the transaction.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we issued 619.627 shares of Series A Preferred Stock to Seven One Eight Three Four Irrevocable Trust for</w:t>
      </w:r>
    </w:p>
    <w:p>
      <w:pPr>
        <w:spacing w:after="0" w:line="5" w:lineRule="exact"/>
        <w:rPr>
          <w:sz w:val="20"/>
          <w:szCs w:val="20"/>
          <w:color w:val="auto"/>
        </w:rPr>
      </w:pPr>
    </w:p>
    <w:p>
      <w:pPr>
        <w:ind w:left="800" w:right="999"/>
        <w:spacing w:after="0" w:line="251" w:lineRule="auto"/>
        <w:rPr>
          <w:sz w:val="20"/>
          <w:szCs w:val="20"/>
          <w:color w:val="auto"/>
        </w:rPr>
      </w:pPr>
      <w:r>
        <w:rPr>
          <w:rFonts w:ascii="Times New Roman" w:cs="Times New Roman" w:eastAsia="Times New Roman" w:hAnsi="Times New Roman"/>
          <w:sz w:val="16"/>
          <w:szCs w:val="16"/>
          <w:color w:val="auto"/>
        </w:rPr>
        <w:t>$0.25 million. TAS Partners LLC, Dr. Springer and Seven One Eight Three Four Irrevocable Trust (affiliated with Dr. Kalayoglu) each purchased their respective shares of Series A Preferred Stock at the same offering price per share.</w:t>
      </w:r>
    </w:p>
    <w:p>
      <w:pPr>
        <w:spacing w:after="0" w:line="71"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In connection with this private placement and the Merger, we also entered into a registration rights agreement (the “November 2023 RRA”) with the holders of Common Stock and Series A Preferred Stock signatory thereto, including Drs. Springer and Kalayoglu and TAS Partners LLC. The holders party to the November 2023 RRA have currently waived their rights to require us to file a resale registration statement with the SEC with respect to the shares of Common Stock underlying the Series A Preferred Stock in the private placement and the Common Stock and Series A Preferred Stock issued to the signatories to the November 2023 RRA in the Merger.</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 Exercise</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On March 26, 2024, TAS exercised 65,681 Amended 2019 Warrants, paid the per-share exercise price of $43.80 in cash for an aggregate exercise price of $2.9 million, and received 65,681 shares of Common Stock and 1,970,443 Contingent Value Rights.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6" w:name="page127"/>
    <w:bookmarkEnd w:id="1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103" w:lineRule="exact"/>
        <w:rPr>
          <w:sz w:val="20"/>
          <w:szCs w:val="20"/>
          <w:color w:val="auto"/>
        </w:rPr>
      </w:pPr>
    </w:p>
    <w:p>
      <w:pPr>
        <w:ind w:left="800" w:right="1019"/>
        <w:spacing w:after="0" w:line="262" w:lineRule="auto"/>
        <w:rPr>
          <w:sz w:val="20"/>
          <w:szCs w:val="20"/>
          <w:color w:val="auto"/>
        </w:rPr>
      </w:pPr>
      <w:r>
        <w:rPr>
          <w:rFonts w:ascii="Times New Roman" w:cs="Times New Roman" w:eastAsia="Times New Roman" w:hAnsi="Times New Roman"/>
          <w:sz w:val="16"/>
          <w:szCs w:val="16"/>
          <w:color w:val="auto"/>
        </w:rPr>
        <w:t>Dr. Timothy A. Springer, TAS Partners LLC, and Dr. Springer’s spouse, Dr. Chafen Lu, purchased shares of our Series B Preferred Stock in the Private Placement. The following table sets forth the number of shares of Series B Preferred Stock purchased in this private placement by such parties: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Shares of Series B Preferred</w:t>
            </w: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Total Aggregate</w:t>
            </w:r>
          </w:p>
        </w:tc>
        <w:tc>
          <w:tcPr>
            <w:tcW w:w="0" w:type="dxa"/>
            <w:vAlign w:val="bottom"/>
          </w:tcPr>
          <w:p>
            <w:pPr>
              <w:spacing w:after="0"/>
              <w:rPr>
                <w:sz w:val="1"/>
                <w:szCs w:val="1"/>
                <w:color w:val="auto"/>
              </w:rPr>
            </w:pPr>
          </w:p>
        </w:tc>
      </w:tr>
      <w:tr>
        <w:trPr>
          <w:trHeight w:val="167"/>
        </w:trPr>
        <w:tc>
          <w:tcPr>
            <w:tcW w:w="4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Stock Purchased</w:t>
            </w:r>
          </w:p>
        </w:tc>
        <w:tc>
          <w:tcPr>
            <w:tcW w:w="18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Purchase Price</w:t>
            </w:r>
          </w:p>
        </w:tc>
        <w:tc>
          <w:tcPr>
            <w:tcW w:w="0" w:type="dxa"/>
            <w:vAlign w:val="bottom"/>
          </w:tcPr>
          <w:p>
            <w:pPr>
              <w:spacing w:after="0"/>
              <w:rPr>
                <w:sz w:val="1"/>
                <w:szCs w:val="1"/>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78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6"/>
                <w:szCs w:val="16"/>
                <w:color w:val="auto"/>
              </w:rPr>
              <w:t>1,636,832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$32,736,640</w:t>
            </w:r>
          </w:p>
        </w:tc>
        <w:tc>
          <w:tcPr>
            <w:tcW w:w="0" w:type="dxa"/>
            <w:vAlign w:val="bottom"/>
          </w:tcPr>
          <w:p>
            <w:pPr>
              <w:spacing w:after="0"/>
              <w:rPr>
                <w:sz w:val="1"/>
                <w:szCs w:val="1"/>
                <w:color w:val="auto"/>
              </w:rPr>
            </w:pPr>
          </w:p>
        </w:tc>
      </w:tr>
      <w:tr>
        <w:trPr>
          <w:trHeight w:val="207"/>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780" w:type="dxa"/>
            <w:vAlign w:val="bottom"/>
            <w:gridSpan w:val="2"/>
          </w:tcPr>
          <w:p>
            <w:pPr>
              <w:jc w:val="right"/>
              <w:ind w:right="417"/>
              <w:spacing w:after="0"/>
              <w:rPr>
                <w:sz w:val="20"/>
                <w:szCs w:val="20"/>
                <w:color w:val="auto"/>
              </w:rPr>
            </w:pPr>
            <w:r>
              <w:rPr>
                <w:rFonts w:ascii="Times New Roman" w:cs="Times New Roman" w:eastAsia="Times New Roman" w:hAnsi="Times New Roman"/>
                <w:sz w:val="16"/>
                <w:szCs w:val="16"/>
                <w:color w:val="auto"/>
              </w:rPr>
              <w:t>721,361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$14,427,220</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Chafen Lu, Ph.D.</w:t>
            </w:r>
          </w:p>
        </w:tc>
        <w:tc>
          <w:tcPr>
            <w:tcW w:w="1780" w:type="dxa"/>
            <w:vAlign w:val="bottom"/>
            <w:gridSpan w:val="2"/>
            <w:shd w:val="clear" w:color="auto" w:fill="CCEEFF"/>
          </w:tcPr>
          <w:p>
            <w:pPr>
              <w:jc w:val="right"/>
              <w:ind w:right="437"/>
              <w:spacing w:after="0"/>
              <w:rPr>
                <w:sz w:val="20"/>
                <w:szCs w:val="20"/>
                <w:color w:val="auto"/>
              </w:rPr>
            </w:pPr>
            <w:r>
              <w:rPr>
                <w:rFonts w:ascii="Times New Roman" w:cs="Times New Roman" w:eastAsia="Times New Roman" w:hAnsi="Times New Roman"/>
                <w:sz w:val="16"/>
                <w:szCs w:val="16"/>
                <w:color w:val="auto"/>
              </w:rPr>
              <w:t>1,307</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26,140</w:t>
            </w:r>
          </w:p>
        </w:tc>
        <w:tc>
          <w:tcPr>
            <w:tcW w:w="0" w:type="dxa"/>
            <w:vAlign w:val="bottom"/>
          </w:tcPr>
          <w:p>
            <w:pPr>
              <w:spacing w:after="0"/>
              <w:rPr>
                <w:sz w:val="1"/>
                <w:szCs w:val="1"/>
                <w:color w:val="auto"/>
              </w:rPr>
            </w:pPr>
          </w:p>
        </w:tc>
      </w:tr>
      <w:tr>
        <w:trPr>
          <w:trHeight w:val="48"/>
        </w:trPr>
        <w:tc>
          <w:tcPr>
            <w:tcW w:w="45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connection with the Private Placement, we also entered into a registration rights agreement (the “RRA”) with the holders of Common Stock and Series B Preferred Stock signatory thereto, including Drs. Springer and Lu and TAS Partners LLC.</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April 2022 Offering</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April 2022, we completed an SEC-registered securities offering pursuant to which we issued and sold an</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aggregate of 914,285 shares of our Common Stock and accompanying warrants to purchase 685,712 shares of our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Common Stock, at a combined purchase price of $42.30, for aggregate net proceeds to us of approximately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$36.9 million. In this offering, TAS Partners LLC purchased 222,720 shares of Common Stock and warrants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purchase 167,040 shares of Common Stock for a total purchase price of approximately $9.4 million.</w:t>
      </w:r>
    </w:p>
    <w:p>
      <w:pPr>
        <w:spacing w:after="0" w:line="3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03"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7" w:name="page128"/>
    <w:bookmarkEnd w:id="1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SELLING STOCKHOLDERS</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This prospectus covers the resale or other disposition from time to time by the Selling Stockholders identified in the table below of up to an aggregate of 6,501,150 shares of our Common Stock. The Selling Stockholders may from time to time offer and sell any or all of the Resale Shares set forth below pursuant to this prospectus and any accompanying prospectus supplement.</w:t>
      </w:r>
    </w:p>
    <w:p>
      <w:pPr>
        <w:spacing w:after="0" w:line="6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July 2, 2024, we entered into the Securities Purchase Agreement for a private placement with certain institutional and accredited investors, pursuant to which we sold an aggregate of 3,563,247 shares of our Common Stock and 2,937,903 shares of our Series B Preferred Stock, which will automatically convert into 2,937,903 shares of Common Stock, subject to stockholder approval and certain beneficial ownership limitations set by each holder, pursuant to the Certificate of Designation, for an aggregate purchase price of approximately $130 million. This prospectus covers the resale or other disposition by the Selling Stockholders or their pledgees, donees, transferees or other successors-in-interest that receive their shares after the date of this prospectus of up to the total number of shares of Common Stock and shares of Common Stock issuable upon the conversion of the Series B Preferred Stock sold to the Selling Stockholders pursuant to the Securities Purchase Agreement. Throughout this prospectus, when we refer to the “Selling Stockholders,” we are referring to the purchasers under the Securities Purchase Agreement listed in the table below.</w:t>
      </w:r>
    </w:p>
    <w:p>
      <w:pPr>
        <w:spacing w:after="0" w:line="7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w:t>
      </w:r>
    </w:p>
    <w:p>
      <w:pPr>
        <w:spacing w:after="0" w:line="62"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Except as otherwise disclosed herein, the Selling Stockholders do not have, and within the past three years have not had, any position, office or other material relationship with us.</w:t>
      </w:r>
    </w:p>
    <w:p>
      <w:pPr>
        <w:spacing w:after="0" w:line="50"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The following table sets forth the names of the Selling Stockholders, the number of shares of our Common Stock owned by the Selling Stockholders (assuming the conversion of all outstanding shares of Series B Preferred Stock held by such Selling Stockholder), the number of shares of our Common Stock that may be offered under this prospectus (which reflects the assumed conversion of all outstanding shares of Series B Preferred Stock) and the number of shares of our Common Stock that will be owned after this offering by the Selling Stockholders assuming all of the Resale Shares registered for resale hereby are sold.</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Certificate of Designation following stockholder approval of the Conversion Proposal and subject to certain beneficial ownership limitations.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8" w:name="page129"/>
    <w:bookmarkEnd w:id="1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270" w:lineRule="auto"/>
        <w:rPr>
          <w:sz w:val="20"/>
          <w:szCs w:val="20"/>
          <w:color w:val="auto"/>
        </w:rPr>
      </w:pPr>
      <w:r>
        <w:rPr>
          <w:rFonts w:ascii="Times New Roman" w:cs="Times New Roman" w:eastAsia="Times New Roman" w:hAnsi="Times New Roman"/>
          <w:sz w:val="15"/>
          <w:szCs w:val="15"/>
          <w:color w:val="auto"/>
        </w:rPr>
        <w:t>The information set forth below is based upon information obtained from the Selling Stockholders and upon information in our possession regarding the issuance of the Series B Preferred Stock and Private Placement Common Shares in connection with the Private Placement. The percentages of Common Stock owned after the offering by each Selling Stockholder below are based on 21,387,549 shares of Common Stock outstanding as of September 3, 2024, and, for each Selling Stockholder, assumes the conversion of only the Series B Preferred Stock owned by such Selling Stockholder but not the Series B Preferred Stock owned by any other Selling Stockholder. The numbers of shares of Common Stock beneficially owned before and after the offering presented in the table below do not give effect to any Beneficial Ownership Limitations with respect to the Series B Preferred Stock, but do give effect to beneficial ownership limitations applicable to holders of Series A Preferred Stock.</w:t>
      </w:r>
    </w:p>
    <w:p>
      <w:pPr>
        <w:spacing w:after="0" w:line="7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260" w:type="dxa"/>
            <w:vAlign w:val="bottom"/>
          </w:tcPr>
          <w:p>
            <w:pPr>
              <w:spacing w:after="0"/>
              <w:rPr>
                <w:sz w:val="11"/>
                <w:szCs w:val="11"/>
                <w:color w:val="auto"/>
              </w:rPr>
            </w:pPr>
          </w:p>
        </w:tc>
        <w:tc>
          <w:tcPr>
            <w:tcW w:w="1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May</w:t>
            </w:r>
          </w:p>
        </w:tc>
        <w:tc>
          <w:tcPr>
            <w:tcW w:w="26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Owned</w:t>
            </w: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 Offered</w:t>
            </w:r>
          </w:p>
        </w:tc>
        <w:tc>
          <w:tcPr>
            <w:tcW w:w="260" w:type="dxa"/>
            <w:vAlign w:val="bottom"/>
          </w:tcPr>
          <w:p>
            <w:pPr>
              <w:spacing w:after="0"/>
              <w:rPr>
                <w:sz w:val="11"/>
                <w:szCs w:val="11"/>
                <w:color w:val="auto"/>
              </w:rPr>
            </w:pPr>
          </w:p>
        </w:tc>
        <w:tc>
          <w:tcPr>
            <w:tcW w:w="152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0" w:type="dxa"/>
            <w:vAlign w:val="bottom"/>
          </w:tcPr>
          <w:p>
            <w:pPr>
              <w:spacing w:after="0"/>
              <w:rPr>
                <w:sz w:val="1"/>
                <w:szCs w:val="1"/>
                <w:color w:val="auto"/>
              </w:rPr>
            </w:pPr>
          </w:p>
        </w:tc>
      </w:tr>
      <w:tr>
        <w:trPr>
          <w:trHeight w:val="129"/>
        </w:trPr>
        <w:tc>
          <w:tcPr>
            <w:tcW w:w="3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Selling Stockholders</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Before</w:t>
            </w:r>
          </w:p>
        </w:tc>
        <w:tc>
          <w:tcPr>
            <w:tcW w:w="2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Pursuant to</w:t>
            </w:r>
          </w:p>
        </w:tc>
        <w:tc>
          <w:tcPr>
            <w:tcW w:w="260" w:type="dxa"/>
            <w:vAlign w:val="bottom"/>
          </w:tcPr>
          <w:p>
            <w:pPr>
              <w:spacing w:after="0"/>
              <w:rPr>
                <w:sz w:val="11"/>
                <w:szCs w:val="11"/>
                <w:color w:val="auto"/>
              </w:rPr>
            </w:pPr>
          </w:p>
        </w:tc>
        <w:tc>
          <w:tcPr>
            <w:tcW w:w="15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Owned After</w:t>
            </w:r>
          </w:p>
        </w:tc>
        <w:tc>
          <w:tcPr>
            <w:tcW w:w="0" w:type="dxa"/>
            <w:vAlign w:val="bottom"/>
          </w:tcPr>
          <w:p>
            <w:pPr>
              <w:spacing w:after="0"/>
              <w:rPr>
                <w:sz w:val="1"/>
                <w:szCs w:val="1"/>
                <w:color w:val="auto"/>
              </w:rPr>
            </w:pPr>
          </w:p>
        </w:tc>
      </w:tr>
      <w:tr>
        <w:trPr>
          <w:trHeight w:val="190"/>
        </w:trPr>
        <w:tc>
          <w:tcPr>
            <w:tcW w:w="38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0"/>
              </w:rPr>
              <w:t>Offering</w:t>
            </w:r>
            <w:r>
              <w:rPr>
                <w:rFonts w:ascii="Times New Roman" w:cs="Times New Roman" w:eastAsia="Times New Roman" w:hAnsi="Times New Roman"/>
                <w:sz w:val="21"/>
                <w:szCs w:val="21"/>
                <w:b w:val="1"/>
                <w:bCs w:val="1"/>
                <w:color w:val="auto"/>
                <w:w w:val="90"/>
                <w:vertAlign w:val="superscript"/>
              </w:rPr>
              <w:t>(2)</w:t>
            </w:r>
          </w:p>
        </w:tc>
        <w:tc>
          <w:tcPr>
            <w:tcW w:w="2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Prospectus</w:t>
            </w:r>
          </w:p>
        </w:tc>
        <w:tc>
          <w:tcPr>
            <w:tcW w:w="260" w:type="dxa"/>
            <w:vAlign w:val="bottom"/>
          </w:tcPr>
          <w:p>
            <w:pPr>
              <w:spacing w:after="0"/>
              <w:rPr>
                <w:sz w:val="16"/>
                <w:szCs w:val="16"/>
                <w:color w:val="auto"/>
              </w:rPr>
            </w:pPr>
          </w:p>
        </w:tc>
        <w:tc>
          <w:tcPr>
            <w:tcW w:w="1520" w:type="dxa"/>
            <w:vAlign w:val="bottom"/>
            <w:tcBorders>
              <w:bottom w:val="single" w:sz="8" w:color="auto"/>
            </w:tcBorders>
            <w:gridSpan w:val="3"/>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3"/>
              </w:rPr>
              <w:t>Offering</w:t>
            </w:r>
            <w:r>
              <w:rPr>
                <w:rFonts w:ascii="Times New Roman" w:cs="Times New Roman" w:eastAsia="Times New Roman" w:hAnsi="Times New Roman"/>
                <w:sz w:val="21"/>
                <w:szCs w:val="21"/>
                <w:b w:val="1"/>
                <w:bCs w:val="1"/>
                <w:color w:val="auto"/>
                <w:w w:val="93"/>
                <w:vertAlign w:val="superscript"/>
              </w:rPr>
              <w:t>(2)</w:t>
            </w: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restart"/>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Entities affiliated with Timothy A. Springer, Ph.D.</w:t>
            </w:r>
            <w:r>
              <w:rPr>
                <w:rFonts w:ascii="Times New Roman" w:cs="Times New Roman" w:eastAsia="Times New Roman" w:hAnsi="Times New Roman"/>
                <w:sz w:val="25"/>
                <w:szCs w:val="25"/>
                <w:color w:val="auto"/>
                <w:vertAlign w:val="superscript"/>
              </w:rPr>
              <w:t>(3)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8,841,756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2,359,500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6,482,256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Schooner Century Fund LLC</w:t>
            </w:r>
            <w:r>
              <w:rPr>
                <w:rFonts w:ascii="Times New Roman" w:cs="Times New Roman" w:eastAsia="Times New Roman" w:hAnsi="Times New Roman"/>
                <w:sz w:val="24"/>
                <w:szCs w:val="24"/>
                <w:color w:val="auto"/>
                <w:vertAlign w:val="superscript"/>
              </w:rPr>
              <w:t>(4)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1,608,709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871,209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4"/>
        </w:trPr>
        <w:tc>
          <w:tcPr>
            <w:tcW w:w="38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Fidelity Growth Company Commingled Pool</w:t>
            </w:r>
            <w:r>
              <w:rPr>
                <w:rFonts w:ascii="Times New Roman" w:cs="Times New Roman" w:eastAsia="Times New Roman" w:hAnsi="Times New Roman"/>
                <w:sz w:val="24"/>
                <w:szCs w:val="24"/>
                <w:color w:val="auto"/>
                <w:vertAlign w:val="superscript"/>
              </w:rPr>
              <w:t>(5)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461,147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461,147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Fidelity Select Portfolios: Biotechnology Portfolio</w:t>
            </w:r>
            <w:r>
              <w:rPr>
                <w:rFonts w:ascii="Times New Roman" w:cs="Times New Roman" w:eastAsia="Times New Roman" w:hAnsi="Times New Roman"/>
                <w:sz w:val="24"/>
                <w:szCs w:val="24"/>
                <w:color w:val="auto"/>
                <w:vertAlign w:val="superscript"/>
              </w:rPr>
              <w:t>(6)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884,159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509,159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4"/>
        </w:trPr>
        <w:tc>
          <w:tcPr>
            <w:tcW w:w="38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Citadel CEMF Investments Ltd.</w:t>
            </w:r>
            <w:r>
              <w:rPr>
                <w:rFonts w:ascii="Times New Roman" w:cs="Times New Roman" w:eastAsia="Times New Roman" w:hAnsi="Times New Roman"/>
                <w:sz w:val="24"/>
                <w:szCs w:val="24"/>
                <w:color w:val="auto"/>
                <w:vertAlign w:val="superscript"/>
              </w:rPr>
              <w:t>(7)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Fidelity Select Portfolios: Select Health Care Portfolio</w:t>
            </w:r>
            <w:r>
              <w:rPr>
                <w:rFonts w:ascii="Times New Roman" w:cs="Times New Roman" w:eastAsia="Times New Roman" w:hAnsi="Times New Roman"/>
                <w:sz w:val="24"/>
                <w:szCs w:val="24"/>
                <w:color w:val="auto"/>
                <w:vertAlign w:val="superscript"/>
              </w:rPr>
              <w:t>(8)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368,992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368,992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8"/>
              </w:rPr>
              <w:t>Fidelity Mt. Vernon Street Trust: Fidelity Growth Company</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341,346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341,346</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Invus Public Equities, L.P.</w:t>
            </w:r>
            <w:r>
              <w:rPr>
                <w:rFonts w:ascii="Times New Roman" w:cs="Times New Roman" w:eastAsia="Times New Roman" w:hAnsi="Times New Roman"/>
                <w:sz w:val="24"/>
                <w:szCs w:val="24"/>
                <w:color w:val="auto"/>
                <w:vertAlign w:val="superscript"/>
              </w:rPr>
              <w:t>(10)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573,962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323,962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Fidelity Advisor Series VII: Fidelity Advisor Health Care</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26"/>
                <w:szCs w:val="26"/>
                <w:color w:val="auto"/>
                <w:vertAlign w:val="subscript"/>
              </w:rPr>
              <w:t>Fund</w:t>
            </w:r>
            <w:r>
              <w:rPr>
                <w:rFonts w:ascii="Times New Roman" w:cs="Times New Roman" w:eastAsia="Times New Roman" w:hAnsi="Times New Roman"/>
                <w:sz w:val="12"/>
                <w:szCs w:val="12"/>
                <w:color w:val="auto"/>
              </w:rPr>
              <w:t>(11)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HBM Healthcare Investments (Cayman) Ltd.</w:t>
            </w:r>
            <w:r>
              <w:rPr>
                <w:rFonts w:ascii="Times New Roman" w:cs="Times New Roman" w:eastAsia="Times New Roman" w:hAnsi="Times New Roman"/>
                <w:sz w:val="24"/>
                <w:szCs w:val="24"/>
                <w:color w:val="auto"/>
                <w:vertAlign w:val="superscript"/>
              </w:rPr>
              <w:t>(12)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Entities affiliated with Great Point Partners LLC</w:t>
            </w:r>
            <w:r>
              <w:rPr>
                <w:rFonts w:ascii="Times New Roman" w:cs="Times New Roman" w:eastAsia="Times New Roman" w:hAnsi="Times New Roman"/>
                <w:sz w:val="24"/>
                <w:szCs w:val="24"/>
                <w:color w:val="auto"/>
                <w:vertAlign w:val="superscript"/>
              </w:rPr>
              <w:t>(13)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Fidelity Advisor Series VII: Fidelity Advisor</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tcPr>
          <w:p>
            <w:pPr>
              <w:ind w:left="160"/>
              <w:spacing w:after="0" w:line="226" w:lineRule="exact"/>
              <w:rPr>
                <w:sz w:val="20"/>
                <w:szCs w:val="20"/>
                <w:color w:val="auto"/>
              </w:rPr>
            </w:pPr>
            <w:r>
              <w:rPr>
                <w:rFonts w:ascii="Times New Roman" w:cs="Times New Roman" w:eastAsia="Times New Roman" w:hAnsi="Times New Roman"/>
                <w:sz w:val="16"/>
                <w:szCs w:val="16"/>
                <w:color w:val="auto"/>
              </w:rPr>
              <w:t>Biotechnology Fund</w:t>
            </w:r>
            <w:r>
              <w:rPr>
                <w:rFonts w:ascii="Times New Roman" w:cs="Times New Roman" w:eastAsia="Times New Roman" w:hAnsi="Times New Roman"/>
                <w:sz w:val="26"/>
                <w:szCs w:val="26"/>
                <w:color w:val="auto"/>
                <w:vertAlign w:val="superscript"/>
              </w:rPr>
              <w:t>(14)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167,950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167,950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8"/>
              </w:rPr>
              <w:t>Fidelity Mt. Vernon Street Trust: Fidelity Growth Company</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6"/>
                <w:szCs w:val="16"/>
                <w:color w:val="auto"/>
              </w:rPr>
              <w:t>K6 Fund</w:t>
            </w:r>
            <w:r>
              <w:rPr>
                <w:rFonts w:ascii="Times New Roman" w:cs="Times New Roman" w:eastAsia="Times New Roman" w:hAnsi="Times New Roman"/>
                <w:sz w:val="26"/>
                <w:szCs w:val="26"/>
                <w:color w:val="auto"/>
                <w:vertAlign w:val="superscript"/>
              </w:rPr>
              <w:t>(15)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108,576</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Armistice Capital, LLC</w:t>
            </w:r>
            <w:r>
              <w:rPr>
                <w:rFonts w:ascii="Times New Roman" w:cs="Times New Roman" w:eastAsia="Times New Roman" w:hAnsi="Times New Roman"/>
                <w:sz w:val="24"/>
                <w:szCs w:val="24"/>
                <w:color w:val="auto"/>
                <w:vertAlign w:val="superscript"/>
              </w:rPr>
              <w:t>(16)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Fidelity Mt. Vernon Street Trust: Fidelity Series Growth</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6"/>
                <w:szCs w:val="16"/>
                <w:color w:val="auto"/>
              </w:rPr>
              <w:t>Company Fund</w:t>
            </w:r>
            <w:r>
              <w:rPr>
                <w:rFonts w:ascii="Times New Roman" w:cs="Times New Roman" w:eastAsia="Times New Roman" w:hAnsi="Times New Roman"/>
                <w:sz w:val="26"/>
                <w:szCs w:val="26"/>
                <w:color w:val="auto"/>
                <w:vertAlign w:val="superscript"/>
              </w:rPr>
              <w:t>(17)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Variable Insurance Products Fund IV: VIP Health Care</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tcPr>
          <w:p>
            <w:pPr>
              <w:ind w:left="160"/>
              <w:spacing w:after="0" w:line="226" w:lineRule="exact"/>
              <w:rPr>
                <w:sz w:val="20"/>
                <w:szCs w:val="20"/>
                <w:color w:val="auto"/>
              </w:rPr>
            </w:pPr>
            <w:r>
              <w:rPr>
                <w:rFonts w:ascii="Times New Roman" w:cs="Times New Roman" w:eastAsia="Times New Roman" w:hAnsi="Times New Roman"/>
                <w:sz w:val="16"/>
                <w:szCs w:val="16"/>
                <w:color w:val="auto"/>
              </w:rPr>
              <w:t>Portfolio</w:t>
            </w:r>
            <w:r>
              <w:rPr>
                <w:rFonts w:ascii="Times New Roman" w:cs="Times New Roman" w:eastAsia="Times New Roman" w:hAnsi="Times New Roman"/>
                <w:sz w:val="26"/>
                <w:szCs w:val="26"/>
                <w:color w:val="auto"/>
                <w:vertAlign w:val="superscript"/>
              </w:rPr>
              <w:t>(18)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56,954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56,954</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Schonfeld Global Master Fund L.P.</w:t>
            </w:r>
            <w:r>
              <w:rPr>
                <w:rFonts w:ascii="Times New Roman" w:cs="Times New Roman" w:eastAsia="Times New Roman" w:hAnsi="Times New Roman"/>
                <w:sz w:val="24"/>
                <w:szCs w:val="24"/>
                <w:color w:val="auto"/>
                <w:vertAlign w:val="superscript"/>
              </w:rPr>
              <w:t>(19)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683 Capital Partners, LP</w:t>
            </w:r>
            <w:r>
              <w:rPr>
                <w:rFonts w:ascii="Times New Roman" w:cs="Times New Roman" w:eastAsia="Times New Roman" w:hAnsi="Times New Roman"/>
                <w:sz w:val="26"/>
                <w:szCs w:val="26"/>
                <w:color w:val="auto"/>
                <w:vertAlign w:val="superscript"/>
              </w:rPr>
              <w:t>(20)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5080</wp:posOffset>
            </wp:positionV>
            <wp:extent cx="7239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 w:lineRule="exact"/>
        <w:rPr>
          <w:sz w:val="20"/>
          <w:szCs w:val="20"/>
          <w:color w:val="auto"/>
        </w:rPr>
      </w:pPr>
    </w:p>
    <w:p>
      <w:pPr>
        <w:ind w:left="1100" w:hanging="301"/>
        <w:spacing w:after="0"/>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29" w:lineRule="exact"/>
        <w:rPr>
          <w:sz w:val="20"/>
          <w:szCs w:val="20"/>
          <w:color w:val="auto"/>
        </w:rPr>
      </w:pPr>
    </w:p>
    <w:p>
      <w:pPr>
        <w:jc w:val="both"/>
        <w:ind w:left="1100" w:right="879" w:hanging="301"/>
        <w:spacing w:after="0" w:line="228"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our knowledge, unless otherwise indicated, all persons named in the table above have sole voting and investment power with respect to their shares of Common Stock. Unless otherwise indicated, the address of each beneficial owner listed below is 704 Quince Orchard Road, Gaithersburg, Maryland 20878.</w:t>
      </w:r>
    </w:p>
    <w:p>
      <w:pPr>
        <w:spacing w:after="0" w:line="13"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B Preferred Stock is prohibited from converting shares of Series B Preferred Stock into shares of Common Stock (i) prior to stockholder approval of the Conversion Proposal is obtained, or (ii) if, as a result of such conversion, such holder, together with its affiliates, would beneficially own more than a specified percentage (established by the holder between 0.0% and 19.9%) (the “Beneficial Ownership Limitation”) of the total number of shares of Common Stock issued and outstanding immediately after giving effect to such conversion.</w:t>
      </w:r>
    </w:p>
    <w:p>
      <w:pPr>
        <w:spacing w:after="0" w:line="17" w:lineRule="exact"/>
        <w:rPr>
          <w:rFonts w:ascii="Times New Roman" w:cs="Times New Roman" w:eastAsia="Times New Roman" w:hAnsi="Times New Roman"/>
          <w:sz w:val="13"/>
          <w:szCs w:val="13"/>
          <w:color w:val="auto"/>
        </w:rPr>
      </w:pPr>
    </w:p>
    <w:p>
      <w:pPr>
        <w:ind w:left="1100" w:right="899" w:hanging="301"/>
        <w:spacing w:after="0" w:line="242" w:lineRule="auto"/>
        <w:tabs>
          <w:tab w:leader="none" w:pos="11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(i) 4,373,966 shares of Common Stock held directly by Timothy A. Springer, Ph.D., a member of our Board of Directors, (ii) 1,636,832 shares of Common Stock issuable upon conversion of shares of Series B Preferred Stock held directly by Timothy A. Springer, Ph.D., (iii) 2,111 shares of Common Stock issuable upon exercise of outstanding options within 60 days of September 3, 2024 and held directly by Timothy A. Springer, Ph.D., (iv) 1,927,630 shares of Common Stock held by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9" w:name="page130"/>
    <w:bookmarkEnd w:id="1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TAS directly, (v) 721,361 shares of Common Stock issuable upon conversion of shares of Series B Preferred Stock held by TAS directly,</w:t>
      </w:r>
    </w:p>
    <w:p>
      <w:pPr>
        <w:spacing w:after="0" w:line="7" w:lineRule="exact"/>
        <w:rPr>
          <w:sz w:val="20"/>
          <w:szCs w:val="20"/>
          <w:color w:val="auto"/>
        </w:rPr>
      </w:pPr>
    </w:p>
    <w:p>
      <w:pPr>
        <w:ind w:left="1120" w:right="839"/>
        <w:spacing w:after="0" w:line="227" w:lineRule="auto"/>
        <w:rPr>
          <w:sz w:val="20"/>
          <w:szCs w:val="20"/>
          <w:color w:val="auto"/>
        </w:rPr>
      </w:pPr>
      <w:r>
        <w:rPr>
          <w:rFonts w:ascii="Times New Roman" w:cs="Times New Roman" w:eastAsia="Times New Roman" w:hAnsi="Times New Roman"/>
          <w:sz w:val="12"/>
          <w:szCs w:val="12"/>
          <w:color w:val="auto"/>
        </w:rPr>
        <w:t>(vi) 167,040 shares of Common Stock issuable upon exercise of underlying warrants exercisable within 60 days of September 3, 2024 held by TAS directly, (vii) 11,509 shares of Common Stock held by Dr. Chafen Lu, Dr. Springer’s wife, and (viii) 1,307 shares of Common Stock issuable upon conversion of shares of Series B Preferred Stock held by Dr. Chafen Lu. Of these shares, 1,636,832 shares of Common Stock underlying Series B Preferred Stock held by Dr. Springer directly, 721,361 shares of Common Stock underlying Series B Preferred Stock held by TAS directly, and 1,307 shares of Common Stock underlying Series B Preferred Stock held by Dr. Lu directly are being registered for resale hereby.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w:t>
      </w:r>
    </w:p>
    <w:p>
      <w:pPr>
        <w:ind w:left="1120"/>
        <w:spacing w:after="0"/>
        <w:rPr>
          <w:sz w:val="20"/>
          <w:szCs w:val="20"/>
          <w:color w:val="auto"/>
        </w:rPr>
      </w:pPr>
      <w:r>
        <w:rPr>
          <w:rFonts w:ascii="Times New Roman" w:cs="Times New Roman" w:eastAsia="Times New Roman" w:hAnsi="Times New Roman"/>
          <w:sz w:val="13"/>
          <w:szCs w:val="13"/>
          <w:color w:val="auto"/>
        </w:rPr>
        <w:t>Dr. Springer, TAS, and Dr. Lu is 36 Woodman Road, Newton, MA, 02467.</w:t>
      </w:r>
    </w:p>
    <w:p>
      <w:pPr>
        <w:spacing w:after="0" w:line="14" w:lineRule="exact"/>
        <w:rPr>
          <w:sz w:val="20"/>
          <w:szCs w:val="20"/>
          <w:color w:val="auto"/>
        </w:rPr>
      </w:pPr>
    </w:p>
    <w:p>
      <w:pPr>
        <w:ind w:left="1100" w:right="859" w:hanging="301"/>
        <w:spacing w:after="0" w:line="214"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the Resale Shares that are registered for resale hereby consists of 176,385 shares of Common Stock and 561,115 shares of Common Stock underlying Series B Preferred Stock held directly by Schooner Century Fund LLC. Schooner Century Fund LLC also holds 871,209 shares of Common Stock and 2,146,271 shares of Common Stock underlying outstanding shares of Series A Preferred Stock that are not registered for resale hereby. Schooner Capital LLC is the Sole Manager of Schooner Century Fund LLC. Schooner Capital LLC is managed by Stephen D. Maiocco, Edward D. Henderson, and Peter K. Binas, serving as its Managing Partners. These Managing Partners, along with Vincent J. Ryan as majority member of the Sole Manager share the sole voting discretion and dispositive power with respect to all shares of Cartesian Therapeutics, Inc. held by Schooner Century Fund LLC. The ability of the shares of Series A Preferred Stock or Series B Preferred Stock held by Schooner Century Fund LLC to convert into shares of Common Stock are subject to beneficial ownership limitations, such that Schooner Century Fund LLC may not convert shares of Series A Preferred Stock or Series B Preferred Stock into Common Stock to the extent that doing so would result in such holder beneficially owning greater than 4.9% of the Company's outstanding Common Stock after giving effect to any such conversion.</w:t>
      </w:r>
    </w:p>
    <w:p>
      <w:pPr>
        <w:spacing w:after="0" w:line="18"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461,147 shares of Common Stock held by Fidelity Growth Company Commingled Pool.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375,000 shares of Common Stock held by Fidelity Select Portfolios: Biotechnology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7"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369,621 shares of Common Stock and 5,379 shares of Common Stock underlying Series B Preferred Stock held directly by Citadel CEMF Investments Ltd. Citadel Advisors LLC is the portfolio manager of Citadel CEMF Investments LTD. Citadel Advisors Holdings LP (“CAH”) is the sole member of Citadel Advisors LLC. Citadel GP LLC (“CGP”) is the general partner of CAH. Kenneth Griffin owns a controlling interest in CGP. Mr. Griffin, as the owner of a controlling interest in CGP, may be deemed to have shared power to vote or direct the vote of, and/or shared power to dispose or direct the disposition over, these securities. The address of Citadel CEMF Investments Ltd. is c/o Citadel Enterprise Americas LLC, Southeast Financial Center, 200 S. Biscayne Blvd., Suite 3300, Miami, FL 33131.</w:t>
      </w:r>
    </w:p>
    <w:p>
      <w:pPr>
        <w:spacing w:after="0" w:line="15"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368,992 shares of Common Stock held by Fidelity Select Portfolios: Select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341,346 shares of Common Stock held by Fidelity Mt. Vernon Street Trust: Fidelity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246,413 shares of Common Stock and 3,587 shares of Common Stock underlying Series B Preferred Stock held directly by Invus Public Equities, L.P. (“IPE”). Additionally, IPE holds 279,989 shares of Common Stock and 43,973 shares of Common Stock underlying warrants that are exercisable within 60 days of the date hereof that are not registered for resale hereby. Invus Public Equities Advisors, LLC (“IPEA”) controls IPE, as its general partner and accordingly, may be deemed to beneficially own the shares held by IPE. Invus Global Management, LLC (“IGM”) controls IPEA, as its managing member and accordingly, may be deemed to beneficially own the shares that IPEA may be deemed to beneficially own. Siren, L.L.C. (“Siren”) controls IGM, as its managing member and accordingly, may be deemed to beneficially own the shares that IGM may be deemed to beneficially own. Mr. Raymond Debbane, as the managing member of Siren, controls Siren and accordingly, may be deemed to beneficially own the shares that Siren may be deemed to beneficially own. The address of Invus Public Equities, L.P. is 750 Lexington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0" w:name="page131"/>
    <w:bookmarkEnd w:id="13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Ave, 30th Floor, New York, NY 10022.</w:t>
      </w:r>
    </w:p>
    <w:p>
      <w:pPr>
        <w:spacing w:after="0" w:line="29" w:lineRule="exact"/>
        <w:rPr>
          <w:sz w:val="20"/>
          <w:szCs w:val="20"/>
          <w:color w:val="auto"/>
        </w:rPr>
      </w:pPr>
    </w:p>
    <w:p>
      <w:pPr>
        <w:ind w:left="1100" w:right="81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230,254 shares of Common Stock held by Fidelity Advisor Series VII: Fidelity Advisor Health Care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79" w:hanging="301"/>
        <w:spacing w:after="0" w:line="217"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197,130 shares of Common Stock and 2,870 shares of Common Stock underlying Series B Preferred Stock held directly by HBM Healthcare Investments (Cayman) Ltd. Voting and investment power over the shares held by HBM Healthcare Investments (Cayman) Ltd. is exercised by the board of directors of HBM Healthcare Investments (Cayman) Ltd. (the “HBM Board”). The HBM Board consists of Jean-Marc Lesieur, Richard H. Coles, Sophia Harris, Dr. Andreas Wicki, Mark Kronenfeld, M.D. and Richard Paul Woodhouse, none of whom has individual voting or investment power with respect to the shares. The address of HBM Healthcare Investments (Cayman) Ltd. is Governor’s Square, 23 Lime Tree Bay Ave., PO Box 30852, Grand Cayman, KY1-1204, Cayman Islands.</w:t>
      </w:r>
    </w:p>
    <w:p>
      <w:pPr>
        <w:spacing w:after="0" w:line="15" w:lineRule="exact"/>
        <w:rPr>
          <w:rFonts w:ascii="Times New Roman" w:cs="Times New Roman" w:eastAsia="Times New Roman" w:hAnsi="Times New Roman"/>
          <w:sz w:val="13"/>
          <w:szCs w:val="13"/>
          <w:color w:val="auto"/>
        </w:rPr>
      </w:pPr>
    </w:p>
    <w:p>
      <w:pPr>
        <w:ind w:left="1100" w:right="839" w:hanging="301"/>
        <w:spacing w:after="0" w:line="230" w:lineRule="auto"/>
        <w:tabs>
          <w:tab w:leader="none" w:pos="110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(i) 108,816 shares of Common Stock and 1,584 shares of Common Stock underlying Series B Preferred Stock held by Biomedical Value Fund, L.P. (“BMVF”), (ii) 74,909 shares of Common Stock and 1,091 shares of Common Stock underlying Series B Preferred Stock held by Biomedical Offshore Value Fund, Ltd. (“BOVF”), and (iii) 13,405 shares of Common Stock and 195 shares of Common Stock underlying Series B Preferred Stock held by Cheyne Select Master Fund ICAV – Cheyne Global Equity Fund ((“CGEF”) and together with BMVF and BOVF, the “GPP Entities”)). Great Point Partners LLC (“GPP LLC”) is the investment manager of BMVF and BOVF and the sub-advisor to CGEF, and by virtue of such status may be deemed to be the beneficial owner of the securities held by the GPP Entities. Each of Dr. Jeffrey R. Jay, M.D., as Senior Managing Member of GPP LLC, and</w:t>
      </w:r>
    </w:p>
    <w:p>
      <w:pPr>
        <w:spacing w:after="0" w:line="2" w:lineRule="exact"/>
        <w:rPr>
          <w:rFonts w:ascii="Times New Roman" w:cs="Times New Roman" w:eastAsia="Times New Roman" w:hAnsi="Times New Roman"/>
          <w:sz w:val="12"/>
          <w:szCs w:val="12"/>
          <w:color w:val="auto"/>
        </w:rPr>
      </w:pPr>
    </w:p>
    <w:p>
      <w:pPr>
        <w:ind w:left="1100" w:right="1039"/>
        <w:spacing w:after="0" w:line="23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Ortav Yehudai, as Managing Director of GPP LLC, has voting and investment power with respect to securities held by the GPP Entities, and therefore may be deemed to be the beneficial owner of the securities held by the GPP Entities. Notwithstanding the above, GPP LLC, Dr. Jay and Mr. Yehudai disclaim beneficial ownership of the securities held by the GPP Entities except to the extent of their respective pecuniary interests. The address of the GPP Entities is 165 Mason Street, 3rd Floor, Greenwich, CT 06830.</w:t>
      </w:r>
    </w:p>
    <w:p>
      <w:pPr>
        <w:spacing w:after="0" w:line="15" w:lineRule="exact"/>
        <w:rPr>
          <w:rFonts w:ascii="Times New Roman" w:cs="Times New Roman" w:eastAsia="Times New Roman" w:hAnsi="Times New Roman"/>
          <w:sz w:val="12"/>
          <w:szCs w:val="12"/>
          <w:color w:val="auto"/>
        </w:rPr>
      </w:pPr>
    </w:p>
    <w:p>
      <w:pPr>
        <w:ind w:left="1100" w:right="81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167,950 shares of Common Stock held by Fidelity Advisor Series VII: Fidelity Advisor Biotechnology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108,576 shares of Common Stock held by Fidelity Mt. Vernon Street Trust: Fidelity Growth Company K6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20"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98,565 shares of Common Stock and 1,435 shares of Common Stock underlying shares of Series B Preferred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w:t>
      </w:r>
    </w:p>
    <w:p>
      <w:pPr>
        <w:spacing w:after="0" w:line="15"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88,931 shares of Common Stock held by Fidelity Mt. Vernon Street Trust: Fidelity Series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56,954 shares of Common Stock held by Variable Insurance Products Fund IV: VIP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79" w:hanging="301"/>
        <w:spacing w:after="0" w:line="237"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49,283 shares of Common Stock and 717 shares of Common Stock underlying Series B Preferred Stock held directly by Schonfeld Global Master Fund L.P. Ryan Tolkin, the CEO and CIO of Schonfeld Strategic</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1" w:name="page132"/>
    <w:bookmarkEnd w:id="1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919"/>
        <w:spacing w:after="0" w:line="228" w:lineRule="auto"/>
        <w:rPr>
          <w:sz w:val="20"/>
          <w:szCs w:val="20"/>
          <w:color w:val="auto"/>
        </w:rPr>
      </w:pPr>
      <w:r>
        <w:rPr>
          <w:rFonts w:ascii="Times New Roman" w:cs="Times New Roman" w:eastAsia="Times New Roman" w:hAnsi="Times New Roman"/>
          <w:sz w:val="13"/>
          <w:szCs w:val="13"/>
          <w:color w:val="auto"/>
        </w:rPr>
        <w:t>Advisors LLC has voting and dispositive power of these securities and therefore may be deemed to be the beneficial owner thereof. The address of Schonfeld Global Master Fund L.P. is c/o Schonfeld Strategic Advisors LLC, 590 Madison Avenue, 23rd Floor, New York, NY 10022.</w:t>
      </w:r>
    </w:p>
    <w:p>
      <w:pPr>
        <w:spacing w:after="0" w:line="13" w:lineRule="exact"/>
        <w:rPr>
          <w:sz w:val="20"/>
          <w:szCs w:val="20"/>
          <w:color w:val="auto"/>
        </w:rPr>
      </w:pPr>
    </w:p>
    <w:p>
      <w:pPr>
        <w:jc w:val="both"/>
        <w:ind w:left="1100" w:right="839" w:hanging="301"/>
        <w:spacing w:after="0" w:line="250" w:lineRule="auto"/>
        <w:tabs>
          <w:tab w:leader="none" w:pos="11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29,570 shares of Common Stock and 430 shares of Common Stock underlying shares of Series B Preferred Stock. Ari Zweiman has voting and investment power with respect to these securities and therefore may be deemed to be the beneficial owner thereof. The address of 683 Capital Partners, LP is 1700 Broadway, Suite 4200, New York, NY 10019.</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Relationship with the Selling Stockholders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addition to the Securities Purchase Agreement, in connection with the Private Placement, we entered into the RRA on July 2, 2024 with the Selling Stockholders. Timothy A. Springer, Ph.D. is a member of our Board of Directors and also participated in the November 2023 Private Placement and was party to the November 2023 RRA. TAS Partners LLC and Dr. Chafen Lu are affiliated with Dr. Springer and TAS Partners LLC also participated in the November 2023 Private Placement and was party to the November 2023 RRA. See “Certain Relationships and Related Transactions.”</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Registration Rights Agreements</w:t>
      </w:r>
    </w:p>
    <w:p>
      <w:pPr>
        <w:spacing w:after="0" w:line="103"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Pursuant to the terms of the RRA, we agreed to prepare and file with the SEC a registration statement that permits the resale or other disposition of the Selling Stockholders’ shares of Common Stock issued and shares of Common Stock issuable upon conversion of the Series B Preferred Stock issued to such Selling Stockholders pursuant to the Securities Purchase Agreement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RRA). This registration statement is being filed in order to satisfy our obligations under the RRA.</w:t>
      </w:r>
    </w:p>
    <w:p>
      <w:pPr>
        <w:spacing w:after="0" w:line="7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have also agreed, among other things, to indemnify the Selling Stockholders and each of their respective officers, directors, agents, partners, members, managers, stockholders, affiliates, investment advisers and employees, each person who controls any such Selling Stockholder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2" w:name="page133"/>
    <w:bookmarkEnd w:id="1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are registering resales of Resale Shares to permit the sale, transfer or other disposition of the Resale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68" w:lineRule="exact"/>
        <w:rPr>
          <w:sz w:val="20"/>
          <w:szCs w:val="20"/>
          <w:color w:val="auto"/>
        </w:rPr>
      </w:pPr>
    </w:p>
    <w:p>
      <w:pPr>
        <w:ind w:left="800" w:right="1179"/>
        <w:spacing w:after="0" w:line="276" w:lineRule="auto"/>
        <w:rPr>
          <w:sz w:val="20"/>
          <w:szCs w:val="20"/>
          <w:color w:val="auto"/>
        </w:rPr>
      </w:pPr>
      <w:r>
        <w:rPr>
          <w:rFonts w:ascii="Times New Roman" w:cs="Times New Roman" w:eastAsia="Times New Roman" w:hAnsi="Times New Roman"/>
          <w:sz w:val="15"/>
          <w:szCs w:val="15"/>
          <w:color w:val="auto"/>
        </w:rPr>
        <w:t>The Selling Stockholders may sell all or a portion of the Resale Shares beneficially owned by them and offered hereby from time to time, and in the case of shares of Common Stock issuable upon the conversion of the</w:t>
      </w:r>
    </w:p>
    <w:p>
      <w:pPr>
        <w:ind w:left="800" w:right="839"/>
        <w:spacing w:after="0" w:line="248" w:lineRule="auto"/>
        <w:rPr>
          <w:sz w:val="20"/>
          <w:szCs w:val="20"/>
          <w:color w:val="auto"/>
        </w:rPr>
      </w:pPr>
      <w:r>
        <w:rPr>
          <w:rFonts w:ascii="Times New Roman" w:cs="Times New Roman" w:eastAsia="Times New Roman" w:hAnsi="Times New Roman"/>
          <w:sz w:val="16"/>
          <w:szCs w:val="16"/>
          <w:color w:val="auto"/>
        </w:rPr>
        <w:t>Series B Preferred Stock, may only be offered after such shares are converted to shares of Common Stock pursuant to the terms of the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77" w:lineRule="exact"/>
        <w:rPr>
          <w:sz w:val="20"/>
          <w:szCs w:val="20"/>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101"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will attempt to sell the shares as agent but may position and resell a portion of the block as principal to facilitate the transaction;</w:t>
      </w:r>
    </w:p>
    <w:p>
      <w:pPr>
        <w:spacing w:after="0" w:line="50"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underwriters or purchases by a broker-dealer as principal and resale by the broker-dealer for its account;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 entered into after the effective date of the registration statement of which this prospectus is a part;</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 may agree with the Selling Stockholders to sell a specified number of such Resale Shares at a stipulated price per share;</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such options are listed on an options exchange or otherwise;</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01"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Selling Stockholders also may resell all or a portion of the Resale Shares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3" w:name="page134"/>
    <w:bookmarkEnd w:id="1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Resale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70"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7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77" w:lineRule="exact"/>
        <w:rPr>
          <w:sz w:val="20"/>
          <w:szCs w:val="20"/>
          <w:color w:val="auto"/>
        </w:rPr>
      </w:pPr>
    </w:p>
    <w:p>
      <w:pPr>
        <w:jc w:val="both"/>
        <w:ind w:left="800" w:right="879"/>
        <w:spacing w:after="0" w:line="257" w:lineRule="auto"/>
        <w:rPr>
          <w:sz w:val="20"/>
          <w:szCs w:val="20"/>
          <w:color w:val="auto"/>
        </w:rPr>
      </w:pPr>
      <w:r>
        <w:rPr>
          <w:rFonts w:ascii="Times New Roman" w:cs="Times New Roman" w:eastAsia="Times New Roman" w:hAnsi="Times New Roman"/>
          <w:sz w:val="16"/>
          <w:szCs w:val="16"/>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67"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There can be no assurance that any Selling Stockholder will sell any or all of the Resale Shares registered pursuant to the shelf registration statement of which this prospectus forms a part.</w:t>
      </w:r>
    </w:p>
    <w:p>
      <w:pPr>
        <w:spacing w:after="0" w:line="50" w:lineRule="exact"/>
        <w:rPr>
          <w:sz w:val="20"/>
          <w:szCs w:val="20"/>
          <w:color w:val="auto"/>
        </w:rPr>
      </w:pPr>
    </w:p>
    <w:p>
      <w:pPr>
        <w:ind w:left="800" w:right="1319"/>
        <w:spacing w:after="0" w:line="312" w:lineRule="auto"/>
        <w:rPr>
          <w:sz w:val="20"/>
          <w:szCs w:val="20"/>
          <w:color w:val="auto"/>
        </w:rPr>
      </w:pPr>
      <w:r>
        <w:rPr>
          <w:rFonts w:ascii="Times New Roman" w:cs="Times New Roman" w:eastAsia="Times New Roman" w:hAnsi="Times New Roman"/>
          <w:sz w:val="15"/>
          <w:szCs w:val="15"/>
          <w:color w:val="auto"/>
        </w:rPr>
        <w:t>Each Selling Stockholder and any other person participating in such distribution will be subject to applicable provisions of the Exchange Act and the rules and regulations thereunder, including, without limitation, to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4" w:name="page135"/>
    <w:bookmarkEnd w:id="1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will pay all expenses of the registration of the Resale Shares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RRA, or the Selling Stockholders will be entitled to contribution. We may be indemnified by the Selling Stockholders against certain civil liabilities set forth in the RRA, including liabilities under the Securities Act, that may arise from any written information furnished to us by the Selling Stockholders specifically for use in this prospectus, in accordance with the related RRA, or we may be entitled to contribution.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5" w:name="page136"/>
    <w:bookmarkEnd w:id="1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The following description of our capital stock is not complete and may not contain all the information you should consider before investing in our capital stock. This description is summarized from, and qualified in its entirety by reference to, our Charter, our Bylaws, and the applicable provisions of the Delaware General Corporation Law (the “DGCL”). Each of our Charter and Bylaws is filed as an exhibit to the registration statement of which this prospectus forms a part.</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3" w:lineRule="exact"/>
        <w:rPr>
          <w:sz w:val="20"/>
          <w:szCs w:val="20"/>
          <w:color w:val="auto"/>
        </w:rPr>
      </w:pPr>
    </w:p>
    <w:p>
      <w:pPr>
        <w:ind w:left="800" w:right="1179"/>
        <w:spacing w:after="0" w:line="255" w:lineRule="auto"/>
        <w:rPr>
          <w:sz w:val="20"/>
          <w:szCs w:val="20"/>
          <w:color w:val="auto"/>
        </w:rPr>
      </w:pPr>
      <w:r>
        <w:rPr>
          <w:rFonts w:ascii="Times New Roman" w:cs="Times New Roman" w:eastAsia="Times New Roman" w:hAnsi="Times New Roman"/>
          <w:sz w:val="16"/>
          <w:szCs w:val="16"/>
          <w:color w:val="auto"/>
        </w:rPr>
        <w:t>As of the date of this prospectus, our authorized capital stock consists of 360,000,000 shares, comprised of 350,000,000 shares of Common Stock, $0.0001 par value per share, and 10,000,000 shares of preferred stock, $0.0001 par value per share. As of September 3, 2024 there were 21,387,549 shares of our Common Stock outstanding and 3,104,244.592 shares of preferred stock outstanding, of which 166,341.592 were designated as Series A Preferred Stock and 2,937,903 were designated as Series B Preferred Stock.</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w:t>
      </w:r>
    </w:p>
    <w:p>
      <w:pPr>
        <w:spacing w:after="0" w:line="99"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Holders of our Common Stock are entitled to one vote for each share held on all matters submitted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1" w:lineRule="exact"/>
        <w:rPr>
          <w:sz w:val="20"/>
          <w:szCs w:val="20"/>
          <w:color w:val="auto"/>
        </w:rPr>
      </w:pPr>
    </w:p>
    <w:p>
      <w:pPr>
        <w:ind w:left="800" w:right="919"/>
        <w:spacing w:after="0" w:line="264" w:lineRule="auto"/>
        <w:rPr>
          <w:sz w:val="20"/>
          <w:szCs w:val="20"/>
          <w:color w:val="auto"/>
        </w:rPr>
      </w:pPr>
      <w:r>
        <w:rPr>
          <w:rFonts w:ascii="Times New Roman" w:cs="Times New Roman" w:eastAsia="Times New Roman" w:hAnsi="Times New Roman"/>
          <w:sz w:val="16"/>
          <w:szCs w:val="16"/>
          <w:i w:val="1"/>
          <w:iCs w:val="1"/>
          <w:color w:val="auto"/>
        </w:rPr>
        <w:t>Rights upon Liquidation</w:t>
      </w:r>
      <w:r>
        <w:rPr>
          <w:rFonts w:ascii="Times New Roman" w:cs="Times New Roman" w:eastAsia="Times New Roman" w:hAnsi="Times New Roman"/>
          <w:sz w:val="16"/>
          <w:szCs w:val="16"/>
          <w:color w:val="auto"/>
        </w:rPr>
        <w:t>. In the event of our liquidation or dissolution, the holders of Common Stock are entitled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 proportionately our net assets available for distribution to stockholders after the payment of all debts and other liabilities and subject to the prior rights of any outstanding preferred stock</w:t>
      </w:r>
    </w:p>
    <w:p>
      <w:pPr>
        <w:spacing w:after="0" w:line="58" w:lineRule="exact"/>
        <w:rPr>
          <w:sz w:val="20"/>
          <w:szCs w:val="20"/>
          <w:color w:val="auto"/>
        </w:rPr>
      </w:pPr>
    </w:p>
    <w:p>
      <w:pPr>
        <w:ind w:left="800" w:right="81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Dividend Rights. </w:t>
      </w:r>
      <w:r>
        <w:rPr>
          <w:rFonts w:ascii="Times New Roman" w:cs="Times New Roman" w:eastAsia="Times New Roman" w:hAnsi="Times New Roman"/>
          <w:sz w:val="16"/>
          <w:szCs w:val="16"/>
          <w:color w:val="auto"/>
        </w:rPr>
        <w:t>Holders of Common Stock are entitled to receive proportionately any dividends as may be declared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our board of directors, subject to any preferential dividend rights of outstanding preferred stock.</w:t>
      </w:r>
    </w:p>
    <w:p>
      <w:pPr>
        <w:spacing w:after="0" w:line="46" w:lineRule="exact"/>
        <w:rPr>
          <w:sz w:val="20"/>
          <w:szCs w:val="20"/>
          <w:color w:val="auto"/>
        </w:rPr>
      </w:pPr>
    </w:p>
    <w:p>
      <w:pPr>
        <w:ind w:left="800" w:right="959"/>
        <w:spacing w:after="0" w:line="264" w:lineRule="auto"/>
        <w:rPr>
          <w:sz w:val="20"/>
          <w:szCs w:val="20"/>
          <w:color w:val="auto"/>
        </w:rPr>
      </w:pPr>
      <w:r>
        <w:rPr>
          <w:rFonts w:ascii="Times New Roman" w:cs="Times New Roman" w:eastAsia="Times New Roman" w:hAnsi="Times New Roman"/>
          <w:sz w:val="16"/>
          <w:szCs w:val="16"/>
          <w:i w:val="1"/>
          <w:iCs w:val="1"/>
          <w:color w:val="auto"/>
        </w:rPr>
        <w:t>Other Rights</w:t>
      </w:r>
      <w:r>
        <w:rPr>
          <w:rFonts w:ascii="Times New Roman" w:cs="Times New Roman" w:eastAsia="Times New Roman" w:hAnsi="Times New Roman"/>
          <w:sz w:val="16"/>
          <w:szCs w:val="16"/>
          <w:color w:val="auto"/>
        </w:rPr>
        <w:t>. Holders of Common Stock have no preemptive, subscription, redemption or conversion rights.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rights, preferences and privileges of holders of Common Stock are subject to and may be adversely affected by the rights of the holders of shares of any series of preferred stock that we may designate and issue in the future.</w:t>
      </w: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Pursuant to the Charter, our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any prospectus relating to offers and sales of any such preferred stock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1" w:lineRule="exact"/>
        <w:rPr>
          <w:sz w:val="20"/>
          <w:szCs w:val="20"/>
          <w:color w:val="auto"/>
        </w:rPr>
      </w:pPr>
    </w:p>
    <w:p>
      <w:pPr>
        <w:ind w:left="1420" w:hanging="305"/>
        <w:spacing w:after="0"/>
        <w:tabs>
          <w:tab w:leader="none" w:pos="14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and stated value;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offered;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6" w:name="page137"/>
    <w:bookmarkEnd w:id="1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liquidation preference per share;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per share;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rate(s), period(s) and/or payment date(s) or method(s) of calculation for dividends;</w:t>
      </w:r>
    </w:p>
    <w:p>
      <w:pPr>
        <w:spacing w:after="0" w:line="101"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dividends are cumulative or non-cumulative and, if cumulative, the date from which dividends will accumulate;</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if any, to defer payment of dividends and the maximum length of such deferral period;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for auction and remarketing,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for a sinking fund, if any;</w:t>
      </w:r>
    </w:p>
    <w:p>
      <w:pPr>
        <w:spacing w:after="0" w:line="101"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for redemption or repurchase, if applicable, and any restrictions on our ability to exercise those redemption and repurchase rights;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listing of the preferred stock on any securities exchange or market;</w:t>
      </w:r>
    </w:p>
    <w:p>
      <w:pPr>
        <w:spacing w:after="0" w:line="101"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if applicable, upon which the preferred stock will be convertible into Common Stock, including the conversion price (or manner of calculation) and conversion period;</w:t>
      </w:r>
    </w:p>
    <w:p>
      <w:pPr>
        <w:spacing w:after="0" w:line="50" w:lineRule="exact"/>
        <w:rPr>
          <w:rFonts w:ascii="Times New Roman" w:cs="Times New Roman" w:eastAsia="Times New Roman" w:hAnsi="Times New Roman"/>
          <w:sz w:val="16"/>
          <w:szCs w:val="16"/>
          <w:color w:val="auto"/>
        </w:rPr>
      </w:pPr>
    </w:p>
    <w:p>
      <w:pPr>
        <w:ind w:left="1420" w:right="115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stock will be exchangeable into debt securities, and, if applicable, the exchange price, or how it will be calculated, and the exchange period;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rights, if any, of the preferred stock;</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preemptive rights,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transfer, sale or other assignment,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interests in the preferred stock will be represented by depositary shares;</w:t>
      </w:r>
    </w:p>
    <w:p>
      <w:pPr>
        <w:spacing w:after="0" w:line="101"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any material and/or special U.S. federal income tax considerations applicable to the preferred stock;</w:t>
      </w:r>
    </w:p>
    <w:p>
      <w:pPr>
        <w:spacing w:after="0" w:line="50" w:lineRule="exact"/>
        <w:rPr>
          <w:rFonts w:ascii="Times New Roman" w:cs="Times New Roman" w:eastAsia="Times New Roman" w:hAnsi="Times New Roman"/>
          <w:sz w:val="16"/>
          <w:szCs w:val="16"/>
          <w:color w:val="auto"/>
        </w:rPr>
      </w:pPr>
    </w:p>
    <w:p>
      <w:pPr>
        <w:ind w:left="1420" w:right="133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ranking and preferences of the preferred stock as to dividend rights and rights upon the liquidation, dissolution or winding up of our affairs;</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62"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specific terms, preferences, rights, limitations or restrictions of the preferred stock.</w:t>
      </w:r>
    </w:p>
    <w:p>
      <w:pPr>
        <w:spacing w:after="0" w:line="10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68" w:lineRule="exact"/>
        <w:rPr>
          <w:sz w:val="20"/>
          <w:szCs w:val="20"/>
          <w:color w:val="auto"/>
        </w:rPr>
      </w:pPr>
    </w:p>
    <w:p>
      <w:pPr>
        <w:jc w:val="both"/>
        <w:ind w:left="800" w:right="839"/>
        <w:spacing w:after="0" w:line="262" w:lineRule="auto"/>
        <w:rPr>
          <w:sz w:val="20"/>
          <w:szCs w:val="20"/>
          <w:color w:val="auto"/>
        </w:rPr>
      </w:pPr>
      <w:r>
        <w:rPr>
          <w:rFonts w:ascii="Times New Roman" w:cs="Times New Roman" w:eastAsia="Times New Roman" w:hAnsi="Times New Roman"/>
          <w:sz w:val="16"/>
          <w:szCs w:val="16"/>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62" w:lineRule="exact"/>
        <w:rPr>
          <w:sz w:val="20"/>
          <w:szCs w:val="20"/>
          <w:color w:val="auto"/>
        </w:rPr>
      </w:pPr>
    </w:p>
    <w:p>
      <w:pPr>
        <w:ind w:left="800" w:right="1339"/>
        <w:spacing w:after="0" w:line="277" w:lineRule="auto"/>
        <w:rPr>
          <w:sz w:val="20"/>
          <w:szCs w:val="20"/>
          <w:color w:val="auto"/>
        </w:rPr>
      </w:pPr>
      <w:r>
        <w:rPr>
          <w:rFonts w:ascii="Times New Roman" w:cs="Times New Roman" w:eastAsia="Times New Roman" w:hAnsi="Times New Roman"/>
          <w:sz w:val="16"/>
          <w:szCs w:val="16"/>
          <w:color w:val="auto"/>
        </w:rPr>
        <w:t>The transfer agent and registrar for any series of preferred stock will be set forth in the applicable prospectus supplement.</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Series A Preferred Stock</w:t>
      </w:r>
    </w:p>
    <w:p>
      <w:pPr>
        <w:spacing w:after="0" w:line="103" w:lineRule="exact"/>
        <w:rPr>
          <w:sz w:val="20"/>
          <w:szCs w:val="20"/>
          <w:color w:val="auto"/>
        </w:rPr>
      </w:pPr>
    </w:p>
    <w:p>
      <w:pPr>
        <w:ind w:left="800" w:right="81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Conversion. </w:t>
      </w:r>
      <w:r>
        <w:rPr>
          <w:rFonts w:ascii="Times New Roman" w:cs="Times New Roman" w:eastAsia="Times New Roman" w:hAnsi="Times New Roman"/>
          <w:sz w:val="16"/>
          <w:szCs w:val="16"/>
          <w:color w:val="auto"/>
        </w:rPr>
        <w:t>The outstanding shares of Series A Preferred Stock may convert into shares of Common Stock, subject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certain beneficial ownership limitations, including that a holder of Series A Preferred Stock (except for any holder of Series A Preferred Stock who beneficially owned greater than 19.9% of our Common Stock immediately prior to the Merger) is prohibited from converting shares of Series A Preferred Stock into shares of Common Stock if, as a result of such conversion, such holder, together with its affiliates, would beneficially own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7" w:name="page138"/>
    <w:bookmarkEnd w:id="1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more than a specified percentage (to be established by the holder between 0% and 19.9%) of the total number of shares of Common Stock issued and outstanding immediately after giving effect to such conversion (the “Series A Beneficial Ownership Limitation”). Each outstanding share of Series A Preferred Stock is convertible, at any time and from time to time, at the option of the holder thereof, into 33.333 shares of Common Stock, subject to the Series A Beneficial Ownership Limitation and only to the extent the same shall have ceased to apply.</w:t>
      </w:r>
    </w:p>
    <w:p>
      <w:pPr>
        <w:spacing w:after="0" w:line="66"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Except as otherwise required by law (e.g. voting on a change to the authorized shares of Series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or the rights of such shares as required by the DGCL) and the Series A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(b) alter or amend the Series A Certificate of Designation, (c) amend the Charter or other organizational documents in any matter that adversely affects any rights of the holders of Series A Preferred Stock,</w:t>
      </w:r>
    </w:p>
    <w:p>
      <w:pPr>
        <w:spacing w:after="0" w:line="2" w:lineRule="exact"/>
        <w:rPr>
          <w:sz w:val="20"/>
          <w:szCs w:val="20"/>
          <w:color w:val="auto"/>
        </w:rPr>
      </w:pPr>
    </w:p>
    <w:p>
      <w:pPr>
        <w:ind w:left="800" w:right="839" w:hanging="1"/>
        <w:spacing w:after="0" w:line="248" w:lineRule="auto"/>
        <w:tabs>
          <w:tab w:leader="none" w:pos="102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further shares of Series A Preferred Stock (other than in connection with the exercise of assumed Cartesian options to purchase shares of Series A Preferred Stock), (e)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75" w:lineRule="exact"/>
        <w:rPr>
          <w:sz w:val="20"/>
          <w:szCs w:val="20"/>
          <w:color w:val="auto"/>
        </w:rPr>
      </w:pPr>
    </w:p>
    <w:p>
      <w:pPr>
        <w:ind w:left="800" w:right="1019"/>
        <w:spacing w:after="0" w:line="264"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Holders of Series A Preferred Stock are entitled to receive non-cumulative dividends on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 Preferred Stock equal, on an as-if-converted-to-Common-Stock basis, and in the same form as dividends actually paid on shares of the Common Stock.</w:t>
      </w:r>
    </w:p>
    <w:p>
      <w:pPr>
        <w:spacing w:after="0" w:line="58" w:lineRule="exact"/>
        <w:rPr>
          <w:sz w:val="20"/>
          <w:szCs w:val="20"/>
          <w:color w:val="auto"/>
        </w:rPr>
      </w:pPr>
    </w:p>
    <w:p>
      <w:pPr>
        <w:ind w:left="800" w:right="133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Liquidation and Dissolution. </w:t>
      </w:r>
      <w:r>
        <w:rPr>
          <w:rFonts w:ascii="Times New Roman" w:cs="Times New Roman" w:eastAsia="Times New Roman" w:hAnsi="Times New Roman"/>
          <w:sz w:val="16"/>
          <w:szCs w:val="16"/>
          <w:color w:val="auto"/>
        </w:rPr>
        <w:t>The Series A Preferred Stock ranks on parity with Common Stock and Series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upon any liquidation, dissolution or winding-up of the Company.</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Preemptive Rights</w:t>
      </w:r>
      <w:r>
        <w:rPr>
          <w:rFonts w:ascii="Times New Roman" w:cs="Times New Roman" w:eastAsia="Times New Roman" w:hAnsi="Times New Roman"/>
          <w:sz w:val="16"/>
          <w:szCs w:val="16"/>
          <w:color w:val="auto"/>
        </w:rPr>
        <w:t>. The Series A Preferred Stock does not have preemptive rights.</w:t>
      </w:r>
    </w:p>
    <w:p>
      <w:pPr>
        <w:spacing w:after="0" w:line="101" w:lineRule="exact"/>
        <w:rPr>
          <w:sz w:val="20"/>
          <w:szCs w:val="20"/>
          <w:color w:val="auto"/>
        </w:rPr>
      </w:pPr>
    </w:p>
    <w:p>
      <w:pPr>
        <w:ind w:left="800" w:right="1099"/>
        <w:spacing w:after="0" w:line="280" w:lineRule="auto"/>
        <w:rPr>
          <w:sz w:val="20"/>
          <w:szCs w:val="20"/>
          <w:color w:val="auto"/>
        </w:rPr>
      </w:pPr>
      <w:r>
        <w:rPr>
          <w:rFonts w:ascii="Times New Roman" w:cs="Times New Roman" w:eastAsia="Times New Roman" w:hAnsi="Times New Roman"/>
          <w:sz w:val="16"/>
          <w:szCs w:val="16"/>
          <w:i w:val="1"/>
          <w:iCs w:val="1"/>
          <w:color w:val="auto"/>
        </w:rPr>
        <w:t>Transferability</w:t>
      </w:r>
      <w:r>
        <w:rPr>
          <w:rFonts w:ascii="Times New Roman" w:cs="Times New Roman" w:eastAsia="Times New Roman" w:hAnsi="Times New Roman"/>
          <w:sz w:val="16"/>
          <w:szCs w:val="16"/>
          <w:color w:val="auto"/>
        </w:rPr>
        <w:t>. The Series A Certificate of Designation does not contain any restrictions upon the transfer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 Preferred Stock.</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Series B Preferred Stock</w:t>
      </w:r>
    </w:p>
    <w:p>
      <w:pPr>
        <w:spacing w:after="0" w:line="10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Conversion. </w:t>
      </w:r>
      <w:r>
        <w:rPr>
          <w:rFonts w:ascii="Times New Roman" w:cs="Times New Roman" w:eastAsia="Times New Roman" w:hAnsi="Times New Roman"/>
          <w:sz w:val="15"/>
          <w:szCs w:val="15"/>
          <w:color w:val="auto"/>
        </w:rPr>
        <w:t>We have agreed to submit to our stockholders for their consideration the Conversion Proposal. 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of 5:00 p.m. (Eastern time) on the third business day after the date on which such stockholder approval is received, each share of Series B Preferred Stock will automatically convert into one share of Common Stock (the “Automatic Conversion”). The Automatic Conversion is subject to certain beneficial ownership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(the “Beneficial Ownership Limitation”). Following the Automatic Conversion, each share of Series B Preferred Stock that is not otherwise converted into Common Stock as a result of the Beneficial Ownership Limitation shall be convertible, at any time and from time to time, at the option of the Holder thereof, into one share of Common Stock, subject to the Beneficial Ownership Limitation and only to the extent the same shall have ceased to apply.</w:t>
      </w:r>
    </w:p>
    <w:p>
      <w:pPr>
        <w:spacing w:after="0" w:line="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Except as otherwise required by law (e.g. voting on a change to the authorized shares of Series B</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or the rights of such shares as required by the DGCL) and the Certificate of Designation,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Series B Preferred Stock does not have voting rights. However, as long as any shares of Series B Preferred Stock are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outstanding, we will not, without the affirmative vote of the holders of a majority of the then outstanding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Series B Preferred Stock, (a) alter or change adversely the powers, preferences or rights given to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8" w:name="page139"/>
    <w:bookmarkEnd w:id="1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312" w:lineRule="auto"/>
        <w:rPr>
          <w:sz w:val="20"/>
          <w:szCs w:val="20"/>
          <w:color w:val="auto"/>
        </w:rPr>
      </w:pPr>
      <w:r>
        <w:rPr>
          <w:rFonts w:ascii="Times New Roman" w:cs="Times New Roman" w:eastAsia="Times New Roman" w:hAnsi="Times New Roman"/>
          <w:sz w:val="15"/>
          <w:szCs w:val="15"/>
          <w:color w:val="auto"/>
        </w:rPr>
        <w:t>the Series B Preferred Stock, (b) alter or amend the Certificate of Designation, or (c) amend the Charter or other organizational documents in any matter that adversely affects any rights of the holders of Series B Preferred Stock.</w:t>
      </w:r>
    </w:p>
    <w:p>
      <w:pPr>
        <w:spacing w:after="0" w:line="25" w:lineRule="exact"/>
        <w:rPr>
          <w:sz w:val="20"/>
          <w:szCs w:val="20"/>
          <w:color w:val="auto"/>
        </w:rPr>
      </w:pPr>
    </w:p>
    <w:p>
      <w:pPr>
        <w:ind w:left="800" w:right="1019"/>
        <w:spacing w:after="0" w:line="264"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Holders of Series B Preferred Stock are entitled to receive non-cumulative dividends on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B Preferred Stock equal, on an as-if-converted-to-Common-Stock basis, and in the same form as dividends actually paid on shares of the Common Stock.</w:t>
      </w:r>
    </w:p>
    <w:p>
      <w:pPr>
        <w:spacing w:after="0" w:line="58" w:lineRule="exact"/>
        <w:rPr>
          <w:sz w:val="20"/>
          <w:szCs w:val="20"/>
          <w:color w:val="auto"/>
        </w:rPr>
      </w:pPr>
    </w:p>
    <w:p>
      <w:pPr>
        <w:ind w:left="800" w:right="133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Liquidation and Dissolution. </w:t>
      </w:r>
      <w:r>
        <w:rPr>
          <w:rFonts w:ascii="Times New Roman" w:cs="Times New Roman" w:eastAsia="Times New Roman" w:hAnsi="Times New Roman"/>
          <w:sz w:val="16"/>
          <w:szCs w:val="16"/>
          <w:color w:val="auto"/>
        </w:rPr>
        <w:t>The Series B Preferred Stock ranks on parity with Common Stock and Series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upon any liquidation, dissolution or winding-up of the Company.</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Preemptive Rights</w:t>
      </w:r>
      <w:r>
        <w:rPr>
          <w:rFonts w:ascii="Times New Roman" w:cs="Times New Roman" w:eastAsia="Times New Roman" w:hAnsi="Times New Roman"/>
          <w:sz w:val="16"/>
          <w:szCs w:val="16"/>
          <w:color w:val="auto"/>
        </w:rPr>
        <w:t>. The Series B Preferred Stock does not have preemptive rights.</w:t>
      </w:r>
    </w:p>
    <w:p>
      <w:pPr>
        <w:spacing w:after="0" w:line="101" w:lineRule="exact"/>
        <w:rPr>
          <w:sz w:val="20"/>
          <w:szCs w:val="20"/>
          <w:color w:val="auto"/>
        </w:rPr>
      </w:pPr>
    </w:p>
    <w:p>
      <w:pPr>
        <w:ind w:left="800" w:right="1099"/>
        <w:spacing w:after="0" w:line="280" w:lineRule="auto"/>
        <w:rPr>
          <w:sz w:val="20"/>
          <w:szCs w:val="20"/>
          <w:color w:val="auto"/>
        </w:rPr>
      </w:pPr>
      <w:r>
        <w:rPr>
          <w:rFonts w:ascii="Times New Roman" w:cs="Times New Roman" w:eastAsia="Times New Roman" w:hAnsi="Times New Roman"/>
          <w:sz w:val="16"/>
          <w:szCs w:val="16"/>
          <w:i w:val="1"/>
          <w:iCs w:val="1"/>
          <w:color w:val="auto"/>
        </w:rPr>
        <w:t>Transferability</w:t>
      </w:r>
      <w:r>
        <w:rPr>
          <w:rFonts w:ascii="Times New Roman" w:cs="Times New Roman" w:eastAsia="Times New Roman" w:hAnsi="Times New Roman"/>
          <w:sz w:val="16"/>
          <w:szCs w:val="16"/>
          <w:color w:val="auto"/>
        </w:rPr>
        <w:t>. The Certificate of Designation does not contain any restrictions upon the transfer of the Series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103"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Certain holders of our Common Stock or their transferees are entitled to the following rights with respect to the registration of such shares for public resale under the Securities Act.</w:t>
      </w:r>
    </w:p>
    <w:p>
      <w:pPr>
        <w:spacing w:after="0" w:line="50" w:lineRule="exact"/>
        <w:rPr>
          <w:sz w:val="20"/>
          <w:szCs w:val="20"/>
          <w:color w:val="auto"/>
        </w:rPr>
      </w:pPr>
    </w:p>
    <w:p>
      <w:pPr>
        <w:ind w:left="800" w:right="1179"/>
        <w:spacing w:after="0" w:line="262" w:lineRule="auto"/>
        <w:rPr>
          <w:sz w:val="20"/>
          <w:szCs w:val="20"/>
          <w:color w:val="auto"/>
        </w:rPr>
      </w:pPr>
      <w:r>
        <w:rPr>
          <w:rFonts w:ascii="Times New Roman" w:cs="Times New Roman" w:eastAsia="Times New Roman" w:hAnsi="Times New Roman"/>
          <w:sz w:val="16"/>
          <w:szCs w:val="16"/>
          <w:color w:val="auto"/>
        </w:rPr>
        <w:t>These registration rights are granted pursuant to the RRA, the November 2023 RRA, and a registration rights agreement (as amended, the “2020 RRA”) we entered into in connection with the private placement of 180,546 shares of our Common Stock, which closed on July 31, 2020.</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RRA</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July 2, 2024, we entered into the RRA with the purchasers party thereto. Pursuant to the RRA, we are obligated to prepare and file a resale registration statement with the SEC within 30 days of July 3, 2024. We agreed to use our reasonable best efforts to cause this registration statement to be declared effective by the SEC within 90 calendar days of July 3, 2024 (or within 120 calendar days of July 3, 2024 if the SEC reviews the registration statement). The registration statement of which this prospectus forms a part is intended to satisfy these obligations. Once such registration statement is declared effective, the Resale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7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have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71"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November 2023 RRA</w:t>
      </w:r>
    </w:p>
    <w:p>
      <w:pPr>
        <w:spacing w:after="0" w:line="105" w:lineRule="exact"/>
        <w:rPr>
          <w:sz w:val="20"/>
          <w:szCs w:val="20"/>
          <w:color w:val="auto"/>
        </w:rPr>
      </w:pPr>
    </w:p>
    <w:p>
      <w:pPr>
        <w:ind w:left="800" w:right="1199"/>
        <w:spacing w:after="0" w:line="276" w:lineRule="auto"/>
        <w:rPr>
          <w:sz w:val="20"/>
          <w:szCs w:val="20"/>
          <w:color w:val="auto"/>
        </w:rPr>
      </w:pPr>
      <w:r>
        <w:rPr>
          <w:rFonts w:ascii="Times New Roman" w:cs="Times New Roman" w:eastAsia="Times New Roman" w:hAnsi="Times New Roman"/>
          <w:sz w:val="15"/>
          <w:szCs w:val="15"/>
          <w:color w:val="auto"/>
        </w:rPr>
        <w:t>In connection with the Merger and the November 2023 Private Placement, we entered into the November 2023 RRA, pursuant to which we agreed to prepare and file a resale registration statement with the SEC within</w:t>
      </w:r>
    </w:p>
    <w:p>
      <w:pPr>
        <w:ind w:left="800" w:right="1199"/>
        <w:spacing w:after="0" w:line="249" w:lineRule="auto"/>
        <w:rPr>
          <w:sz w:val="20"/>
          <w:szCs w:val="20"/>
          <w:color w:val="auto"/>
        </w:rPr>
      </w:pPr>
      <w:r>
        <w:rPr>
          <w:rFonts w:ascii="Times New Roman" w:cs="Times New Roman" w:eastAsia="Times New Roman" w:hAnsi="Times New Roman"/>
          <w:sz w:val="16"/>
          <w:szCs w:val="16"/>
          <w:color w:val="auto"/>
        </w:rPr>
        <w:t>90 calendar days following November 15, 2023, with respect to the shares of Common Stock underlying the Series A Preferred Stock issued in the November 2023 Private Placement and the Common Stock and Series A Preferred Stock issued to the signatories to the November 2023 RRA in the Merger. We also agreed to use our commercially reasonable efforts to cause such registration statement to be declared effective by the SEC by March 29, 2024 (or by May 13, 2024 if the SEC reviews the registration statement). The parties to the November 2023 have agreed to temporarily waive these registration requirements.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9" w:name="page140"/>
    <w:bookmarkEnd w:id="1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November 2023 RRA.</w:t>
      </w:r>
    </w:p>
    <w:p>
      <w:pPr>
        <w:spacing w:after="0" w:line="68"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Securities of a holder cease to be registrable securities under the November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2020 RRA</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69" w:lineRule="exact"/>
        <w:rPr>
          <w:sz w:val="20"/>
          <w:szCs w:val="20"/>
          <w:color w:val="auto"/>
        </w:rPr>
      </w:pPr>
    </w:p>
    <w:p>
      <w:pPr>
        <w:ind w:left="800" w:right="819"/>
        <w:spacing w:after="0" w:line="256" w:lineRule="auto"/>
        <w:rPr>
          <w:sz w:val="20"/>
          <w:szCs w:val="20"/>
          <w:color w:val="auto"/>
        </w:rPr>
      </w:pPr>
      <w:r>
        <w:rPr>
          <w:rFonts w:ascii="Times New Roman" w:cs="Times New Roman" w:eastAsia="Times New Roman" w:hAnsi="Times New Roman"/>
          <w:sz w:val="16"/>
          <w:szCs w:val="16"/>
          <w:i w:val="1"/>
          <w:iCs w:val="1"/>
          <w:color w:val="auto"/>
        </w:rPr>
        <w:t>Piggyback Registration Rights</w:t>
      </w:r>
      <w:r>
        <w:rPr>
          <w:rFonts w:ascii="Times New Roman" w:cs="Times New Roman" w:eastAsia="Times New Roman" w:hAnsi="Times New Roman"/>
          <w:sz w:val="16"/>
          <w:szCs w:val="16"/>
          <w:color w:val="auto"/>
        </w:rPr>
        <w:t>. Any time we propose to register any shares of our Common Stock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64" w:lineRule="exact"/>
        <w:rPr>
          <w:sz w:val="20"/>
          <w:szCs w:val="20"/>
          <w:color w:val="auto"/>
        </w:rPr>
      </w:pPr>
    </w:p>
    <w:p>
      <w:pPr>
        <w:ind w:left="800" w:right="1059"/>
        <w:spacing w:after="0" w:line="280" w:lineRule="auto"/>
        <w:rPr>
          <w:sz w:val="20"/>
          <w:szCs w:val="20"/>
          <w:color w:val="auto"/>
        </w:rPr>
      </w:pPr>
      <w:r>
        <w:rPr>
          <w:rFonts w:ascii="Times New Roman" w:cs="Times New Roman" w:eastAsia="Times New Roman" w:hAnsi="Times New Roman"/>
          <w:sz w:val="16"/>
          <w:szCs w:val="16"/>
          <w:i w:val="1"/>
          <w:iCs w:val="1"/>
          <w:color w:val="auto"/>
        </w:rPr>
        <w:t>Demand Registration Rights</w:t>
      </w:r>
      <w:r>
        <w:rPr>
          <w:rFonts w:ascii="Times New Roman" w:cs="Times New Roman" w:eastAsia="Times New Roman" w:hAnsi="Times New Roman"/>
          <w:sz w:val="16"/>
          <w:szCs w:val="16"/>
          <w:color w:val="auto"/>
        </w:rPr>
        <w:t>. If the holders of registrable securities request in writing that we effect a registration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respect to all of the registrable securities, we will be required to effect such registration.</w:t>
      </w:r>
    </w:p>
    <w:p>
      <w:pPr>
        <w:spacing w:after="0" w:line="46" w:lineRule="exact"/>
        <w:rPr>
          <w:sz w:val="20"/>
          <w:szCs w:val="20"/>
          <w:color w:val="auto"/>
        </w:rPr>
      </w:pPr>
    </w:p>
    <w:p>
      <w:pPr>
        <w:ind w:left="800" w:right="1019"/>
        <w:spacing w:after="0" w:line="281" w:lineRule="auto"/>
        <w:rPr>
          <w:sz w:val="20"/>
          <w:szCs w:val="20"/>
          <w:color w:val="auto"/>
        </w:rPr>
      </w:pPr>
      <w:r>
        <w:rPr>
          <w:rFonts w:ascii="Times New Roman" w:cs="Times New Roman" w:eastAsia="Times New Roman" w:hAnsi="Times New Roman"/>
          <w:sz w:val="15"/>
          <w:szCs w:val="15"/>
          <w:i w:val="1"/>
          <w:iCs w:val="1"/>
          <w:color w:val="auto"/>
        </w:rPr>
        <w:t>Expenses</w:t>
      </w:r>
      <w:r>
        <w:rPr>
          <w:rFonts w:ascii="Times New Roman" w:cs="Times New Roman" w:eastAsia="Times New Roman" w:hAnsi="Times New Roman"/>
          <w:sz w:val="15"/>
          <w:szCs w:val="15"/>
          <w:color w:val="auto"/>
        </w:rPr>
        <w:t>. Ordinarily, other than underwriting discounts and commissions, we will be required to pay all expenses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47" w:lineRule="exact"/>
        <w:rPr>
          <w:sz w:val="20"/>
          <w:szCs w:val="20"/>
          <w:color w:val="auto"/>
        </w:rPr>
      </w:pPr>
    </w:p>
    <w:p>
      <w:pPr>
        <w:ind w:left="800" w:right="899"/>
        <w:spacing w:after="0" w:line="258" w:lineRule="auto"/>
        <w:rPr>
          <w:sz w:val="20"/>
          <w:szCs w:val="20"/>
          <w:color w:val="auto"/>
        </w:rPr>
      </w:pPr>
      <w:r>
        <w:rPr>
          <w:rFonts w:ascii="Times New Roman" w:cs="Times New Roman" w:eastAsia="Times New Roman" w:hAnsi="Times New Roman"/>
          <w:sz w:val="16"/>
          <w:szCs w:val="16"/>
          <w:i w:val="1"/>
          <w:iCs w:val="1"/>
          <w:color w:val="auto"/>
        </w:rPr>
        <w:t>Termination of Registration Rights</w:t>
      </w:r>
      <w:r>
        <w:rPr>
          <w:rFonts w:ascii="Times New Roman" w:cs="Times New Roman" w:eastAsia="Times New Roman" w:hAnsi="Times New Roman"/>
          <w:sz w:val="16"/>
          <w:szCs w:val="16"/>
          <w:color w:val="auto"/>
        </w:rPr>
        <w:t>. The registration rights terminate upon the earlier of (i) such time as there are 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longer any registrable securities held by the purchaser, its affiliates or permitted transferees and (ii) such time as all of the securities can otherwise be sold without regard to the volume or manner-of-sale restrictions pursuant to Rule 144.</w:t>
      </w:r>
    </w:p>
    <w:p>
      <w:pPr>
        <w:spacing w:after="0" w:line="2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Anti-Takeover Effects of Delaware Law and Our Charter and Bylaws</w:t>
      </w:r>
    </w:p>
    <w:p>
      <w:pPr>
        <w:spacing w:after="0" w:line="103"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5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0" w:name="page141"/>
    <w:bookmarkEnd w:id="14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i w:val="1"/>
          <w:iCs w:val="1"/>
          <w:color w:val="auto"/>
        </w:rPr>
        <w:t>Undesignated Preferred Stock</w:t>
      </w:r>
      <w:r>
        <w:rPr>
          <w:rFonts w:ascii="Times New Roman" w:cs="Times New Roman" w:eastAsia="Times New Roman" w:hAnsi="Times New Roman"/>
          <w:sz w:val="16"/>
          <w:szCs w:val="16"/>
          <w:color w:val="auto"/>
        </w:rPr>
        <w:t>. The ability of our Board of Directors, without action by the stockholders, to issue 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64" w:lineRule="exact"/>
        <w:rPr>
          <w:sz w:val="20"/>
          <w:szCs w:val="20"/>
          <w:color w:val="auto"/>
        </w:rPr>
      </w:pPr>
    </w:p>
    <w:p>
      <w:pPr>
        <w:ind w:left="800" w:right="1239"/>
        <w:spacing w:after="0" w:line="264" w:lineRule="auto"/>
        <w:rPr>
          <w:sz w:val="20"/>
          <w:szCs w:val="20"/>
          <w:color w:val="auto"/>
        </w:rPr>
      </w:pPr>
      <w:r>
        <w:rPr>
          <w:rFonts w:ascii="Times New Roman" w:cs="Times New Roman" w:eastAsia="Times New Roman" w:hAnsi="Times New Roman"/>
          <w:sz w:val="16"/>
          <w:szCs w:val="16"/>
          <w:i w:val="1"/>
          <w:iCs w:val="1"/>
          <w:color w:val="auto"/>
        </w:rPr>
        <w:t>Stockholder Meetings</w:t>
      </w:r>
      <w:r>
        <w:rPr>
          <w:rFonts w:ascii="Times New Roman" w:cs="Times New Roman" w:eastAsia="Times New Roman" w:hAnsi="Times New Roman"/>
          <w:sz w:val="16"/>
          <w:szCs w:val="16"/>
          <w:color w:val="auto"/>
        </w:rPr>
        <w:t>. Our Bylaws provide that a special meeting of stockholders may be called only 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chairman of the board, chief executive officer or president (in the absence of a chief executive officer), or by a resolution adopted by a majority of our Board of Directors.</w:t>
      </w:r>
    </w:p>
    <w:p>
      <w:pPr>
        <w:spacing w:after="0" w:line="58" w:lineRule="exact"/>
        <w:rPr>
          <w:sz w:val="20"/>
          <w:szCs w:val="20"/>
          <w:color w:val="auto"/>
        </w:rPr>
      </w:pPr>
    </w:p>
    <w:p>
      <w:pPr>
        <w:ind w:left="800" w:right="819"/>
        <w:spacing w:after="0" w:line="258" w:lineRule="auto"/>
        <w:rPr>
          <w:sz w:val="20"/>
          <w:szCs w:val="20"/>
          <w:color w:val="auto"/>
        </w:rPr>
      </w:pPr>
      <w:r>
        <w:rPr>
          <w:rFonts w:ascii="Times New Roman" w:cs="Times New Roman" w:eastAsia="Times New Roman" w:hAnsi="Times New Roman"/>
          <w:sz w:val="16"/>
          <w:szCs w:val="16"/>
          <w:i w:val="1"/>
          <w:iCs w:val="1"/>
          <w:color w:val="auto"/>
        </w:rPr>
        <w:t>Requirements for Advance Notification of Stockholder Nominations and Proposals</w:t>
      </w:r>
      <w:r>
        <w:rPr>
          <w:rFonts w:ascii="Times New Roman" w:cs="Times New Roman" w:eastAsia="Times New Roman" w:hAnsi="Times New Roman"/>
          <w:sz w:val="16"/>
          <w:szCs w:val="16"/>
          <w:color w:val="auto"/>
        </w:rPr>
        <w:t>. Our Bylaws establish advance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4" w:lineRule="exact"/>
        <w:rPr>
          <w:sz w:val="20"/>
          <w:szCs w:val="20"/>
          <w:color w:val="auto"/>
        </w:rPr>
      </w:pPr>
    </w:p>
    <w:p>
      <w:pPr>
        <w:ind w:left="800" w:right="1119"/>
        <w:spacing w:after="0" w:line="280" w:lineRule="auto"/>
        <w:rPr>
          <w:sz w:val="20"/>
          <w:szCs w:val="20"/>
          <w:color w:val="auto"/>
        </w:rPr>
      </w:pPr>
      <w:r>
        <w:rPr>
          <w:rFonts w:ascii="Times New Roman" w:cs="Times New Roman" w:eastAsia="Times New Roman" w:hAnsi="Times New Roman"/>
          <w:sz w:val="16"/>
          <w:szCs w:val="16"/>
          <w:i w:val="1"/>
          <w:iCs w:val="1"/>
          <w:color w:val="auto"/>
        </w:rPr>
        <w:t>Elimination of Stockholder Action by Written Consent</w:t>
      </w:r>
      <w:r>
        <w:rPr>
          <w:rFonts w:ascii="Times New Roman" w:cs="Times New Roman" w:eastAsia="Times New Roman" w:hAnsi="Times New Roman"/>
          <w:sz w:val="16"/>
          <w:szCs w:val="16"/>
          <w:color w:val="auto"/>
        </w:rPr>
        <w:t>. Our Charter eliminates the right of stockholders to act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written consent without a meeting.</w:t>
      </w:r>
    </w:p>
    <w:p>
      <w:pPr>
        <w:spacing w:after="0" w:line="46" w:lineRule="exact"/>
        <w:rPr>
          <w:sz w:val="20"/>
          <w:szCs w:val="20"/>
          <w:color w:val="auto"/>
        </w:rPr>
      </w:pPr>
    </w:p>
    <w:p>
      <w:pPr>
        <w:ind w:left="800" w:right="959"/>
        <w:spacing w:after="0" w:line="258" w:lineRule="auto"/>
        <w:rPr>
          <w:sz w:val="20"/>
          <w:szCs w:val="20"/>
          <w:color w:val="auto"/>
        </w:rPr>
      </w:pPr>
      <w:r>
        <w:rPr>
          <w:rFonts w:ascii="Times New Roman" w:cs="Times New Roman" w:eastAsia="Times New Roman" w:hAnsi="Times New Roman"/>
          <w:sz w:val="16"/>
          <w:szCs w:val="16"/>
          <w:i w:val="1"/>
          <w:iCs w:val="1"/>
          <w:color w:val="auto"/>
        </w:rPr>
        <w:t>Staggered Board</w:t>
      </w:r>
      <w:r>
        <w:rPr>
          <w:rFonts w:ascii="Times New Roman" w:cs="Times New Roman" w:eastAsia="Times New Roman" w:hAnsi="Times New Roman"/>
          <w:sz w:val="16"/>
          <w:szCs w:val="16"/>
          <w:color w:val="auto"/>
        </w:rPr>
        <w:t>. Our Board of Directors is divided into three classes. The directors in each class will serve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64" w:lineRule="exact"/>
        <w:rPr>
          <w:sz w:val="20"/>
          <w:szCs w:val="20"/>
          <w:color w:val="auto"/>
        </w:rPr>
      </w:pPr>
    </w:p>
    <w:p>
      <w:pPr>
        <w:ind w:left="800" w:right="919"/>
        <w:spacing w:after="0" w:line="258" w:lineRule="auto"/>
        <w:rPr>
          <w:sz w:val="20"/>
          <w:szCs w:val="20"/>
          <w:color w:val="auto"/>
        </w:rPr>
      </w:pPr>
      <w:r>
        <w:rPr>
          <w:rFonts w:ascii="Times New Roman" w:cs="Times New Roman" w:eastAsia="Times New Roman" w:hAnsi="Times New Roman"/>
          <w:sz w:val="16"/>
          <w:szCs w:val="16"/>
          <w:i w:val="1"/>
          <w:iCs w:val="1"/>
          <w:color w:val="auto"/>
        </w:rPr>
        <w:t>Removal of Directors</w:t>
      </w:r>
      <w:r>
        <w:rPr>
          <w:rFonts w:ascii="Times New Roman" w:cs="Times New Roman" w:eastAsia="Times New Roman" w:hAnsi="Times New Roman"/>
          <w:sz w:val="16"/>
          <w:szCs w:val="16"/>
          <w:color w:val="auto"/>
        </w:rPr>
        <w:t>. Our Charter provides that no member of our Board of Directors may be removed from office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our stockholders except for cause and, in addition to any other vote required by law, upon the approval of the holders of at least two-thirds in voting power of the outstanding shares of stock entitled to vote in the election of directors.</w:t>
      </w:r>
    </w:p>
    <w:p>
      <w:pPr>
        <w:spacing w:after="0" w:line="64" w:lineRule="exact"/>
        <w:rPr>
          <w:sz w:val="20"/>
          <w:szCs w:val="20"/>
          <w:color w:val="auto"/>
        </w:rPr>
      </w:pPr>
    </w:p>
    <w:p>
      <w:pPr>
        <w:ind w:left="800" w:right="859"/>
        <w:spacing w:after="0" w:line="258" w:lineRule="auto"/>
        <w:rPr>
          <w:sz w:val="20"/>
          <w:szCs w:val="20"/>
          <w:color w:val="auto"/>
        </w:rPr>
      </w:pPr>
      <w:r>
        <w:rPr>
          <w:rFonts w:ascii="Times New Roman" w:cs="Times New Roman" w:eastAsia="Times New Roman" w:hAnsi="Times New Roman"/>
          <w:sz w:val="16"/>
          <w:szCs w:val="16"/>
          <w:i w:val="1"/>
          <w:iCs w:val="1"/>
          <w:color w:val="auto"/>
        </w:rPr>
        <w:t>Stockholders Not Entitled to Cumulative Voting</w:t>
      </w:r>
      <w:r>
        <w:rPr>
          <w:rFonts w:ascii="Times New Roman" w:cs="Times New Roman" w:eastAsia="Times New Roman" w:hAnsi="Times New Roman"/>
          <w:sz w:val="16"/>
          <w:szCs w:val="16"/>
          <w:color w:val="auto"/>
        </w:rPr>
        <w:t>. Our Charter does not permit stockholders to cumulate their votes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4" w:lineRule="exact"/>
        <w:rPr>
          <w:sz w:val="20"/>
          <w:szCs w:val="20"/>
          <w:color w:val="auto"/>
        </w:rPr>
      </w:pPr>
    </w:p>
    <w:p>
      <w:pPr>
        <w:ind w:left="800" w:right="879"/>
        <w:spacing w:after="0" w:line="270" w:lineRule="auto"/>
        <w:rPr>
          <w:sz w:val="20"/>
          <w:szCs w:val="20"/>
          <w:color w:val="auto"/>
        </w:rPr>
      </w:pPr>
      <w:r>
        <w:rPr>
          <w:rFonts w:ascii="Times New Roman" w:cs="Times New Roman" w:eastAsia="Times New Roman" w:hAnsi="Times New Roman"/>
          <w:sz w:val="15"/>
          <w:szCs w:val="15"/>
          <w:i w:val="1"/>
          <w:iCs w:val="1"/>
          <w:color w:val="auto"/>
        </w:rPr>
        <w:t>Delaware Anti-Takeover Statute</w:t>
      </w:r>
      <w:r>
        <w:rPr>
          <w:rFonts w:ascii="Times New Roman" w:cs="Times New Roman" w:eastAsia="Times New Roman" w:hAnsi="Times New Roman"/>
          <w:sz w:val="15"/>
          <w:szCs w:val="15"/>
          <w:color w:val="auto"/>
        </w:rPr>
        <w:t>. We are subject to Section 203 of the DGCL, which prohibits persons deemed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5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Choice of Forum</w:t>
      </w:r>
      <w:r>
        <w:rPr>
          <w:rFonts w:ascii="Times New Roman" w:cs="Times New Roman" w:eastAsia="Times New Roman" w:hAnsi="Times New Roman"/>
          <w:sz w:val="16"/>
          <w:szCs w:val="16"/>
          <w:color w:val="auto"/>
        </w:rPr>
        <w:t>. Our Charter provides that, unless we consent in writing to the selection of an alternative form,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and Section 22 of the Securities Act generally creates concurrent jurisdiction for state and federal courts over suits brought to enforce any duty or liability created by the Securities Act or the rules and regulations thereunder.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1" w:name="page142"/>
    <w:bookmarkEnd w:id="1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999"/>
        <w:spacing w:after="0" w:line="258" w:lineRule="auto"/>
        <w:rPr>
          <w:sz w:val="20"/>
          <w:szCs w:val="20"/>
          <w:color w:val="auto"/>
        </w:rPr>
      </w:pPr>
      <w:r>
        <w:rPr>
          <w:rFonts w:ascii="Times New Roman" w:cs="Times New Roman" w:eastAsia="Times New Roman" w:hAnsi="Times New Roman"/>
          <w:sz w:val="16"/>
          <w:szCs w:val="16"/>
          <w:i w:val="1"/>
          <w:iCs w:val="1"/>
          <w:color w:val="auto"/>
        </w:rPr>
        <w:t>Amendment of Charter</w:t>
      </w:r>
      <w:r>
        <w:rPr>
          <w:rFonts w:ascii="Times New Roman" w:cs="Times New Roman" w:eastAsia="Times New Roman" w:hAnsi="Times New Roman"/>
          <w:sz w:val="16"/>
          <w:szCs w:val="16"/>
          <w:color w:val="auto"/>
        </w:rPr>
        <w:t>. The amendment of any of the above provisions in our Charter, except for the provision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66"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transfer agent and registrar for our Common Stock, Series A Preferred Stock, and Series B Preferred Stock is Equiniti Trust Company, LLC. The transfer agent’s address is 6201 15th Avenue, Brooklyn, New York 11219, and its telephone number is (800) 937-5449.</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Exchange Listing</w:t>
      </w:r>
    </w:p>
    <w:p>
      <w:pPr>
        <w:spacing w:after="0" w:line="103"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 We have not applied to list the Series A Preferred Stock or the Series B Preferred Stock on any national securities exchange.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2" w:name="page143"/>
    <w:bookmarkEnd w:id="1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0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validity of the securities offered hereby has been passed upon for us by Covington &amp; Burling LLP, New York, New York. If legal matters are passed upon by counsel for the underwriters, dealers or agents, if any, such counsel will be named in the prospectus supplement relating to such offering.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0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of Cartesian Therapeutics, Inc. at December 31, 2023 and 2022, and for each of the three years in the period ended December 31, 2023,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The financial statements of Cartesian Therapeutics, Inc. (Old Cartesian) as of and for the years ended December 31, 2022 and 2021 included in this prospectus and in the registration statement have been so included in reliance on the report of BDO USA, P.C., independent auditors, given on the authority of said firm as experts in auditing and accounting.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3" w:name="page144"/>
    <w:bookmarkEnd w:id="1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67"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Information about us is also available at our website at http://www.cartesiantherapeutics.com. You may access these materials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67"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We have filed a registration statement on Form S-1 with the SEC relating to the securities covered by this prospectus. This prospectus is a part of the registration statement and does not contain all of the information in the registration statement. Whenever a reference is made in this prospectus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4" w:name="page145"/>
    <w:bookmarkEnd w:id="14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4660" w:type="dxa"/>
            <w:vAlign w:val="bottom"/>
            <w:gridSpan w:val="15"/>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8"/>
              </w:rPr>
              <w:t>Consolidated Balance Sheets as of June 30, 2024 and December 31, 2023</w:t>
            </w:r>
          </w:p>
        </w:tc>
        <w:tc>
          <w:tcPr>
            <w:tcW w:w="2180" w:type="dxa"/>
            <w:vAlign w:val="bottom"/>
            <w:gridSpan w:val="14"/>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F-2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Operations and Comprehensive Income (Loss) for the Three Months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220" w:type="dxa"/>
            <w:vAlign w:val="bottom"/>
            <w:tcBorders>
              <w:top w:val="single" w:sz="8" w:color="0000EE"/>
            </w:tcBorders>
            <w:gridSpan w:val="22"/>
          </w:tcPr>
          <w:p>
            <w:pPr>
              <w:spacing w:after="0" w:line="170" w:lineRule="exact"/>
              <w:rPr>
                <w:sz w:val="20"/>
                <w:szCs w:val="20"/>
                <w:color w:val="auto"/>
              </w:rPr>
            </w:pPr>
            <w:r>
              <w:rPr>
                <w:rFonts w:ascii="Times New Roman" w:cs="Times New Roman" w:eastAsia="Times New Roman" w:hAnsi="Times New Roman"/>
                <w:sz w:val="16"/>
                <w:szCs w:val="16"/>
                <w:color w:val="0000EE"/>
              </w:rPr>
              <w:t>Six Months ended June 30, 2024 and 2023</w:t>
            </w:r>
          </w:p>
        </w:tc>
        <w:tc>
          <w:tcPr>
            <w:tcW w:w="460" w:type="dxa"/>
            <w:vAlign w:val="bottom"/>
            <w:gridSpan w:val="6"/>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0000EE"/>
              </w:rPr>
              <w:t>F-4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760" w:type="dxa"/>
            <w:vAlign w:val="bottom"/>
            <w:tcBorders>
              <w:bottom w:val="single" w:sz="8" w:color="0000EE"/>
            </w:tcBorders>
            <w:gridSpan w:val="28"/>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Consolidated Statements of Changes in Convertible Preferred Stock and Stockholders’ Equity (Deficit) for</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80" w:type="dxa"/>
            <w:vAlign w:val="bottom"/>
            <w:gridSpan w:val="2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the Three Months and Six Months ended June 30, 2024 and 2023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F-5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Cash Flows for the Six Months ended June 30, 2024 and 2023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0000EE"/>
              </w:rPr>
              <w:t>F-7</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F-8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ID: 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F-36</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3900" w:type="dxa"/>
            <w:vAlign w:val="bottom"/>
            <w:tcBorders>
              <w:bottom w:val="single" w:sz="8" w:color="0000EE"/>
            </w:tcBorders>
            <w:gridSpan w:val="11"/>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Consolidated Balance Sheets at December 31, 2023 and 2022</w:t>
            </w:r>
          </w:p>
        </w:tc>
        <w:tc>
          <w:tcPr>
            <w:tcW w:w="2940" w:type="dxa"/>
            <w:vAlign w:val="bottom"/>
            <w:tcBorders>
              <w:bottom w:val="single" w:sz="8" w:color="CCEEFF"/>
            </w:tcBorders>
            <w:gridSpan w:val="18"/>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0000EE"/>
            </w:tcBorders>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F-38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Operations and Comprehensive Income (Loss) for the years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5820" w:type="dxa"/>
            <w:vAlign w:val="bottom"/>
            <w:tcBorders>
              <w:top w:val="single" w:sz="8" w:color="0000EE"/>
            </w:tcBorders>
            <w:gridSpan w:val="20"/>
          </w:tcPr>
          <w:p>
            <w:pPr>
              <w:spacing w:after="0" w:line="170" w:lineRule="exact"/>
              <w:rPr>
                <w:sz w:val="20"/>
                <w:szCs w:val="20"/>
                <w:color w:val="auto"/>
              </w:rPr>
            </w:pPr>
            <w:r>
              <w:rPr>
                <w:rFonts w:ascii="Times New Roman" w:cs="Times New Roman" w:eastAsia="Times New Roman" w:hAnsi="Times New Roman"/>
                <w:sz w:val="16"/>
                <w:szCs w:val="16"/>
                <w:color w:val="0000EE"/>
              </w:rPr>
              <w:t>December 31, 2023, 2022, and 2021</w:t>
            </w:r>
          </w:p>
        </w:tc>
        <w:tc>
          <w:tcPr>
            <w:tcW w:w="86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F-40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760" w:type="dxa"/>
            <w:vAlign w:val="bottom"/>
            <w:tcBorders>
              <w:bottom w:val="single" w:sz="8" w:color="0000EE"/>
            </w:tcBorders>
            <w:gridSpan w:val="28"/>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Consolidated Statements of Changes in Convertible Preferred Stock and Stockholders’ Equity (Deficit) for</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80" w:type="dxa"/>
            <w:vAlign w:val="bottom"/>
            <w:gridSpan w:val="2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the years ended December 31, 2023, 2022, and 2021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F-41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2023, 2022, and 2021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F-43</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F-45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20"/>
          </w:tcPr>
          <w:p>
            <w:pPr>
              <w:jc w:val="center"/>
              <w:ind w:right="2460"/>
              <w:spacing w:after="0"/>
              <w:rPr>
                <w:sz w:val="20"/>
                <w:szCs w:val="20"/>
                <w:color w:val="auto"/>
              </w:rPr>
            </w:pPr>
            <w:r>
              <w:rPr>
                <w:rFonts w:ascii="Times New Roman" w:cs="Times New Roman" w:eastAsia="Times New Roman" w:hAnsi="Times New Roman"/>
                <w:sz w:val="16"/>
                <w:szCs w:val="16"/>
                <w:b w:val="1"/>
                <w:bCs w:val="1"/>
                <w:color w:val="auto"/>
                <w:w w:val="99"/>
              </w:rPr>
              <w:t>OLD CARTESIAN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19"/>
          </w:tcPr>
          <w:p>
            <w:pPr>
              <w:ind w:left="120"/>
              <w:spacing w:after="0"/>
              <w:rPr>
                <w:sz w:val="20"/>
                <w:szCs w:val="20"/>
                <w:color w:val="auto"/>
              </w:rPr>
            </w:pPr>
            <w:r>
              <w:rPr>
                <w:rFonts w:ascii="Times New Roman" w:cs="Times New Roman" w:eastAsia="Times New Roman" w:hAnsi="Times New Roman"/>
                <w:sz w:val="16"/>
                <w:szCs w:val="16"/>
                <w:b w:val="1"/>
                <w:bCs w:val="1"/>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gridSpan w:val="25"/>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w w:val="97"/>
              </w:rPr>
              <w:t>INDEX TO FINANCIAL STATEMENTS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980" w:type="dxa"/>
            <w:vAlign w:val="bottom"/>
            <w:tcBorders>
              <w:bottom w:val="single" w:sz="8" w:color="0000EE"/>
            </w:tcBorders>
            <w:gridSpan w:val="1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8"/>
              </w:rPr>
              <w:t>Balance Sheets at September 30, 2023 and December 31, 2022</w:t>
            </w:r>
          </w:p>
        </w:tc>
        <w:tc>
          <w:tcPr>
            <w:tcW w:w="2860" w:type="dxa"/>
            <w:vAlign w:val="bottom"/>
            <w:tcBorders>
              <w:bottom w:val="single" w:sz="8" w:color="CCEEFF"/>
            </w:tcBorders>
            <w:gridSpan w:val="17"/>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0000EE"/>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F-91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Statements of Operations and Comprehensive Loss for the Nine Months Ended September 30, 2023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480" w:type="dxa"/>
            <w:vAlign w:val="bottom"/>
            <w:tcBorders>
              <w:top w:val="single" w:sz="8" w:color="0000EE"/>
            </w:tcBorders>
            <w:gridSpan w:val="2"/>
          </w:tcPr>
          <w:p>
            <w:pPr>
              <w:ind w:left="160"/>
              <w:spacing w:after="0" w:line="170" w:lineRule="exact"/>
              <w:rPr>
                <w:sz w:val="20"/>
                <w:szCs w:val="20"/>
                <w:color w:val="auto"/>
              </w:rPr>
            </w:pPr>
            <w:r>
              <w:rPr>
                <w:rFonts w:ascii="Times New Roman" w:cs="Times New Roman" w:eastAsia="Times New Roman" w:hAnsi="Times New Roman"/>
                <w:sz w:val="16"/>
                <w:szCs w:val="16"/>
                <w:color w:val="0000EE"/>
                <w:w w:val="93"/>
              </w:rPr>
              <w:t>2022</w:t>
            </w:r>
          </w:p>
        </w:tc>
        <w:tc>
          <w:tcPr>
            <w:tcW w:w="260" w:type="dxa"/>
            <w:vAlign w:val="bottom"/>
            <w:tcBorders>
              <w:top w:val="single" w:sz="8" w:color="0000EE"/>
            </w:tcBorders>
          </w:tcPr>
          <w:p>
            <w:pPr>
              <w:spacing w:after="0"/>
              <w:rPr>
                <w:sz w:val="14"/>
                <w:szCs w:val="14"/>
                <w:color w:val="auto"/>
              </w:rPr>
            </w:pPr>
          </w:p>
        </w:tc>
        <w:tc>
          <w:tcPr>
            <w:tcW w:w="13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F-92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Statements of Preferred Stock and Stockholders’ Deficit for the Nine Months Ended September 30, 2023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6480" w:type="dxa"/>
            <w:vAlign w:val="bottom"/>
            <w:tcBorders>
              <w:top w:val="single" w:sz="8" w:color="0000EE"/>
            </w:tcBorders>
            <w:gridSpan w:val="25"/>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and 2022</w:t>
            </w:r>
          </w:p>
        </w:tc>
        <w:tc>
          <w:tcPr>
            <w:tcW w:w="200" w:type="dxa"/>
            <w:vAlign w:val="bottom"/>
            <w:tcBorders>
              <w:top w:val="single" w:sz="8" w:color="CCEEFF"/>
            </w:tcBorders>
            <w:gridSpan w:val="3"/>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F-93</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Statements of Cash Flows for the Nine Months Ended September 30, 2023 and 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F-94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Notes to the Unaudited Financial Statements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F-95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Unaudited Pro Forma Condensed Combined Financial Information</w:t>
            </w:r>
          </w:p>
        </w:tc>
        <w:tc>
          <w:tcPr>
            <w:tcW w:w="180" w:type="dxa"/>
            <w:vAlign w:val="bottom"/>
          </w:tcPr>
          <w:p>
            <w:pPr>
              <w:spacing w:after="0"/>
              <w:rPr>
                <w:sz w:val="14"/>
                <w:szCs w:val="14"/>
                <w:color w:val="auto"/>
              </w:rPr>
            </w:pPr>
          </w:p>
        </w:tc>
        <w:tc>
          <w:tcPr>
            <w:tcW w:w="38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F-101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ID: 243)</w:t>
            </w:r>
          </w:p>
        </w:tc>
        <w:tc>
          <w:tcPr>
            <w:tcW w:w="1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4900" w:type="dxa"/>
            <w:vAlign w:val="bottom"/>
            <w:tcBorders>
              <w:top w:val="single" w:sz="8" w:color="0000EE"/>
            </w:tcBorders>
            <w:gridSpan w:val="18"/>
          </w:tcPr>
          <w:p>
            <w:pPr>
              <w:spacing w:after="0" w:line="166" w:lineRule="exact"/>
              <w:rPr>
                <w:sz w:val="20"/>
                <w:szCs w:val="20"/>
                <w:color w:val="auto"/>
              </w:rPr>
            </w:pPr>
            <w:r>
              <w:rPr>
                <w:rFonts w:ascii="Times New Roman" w:cs="Times New Roman" w:eastAsia="Times New Roman" w:hAnsi="Times New Roman"/>
                <w:sz w:val="16"/>
                <w:szCs w:val="16"/>
                <w:color w:val="0000EE"/>
              </w:rPr>
              <w:t>Balance Sheets at December 31, 2022 and 2021</w:t>
            </w:r>
          </w:p>
        </w:tc>
        <w:tc>
          <w:tcPr>
            <w:tcW w:w="1940" w:type="dxa"/>
            <w:vAlign w:val="bottom"/>
            <w:tcBorders>
              <w:top w:val="single" w:sz="8" w:color="CCEEFF"/>
            </w:tcBorders>
            <w:gridSpan w:val="11"/>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80" w:type="dxa"/>
            <w:vAlign w:val="bottom"/>
            <w:tcBorders>
              <w:top w:val="single" w:sz="8" w:color="0000EE"/>
            </w:tcBorders>
            <w:gridSpan w:val="3"/>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6400" w:type="dxa"/>
            <w:vAlign w:val="bottom"/>
            <w:tcBorders>
              <w:bottom w:val="single" w:sz="8" w:color="0000EE"/>
            </w:tcBorders>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Statements of Operations and Comprehensive Loss for the years ended December 31, 2022 and 2021</w:t>
            </w:r>
          </w:p>
        </w:tc>
        <w:tc>
          <w:tcPr>
            <w:tcW w:w="440" w:type="dxa"/>
            <w:vAlign w:val="bottom"/>
            <w:tcBorders>
              <w:bottom w:val="single" w:sz="8" w:color="CCEEFF"/>
            </w:tcBorders>
            <w:gridSpan w:val="5"/>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0000EE"/>
            </w:tcBorders>
            <w:gridSpan w:val="3"/>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Statements of Preferred Stock and Stockholders’ Deficit for the years ended December 31, 2022 and 2021</w:t>
            </w:r>
          </w:p>
        </w:tc>
        <w:tc>
          <w:tcPr>
            <w:tcW w:w="180" w:type="dxa"/>
            <w:vAlign w:val="bottom"/>
          </w:tcPr>
          <w:p>
            <w:pPr>
              <w:spacing w:after="0"/>
              <w:rPr>
                <w:sz w:val="14"/>
                <w:szCs w:val="14"/>
                <w:color w:val="auto"/>
              </w:rPr>
            </w:pPr>
          </w:p>
        </w:tc>
        <w:tc>
          <w:tcPr>
            <w:tcW w:w="38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F-116</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Statements of Cash Flows for the years ended December 31, 2022 and 2021</w:t>
            </w:r>
          </w:p>
        </w:tc>
        <w:tc>
          <w:tcPr>
            <w:tcW w:w="1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4800" w:type="dxa"/>
            <w:vAlign w:val="bottom"/>
            <w:tcBorders>
              <w:top w:val="single" w:sz="8" w:color="0000EE"/>
            </w:tcBorders>
            <w:gridSpan w:val="16"/>
          </w:tcPr>
          <w:p>
            <w:pPr>
              <w:spacing w:after="0" w:line="166" w:lineRule="exact"/>
              <w:rPr>
                <w:sz w:val="20"/>
                <w:szCs w:val="20"/>
                <w:color w:val="auto"/>
              </w:rPr>
            </w:pPr>
            <w:r>
              <w:rPr>
                <w:rFonts w:ascii="Times New Roman" w:cs="Times New Roman" w:eastAsia="Times New Roman" w:hAnsi="Times New Roman"/>
                <w:sz w:val="16"/>
                <w:szCs w:val="16"/>
                <w:color w:val="0000EE"/>
              </w:rPr>
              <w:t>Notes to the Financial Statements</w:t>
            </w:r>
          </w:p>
        </w:tc>
        <w:tc>
          <w:tcPr>
            <w:tcW w:w="2040" w:type="dxa"/>
            <w:vAlign w:val="bottom"/>
            <w:tcBorders>
              <w:top w:val="single" w:sz="8" w:color="CCEEFF"/>
            </w:tcBorders>
            <w:gridSpan w:val="13"/>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80" w:type="dxa"/>
            <w:vAlign w:val="bottom"/>
            <w:tcBorders>
              <w:top w:val="single" w:sz="8" w:color="0000EE"/>
            </w:tcBorders>
            <w:gridSpan w:val="3"/>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60" w:type="dxa"/>
            <w:vAlign w:val="bottom"/>
            <w:gridSpan w:val="19"/>
          </w:tcPr>
          <w:p>
            <w:pPr>
              <w:jc w:val="center"/>
              <w:ind w:right="2900"/>
              <w:spacing w:after="0"/>
              <w:rPr>
                <w:sz w:val="20"/>
                <w:szCs w:val="20"/>
                <w:color w:val="auto"/>
              </w:rPr>
            </w:pPr>
            <w:r>
              <w:rPr>
                <w:rFonts w:ascii="Times New Roman" w:cs="Times New Roman" w:eastAsia="Times New Roman" w:hAnsi="Times New Roman"/>
                <w:sz w:val="16"/>
                <w:szCs w:val="16"/>
                <w:color w:val="auto"/>
                <w:w w:val="98"/>
              </w:rPr>
              <w:t>F-1</w:t>
            </w: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145" w:name="page146"/>
    <w:bookmarkEnd w:id="1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340" w:type="dxa"/>
            <w:vAlign w:val="bottom"/>
          </w:tcPr>
          <w:p>
            <w:pPr>
              <w:spacing w:after="0"/>
              <w:rPr>
                <w:sz w:val="12"/>
                <w:szCs w:val="12"/>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21"/>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87,227</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76,911</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32,039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5,870</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2,981</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80" w:type="dxa"/>
            <w:vAlign w:val="bottom"/>
          </w:tcPr>
          <w:p>
            <w:pPr>
              <w:spacing w:after="0"/>
              <w:rPr>
                <w:sz w:val="18"/>
                <w:szCs w:val="18"/>
                <w:color w:val="auto"/>
              </w:rPr>
            </w:pPr>
          </w:p>
        </w:tc>
      </w:tr>
      <w:tr>
        <w:trPr>
          <w:trHeight w:val="23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124,782</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90,729</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80" w:type="dxa"/>
            <w:vAlign w:val="bottom"/>
            <w:shd w:val="clear" w:color="auto" w:fill="CCEEFF"/>
          </w:tcPr>
          <w:p>
            <w:pPr>
              <w:spacing w:after="0"/>
              <w:rPr>
                <w:sz w:val="18"/>
                <w:szCs w:val="18"/>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13,852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10,068</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150,600</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shd w:val="clear" w:color="auto" w:fill="CCEEFF"/>
          </w:tcPr>
          <w:p>
            <w:pPr>
              <w:spacing w:after="0"/>
              <w:rPr>
                <w:sz w:val="19"/>
                <w:szCs w:val="19"/>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48,163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48,163</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1,377</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8"/>
                <w:szCs w:val="18"/>
                <w:color w:val="auto"/>
              </w:rPr>
            </w:pPr>
          </w:p>
        </w:tc>
      </w:tr>
      <w:tr>
        <w:trPr>
          <w:trHeight w:val="25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347,738</w:t>
            </w:r>
          </w:p>
        </w:tc>
        <w:tc>
          <w:tcPr>
            <w:tcW w:w="11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305,050</w:t>
            </w:r>
          </w:p>
        </w:tc>
      </w:tr>
      <w:tr>
        <w:trPr>
          <w:trHeight w:val="237"/>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2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2,862</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3,150</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10,954</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15,572</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2,166</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shd w:val="clear" w:color="auto" w:fill="CCEEFF"/>
          </w:tcPr>
          <w:p>
            <w:pPr>
              <w:spacing w:after="0"/>
              <w:rPr>
                <w:sz w:val="19"/>
                <w:szCs w:val="19"/>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720</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15,983</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28,307</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26,115</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68,209</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12,344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8,789</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net of current portion</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5,674</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 net of current portion</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386,829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342,617</w:t>
            </w:r>
          </w:p>
        </w:tc>
        <w:tc>
          <w:tcPr>
            <w:tcW w:w="80" w:type="dxa"/>
            <w:vAlign w:val="bottom"/>
          </w:tcPr>
          <w:p>
            <w:pPr>
              <w:spacing w:after="0"/>
              <w:rPr>
                <w:sz w:val="18"/>
                <w:szCs w:val="18"/>
                <w:color w:val="auto"/>
              </w:rPr>
            </w:pPr>
          </w:p>
        </w:tc>
      </w:tr>
      <w:tr>
        <w:trPr>
          <w:trHeight w:val="22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15,853</w:t>
            </w: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41"/>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449,196</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444,680</w:t>
            </w:r>
          </w:p>
        </w:tc>
        <w:tc>
          <w:tcPr>
            <w:tcW w:w="80" w:type="dxa"/>
            <w:vAlign w:val="bottom"/>
          </w:tcPr>
          <w:p>
            <w:pPr>
              <w:spacing w:after="0"/>
              <w:rPr>
                <w:sz w:val="20"/>
                <w:szCs w:val="20"/>
                <w:color w:val="auto"/>
              </w:rPr>
            </w:pPr>
          </w:p>
        </w:tc>
      </w:tr>
      <w:tr>
        <w:trPr>
          <w:trHeight w:val="23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85"/>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$0.0001 par value; no and 548,375 shares authorized as of</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June 30, 2024 and December 31, 2023, respectively; no and 435,120.513 shares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issued and outstanding as of June 30, 2024 and December 31, 2023, respectively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296,851</w:t>
            </w:r>
          </w:p>
        </w:tc>
        <w:tc>
          <w:tcPr>
            <w:tcW w:w="80" w:type="dxa"/>
            <w:vAlign w:val="bottom"/>
          </w:tcPr>
          <w:p>
            <w:pPr>
              <w:spacing w:after="0"/>
              <w:rPr>
                <w:sz w:val="18"/>
                <w:szCs w:val="18"/>
                <w:color w:val="auto"/>
              </w:rPr>
            </w:pPr>
          </w:p>
        </w:tc>
      </w:tr>
      <w:tr>
        <w:trPr>
          <w:trHeight w:val="22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 Series A Preferred Stock</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3,703</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$0.0001 par value; 180,455.753 and no shares authorized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 of June 30, 2024 and December 31, 2023, respectively; 166,341.592 and no</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June 30, 2024 and December 31, 2023,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$0.0001 par value; 9,819,544.247 and 9,451,625 shares authorized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 of June 30, 2024 and December 31, 2023, respectively; no shares issued and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June 30, 2024 and December 31, 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bl>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6" w:name="page147"/>
    <w:bookmarkEnd w:id="146"/>
    <w:tbl>
      <w:tblPr>
        <w:tblLayout w:type="fixed"/>
        <w:tblInd w:w="800" w:type="dxa"/>
        <w:tblCellMar>
          <w:top w:w="0" w:type="dxa"/>
          <w:left w:w="0" w:type="dxa"/>
          <w:bottom w:w="0" w:type="dxa"/>
          <w:right w:w="0" w:type="dxa"/>
        </w:tblCellMar>
      </w:tblPr>
      <w:tr>
        <w:trPr>
          <w:trHeight w:val="149"/>
        </w:trPr>
        <w:tc>
          <w:tcPr>
            <w:tcW w:w="5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December 31,</w:t>
            </w:r>
          </w:p>
        </w:tc>
      </w:tr>
      <w:tr>
        <w:trPr>
          <w:trHeight w:val="167"/>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0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r>
      <w:tr>
        <w:trPr>
          <w:trHeight w:val="21"/>
        </w:trPr>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89"/>
        </w:trPr>
        <w:tc>
          <w:tcPr>
            <w:tcW w:w="5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 June 30,</w:t>
            </w:r>
          </w:p>
        </w:tc>
        <w:tc>
          <w:tcPr>
            <w:tcW w:w="60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6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 and December 31, 2023; 17,816,238 and 5,397,597 shares issued and</w:t>
            </w:r>
          </w:p>
        </w:tc>
        <w:tc>
          <w:tcPr>
            <w:tcW w:w="60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56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June 30, 2024 and December 31, 2023, respectively</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8"/>
                <w:szCs w:val="18"/>
                <w:color w:val="auto"/>
              </w:rPr>
            </w:pPr>
          </w:p>
        </w:tc>
      </w:t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179,062</w:t>
            </w:r>
          </w:p>
        </w:tc>
        <w:tc>
          <w:tcPr>
            <w:tcW w:w="60" w:type="dxa"/>
            <w:vAlign w:val="bottom"/>
          </w:tcPr>
          <w:p>
            <w:pPr>
              <w:spacing w:after="0"/>
              <w:rPr>
                <w:sz w:val="18"/>
                <w:szCs w:val="18"/>
                <w:color w:val="auto"/>
              </w:rPr>
            </w:pPr>
          </w:p>
        </w:tc>
      </w:tr>
      <w:tr>
        <w:trPr>
          <w:trHeight w:val="220"/>
        </w:trPr>
        <w:tc>
          <w:tcPr>
            <w:tcW w:w="5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(657,635)</w:t>
            </w:r>
          </w:p>
        </w:tc>
        <w:tc>
          <w:tcPr>
            <w:tcW w:w="11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(614,647)</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(4,600)</w:t>
            </w:r>
          </w:p>
        </w:tc>
      </w:tr>
      <w:tr>
        <w:trPr>
          <w:trHeight w:val="21"/>
        </w:trPr>
        <w:tc>
          <w:tcPr>
            <w:tcW w:w="1360" w:type="dxa"/>
            <w:vAlign w:val="bottom"/>
          </w:tcPr>
          <w:p>
            <w:pPr>
              <w:spacing w:after="0" w:line="20" w:lineRule="exact"/>
              <w:rPr>
                <w:sz w:val="1"/>
                <w:szCs w:val="1"/>
                <w:color w:val="auto"/>
              </w:rPr>
            </w:pPr>
          </w:p>
        </w:tc>
        <w:tc>
          <w:tcPr>
            <w:tcW w:w="428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6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(101,458)</w:t>
            </w:r>
          </w:p>
        </w:tc>
        <w:tc>
          <w:tcPr>
            <w:tcW w:w="1160" w:type="dxa"/>
            <w:vAlign w:val="bottom"/>
            <w:tcBorders>
              <w:left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(440,184)</w:t>
            </w:r>
          </w:p>
        </w:tc>
      </w:tr>
      <w:tr>
        <w:trPr>
          <w:trHeight w:val="20"/>
        </w:trPr>
        <w:tc>
          <w:tcPr>
            <w:tcW w:w="1360" w:type="dxa"/>
            <w:vAlign w:val="bottom"/>
            <w:shd w:val="clear" w:color="auto" w:fill="CCEEFF"/>
          </w:tcPr>
          <w:p>
            <w:pPr>
              <w:spacing w:after="0" w:line="20" w:lineRule="exact"/>
              <w:rPr>
                <w:sz w:val="1"/>
                <w:szCs w:val="1"/>
                <w:color w:val="auto"/>
              </w:rPr>
            </w:pPr>
          </w:p>
        </w:tc>
        <w:tc>
          <w:tcPr>
            <w:tcW w:w="42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8"/>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$ 347,738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$ 305,050</w:t>
            </w:r>
          </w:p>
        </w:tc>
        <w:tc>
          <w:tcPr>
            <w:tcW w:w="6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47" w:name="page148"/>
    <w:bookmarkEnd w:id="14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left="2260" w:right="1180"/>
        <w:spacing w:after="0" w:line="264" w:lineRule="auto"/>
        <w:rPr>
          <w:sz w:val="20"/>
          <w:szCs w:val="20"/>
          <w:color w:val="auto"/>
        </w:rPr>
      </w:pPr>
      <w:r>
        <w:rPr>
          <w:rFonts w:ascii="Times New Roman" w:cs="Times New Roman" w:eastAsia="Times New Roman" w:hAnsi="Times New Roman"/>
          <w:sz w:val="16"/>
          <w:szCs w:val="16"/>
          <w:b w:val="1"/>
          <w:bCs w:val="1"/>
          <w:color w:val="auto"/>
        </w:rPr>
        <w:t>Cartesian Therapeutics, Inc. and Subsidiaries Consolidated Statements of Operations and Comprehensive Income (Loss) (Amounts in thousands, except share and per share data)</w:t>
      </w:r>
    </w:p>
    <w:p>
      <w:pPr>
        <w:spacing w:after="0" w:line="15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5"/>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6"/>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r>
      <w:tr>
        <w:trPr>
          <w:trHeight w:val="21"/>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33,271</w:t>
            </w: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39,111</w:t>
            </w:r>
          </w:p>
        </w:tc>
        <w:tc>
          <w:tcPr>
            <w:tcW w:w="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11,187</w:t>
            </w:r>
          </w:p>
        </w:tc>
        <w:tc>
          <w:tcPr>
            <w:tcW w:w="60" w:type="dxa"/>
            <w:vAlign w:val="bottom"/>
          </w:tcPr>
          <w:p>
            <w:pPr>
              <w:spacing w:after="0"/>
              <w:rPr>
                <w:sz w:val="18"/>
                <w:szCs w:val="18"/>
                <w:color w:val="auto"/>
              </w:rPr>
            </w:pPr>
          </w:p>
        </w:tc>
      </w:tr>
      <w:tr>
        <w:trPr>
          <w:trHeight w:val="214"/>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 revenue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34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6"/>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11,187</w:t>
            </w:r>
          </w:p>
        </w:tc>
      </w:tr>
      <w:tr>
        <w:trPr>
          <w:trHeight w:val="22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36,406</w:t>
            </w:r>
          </w:p>
        </w:tc>
        <w:tc>
          <w:tcPr>
            <w:tcW w:w="60" w:type="dxa"/>
            <w:vAlign w:val="bottom"/>
          </w:tcPr>
          <w:p>
            <w:pPr>
              <w:spacing w:after="0"/>
              <w:rPr>
                <w:sz w:val="18"/>
                <w:szCs w:val="18"/>
                <w:color w:val="auto"/>
              </w:rPr>
            </w:pPr>
          </w:p>
        </w:tc>
      </w:tr>
      <w:tr>
        <w:trPr>
          <w:trHeight w:val="214"/>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16,477</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11,800</w:t>
            </w:r>
          </w:p>
        </w:tc>
      </w:tr>
      <w:tr>
        <w:trPr>
          <w:trHeight w:val="27"/>
        </w:trPr>
        <w:tc>
          <w:tcPr>
            <w:tcW w:w="34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41"/>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48,206</w:t>
            </w:r>
          </w:p>
        </w:tc>
        <w:tc>
          <w:tcPr>
            <w:tcW w:w="60" w:type="dxa"/>
            <w:vAlign w:val="bottom"/>
          </w:tcPr>
          <w:p>
            <w:pPr>
              <w:spacing w:after="0"/>
              <w:rPr>
                <w:sz w:val="20"/>
                <w:szCs w:val="20"/>
                <w:color w:val="auto"/>
              </w:rPr>
            </w:pPr>
          </w:p>
        </w:tc>
      </w:tr>
      <w:tr>
        <w:trPr>
          <w:trHeight w:val="23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8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(18,638)</w:t>
            </w:r>
          </w:p>
        </w:tc>
        <w:tc>
          <w:tcPr>
            <w:tcW w:w="28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(37,019)</w:t>
            </w:r>
          </w:p>
        </w:tc>
      </w:t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60" w:type="dxa"/>
            <w:vAlign w:val="bottom"/>
          </w:tcPr>
          <w:p>
            <w:pPr>
              <w:spacing w:after="0"/>
              <w:rPr>
                <w:sz w:val="18"/>
                <w:szCs w:val="18"/>
                <w:color w:val="auto"/>
              </w:rPr>
            </w:pPr>
          </w:p>
        </w:tc>
      </w:tr>
      <w:tr>
        <w:trPr>
          <w:trHeight w:val="22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(1,560)</w:t>
            </w:r>
          </w:p>
        </w:tc>
      </w:tr>
      <w:tr>
        <w:trPr>
          <w:trHeight w:val="22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(3,908)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6,341</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60" w:type="dxa"/>
            <w:vAlign w:val="bottom"/>
            <w:shd w:val="clear" w:color="auto" w:fill="CCEEFF"/>
          </w:tcPr>
          <w:p>
            <w:pPr>
              <w:spacing w:after="0"/>
              <w:rPr>
                <w:sz w:val="19"/>
                <w:szCs w:val="19"/>
                <w:color w:val="auto"/>
              </w:rPr>
            </w:pPr>
          </w:p>
        </w:tc>
      </w:tr>
      <w:tr>
        <w:trPr>
          <w:trHeight w:val="18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contingent value right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liability</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(6,890)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r>
      <w:tr>
        <w:trPr>
          <w:trHeight w:val="27"/>
        </w:trPr>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1"/>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13,836</w:t>
            </w:r>
          </w:p>
        </w:tc>
        <w:tc>
          <w:tcPr>
            <w:tcW w:w="80" w:type="dxa"/>
            <w:vAlign w:val="bottom"/>
            <w:tcBorders>
              <w:left w:val="single" w:sz="8" w:color="CCEEFF"/>
            </w:tcBorders>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480" w:type="dxa"/>
            <w:vAlign w:val="bottom"/>
            <w:tcBorders>
              <w:lef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(33,050)</w:t>
            </w:r>
          </w:p>
        </w:tc>
      </w:tr>
      <w:tr>
        <w:trPr>
          <w:trHeight w:val="232"/>
        </w:trPr>
        <w:tc>
          <w:tcPr>
            <w:tcW w:w="3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19"/>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8"/>
                <w:szCs w:val="18"/>
                <w:color w:val="auto"/>
              </w:rPr>
            </w:pPr>
          </w:p>
        </w:tc>
      </w:tr>
      <w:tr>
        <w:trPr>
          <w:trHeight w:val="27"/>
        </w:trPr>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13,850</w:t>
            </w:r>
          </w:p>
        </w:tc>
        <w:tc>
          <w:tcPr>
            <w:tcW w:w="80" w:type="dxa"/>
            <w:vAlign w:val="bottom"/>
            <w:tcBorders>
              <w:left w:val="single" w:sz="8" w:color="CCEEFF"/>
            </w:tcBorders>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(11,414)</w:t>
            </w:r>
          </w:p>
        </w:tc>
        <w:tc>
          <w:tcPr>
            <w:tcW w:w="480" w:type="dxa"/>
            <w:vAlign w:val="bottom"/>
            <w:tcBorders>
              <w:lef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(42,979)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(33,088)</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(33,050)</w:t>
            </w:r>
          </w:p>
        </w:tc>
      </w:tr>
      <w:tr>
        <w:trPr>
          <w:trHeight w:val="19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Undistributed earnings allocable to</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2"/>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participating securities</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(loss) allocable to shares of common</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5"/>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 basic and diluted</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(33,050)</w:t>
            </w: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 allocable to common</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8"/>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0"/>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8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80" w:type="dxa"/>
            <w:vAlign w:val="bottom"/>
            <w:tcBorders>
              <w:left w:val="single" w:sz="8" w:color="CCEEFF"/>
            </w:tcBorders>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80" w:type="dxa"/>
            <w:vAlign w:val="bottom"/>
            <w:tcBorders>
              <w:lef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43"/>
        </w:trPr>
        <w:tc>
          <w:tcPr>
            <w:tcW w:w="3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16,723,479</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2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11,068,749</w:t>
            </w:r>
          </w:p>
        </w:tc>
        <w:tc>
          <w:tcPr>
            <w:tcW w:w="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60" w:type="dxa"/>
            <w:vAlign w:val="bottom"/>
            <w:shd w:val="clear" w:color="auto" w:fill="CCEEFF"/>
          </w:tcPr>
          <w:p>
            <w:pPr>
              <w:spacing w:after="0"/>
              <w:rPr>
                <w:sz w:val="18"/>
                <w:szCs w:val="18"/>
                <w:color w:val="auto"/>
              </w:rPr>
            </w:pP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5"/>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17,791,143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11,068,749</w:t>
            </w:r>
          </w:p>
        </w:tc>
        <w:tc>
          <w:tcPr>
            <w:tcW w:w="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6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8" w:name="page149"/>
    <w:bookmarkEnd w:id="148"/>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1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Borders>
              <w:right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Options for</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Borders>
              <w:right w:val="single" w:sz="8" w:color="auto"/>
            </w:tcBorders>
            <w:gridSpan w:val="4"/>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520" w:type="dxa"/>
            <w:vAlign w:val="bottom"/>
          </w:tcPr>
          <w:p>
            <w:pPr>
              <w:spacing w:after="0"/>
              <w:rPr>
                <w:sz w:val="9"/>
                <w:szCs w:val="9"/>
                <w:color w:val="auto"/>
              </w:rPr>
            </w:pPr>
          </w:p>
        </w:tc>
        <w:tc>
          <w:tcPr>
            <w:tcW w:w="8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480" w:type="dxa"/>
            <w:vAlign w:val="bottom"/>
          </w:tcPr>
          <w:p>
            <w:pPr>
              <w:spacing w:after="0"/>
              <w:rPr>
                <w:sz w:val="9"/>
                <w:szCs w:val="9"/>
                <w:color w:val="auto"/>
              </w:rPr>
            </w:pPr>
          </w:p>
        </w:tc>
        <w:tc>
          <w:tcPr>
            <w:tcW w:w="620" w:type="dxa"/>
            <w:vAlign w:val="bottom"/>
            <w:tcBorders>
              <w:right w:val="single" w:sz="8" w:color="auto"/>
            </w:tcBorders>
            <w:gridSpan w:val="4"/>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1200" w:type="dxa"/>
            <w:vAlign w:val="bottom"/>
            <w:gridSpan w:val="4"/>
          </w:tcPr>
          <w:p>
            <w:pPr>
              <w:jc w:val="center"/>
              <w:ind w:right="80"/>
              <w:spacing w:after="0" w:line="113"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1280" w:type="dxa"/>
            <w:vAlign w:val="bottom"/>
            <w:gridSpan w:val="3"/>
          </w:tcPr>
          <w:p>
            <w:pPr>
              <w:jc w:val="right"/>
              <w:ind w:right="221"/>
              <w:spacing w:after="0" w:line="119"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520" w:type="dxa"/>
            <w:vAlign w:val="bottom"/>
            <w:tcBorders>
              <w:right w:val="single" w:sz="8" w:color="auto"/>
            </w:tcBorders>
            <w:gridSpan w:val="3"/>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1200" w:type="dxa"/>
            <w:vAlign w:val="bottom"/>
            <w:gridSpan w:val="4"/>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040" w:type="dxa"/>
            <w:vAlign w:val="bottom"/>
            <w:gridSpan w:val="4"/>
          </w:tcPr>
          <w:p>
            <w:pPr>
              <w:jc w:val="right"/>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0"/>
                <w:szCs w:val="10"/>
                <w:color w:val="auto"/>
              </w:rPr>
            </w:pPr>
          </w:p>
        </w:tc>
        <w:tc>
          <w:tcPr>
            <w:tcW w:w="600" w:type="dxa"/>
            <w:vAlign w:val="bottom"/>
          </w:tcPr>
          <w:p>
            <w:pPr>
              <w:jc w:val="center"/>
              <w:ind w:right="63"/>
              <w:spacing w:after="0" w:line="119"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10"/>
                <w:szCs w:val="10"/>
                <w:color w:val="auto"/>
              </w:rPr>
            </w:pPr>
          </w:p>
        </w:tc>
        <w:tc>
          <w:tcPr>
            <w:tcW w:w="64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59"/>
        </w:trPr>
        <w:tc>
          <w:tcPr>
            <w:tcW w:w="15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600" w:type="dxa"/>
            <w:vAlign w:val="bottom"/>
            <w:vMerge w:val="restart"/>
          </w:tcPr>
          <w:p>
            <w:pPr>
              <w:jc w:val="center"/>
              <w:ind w:right="123"/>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1320" w:type="dxa"/>
            <w:vAlign w:val="bottom"/>
            <w:gridSpan w:val="4"/>
            <w:vMerge w:val="restart"/>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6"/>
              </w:rPr>
              <w:t>Accumulated comprehensive</w:t>
            </w:r>
          </w:p>
        </w:tc>
        <w:tc>
          <w:tcPr>
            <w:tcW w:w="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560" w:type="dxa"/>
            <w:vAlign w:val="bottom"/>
            <w:gridSpan w:val="2"/>
            <w:vMerge w:val="restart"/>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520" w:type="dxa"/>
            <w:vAlign w:val="bottom"/>
          </w:tcPr>
          <w:p>
            <w:pPr>
              <w:spacing w:after="0" w:line="20" w:lineRule="exact"/>
              <w:rPr>
                <w:sz w:val="1"/>
                <w:szCs w:val="1"/>
                <w:color w:val="auto"/>
              </w:rPr>
            </w:pPr>
          </w:p>
        </w:tc>
        <w:tc>
          <w:tcPr>
            <w:tcW w:w="72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Borders>
              <w:right w:val="single" w:sz="8" w:color="auto"/>
            </w:tcBorders>
            <w:gridSpan w:val="4"/>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70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320" w:type="dxa"/>
            <w:vAlign w:val="bottom"/>
            <w:gridSpan w:val="4"/>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5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20" w:type="dxa"/>
            <w:vAlign w:val="bottom"/>
            <w:tcBorders>
              <w:right w:val="single" w:sz="8" w:color="auto"/>
            </w:tcBorders>
            <w:gridSpan w:val="4"/>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1520" w:type="dxa"/>
            <w:vAlign w:val="bottom"/>
            <w:tcBorders>
              <w:right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Balance at December 31,</w:t>
            </w: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2023</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435,120.513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w w:val="97"/>
              </w:rPr>
              <w:t>296,851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3,703</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5,397,597</w:t>
            </w: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$ 1</w:t>
            </w:r>
          </w:p>
        </w:tc>
        <w:tc>
          <w:tcPr>
            <w:tcW w:w="680" w:type="dxa"/>
            <w:vAlign w:val="bottom"/>
            <w:tcBorders>
              <w:right w:val="single" w:sz="8" w:color="CCEEFF"/>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$179,062</w:t>
            </w:r>
          </w:p>
        </w:tc>
        <w:tc>
          <w:tcPr>
            <w:tcW w:w="6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4"/>
              </w:rPr>
              <w:t>$(614,647)</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$(4,600)</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$(440,184)</w:t>
            </w:r>
          </w:p>
        </w:tc>
        <w:tc>
          <w:tcPr>
            <w:tcW w:w="0" w:type="dxa"/>
            <w:vAlign w:val="bottom"/>
          </w:tcPr>
          <w:p>
            <w:pPr>
              <w:spacing w:after="0"/>
              <w:rPr>
                <w:sz w:val="1"/>
                <w:szCs w:val="1"/>
                <w:color w:val="auto"/>
              </w:rPr>
            </w:pPr>
          </w:p>
        </w:tc>
      </w:tr>
      <w:tr>
        <w:trPr>
          <w:trHeight w:val="14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Series A Preferred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2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Stock in connection with</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2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private placement and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2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w w:val="97"/>
              </w:rPr>
              <w:t>settlement of related forward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contract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99,140.326</w:t>
            </w:r>
          </w:p>
        </w:tc>
        <w:tc>
          <w:tcPr>
            <w:tcW w:w="80" w:type="dxa"/>
            <w:vAlign w:val="bottom"/>
          </w:tcPr>
          <w:p>
            <w:pPr>
              <w:spacing w:after="0"/>
              <w:rPr>
                <w:sz w:val="13"/>
                <w:szCs w:val="13"/>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75,197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 of Series A Preferred</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20" w:type="dxa"/>
            <w:vAlign w:val="bottom"/>
            <w:tcBorders>
              <w:right w:val="single" w:sz="8" w:color="CCEEFF"/>
            </w:tcBorders>
            <w:shd w:val="clear" w:color="auto" w:fill="CCEEFF"/>
          </w:tcPr>
          <w:p>
            <w:pPr>
              <w:ind w:left="120"/>
              <w:spacing w:after="0" w:line="131" w:lineRule="exact"/>
              <w:rPr>
                <w:sz w:val="20"/>
                <w:szCs w:val="20"/>
                <w:color w:val="auto"/>
              </w:rPr>
            </w:pPr>
            <w:r>
              <w:rPr>
                <w:rFonts w:ascii="Times New Roman" w:cs="Times New Roman" w:eastAsia="Times New Roman" w:hAnsi="Times New Roman"/>
                <w:sz w:val="12"/>
                <w:szCs w:val="12"/>
                <w:color w:val="auto"/>
              </w:rPr>
              <w:t>Stock and options for</w:t>
            </w: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20" w:type="dxa"/>
            <w:vAlign w:val="bottom"/>
            <w:tcBorders>
              <w:right w:val="single" w:sz="8" w:color="CCEEFF"/>
            </w:tcBorders>
            <w:shd w:val="clear" w:color="auto" w:fill="CCEEFF"/>
          </w:tcPr>
          <w:p>
            <w:pPr>
              <w:ind w:left="120"/>
              <w:spacing w:after="0" w:line="131" w:lineRule="exact"/>
              <w:rPr>
                <w:sz w:val="20"/>
                <w:szCs w:val="20"/>
                <w:color w:val="auto"/>
              </w:rPr>
            </w:pPr>
            <w:r>
              <w:rPr>
                <w:rFonts w:ascii="Times New Roman" w:cs="Times New Roman" w:eastAsia="Times New Roman" w:hAnsi="Times New Roman"/>
                <w:sz w:val="12"/>
                <w:szCs w:val="12"/>
                <w:color w:val="auto"/>
              </w:rPr>
              <w:t>Series A Preferred Stock to</w:t>
            </w: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permanent equity</w:t>
            </w:r>
          </w:p>
        </w:tc>
        <w:tc>
          <w:tcPr>
            <w:tcW w:w="7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4"/>
              </w:rPr>
              <w:t>(534,260.839)</w:t>
            </w:r>
          </w:p>
        </w:tc>
        <w:tc>
          <w:tcPr>
            <w:tcW w:w="560" w:type="dxa"/>
            <w:vAlign w:val="bottom"/>
            <w:tcBorders>
              <w:right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(372,048)</w:t>
            </w:r>
          </w:p>
        </w:tc>
        <w:tc>
          <w:tcPr>
            <w:tcW w:w="620" w:type="dxa"/>
            <w:vAlign w:val="bottom"/>
            <w:tcBorders>
              <w:right w:val="single" w:sz="8" w:color="auto"/>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(3,703)</w:t>
            </w:r>
          </w:p>
        </w:tc>
        <w:tc>
          <w:tcPr>
            <w:tcW w:w="70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9"/>
              </w:rPr>
              <w:t>534,260.839</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375,751</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375,751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upon exercise of options</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52,558</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154</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upon exercise of warrants</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65,681</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2,877</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3"/>
              <w:spacing w:after="0"/>
              <w:rPr>
                <w:sz w:val="20"/>
                <w:szCs w:val="20"/>
                <w:color w:val="auto"/>
              </w:rPr>
            </w:pPr>
            <w:r>
              <w:rPr>
                <w:rFonts w:ascii="Times New Roman" w:cs="Times New Roman" w:eastAsia="Times New Roman" w:hAnsi="Times New Roman"/>
                <w:sz w:val="12"/>
                <w:szCs w:val="12"/>
                <w:color w:val="auto"/>
              </w:rPr>
              <w:t>1,431</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Currency translation</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6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(56,824)</w:t>
            </w:r>
          </w:p>
        </w:tc>
        <w:tc>
          <w:tcPr>
            <w:tcW w:w="16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(56,824)</w:t>
            </w:r>
          </w:p>
        </w:tc>
        <w:tc>
          <w:tcPr>
            <w:tcW w:w="0" w:type="dxa"/>
            <w:vAlign w:val="bottom"/>
          </w:tcPr>
          <w:p>
            <w:pPr>
              <w:spacing w:after="0"/>
              <w:rPr>
                <w:sz w:val="1"/>
                <w:szCs w:val="1"/>
                <w:color w:val="auto"/>
              </w:rPr>
            </w:pPr>
          </w:p>
        </w:tc>
      </w:tr>
      <w:tr>
        <w:trPr>
          <w:trHeight w:val="25"/>
        </w:trPr>
        <w:tc>
          <w:tcPr>
            <w:tcW w:w="15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March 31, 2024</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9"/>
              </w:rPr>
              <w:t>534,260.</w:t>
            </w:r>
            <w:r>
              <w:rPr>
                <w:rFonts w:ascii="Times New Roman" w:cs="Times New Roman" w:eastAsia="Times New Roman" w:hAnsi="Times New Roman"/>
                <w:sz w:val="12"/>
                <w:szCs w:val="12"/>
                <w:u w:val="single" w:color="auto"/>
                <w:color w:val="auto"/>
                <w:w w:val="99"/>
              </w:rPr>
              <w:t>839</w:t>
            </w: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5,515,836</w:t>
            </w: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$ 1</w:t>
            </w:r>
          </w:p>
        </w:tc>
        <w:tc>
          <w:tcPr>
            <w:tcW w:w="680" w:type="dxa"/>
            <w:vAlign w:val="bottom"/>
            <w:tcBorders>
              <w:right w:val="single" w:sz="8" w:color="CCEEFF"/>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559,275</w:t>
            </w:r>
          </w:p>
        </w:tc>
        <w:tc>
          <w:tcPr>
            <w:tcW w:w="6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u w:val="single" w:color="auto"/>
                <w:color w:val="auto"/>
                <w:w w:val="94"/>
              </w:rPr>
              <w:t>$</w:t>
            </w:r>
            <w:r>
              <w:rPr>
                <w:rFonts w:ascii="Times New Roman" w:cs="Times New Roman" w:eastAsia="Times New Roman" w:hAnsi="Times New Roman"/>
                <w:sz w:val="12"/>
                <w:szCs w:val="12"/>
                <w:color w:val="auto"/>
                <w:w w:val="94"/>
              </w:rPr>
              <w:t>(671,471)</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(4,605)</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(116,800)</w:t>
            </w:r>
          </w:p>
        </w:tc>
        <w:tc>
          <w:tcPr>
            <w:tcW w:w="0" w:type="dxa"/>
            <w:vAlign w:val="bottom"/>
          </w:tcPr>
          <w:p>
            <w:pPr>
              <w:spacing w:after="0"/>
              <w:rPr>
                <w:sz w:val="1"/>
                <w:szCs w:val="1"/>
                <w:color w:val="auto"/>
              </w:rPr>
            </w:pPr>
          </w:p>
        </w:tc>
      </w:tr>
      <w:tr>
        <w:trPr>
          <w:trHeight w:val="169"/>
        </w:trPr>
        <w:tc>
          <w:tcPr>
            <w:tcW w:w="1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Conversion of Series A</w:t>
            </w: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CCEEFF"/>
              <w:right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2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Preferred Stock to common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(367,919.247)</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12,263,951</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68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(1)</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upon exercise of options</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36,451</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120</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Equity offering costs</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(219)</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(219)</w:t>
            </w: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1,591</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5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720" w:type="dxa"/>
            <w:vAlign w:val="bottom"/>
            <w:tcBorders>
              <w:bottom w:val="single" w:sz="8" w:color="CCEEFF"/>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00" w:type="dxa"/>
            <w:vAlign w:val="bottom"/>
            <w:tcBorders>
              <w:bottom w:val="single" w:sz="8" w:color="CCEEFF"/>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13,836</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13,836</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Balance at June 30, 2024</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166,341.592</w:t>
            </w:r>
          </w:p>
        </w:tc>
        <w:tc>
          <w:tcPr>
            <w:tcW w:w="140" w:type="dxa"/>
            <w:vAlign w:val="bottom"/>
          </w:tcPr>
          <w:p>
            <w:pPr>
              <w:spacing w:after="0"/>
              <w:rPr>
                <w:sz w:val="14"/>
                <w:szCs w:val="14"/>
                <w:color w:val="auto"/>
              </w:rPr>
            </w:pPr>
          </w:p>
        </w:tc>
        <w:tc>
          <w:tcPr>
            <w:tcW w:w="3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17,816,238</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$ 2</w:t>
            </w:r>
          </w:p>
        </w:tc>
        <w:tc>
          <w:tcPr>
            <w:tcW w:w="68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560,766</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2"/>
                <w:szCs w:val="12"/>
                <w:u w:val="single" w:color="auto"/>
                <w:color w:val="auto"/>
                <w:w w:val="94"/>
              </w:rPr>
              <w:t>$</w:t>
            </w:r>
            <w:r>
              <w:rPr>
                <w:rFonts w:ascii="Times New Roman" w:cs="Times New Roman" w:eastAsia="Times New Roman" w:hAnsi="Times New Roman"/>
                <w:sz w:val="12"/>
                <w:szCs w:val="12"/>
                <w:color w:val="auto"/>
                <w:w w:val="94"/>
              </w:rPr>
              <w:t>(657,635)</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(4,591)</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(101,458)</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20" w:right="339"/>
        <w:spacing w:after="0" w:line="255" w:lineRule="auto"/>
        <w:rPr>
          <w:sz w:val="20"/>
          <w:szCs w:val="20"/>
          <w:color w:val="auto"/>
        </w:rPr>
      </w:pPr>
      <w:r>
        <w:rPr>
          <w:rFonts w:ascii="Times New Roman" w:cs="Times New Roman" w:eastAsia="Times New Roman" w:hAnsi="Times New Roman"/>
          <w:sz w:val="16"/>
          <w:szCs w:val="16"/>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9" w:name="page150"/>
    <w:bookmarkEnd w:id="14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2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1200" w:type="dxa"/>
            <w:vAlign w:val="bottom"/>
            <w:tcBorders>
              <w:bottom w:val="single" w:sz="8" w:color="auto"/>
            </w:tcBorders>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40" w:type="dxa"/>
            <w:vAlign w:val="bottom"/>
          </w:tcPr>
          <w:p>
            <w:pPr>
              <w:spacing w:after="0"/>
              <w:rPr>
                <w:sz w:val="8"/>
                <w:szCs w:val="8"/>
                <w:color w:val="auto"/>
              </w:rPr>
            </w:pPr>
          </w:p>
        </w:tc>
        <w:tc>
          <w:tcPr>
            <w:tcW w:w="640" w:type="dxa"/>
            <w:vAlign w:val="bottom"/>
            <w:vMerge w:val="restart"/>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8"/>
                <w:szCs w:val="8"/>
                <w:color w:val="auto"/>
              </w:rPr>
            </w:pPr>
          </w:p>
        </w:tc>
        <w:tc>
          <w:tcPr>
            <w:tcW w:w="4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8"/>
                <w:szCs w:val="8"/>
                <w:color w:val="auto"/>
              </w:rPr>
            </w:pPr>
          </w:p>
        </w:tc>
        <w:tc>
          <w:tcPr>
            <w:tcW w:w="580" w:type="dxa"/>
            <w:vAlign w:val="bottom"/>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820" w:type="dxa"/>
            <w:vAlign w:val="bottom"/>
            <w:gridSpan w:val="3"/>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120"/>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88"/>
              </w:rPr>
              <w:t>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5,101,459</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$493,322</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$(394,937)</w:t>
            </w:r>
          </w:p>
        </w:tc>
        <w:tc>
          <w:tcPr>
            <w:tcW w:w="960" w:type="dxa"/>
            <w:vAlign w:val="bottom"/>
            <w:tcBorders>
              <w:lef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$(4,558)</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Purchase Plan</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vested restricted stock units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lef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(21,663)</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(21,663)</w:t>
            </w:r>
          </w:p>
        </w:tc>
        <w:tc>
          <w:tcPr>
            <w:tcW w:w="0" w:type="dxa"/>
            <w:vAlign w:val="bottom"/>
          </w:tcPr>
          <w:p>
            <w:pPr>
              <w:spacing w:after="0"/>
              <w:rPr>
                <w:sz w:val="1"/>
                <w:szCs w:val="1"/>
                <w:color w:val="auto"/>
              </w:rPr>
            </w:pPr>
          </w:p>
        </w:tc>
      </w:tr>
      <w:tr>
        <w:trPr>
          <w:trHeight w:val="27"/>
        </w:trPr>
        <w:tc>
          <w:tcPr>
            <w:tcW w:w="29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5,114,269</w:t>
            </w:r>
          </w:p>
        </w:tc>
        <w:tc>
          <w:tcPr>
            <w:tcW w:w="2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495,747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(416,600)</w:t>
            </w: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(4,569)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$ 74,579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vested restricted stock units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lef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(11,387)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5,114,289</w:t>
            </w:r>
          </w:p>
        </w:tc>
        <w:tc>
          <w:tcPr>
            <w:tcW w:w="200" w:type="dxa"/>
            <w:vAlign w:val="bottom"/>
            <w:gridSpan w:val="2"/>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498,030</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(427,987)</w:t>
            </w:r>
          </w:p>
        </w:tc>
        <w:tc>
          <w:tcPr>
            <w:tcW w:w="960" w:type="dxa"/>
            <w:vAlign w:val="bottom"/>
            <w:tcBorders>
              <w:lef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(4,596)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$ 65,448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0" w:name="page151"/>
    <w:bookmarkEnd w:id="1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7"/>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7"/>
              </w:rPr>
              <w:t>Six Months Ended June 30,</w:t>
            </w:r>
          </w:p>
        </w:tc>
      </w:tr>
      <w:tr>
        <w:trPr>
          <w:trHeight w:val="21"/>
        </w:trPr>
        <w:tc>
          <w:tcPr>
            <w:tcW w:w="5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61"/>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r>
      <w:tr>
        <w:trPr>
          <w:trHeight w:val="21"/>
        </w:trPr>
        <w:tc>
          <w:tcPr>
            <w:tcW w:w="5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$(42,988)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(33,050)</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shd w:val="clear" w:color="auto" w:fill="CCEEFF"/>
          </w:tcPr>
          <w:p>
            <w:pPr>
              <w:spacing w:after="0"/>
              <w:rPr>
                <w:sz w:val="18"/>
                <w:szCs w:val="18"/>
                <w:color w:val="auto"/>
              </w:rPr>
            </w:pP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liabilities revaluation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(2,262)</w:t>
            </w: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 revaluation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36,800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 revaluation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(26,169)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Unbilled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80" w:type="dxa"/>
            <w:vAlign w:val="bottom"/>
            <w:shd w:val="clear" w:color="auto" w:fill="CCEEFF"/>
          </w:tcPr>
          <w:p>
            <w:pPr>
              <w:spacing w:after="0"/>
              <w:rPr>
                <w:sz w:val="18"/>
                <w:szCs w:val="18"/>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deposits and other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80" w:type="dxa"/>
            <w:vAlign w:val="bottom"/>
          </w:tcPr>
          <w:p>
            <w:pPr>
              <w:spacing w:after="0"/>
              <w:rPr>
                <w:sz w:val="18"/>
                <w:szCs w:val="18"/>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(3,673)</w:t>
            </w:r>
          </w:p>
        </w:tc>
      </w:tr>
      <w:tr>
        <w:trPr>
          <w:trHeight w:val="27"/>
        </w:trPr>
        <w:tc>
          <w:tcPr>
            <w:tcW w:w="5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6"/>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(30,363)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(18,660)</w:t>
            </w:r>
          </w:p>
        </w:tc>
      </w:tr>
      <w:tr>
        <w:trPr>
          <w:trHeight w:val="22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w:t>
            </w:r>
          </w:p>
        </w:tc>
      </w:tr>
      <w:tr>
        <w:trPr>
          <w:trHeight w:val="27"/>
        </w:trPr>
        <w:tc>
          <w:tcPr>
            <w:tcW w:w="5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6"/>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28,112</w:t>
            </w:r>
          </w:p>
        </w:tc>
        <w:tc>
          <w:tcPr>
            <w:tcW w:w="80" w:type="dxa"/>
            <w:vAlign w:val="bottom"/>
          </w:tcPr>
          <w:p>
            <w:pPr>
              <w:spacing w:after="0"/>
              <w:rPr>
                <w:sz w:val="19"/>
                <w:szCs w:val="19"/>
                <w:color w:val="auto"/>
              </w:rPr>
            </w:pPr>
          </w:p>
        </w:tc>
      </w:tr>
      <w:tr>
        <w:trPr>
          <w:trHeight w:val="22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principal, final payment fee, and prepayment penalty on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(2,586)</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common warrants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Series A Preferred Stock, gross in private placement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8"/>
                <w:szCs w:val="18"/>
                <w:color w:val="auto"/>
              </w:rPr>
            </w:pPr>
          </w:p>
        </w:tc>
      </w:tr>
      <w:tr>
        <w:trPr>
          <w:trHeight w:val="232"/>
        </w:trPr>
        <w:tc>
          <w:tcPr>
            <w:tcW w:w="5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43,151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(2,437)</w:t>
            </w:r>
          </w:p>
        </w:tc>
      </w:tr>
      <w:tr>
        <w:trPr>
          <w:trHeight w:val="29"/>
        </w:trPr>
        <w:tc>
          <w:tcPr>
            <w:tcW w:w="5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41"/>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3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10,608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80" w:type="dxa"/>
            <w:vAlign w:val="bottom"/>
            <w:shd w:val="clear" w:color="auto" w:fill="CCEEFF"/>
          </w:tcPr>
          <w:p>
            <w:pPr>
              <w:spacing w:after="0"/>
              <w:rPr>
                <w:sz w:val="20"/>
                <w:szCs w:val="20"/>
                <w:color w:val="auto"/>
              </w:rPr>
            </w:pPr>
          </w:p>
        </w:tc>
      </w:tr>
      <w:tr>
        <w:trPr>
          <w:trHeight w:val="21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78,288</w:t>
            </w:r>
          </w:p>
        </w:tc>
        <w:tc>
          <w:tcPr>
            <w:tcW w:w="300" w:type="dxa"/>
            <w:vAlign w:val="bottom"/>
            <w:gridSpan w:val="2"/>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108,038</w:t>
            </w:r>
          </w:p>
        </w:tc>
        <w:tc>
          <w:tcPr>
            <w:tcW w:w="80" w:type="dxa"/>
            <w:vAlign w:val="bottom"/>
          </w:tcPr>
          <w:p>
            <w:pPr>
              <w:spacing w:after="0"/>
              <w:rPr>
                <w:sz w:val="18"/>
                <w:szCs w:val="18"/>
                <w:color w:val="auto"/>
              </w:rPr>
            </w:pPr>
          </w:p>
        </w:tc>
      </w:tr>
      <w:tr>
        <w:trPr>
          <w:trHeight w:val="25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88,896</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115,004</w:t>
            </w:r>
          </w:p>
        </w:tc>
        <w:tc>
          <w:tcPr>
            <w:tcW w:w="80" w:type="dxa"/>
            <w:vAlign w:val="bottom"/>
            <w:shd w:val="clear" w:color="auto" w:fill="CCEEFF"/>
          </w:tcPr>
          <w:p>
            <w:pPr>
              <w:spacing w:after="0"/>
              <w:rPr>
                <w:sz w:val="22"/>
                <w:szCs w:val="22"/>
                <w:color w:val="auto"/>
              </w:rPr>
            </w:pPr>
          </w:p>
        </w:tc>
      </w:tr>
      <w:tr>
        <w:trPr>
          <w:trHeight w:val="237"/>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2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80" w:type="dxa"/>
            <w:vAlign w:val="bottom"/>
            <w:shd w:val="clear" w:color="auto" w:fill="CCEEFF"/>
          </w:tcPr>
          <w:p>
            <w:pPr>
              <w:spacing w:after="0"/>
              <w:rPr>
                <w:sz w:val="19"/>
                <w:szCs w:val="19"/>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 in accrued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8"/>
                <w:szCs w:val="18"/>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not yet paid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offering costs in accrued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5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1" w:name="page152"/>
    <w:bookmarkEnd w:id="1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or the common stock,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77"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10.</w:t>
      </w:r>
    </w:p>
    <w:p>
      <w:pPr>
        <w:spacing w:after="0" w:line="68" w:lineRule="exact"/>
        <w:rPr>
          <w:sz w:val="20"/>
          <w:szCs w:val="20"/>
          <w:color w:val="auto"/>
        </w:rPr>
      </w:pPr>
    </w:p>
    <w:p>
      <w:pPr>
        <w:ind w:left="800" w:right="859"/>
        <w:spacing w:after="0" w:line="273" w:lineRule="auto"/>
        <w:rPr>
          <w:sz w:val="20"/>
          <w:szCs w:val="20"/>
          <w:color w:val="auto"/>
        </w:rPr>
      </w:pPr>
      <w:r>
        <w:rPr>
          <w:rFonts w:ascii="Times New Roman" w:cs="Times New Roman" w:eastAsia="Times New Roman" w:hAnsi="Times New Roman"/>
          <w:sz w:val="15"/>
          <w:szCs w:val="15"/>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5.</w:t>
      </w:r>
    </w:p>
    <w:p>
      <w:pPr>
        <w:spacing w:after="0" w:line="58" w:lineRule="exact"/>
        <w:rPr>
          <w:sz w:val="20"/>
          <w:szCs w:val="20"/>
          <w:color w:val="auto"/>
        </w:rPr>
      </w:pPr>
    </w:p>
    <w:p>
      <w:pPr>
        <w:ind w:left="800" w:right="1359"/>
        <w:spacing w:after="0" w:line="277" w:lineRule="auto"/>
        <w:rPr>
          <w:sz w:val="20"/>
          <w:szCs w:val="20"/>
          <w:color w:val="auto"/>
        </w:rPr>
      </w:pPr>
      <w:r>
        <w:rPr>
          <w:rFonts w:ascii="Times New Roman" w:cs="Times New Roman" w:eastAsia="Times New Roman" w:hAnsi="Times New Roman"/>
          <w:sz w:val="16"/>
          <w:szCs w:val="16"/>
          <w:color w:val="auto"/>
        </w:rPr>
        <w:t>On March 27, 2024, the Company’s stockholders approved the Conversion Proposal (as defined below). For additional information, see Note 10.</w:t>
      </w:r>
    </w:p>
    <w:p>
      <w:pPr>
        <w:spacing w:after="0" w:line="50" w:lineRule="exact"/>
        <w:rPr>
          <w:sz w:val="20"/>
          <w:szCs w:val="20"/>
          <w:color w:val="auto"/>
        </w:rPr>
      </w:pPr>
    </w:p>
    <w:p>
      <w:pPr>
        <w:ind w:left="800" w:right="859"/>
        <w:spacing w:after="0" w:line="268" w:lineRule="auto"/>
        <w:rPr>
          <w:sz w:val="20"/>
          <w:szCs w:val="20"/>
          <w:color w:val="auto"/>
        </w:rPr>
      </w:pPr>
      <w:r>
        <w:rPr>
          <w:rFonts w:ascii="Times New Roman" w:cs="Times New Roman" w:eastAsia="Times New Roman" w:hAnsi="Times New Roman"/>
          <w:sz w:val="15"/>
          <w:szCs w:val="15"/>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have been adjusted to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61"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On July 2, 2024, the Company entered into a securities purchase agreement, or the July 2024 Purchase Agreement, for a private investment in public equity financing, or the July 2024 Private Placement, which provides for the issuance of 3,563,247 shares of common stock and 2,937,903 shares of Series B Non-Voting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2" w:name="page153"/>
    <w:bookmarkEnd w:id="1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79"/>
        <w:spacing w:after="0" w:line="288" w:lineRule="auto"/>
        <w:rPr>
          <w:sz w:val="20"/>
          <w:szCs w:val="20"/>
          <w:color w:val="auto"/>
        </w:rPr>
      </w:pPr>
      <w:r>
        <w:rPr>
          <w:rFonts w:ascii="Times New Roman" w:cs="Times New Roman" w:eastAsia="Times New Roman" w:hAnsi="Times New Roman"/>
          <w:sz w:val="15"/>
          <w:szCs w:val="15"/>
          <w:color w:val="auto"/>
        </w:rPr>
        <w:t>Convertible Preferred Stock, par value $0.0001 per share, or the Series B Preferred Stock, each at a purchase price of $20.00 per share. The July 2024 Private Placement resulted in gross proceeds of approximately $130.0 million before deducting placement agent fees and other offering expenses. For additional information, see Note 20.</w:t>
      </w:r>
    </w:p>
    <w:p>
      <w:pPr>
        <w:spacing w:after="0" w:line="44"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10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The accompanying unaudited consolidated financial statements for the three and six months ended June 30, 2024 and 2023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2023 included in the Company’s Annual Report on Form 10-K that was filed with the SEC on March 7, 2024.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2024, the consolidated results of operations for the three and six months ended June 30, 2024, and cash flows for the six months ended June 30, 2024. Such adjustments are of a normal and recurring nature. The results of operations for the three and six months ended June 30, 2024 are not necessarily indicative of the results of operations that may be expected for the year ending December 31, 2024.</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1"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0"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As of June 30, 2024, the Company’s cash, cash equivalents, and restricted cash were $88.9 million, of which $1.7 million was restricted cash related to lease commitments and $0.2 million was held by its Russian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3" w:name="page154"/>
    <w:bookmarkEnd w:id="15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color w:val="auto"/>
        </w:rPr>
        <w:t>subsidiary designated solely for use in its operations. The Company believes the cash, cash equivalents and restricted cash as of June 30, 2024, combined with net proceeds of $124.4 million from the July 2024 Private Placement received subsequent to June 30, 2024,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w:t>
      </w:r>
    </w:p>
    <w:p>
      <w:pPr>
        <w:spacing w:after="0" w:line="80" w:lineRule="exact"/>
        <w:rPr>
          <w:sz w:val="20"/>
          <w:szCs w:val="20"/>
          <w:color w:val="auto"/>
        </w:rPr>
      </w:pPr>
    </w:p>
    <w:p>
      <w:pPr>
        <w:ind w:left="800" w:right="999"/>
        <w:spacing w:after="0" w:line="253" w:lineRule="auto"/>
        <w:rPr>
          <w:sz w:val="20"/>
          <w:szCs w:val="20"/>
          <w:color w:val="auto"/>
        </w:rPr>
      </w:pPr>
      <w:r>
        <w:rPr>
          <w:rFonts w:ascii="Times New Roman" w:cs="Times New Roman" w:eastAsia="Times New Roman" w:hAnsi="Times New Roman"/>
          <w:sz w:val="16"/>
          <w:szCs w:val="16"/>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June 30, 2024, the Company had an accumulated deficit of $657.6 million. The Company anticipates operating losses to continue for the foreseeable future due to, among other things, costs related to research and development of its product candidates and its administrative organization.</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officers, directors, consultants and employees for certain events or occurrences that happen by reason of the relationship with, or position held at the Company. Through June 30, 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The Company disclosed its significant accounting policies in Note 2 – Summary of Significant Accounting Policies included in the Company’s Annual Report on Form 10-K for the year ended December 31, 2023. There have been no material changes to the Company’s significant accounting policies during the six months ended June 30, 2024, except as noted below.</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has contracts with government-sponsored organizations for research and development related activities that provide for payments for reimbursable costs. The Company recognizes grant revenue from these contracts as it performs services under these arrangements when the funding is committed. Expenses associated with these contracts are recognized when incurred as research and development expense. Grant revenue and related expenses are presented gross in the consolidated statements of operations and comprehensive income (loss) as the Company has determined it is the primary obligor under the arrangements relative to the research and development services it performs as lead technical expert. Amounts incurred that are subject to reimbursement from the sponsor are recorded as accounts receivable on the consolidated balance sheets.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800" w:right="899"/>
        <w:spacing w:after="0" w:line="264"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Segment Disclosures </w:t>
      </w:r>
      <w:r>
        <w:rPr>
          <w:rFonts w:ascii="Times New Roman" w:cs="Times New Roman" w:eastAsia="Times New Roman" w:hAnsi="Times New Roman"/>
          <w:sz w:val="16"/>
          <w:szCs w:val="16"/>
          <w:color w:val="auto"/>
        </w:rPr>
        <w:t>(ASU 2023-07), which requires an enhanced disclosure of significant segment expenses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and interim basis. This guidance will be effective for the annual periods beginning the year ended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4" w:name="page155"/>
    <w:bookmarkEnd w:id="15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65"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2023-09), which improves the transparency of income tax disclosures by requiring consistent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Merger</w:t>
      </w:r>
    </w:p>
    <w:p>
      <w:pPr>
        <w:spacing w:after="0" w:line="103" w:lineRule="exact"/>
        <w:rPr>
          <w:sz w:val="20"/>
          <w:szCs w:val="20"/>
          <w:color w:val="auto"/>
        </w:rPr>
      </w:pPr>
    </w:p>
    <w:p>
      <w:pPr>
        <w:ind w:left="800" w:right="839"/>
        <w:spacing w:after="0" w:line="271" w:lineRule="auto"/>
        <w:rPr>
          <w:sz w:val="20"/>
          <w:szCs w:val="20"/>
          <w:color w:val="auto"/>
        </w:rPr>
      </w:pPr>
      <w:r>
        <w:rPr>
          <w:rFonts w:ascii="Times New Roman" w:cs="Times New Roman" w:eastAsia="Times New Roman" w:hAnsi="Times New Roman"/>
          <w:sz w:val="15"/>
          <w:szCs w:val="15"/>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5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Merger Agreement was unanimously approved by the board of directors of Selecta and the board of directors of Old Cartesian. The Merger was consummated substantially concurrently with the entry into the Merger Agreement and was not subject to approval of the Company's stockholders.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224,099 shares of the Company’s common stock and (ii) 384,930.724 shares of Series A Preferred Stock. The issuance of the shares of common stock and Series A Preferred Stock occurred on December 5, 2023 which was after the December 4, 2023 record date for the distribution of the CVRs (see Note 5);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7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Pursuant to the Merger Agreement, the Company agreed to hold a stockholders’ meeting, or the Special Meeting, to submit the following proposals to a vote of its stockholders: (i) the approval of the conversion of shares of Series A Preferred Stock into shares of common stock, or the Conversion Proposal, and (ii) either or both of (A) the approval of an amendment to the Company’s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The Special Meeting was held on March 27, 2024 in which the Company’s stockholders approved the Conversion Proposal, among other matters (see Note 10).</w:t>
      </w:r>
    </w:p>
    <w:p>
      <w:pPr>
        <w:spacing w:after="0" w:line="73" w:lineRule="exact"/>
        <w:rPr>
          <w:sz w:val="20"/>
          <w:szCs w:val="20"/>
          <w:color w:val="auto"/>
        </w:rPr>
      </w:pPr>
    </w:p>
    <w:p>
      <w:pPr>
        <w:ind w:left="800" w:right="1219"/>
        <w:spacing w:after="0" w:line="277" w:lineRule="auto"/>
        <w:rPr>
          <w:sz w:val="20"/>
          <w:szCs w:val="20"/>
          <w:color w:val="auto"/>
        </w:rPr>
      </w:pPr>
      <w:r>
        <w:rPr>
          <w:rFonts w:ascii="Times New Roman" w:cs="Times New Roman" w:eastAsia="Times New Roman" w:hAnsi="Times New Roman"/>
          <w:sz w:val="16"/>
          <w:szCs w:val="16"/>
          <w:color w:val="auto"/>
        </w:rPr>
        <w:t xml:space="preserve">The Company concluded the acquisition resulted in the Company obtaining a controlling financial interest in a variable interest entity, or VIE, in accordance with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or ASC 810. The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5" w:name="page156"/>
    <w:bookmarkEnd w:id="1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 xml:space="preserve">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absorb the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w:t>
      </w:r>
      <w:r>
        <w:rPr>
          <w:rFonts w:ascii="Times New Roman" w:cs="Times New Roman" w:eastAsia="Times New Roman" w:hAnsi="Times New Roman"/>
          <w:sz w:val="15"/>
          <w:szCs w:val="15"/>
          <w:i w:val="1"/>
          <w:iCs w:val="1"/>
          <w:color w:val="auto"/>
        </w:rPr>
        <w:t>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Combinations</w:t>
      </w:r>
      <w:r>
        <w:rPr>
          <w:rFonts w:ascii="Times New Roman" w:cs="Times New Roman" w:eastAsia="Times New Roman" w:hAnsi="Times New Roman"/>
          <w:sz w:val="15"/>
          <w:szCs w:val="15"/>
          <w:color w:val="auto"/>
        </w:rPr>
        <w:t>, or ASC 805. As the primary beneficiary, the Company was the acquirer in the transaction.</w:t>
      </w:r>
    </w:p>
    <w:p>
      <w:pPr>
        <w:spacing w:after="0" w:line="59"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70" w:lineRule="exact"/>
        <w:rPr>
          <w:sz w:val="20"/>
          <w:szCs w:val="20"/>
          <w:color w:val="auto"/>
        </w:rPr>
      </w:pPr>
    </w:p>
    <w:p>
      <w:pPr>
        <w:ind w:left="800" w:right="1259"/>
        <w:spacing w:after="0" w:line="277" w:lineRule="auto"/>
        <w:rPr>
          <w:sz w:val="20"/>
          <w:szCs w:val="20"/>
          <w:color w:val="auto"/>
        </w:rPr>
      </w:pPr>
      <w:r>
        <w:rPr>
          <w:rFonts w:ascii="Times New Roman" w:cs="Times New Roman" w:eastAsia="Times New Roman" w:hAnsi="Times New Roman"/>
          <w:sz w:val="16"/>
          <w:szCs w:val="16"/>
          <w:color w:val="auto"/>
        </w:rPr>
        <w:t>The total fair value of the consideration of $168.5 million as of the Closing Date is summarized as follows (in thousands):</w:t>
      </w:r>
    </w:p>
    <w:p>
      <w:pPr>
        <w:spacing w:after="0" w:line="102" w:lineRule="exact"/>
        <w:rPr>
          <w:sz w:val="20"/>
          <w:szCs w:val="20"/>
          <w:color w:val="auto"/>
        </w:rPr>
      </w:pPr>
    </w:p>
    <w:tbl>
      <w:tblPr>
        <w:tblLayout w:type="fixed"/>
        <w:tblInd w:w="800" w:type="dxa"/>
        <w:tblCellMar>
          <w:top w:w="0" w:type="dxa"/>
          <w:left w:w="0" w:type="dxa"/>
          <w:bottom w:w="0" w:type="dxa"/>
          <w:right w:w="0" w:type="dxa"/>
        </w:tblCellMar>
      </w:tblPr>
      <w:tr>
        <w:trPr>
          <w:trHeight w:val="297"/>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common stock</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155,308</w:t>
            </w:r>
          </w:p>
        </w:tc>
      </w:tr>
      <w:tr>
        <w:trPr>
          <w:trHeight w:val="224"/>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allocated to consideration paid</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10,444</w:t>
            </w:r>
          </w:p>
        </w:tc>
      </w:tr>
      <w:tr>
        <w:trPr>
          <w:trHeight w:val="22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Total consideration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168,465</w:t>
            </w:r>
          </w:p>
        </w:tc>
      </w:tr>
      <w:tr>
        <w:trPr>
          <w:trHeight w:val="20"/>
        </w:trPr>
        <w:tc>
          <w:tcPr>
            <w:tcW w:w="6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31"/>
        </w:trPr>
        <w:tc>
          <w:tcPr>
            <w:tcW w:w="6640" w:type="dxa"/>
            <w:vAlign w:val="bottom"/>
          </w:tcPr>
          <w:p>
            <w:pPr>
              <w:spacing w:after="0"/>
              <w:rPr>
                <w:sz w:val="11"/>
                <w:szCs w:val="11"/>
                <w:color w:val="auto"/>
              </w:rPr>
            </w:pPr>
          </w:p>
        </w:tc>
        <w:tc>
          <w:tcPr>
            <w:tcW w:w="760" w:type="dxa"/>
            <w:vAlign w:val="bottom"/>
            <w:gridSpan w:val="5"/>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November 13,</w:t>
            </w:r>
          </w:p>
        </w:tc>
      </w:tr>
      <w:tr>
        <w:trPr>
          <w:trHeight w:val="167"/>
        </w:trPr>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tcPr>
          <w:p>
            <w:pPr>
              <w:spacing w:after="0"/>
              <w:rPr>
                <w:sz w:val="18"/>
                <w:szCs w:val="18"/>
                <w:color w:val="auto"/>
              </w:rPr>
            </w:pP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18"/>
                <w:szCs w:val="18"/>
                <w:color w:val="auto"/>
              </w:rPr>
            </w:pPr>
          </w:p>
        </w:tc>
      </w:tr>
      <w:tr>
        <w:trPr>
          <w:trHeight w:val="221"/>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6640" w:type="dxa"/>
            <w:vAlign w:val="bottom"/>
          </w:tcPr>
          <w:p>
            <w:pPr>
              <w:spacing w:after="0"/>
              <w:rPr>
                <w:sz w:val="18"/>
                <w:szCs w:val="18"/>
                <w:color w:val="auto"/>
              </w:rPr>
            </w:pPr>
          </w:p>
        </w:tc>
        <w:tc>
          <w:tcPr>
            <w:tcW w:w="7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206,763</w:t>
            </w: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tcPr>
          <w:p>
            <w:pPr>
              <w:spacing w:after="0"/>
              <w:rPr>
                <w:sz w:val="18"/>
                <w:szCs w:val="18"/>
                <w:color w:val="auto"/>
              </w:rPr>
            </w:pP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292</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623</w:t>
            </w:r>
          </w:p>
        </w:tc>
      </w:tr>
      <w:tr>
        <w:trPr>
          <w:trHeight w:val="221"/>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66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38,298</w:t>
            </w: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7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$168,465</w:t>
            </w:r>
          </w:p>
        </w:tc>
      </w:tr>
      <w:tr>
        <w:trPr>
          <w:trHeight w:val="48"/>
        </w:trPr>
        <w:tc>
          <w:tcPr>
            <w:tcW w:w="6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fair value of the in-process research and development, or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each respective IPR&amp;D asset will be amortized over its estimated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6" w:name="page157"/>
    <w:bookmarkEnd w:id="156"/>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20"/>
        <w:spacing w:after="0" w:line="255" w:lineRule="auto"/>
        <w:rPr>
          <w:sz w:val="20"/>
          <w:szCs w:val="20"/>
          <w:color w:val="auto"/>
        </w:rPr>
      </w:pPr>
      <w:r>
        <w:rPr>
          <w:rFonts w:ascii="Times New Roman" w:cs="Times New Roman" w:eastAsia="Times New Roman" w:hAnsi="Times New Roman"/>
          <w:sz w:val="16"/>
          <w:szCs w:val="16"/>
          <w:color w:val="auto"/>
        </w:rPr>
        <w:t>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summarizes the Company’s intangible assets acquired in the Merger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80" w:type="dxa"/>
            <w:vAlign w:val="bottom"/>
          </w:tcPr>
          <w:p>
            <w:pPr>
              <w:spacing w:after="0"/>
              <w:rPr>
                <w:sz w:val="12"/>
                <w:szCs w:val="12"/>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Acquisition Date</w:t>
            </w:r>
          </w:p>
        </w:tc>
      </w:tr>
      <w:tr>
        <w:trPr>
          <w:trHeight w:val="167"/>
        </w:trPr>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r>
      <w:tr>
        <w:trPr>
          <w:trHeight w:val="21"/>
        </w:trPr>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Descartes-08 for MG</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160" w:type="dxa"/>
            <w:vAlign w:val="bottom"/>
            <w:shd w:val="clear" w:color="auto" w:fill="CCEEFF"/>
          </w:tcPr>
          <w:p>
            <w:pPr>
              <w:spacing w:after="0"/>
              <w:rPr>
                <w:sz w:val="18"/>
                <w:szCs w:val="18"/>
                <w:color w:val="auto"/>
              </w:rPr>
            </w:pPr>
          </w:p>
        </w:tc>
      </w:tr>
      <w:tr>
        <w:trPr>
          <w:trHeight w:val="218"/>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Descartes-08 for SLE</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56,700</w:t>
            </w:r>
          </w:p>
        </w:tc>
        <w:tc>
          <w:tcPr>
            <w:tcW w:w="160" w:type="dxa"/>
            <w:vAlign w:val="bottom"/>
          </w:tcPr>
          <w:p>
            <w:pPr>
              <w:spacing w:after="0"/>
              <w:rPr>
                <w:sz w:val="18"/>
                <w:szCs w:val="18"/>
                <w:color w:val="auto"/>
              </w:rPr>
            </w:pPr>
          </w:p>
        </w:tc>
      </w:tr>
      <w:tr>
        <w:trPr>
          <w:trHeight w:val="266"/>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in-process research and development assets</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150,600</w:t>
            </w:r>
          </w:p>
        </w:tc>
        <w:tc>
          <w:tcPr>
            <w:tcW w:w="160" w:type="dxa"/>
            <w:vAlign w:val="bottom"/>
            <w:tcBorders>
              <w:bottom w:val="single" w:sz="8" w:color="CCEEFF"/>
            </w:tcBorders>
            <w:shd w:val="clear" w:color="auto" w:fill="CCEEFF"/>
          </w:tcPr>
          <w:p>
            <w:pPr>
              <w:spacing w:after="0"/>
              <w:rPr>
                <w:sz w:val="23"/>
                <w:szCs w:val="23"/>
                <w:color w:val="auto"/>
              </w:rPr>
            </w:pPr>
          </w:p>
        </w:tc>
      </w:tr>
    </w:tbl>
    <w:p>
      <w:pPr>
        <w:spacing w:after="0" w:line="78" w:lineRule="exact"/>
        <w:rPr>
          <w:sz w:val="20"/>
          <w:szCs w:val="20"/>
          <w:color w:val="auto"/>
        </w:rPr>
      </w:pPr>
    </w:p>
    <w:p>
      <w:pPr>
        <w:ind w:left="1140" w:right="1260"/>
        <w:spacing w:after="0" w:line="257" w:lineRule="auto"/>
        <w:rPr>
          <w:sz w:val="20"/>
          <w:szCs w:val="20"/>
          <w:color w:val="auto"/>
        </w:rPr>
      </w:pPr>
      <w:r>
        <w:rPr>
          <w:rFonts w:ascii="Times New Roman" w:cs="Times New Roman" w:eastAsia="Times New Roman" w:hAnsi="Times New Roman"/>
          <w:sz w:val="16"/>
          <w:szCs w:val="16"/>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7" w:lineRule="exact"/>
        <w:rPr>
          <w:sz w:val="20"/>
          <w:szCs w:val="20"/>
          <w:color w:val="auto"/>
        </w:rPr>
      </w:pPr>
    </w:p>
    <w:p>
      <w:pPr>
        <w:ind w:left="1140" w:right="1160"/>
        <w:spacing w:after="0" w:line="255" w:lineRule="auto"/>
        <w:rPr>
          <w:sz w:val="20"/>
          <w:szCs w:val="20"/>
          <w:color w:val="auto"/>
        </w:rPr>
      </w:pPr>
      <w:r>
        <w:rPr>
          <w:rFonts w:ascii="Times New Roman" w:cs="Times New Roman" w:eastAsia="Times New Roman" w:hAnsi="Times New Roman"/>
          <w:sz w:val="16"/>
          <w:szCs w:val="16"/>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 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3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Net Income (Loss) Per Share Allocable to Common Stockholders</w:t>
      </w:r>
    </w:p>
    <w:p>
      <w:pPr>
        <w:spacing w:after="0" w:line="103" w:lineRule="exact"/>
        <w:rPr>
          <w:sz w:val="20"/>
          <w:szCs w:val="20"/>
          <w:color w:val="auto"/>
        </w:rPr>
      </w:pPr>
    </w:p>
    <w:p>
      <w:pPr>
        <w:ind w:left="1140" w:right="1200"/>
        <w:spacing w:after="0" w:line="262" w:lineRule="auto"/>
        <w:rPr>
          <w:sz w:val="20"/>
          <w:szCs w:val="20"/>
          <w:color w:val="auto"/>
        </w:rPr>
      </w:pPr>
      <w:r>
        <w:rPr>
          <w:rFonts w:ascii="Times New Roman" w:cs="Times New Roman" w:eastAsia="Times New Roman" w:hAnsi="Times New Roman"/>
          <w:sz w:val="16"/>
          <w:szCs w:val="16"/>
          <w:color w:val="auto"/>
        </w:rPr>
        <w:t>The following table sets forth the computation of basic and diluted net income (loss) per share allocable to common stockholders for the three and six months ended June 30, 2024 and 2023 (in thousands, except share and per-share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4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13,836</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(33,050)</w:t>
            </w:r>
          </w:p>
        </w:tc>
        <w:tc>
          <w:tcPr>
            <w:tcW w:w="1140" w:type="dxa"/>
            <w:vAlign w:val="bottom"/>
          </w:tcPr>
          <w:p>
            <w:pPr>
              <w:spacing w:after="0"/>
              <w:rPr>
                <w:sz w:val="18"/>
                <w:szCs w:val="18"/>
                <w:color w:val="auto"/>
              </w:rPr>
            </w:pPr>
          </w:p>
        </w:tc>
      </w:tr>
      <w:tr>
        <w:trPr>
          <w:trHeight w:val="189"/>
        </w:trPr>
        <w:tc>
          <w:tcPr>
            <w:tcW w:w="1140" w:type="dxa"/>
            <w:vAlign w:val="bottom"/>
          </w:tcPr>
          <w:p>
            <w:pPr>
              <w:spacing w:after="0"/>
              <w:rPr>
                <w:sz w:val="16"/>
                <w:szCs w:val="16"/>
                <w:color w:val="auto"/>
              </w:rPr>
            </w:pPr>
          </w:p>
        </w:tc>
        <w:tc>
          <w:tcPr>
            <w:tcW w:w="39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Undistributed earnings allocable to participating</w:t>
            </w: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35"/>
        </w:trPr>
        <w:tc>
          <w:tcPr>
            <w:tcW w:w="1140" w:type="dxa"/>
            <w:vAlign w:val="bottom"/>
          </w:tcPr>
          <w:p>
            <w:pPr>
              <w:spacing w:after="0"/>
              <w:rPr>
                <w:sz w:val="20"/>
                <w:szCs w:val="20"/>
                <w:color w:val="auto"/>
              </w:rPr>
            </w:pPr>
          </w:p>
        </w:tc>
        <w:tc>
          <w:tcPr>
            <w:tcW w:w="39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201"/>
        </w:trPr>
        <w:tc>
          <w:tcPr>
            <w:tcW w:w="1140" w:type="dxa"/>
            <w:vAlign w:val="bottom"/>
          </w:tcPr>
          <w:p>
            <w:pPr>
              <w:spacing w:after="0"/>
              <w:rPr>
                <w:sz w:val="17"/>
                <w:szCs w:val="17"/>
                <w:color w:val="auto"/>
              </w:rPr>
            </w:pPr>
          </w:p>
        </w:tc>
        <w:tc>
          <w:tcPr>
            <w:tcW w:w="39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income (loss) allocable to shares of common stock -</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3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(33,050)</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8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16,723,479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940" w:type="dxa"/>
            <w:vAlign w:val="bottom"/>
            <w:gridSpan w:val="3"/>
          </w:tcPr>
          <w:p>
            <w:pPr>
              <w:jc w:val="right"/>
              <w:ind w:right="6"/>
              <w:spacing w:after="0"/>
              <w:rPr>
                <w:sz w:val="20"/>
                <w:szCs w:val="20"/>
                <w:color w:val="auto"/>
              </w:rPr>
            </w:pPr>
            <w:r>
              <w:rPr>
                <w:rFonts w:ascii="Times New Roman" w:cs="Times New Roman" w:eastAsia="Times New Roman" w:hAnsi="Times New Roman"/>
                <w:sz w:val="16"/>
                <w:szCs w:val="16"/>
                <w:color w:val="auto"/>
              </w:rPr>
              <w:t>11,068,749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9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Dilutive effect of employee equity incentive plans</w:t>
            </w: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21"/>
        </w:trPr>
        <w:tc>
          <w:tcPr>
            <w:tcW w:w="1140" w:type="dxa"/>
            <w:vAlign w:val="bottom"/>
          </w:tcPr>
          <w:p>
            <w:pPr>
              <w:spacing w:after="0" w:line="20" w:lineRule="exact"/>
              <w:rPr>
                <w:sz w:val="1"/>
                <w:szCs w:val="1"/>
                <w:color w:val="auto"/>
              </w:rPr>
            </w:pPr>
          </w:p>
        </w:tc>
        <w:tc>
          <w:tcPr>
            <w:tcW w:w="39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6"/>
        </w:trPr>
        <w:tc>
          <w:tcPr>
            <w:tcW w:w="1140" w:type="dxa"/>
            <w:vAlign w:val="bottom"/>
          </w:tcPr>
          <w:p>
            <w:pPr>
              <w:spacing w:after="0"/>
              <w:rPr>
                <w:sz w:val="19"/>
                <w:szCs w:val="19"/>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8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17,791,143</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100" w:type="dxa"/>
            <w:vAlign w:val="bottom"/>
          </w:tcPr>
          <w:p>
            <w:pPr>
              <w:spacing w:after="0"/>
              <w:rPr>
                <w:sz w:val="19"/>
                <w:szCs w:val="19"/>
                <w:color w:val="auto"/>
              </w:rPr>
            </w:pPr>
          </w:p>
        </w:tc>
        <w:tc>
          <w:tcPr>
            <w:tcW w:w="84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11,068,749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1140" w:type="dxa"/>
            <w:vAlign w:val="bottom"/>
          </w:tcPr>
          <w:p>
            <w:pPr>
              <w:spacing w:after="0"/>
              <w:rPr>
                <w:sz w:val="17"/>
                <w:szCs w:val="17"/>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allocable to common</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1140" w:type="dxa"/>
            <w:vAlign w:val="bottom"/>
          </w:tcPr>
          <w:p>
            <w:pPr>
              <w:spacing w:after="0"/>
              <w:rPr>
                <w:sz w:val="19"/>
                <w:szCs w:val="19"/>
                <w:color w:val="auto"/>
              </w:rPr>
            </w:pPr>
          </w:p>
        </w:tc>
        <w:tc>
          <w:tcPr>
            <w:tcW w:w="39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0.58</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5"/>
        </w:trPr>
        <w:tc>
          <w:tcPr>
            <w:tcW w:w="1140" w:type="dxa"/>
            <w:vAlign w:val="bottom"/>
          </w:tcPr>
          <w:p>
            <w:pPr>
              <w:spacing w:after="0"/>
              <w:rPr>
                <w:sz w:val="23"/>
                <w:szCs w:val="23"/>
                <w:color w:val="auto"/>
              </w:rPr>
            </w:pPr>
          </w:p>
        </w:tc>
        <w:tc>
          <w:tcPr>
            <w:tcW w:w="39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0.54</w:t>
            </w:r>
          </w:p>
        </w:tc>
        <w:tc>
          <w:tcPr>
            <w:tcW w:w="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900" w:type="dxa"/>
            <w:vAlign w:val="bottom"/>
            <w:tcBorders>
              <w:top w:val="single" w:sz="8" w:color="CCEEFF"/>
            </w:tcBorders>
          </w:tcPr>
          <w:p>
            <w:pPr>
              <w:ind w:left="3560"/>
              <w:spacing w:after="0"/>
              <w:rPr>
                <w:sz w:val="20"/>
                <w:szCs w:val="20"/>
                <w:color w:val="auto"/>
              </w:rPr>
            </w:pPr>
            <w:r>
              <w:rPr>
                <w:rFonts w:ascii="Times New Roman" w:cs="Times New Roman" w:eastAsia="Times New Roman" w:hAnsi="Times New Roman"/>
                <w:sz w:val="16"/>
                <w:szCs w:val="16"/>
                <w:color w:val="auto"/>
                <w:w w:val="99"/>
              </w:rPr>
              <w:t>F-13</w:t>
            </w: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9680"/>
          </w:cols>
          <w:pgMar w:left="1100" w:top="248" w:right="1119" w:bottom="1440" w:gutter="0" w:footer="0" w:header="0"/>
        </w:sectPr>
      </w:pPr>
    </w:p>
    <w:bookmarkStart w:id="157" w:name="page158"/>
    <w:bookmarkEnd w:id="1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The following table represents the potential dilutive shares of common stock excluded from the computation of the diluted net income (loss) per share allocable to common stockholders for all periods presented, as the effect would have been anti-dilutive:</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540" w:type="dxa"/>
            <w:vAlign w:val="bottom"/>
            <w:gridSpan w:val="3"/>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Pr>
          <w:p>
            <w:pPr>
              <w:spacing w:after="0"/>
              <w:rPr>
                <w:sz w:val="12"/>
                <w:szCs w:val="12"/>
                <w:color w:val="auto"/>
              </w:rPr>
            </w:pPr>
          </w:p>
        </w:tc>
        <w:tc>
          <w:tcPr>
            <w:tcW w:w="1540" w:type="dxa"/>
            <w:vAlign w:val="bottom"/>
            <w:gridSpan w:val="3"/>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4060" w:type="dxa"/>
            <w:vAlign w:val="bottom"/>
          </w:tcPr>
          <w:p>
            <w:pPr>
              <w:spacing w:after="0"/>
              <w:rPr>
                <w:sz w:val="14"/>
                <w:szCs w:val="14"/>
                <w:color w:val="auto"/>
              </w:rPr>
            </w:pPr>
          </w:p>
        </w:tc>
        <w:tc>
          <w:tcPr>
            <w:tcW w:w="1540" w:type="dxa"/>
            <w:vAlign w:val="bottom"/>
            <w:gridSpan w:val="3"/>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60" w:type="dxa"/>
            <w:vAlign w:val="bottom"/>
          </w:tcPr>
          <w:p>
            <w:pPr>
              <w:spacing w:after="0"/>
              <w:rPr>
                <w:sz w:val="14"/>
                <w:szCs w:val="14"/>
                <w:color w:val="auto"/>
              </w:rPr>
            </w:pPr>
          </w:p>
        </w:tc>
        <w:tc>
          <w:tcPr>
            <w:tcW w:w="1540" w:type="dxa"/>
            <w:vAlign w:val="bottom"/>
            <w:gridSpan w:val="3"/>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21"/>
        </w:trPr>
        <w:tc>
          <w:tcPr>
            <w:tcW w:w="4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1"/>
        </w:trPr>
        <w:tc>
          <w:tcPr>
            <w:tcW w:w="4060" w:type="dxa"/>
            <w:vAlign w:val="bottom"/>
          </w:tcPr>
          <w:p>
            <w:pPr>
              <w:spacing w:after="0"/>
              <w:rPr>
                <w:sz w:val="13"/>
                <w:szCs w:val="13"/>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4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options, restricted stock units and ESPP</w:t>
            </w:r>
          </w:p>
        </w:tc>
        <w:tc>
          <w:tcPr>
            <w:tcW w:w="6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8"/>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740,211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2,344,017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753,590</w:t>
            </w:r>
          </w:p>
        </w:tc>
      </w:tr>
      <w:tr>
        <w:trPr>
          <w:trHeight w:val="207"/>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1,040,943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1,040,943</w:t>
            </w:r>
          </w:p>
        </w:tc>
      </w:tr>
      <w:tr>
        <w:trPr>
          <w:trHeight w:val="21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5,544,719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5,544,719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406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r>
      <w:tr>
        <w:trPr>
          <w:trHeight w:val="226"/>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7,260,062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1,794,533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8,863,868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1,794,533</w:t>
            </w:r>
          </w:p>
        </w:tc>
      </w:tr>
      <w:tr>
        <w:trPr>
          <w:trHeight w:val="20"/>
        </w:trPr>
        <w:tc>
          <w:tcPr>
            <w:tcW w:w="4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5. Fair Value Measurements</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June 30, 2024 and December 31, 2023 (in thousands):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8"/>
          </w:tcPr>
          <w:p>
            <w:pPr>
              <w:ind w:left="1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4"/>
              </w:rPr>
              <w:t>Level 3</w:t>
            </w:r>
          </w:p>
        </w:tc>
      </w:tr>
      <w:tr>
        <w:trPr>
          <w:trHeight w:val="21"/>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90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w w:val="99"/>
              </w:rPr>
              <w:t>$ 39,181</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$39,181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90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9"/>
              </w:rPr>
              <w:t>$ 39,181</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39,181</w:t>
            </w:r>
          </w:p>
        </w:tc>
        <w:tc>
          <w:tcPr>
            <w:tcW w:w="200" w:type="dxa"/>
            <w:vAlign w:val="bottom"/>
            <w:tcBorders>
              <w:lef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r>
      <w:tr>
        <w:trPr>
          <w:trHeight w:val="219"/>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90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9,260</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9,260</w:t>
            </w:r>
          </w:p>
        </w:tc>
        <w:tc>
          <w:tcPr>
            <w:tcW w:w="20" w:type="dxa"/>
            <w:vAlign w:val="bottom"/>
            <w:shd w:val="clear" w:color="auto" w:fill="CCEEFF"/>
          </w:tcPr>
          <w:p>
            <w:pPr>
              <w:spacing w:after="0"/>
              <w:rPr>
                <w:sz w:val="19"/>
                <w:szCs w:val="19"/>
                <w:color w:val="auto"/>
              </w:rPr>
            </w:pPr>
          </w:p>
        </w:tc>
      </w:tr>
      <w:tr>
        <w:trPr>
          <w:trHeight w:val="216"/>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90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w w:val="93"/>
              </w:rPr>
              <w:t>$395,400</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$395,400</w:t>
            </w:r>
          </w:p>
        </w:tc>
        <w:tc>
          <w:tcPr>
            <w:tcW w:w="20" w:type="dxa"/>
            <w:vAlign w:val="bottom"/>
          </w:tcPr>
          <w:p>
            <w:pPr>
              <w:spacing w:after="0"/>
              <w:rPr>
                <w:sz w:val="18"/>
                <w:szCs w:val="18"/>
                <w:color w:val="auto"/>
              </w:rPr>
            </w:pPr>
          </w:p>
        </w:tc>
      </w:tr>
      <w:tr>
        <w:trPr>
          <w:trHeight w:val="21"/>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90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404,660</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404,660</w:t>
            </w:r>
          </w:p>
        </w:tc>
        <w:tc>
          <w:tcPr>
            <w:tcW w:w="20" w:type="dxa"/>
            <w:vAlign w:val="bottom"/>
            <w:shd w:val="clear" w:color="auto" w:fill="CCEEFF"/>
          </w:tcPr>
          <w:p>
            <w:pPr>
              <w:spacing w:after="0"/>
              <w:rPr>
                <w:sz w:val="21"/>
                <w:szCs w:val="21"/>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322"/>
        </w:trPr>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9"/>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3"/>
                <w:szCs w:val="13"/>
                <w:color w:val="auto"/>
              </w:rPr>
            </w:pPr>
          </w:p>
        </w:tc>
        <w:tc>
          <w:tcPr>
            <w:tcW w:w="54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Level 3</w:t>
            </w:r>
          </w:p>
        </w:tc>
      </w:tr>
      <w:tr>
        <w:trPr>
          <w:trHeight w:val="21"/>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$ 41,161</w:t>
            </w:r>
          </w:p>
        </w:tc>
        <w:tc>
          <w:tcPr>
            <w:tcW w:w="1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$41,161</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$ 41,161</w:t>
            </w:r>
          </w:p>
        </w:tc>
        <w:tc>
          <w:tcPr>
            <w:tcW w:w="180" w:type="dxa"/>
            <w:vAlign w:val="bottom"/>
            <w:shd w:val="clear" w:color="auto" w:fill="CCEEFF"/>
          </w:tcPr>
          <w:p>
            <w:pPr>
              <w:spacing w:after="0"/>
              <w:rPr>
                <w:sz w:val="23"/>
                <w:szCs w:val="23"/>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41,161</w:t>
            </w:r>
          </w:p>
        </w:tc>
        <w:tc>
          <w:tcPr>
            <w:tcW w:w="140" w:type="dxa"/>
            <w:vAlign w:val="bottom"/>
            <w:shd w:val="clear" w:color="auto" w:fill="CCEEFF"/>
          </w:tcPr>
          <w:p>
            <w:pPr>
              <w:spacing w:after="0"/>
              <w:rPr>
                <w:sz w:val="23"/>
                <w:szCs w:val="23"/>
                <w:color w:val="auto"/>
              </w:rPr>
            </w:pP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r>
      <w:tr>
        <w:trPr>
          <w:trHeight w:val="219"/>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6,394</w:t>
            </w:r>
          </w:p>
        </w:tc>
        <w:tc>
          <w:tcPr>
            <w:tcW w:w="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20" w:type="dxa"/>
            <w:vAlign w:val="bottom"/>
            <w:shd w:val="clear" w:color="auto" w:fill="CCEEFF"/>
          </w:tcPr>
          <w:p>
            <w:pPr>
              <w:spacing w:after="0"/>
              <w:rPr>
                <w:sz w:val="19"/>
                <w:szCs w:val="19"/>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80" w:type="dxa"/>
            <w:vAlign w:val="bottom"/>
          </w:tcPr>
          <w:p>
            <w:pPr>
              <w:spacing w:after="0"/>
              <w:rPr>
                <w:sz w:val="18"/>
                <w:szCs w:val="18"/>
                <w:color w:val="auto"/>
              </w:rPr>
            </w:pP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20" w:type="dxa"/>
            <w:vAlign w:val="bottom"/>
          </w:tcPr>
          <w:p>
            <w:pPr>
              <w:spacing w:after="0"/>
              <w:rPr>
                <w:sz w:val="18"/>
                <w:szCs w:val="18"/>
                <w:color w:val="auto"/>
              </w:rPr>
            </w:pPr>
          </w:p>
        </w:tc>
      </w:tr>
      <w:tr>
        <w:trPr>
          <w:trHeight w:val="220"/>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$ 28,307</w:t>
            </w:r>
          </w:p>
        </w:tc>
        <w:tc>
          <w:tcPr>
            <w:tcW w:w="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4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2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393,301</w:t>
            </w:r>
          </w:p>
        </w:tc>
        <w:tc>
          <w:tcPr>
            <w:tcW w:w="180" w:type="dxa"/>
            <w:vAlign w:val="bottom"/>
          </w:tcPr>
          <w:p>
            <w:pPr>
              <w:spacing w:after="0"/>
              <w:rPr>
                <w:sz w:val="19"/>
                <w:szCs w:val="19"/>
                <w:color w:val="auto"/>
              </w:rPr>
            </w:pP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28,307</w:t>
            </w:r>
          </w:p>
        </w:tc>
        <w:tc>
          <w:tcPr>
            <w:tcW w:w="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364,994</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8"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There were no transfers within the fair value hierarchy during the six months ended June 30, 2024 or year ended December 31, 2023.</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Cash, Cash Equivalents, and Restricted Cash</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As of June 30, 2024 and December 31, 2023, money market funds were classified as cash and cash equivalents on the accompanying consolidated balance sheets as they mature within 90 days from the date of purchase.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8" w:name="page159"/>
    <w:bookmarkEnd w:id="1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As of June 30, 2024, the Company had restricted cash balances relating to secured letters of credit in connection with its real estate leases. Short-term restricted cash is included within prepaid expenses and other current assets in the consolidated balance sheets. The Company’s consolidated statements of cash flows include the following as of June 30, 2024 and 2023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00" w:type="dxa"/>
            <w:vAlign w:val="bottom"/>
          </w:tcPr>
          <w:p>
            <w:pPr>
              <w:spacing w:after="0"/>
              <w:rPr>
                <w:sz w:val="14"/>
                <w:szCs w:val="14"/>
                <w:color w:val="auto"/>
              </w:rPr>
            </w:pPr>
          </w:p>
        </w:tc>
        <w:tc>
          <w:tcPr>
            <w:tcW w:w="140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21"/>
        </w:trPr>
        <w:tc>
          <w:tcPr>
            <w:tcW w:w="6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600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r>
      <w:tr>
        <w:trPr>
          <w:trHeight w:val="21"/>
        </w:trPr>
        <w:tc>
          <w:tcPr>
            <w:tcW w:w="6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8"/>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$87,227</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$112,027</w:t>
            </w:r>
          </w:p>
        </w:tc>
      </w:tr>
      <w:tr>
        <w:trPr>
          <w:trHeight w:val="20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Short-term restricted cash</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0" w:type="dxa"/>
            <w:vAlign w:val="bottom"/>
          </w:tcPr>
          <w:p>
            <w:pPr>
              <w:spacing w:after="0"/>
              <w:rPr>
                <w:sz w:val="18"/>
                <w:szCs w:val="18"/>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2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88,896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115,004</w:t>
            </w:r>
          </w:p>
        </w:tc>
      </w:tr>
      <w:tr>
        <w:trPr>
          <w:trHeight w:val="20"/>
        </w:trPr>
        <w:tc>
          <w:tcPr>
            <w:tcW w:w="6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Warrants to Purchase Common Stock</w:t>
      </w:r>
    </w:p>
    <w:p>
      <w:pPr>
        <w:spacing w:after="0" w:line="103"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2019 Warrants are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 See Note 12 to the consolidated financial statements included in the Company’s Annual Report on Form 10-K for the year ended December 31, 2023 for further discussion on the equity-classified Amended 2019 Warrants.</w:t>
      </w:r>
    </w:p>
    <w:p>
      <w:pPr>
        <w:spacing w:after="0" w:line="59"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70"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estimated fair values of the 2019 Warrants and the 2022 Warrants were determined using the following inputs to the Black-Scholes simulation valuation:</w:t>
      </w:r>
    </w:p>
    <w:p>
      <w:pPr>
        <w:spacing w:after="0" w:line="48" w:lineRule="exact"/>
        <w:rPr>
          <w:sz w:val="20"/>
          <w:szCs w:val="20"/>
          <w:color w:val="auto"/>
        </w:rPr>
      </w:pPr>
    </w:p>
    <w:p>
      <w:pPr>
        <w:ind w:left="1120" w:right="879"/>
        <w:spacing w:after="0" w:line="280" w:lineRule="auto"/>
        <w:rPr>
          <w:sz w:val="20"/>
          <w:szCs w:val="20"/>
          <w:color w:val="auto"/>
        </w:rPr>
      </w:pPr>
      <w:r>
        <w:rPr>
          <w:rFonts w:ascii="Times New Roman" w:cs="Times New Roman" w:eastAsia="Times New Roman" w:hAnsi="Times New Roman"/>
          <w:sz w:val="16"/>
          <w:szCs w:val="16"/>
          <w:i w:val="1"/>
          <w:iCs w:val="1"/>
          <w:color w:val="auto"/>
        </w:rPr>
        <w:t>Estimated fair value of the underlying stock</w:t>
      </w:r>
      <w:r>
        <w:rPr>
          <w:rFonts w:ascii="Times New Roman" w:cs="Times New Roman" w:eastAsia="Times New Roman" w:hAnsi="Times New Roman"/>
          <w:sz w:val="16"/>
          <w:szCs w:val="16"/>
          <w:color w:val="auto"/>
        </w:rPr>
        <w:t>. The Company estimates the fair value of the common stock 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closing stock price at the end of each reporting period.</w:t>
      </w:r>
    </w:p>
    <w:p>
      <w:pPr>
        <w:spacing w:after="0" w:line="46" w:lineRule="exact"/>
        <w:rPr>
          <w:sz w:val="20"/>
          <w:szCs w:val="20"/>
          <w:color w:val="auto"/>
        </w:rPr>
      </w:pPr>
    </w:p>
    <w:p>
      <w:pPr>
        <w:ind w:left="1120" w:right="1639"/>
        <w:spacing w:after="0" w:line="280" w:lineRule="auto"/>
        <w:rPr>
          <w:sz w:val="20"/>
          <w:szCs w:val="20"/>
          <w:color w:val="auto"/>
        </w:rPr>
      </w:pPr>
      <w:r>
        <w:rPr>
          <w:rFonts w:ascii="Times New Roman" w:cs="Times New Roman" w:eastAsia="Times New Roman" w:hAnsi="Times New Roman"/>
          <w:sz w:val="16"/>
          <w:szCs w:val="16"/>
          <w:i w:val="1"/>
          <w:iCs w:val="1"/>
          <w:color w:val="auto"/>
        </w:rPr>
        <w:t>Risk-free interest rate</w:t>
      </w:r>
      <w:r>
        <w:rPr>
          <w:rFonts w:ascii="Times New Roman" w:cs="Times New Roman" w:eastAsia="Times New Roman" w:hAnsi="Times New Roman"/>
          <w:sz w:val="16"/>
          <w:szCs w:val="16"/>
          <w:color w:val="auto"/>
        </w:rPr>
        <w:t>. The risk-free interest rate is based on the U.S. Treasury at the valuation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commensurate with the expected remaining life assumption.</w:t>
      </w:r>
    </w:p>
    <w:p>
      <w:pPr>
        <w:spacing w:after="0" w:line="46"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Dividend rate</w:t>
      </w:r>
      <w:r>
        <w:rPr>
          <w:rFonts w:ascii="Times New Roman" w:cs="Times New Roman" w:eastAsia="Times New Roman" w:hAnsi="Times New Roman"/>
          <w:sz w:val="16"/>
          <w:szCs w:val="16"/>
          <w:color w:val="auto"/>
        </w:rPr>
        <w:t>. The dividend rate is based on the historical rate, which the Company anticipates will remain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zero.</w:t>
      </w:r>
    </w:p>
    <w:p>
      <w:pPr>
        <w:spacing w:after="0" w:line="46" w:lineRule="exact"/>
        <w:rPr>
          <w:sz w:val="20"/>
          <w:szCs w:val="20"/>
          <w:color w:val="auto"/>
        </w:rPr>
      </w:pPr>
    </w:p>
    <w:p>
      <w:pPr>
        <w:ind w:left="1120" w:right="1139"/>
        <w:spacing w:after="0" w:line="315" w:lineRule="auto"/>
        <w:rPr>
          <w:sz w:val="20"/>
          <w:szCs w:val="20"/>
          <w:color w:val="auto"/>
        </w:rPr>
      </w:pPr>
      <w:r>
        <w:rPr>
          <w:rFonts w:ascii="Times New Roman" w:cs="Times New Roman" w:eastAsia="Times New Roman" w:hAnsi="Times New Roman"/>
          <w:sz w:val="15"/>
          <w:szCs w:val="15"/>
          <w:i w:val="1"/>
          <w:iCs w:val="1"/>
          <w:color w:val="auto"/>
        </w:rPr>
        <w:t>Expected life</w:t>
      </w:r>
      <w:r>
        <w:rPr>
          <w:rFonts w:ascii="Times New Roman" w:cs="Times New Roman" w:eastAsia="Times New Roman" w:hAnsi="Times New Roman"/>
          <w:sz w:val="15"/>
          <w:szCs w:val="15"/>
          <w:color w:val="auto"/>
        </w:rPr>
        <w:t>. The expected life of the 2019 Warrants and the 2022 Warrants is assumed to be equivalent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remaining contractual terms which expire on December 23, 2024 and April 11, 2027, respectively.</w:t>
      </w:r>
    </w:p>
    <w:p>
      <w:pPr>
        <w:spacing w:after="0" w:line="22" w:lineRule="exact"/>
        <w:rPr>
          <w:sz w:val="20"/>
          <w:szCs w:val="20"/>
          <w:color w:val="auto"/>
        </w:rPr>
      </w:pPr>
    </w:p>
    <w:p>
      <w:pPr>
        <w:ind w:left="1120" w:right="1219"/>
        <w:spacing w:after="0" w:line="280" w:lineRule="auto"/>
        <w:rPr>
          <w:sz w:val="20"/>
          <w:szCs w:val="20"/>
          <w:color w:val="auto"/>
        </w:rPr>
      </w:pPr>
      <w:r>
        <w:rPr>
          <w:rFonts w:ascii="Times New Roman" w:cs="Times New Roman" w:eastAsia="Times New Roman" w:hAnsi="Times New Roman"/>
          <w:sz w:val="16"/>
          <w:szCs w:val="16"/>
          <w:i w:val="1"/>
          <w:iCs w:val="1"/>
          <w:color w:val="auto"/>
        </w:rPr>
        <w:t>Volatility</w:t>
      </w:r>
      <w:r>
        <w:rPr>
          <w:rFonts w:ascii="Times New Roman" w:cs="Times New Roman" w:eastAsia="Times New Roman" w:hAnsi="Times New Roman"/>
          <w:sz w:val="16"/>
          <w:szCs w:val="16"/>
          <w:color w:val="auto"/>
        </w:rPr>
        <w:t>. The Company estimates stock price volatility based on the Company’s historical volatility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time commensurate with the expected remaining life of the warrants.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9" w:name="page160"/>
    <w:bookmarkEnd w:id="15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2019 Warrants liability is as follows: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86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960" w:type="dxa"/>
            <w:vAlign w:val="bottom"/>
            <w:gridSpan w:val="2"/>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5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5.33%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0.49</w:t>
            </w:r>
          </w:p>
        </w:tc>
        <w:tc>
          <w:tcPr>
            <w:tcW w:w="9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0.98</w:t>
            </w: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110.52%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83.67%</w:t>
            </w:r>
          </w:p>
        </w:tc>
      </w:tr>
    </w:tbl>
    <w:p>
      <w:pPr>
        <w:spacing w:after="0" w:line="121"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2022 Warrants liability is as follows: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88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2024</w:t>
            </w:r>
          </w:p>
        </w:tc>
        <w:tc>
          <w:tcPr>
            <w:tcW w:w="960" w:type="dxa"/>
            <w:vAlign w:val="bottom"/>
            <w:gridSpan w:val="2"/>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5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07"/>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2.78</w:t>
            </w:r>
          </w:p>
        </w:tc>
        <w:tc>
          <w:tcPr>
            <w:tcW w:w="9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3.28</w:t>
            </w:r>
          </w:p>
        </w:tc>
      </w:tr>
      <w:tr>
        <w:trPr>
          <w:trHeight w:val="207"/>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87.23%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84.09%</w:t>
            </w:r>
          </w:p>
        </w:tc>
      </w:tr>
    </w:tbl>
    <w:p>
      <w:pPr>
        <w:spacing w:after="0" w:line="121" w:lineRule="exact"/>
        <w:rPr>
          <w:sz w:val="20"/>
          <w:szCs w:val="20"/>
          <w:color w:val="auto"/>
        </w:rPr>
      </w:pPr>
    </w:p>
    <w:p>
      <w:pPr>
        <w:jc w:val="both"/>
        <w:ind w:left="800" w:right="83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warrant liabilities (see Note 11 to these unaudited consolidated financial statements) for the six months ended June 30, 2024 (in thousands):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5"/>
              </w:rPr>
              <w:t>Warrant liabilities</w:t>
            </w:r>
          </w:p>
        </w:tc>
      </w:tr>
      <w:tr>
        <w:trPr>
          <w:trHeight w:val="21"/>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280" w:type="dxa"/>
            <w:vAlign w:val="bottom"/>
            <w:shd w:val="clear" w:color="auto" w:fill="CCEEFF"/>
          </w:tcPr>
          <w:p>
            <w:pPr>
              <w:spacing w:after="0"/>
              <w:rPr>
                <w:sz w:val="18"/>
                <w:szCs w:val="18"/>
                <w:color w:val="auto"/>
              </w:rPr>
            </w:pPr>
          </w:p>
        </w:tc>
      </w:tr>
      <w:tr>
        <w:trPr>
          <w:trHeight w:val="218"/>
        </w:trPr>
        <w:tc>
          <w:tcPr>
            <w:tcW w:w="6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280" w:type="dxa"/>
            <w:vAlign w:val="bottom"/>
          </w:tcPr>
          <w:p>
            <w:pPr>
              <w:spacing w:after="0"/>
              <w:rPr>
                <w:sz w:val="18"/>
                <w:szCs w:val="18"/>
                <w:color w:val="auto"/>
              </w:rPr>
            </w:pPr>
          </w:p>
        </w:tc>
      </w:tr>
      <w:tr>
        <w:trPr>
          <w:trHeight w:val="266"/>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June 30, 2024</w:t>
            </w:r>
          </w:p>
        </w:tc>
        <w:tc>
          <w:tcPr>
            <w:tcW w:w="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9,260</w:t>
            </w:r>
          </w:p>
        </w:tc>
        <w:tc>
          <w:tcPr>
            <w:tcW w:w="280" w:type="dxa"/>
            <w:vAlign w:val="bottom"/>
            <w:tcBorders>
              <w:bottom w:val="single" w:sz="8" w:color="CCEEFF"/>
            </w:tcBorders>
            <w:shd w:val="clear" w:color="auto" w:fill="CCEEFF"/>
          </w:tcPr>
          <w:p>
            <w:pPr>
              <w:spacing w:after="0"/>
              <w:rPr>
                <w:sz w:val="23"/>
                <w:szCs w:val="23"/>
                <w:color w:val="auto"/>
              </w:rPr>
            </w:pP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one CVR per each share of common stock underlying such warrants.</w:t>
      </w:r>
    </w:p>
    <w:p>
      <w:pPr>
        <w:spacing w:after="0" w:line="71" w:lineRule="exact"/>
        <w:rPr>
          <w:sz w:val="20"/>
          <w:szCs w:val="20"/>
          <w:color w:val="auto"/>
        </w:rPr>
      </w:pPr>
    </w:p>
    <w:p>
      <w:pPr>
        <w:jc w:val="both"/>
        <w:ind w:left="800" w:right="1239"/>
        <w:spacing w:after="0" w:line="312"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Sobi License) ends, or the Termination Date:</w:t>
      </w:r>
    </w:p>
    <w:p>
      <w:pPr>
        <w:spacing w:after="0" w:line="27" w:lineRule="exact"/>
        <w:rPr>
          <w:sz w:val="20"/>
          <w:szCs w:val="20"/>
          <w:color w:val="auto"/>
        </w:rPr>
      </w:pPr>
    </w:p>
    <w:p>
      <w:pPr>
        <w:ind w:left="1420" w:right="999" w:hanging="305"/>
        <w:spacing w:after="0" w:line="257" w:lineRule="auto"/>
        <w:tabs>
          <w:tab w:leader="none" w:pos="14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3" w:lineRule="auto"/>
        <w:tabs>
          <w:tab w:leader="none" w:pos="14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800" w:right="1059"/>
        <w:spacing w:after="0" w:line="273" w:lineRule="auto"/>
        <w:rPr>
          <w:sz w:val="20"/>
          <w:szCs w:val="20"/>
          <w:color w:val="auto"/>
        </w:rPr>
      </w:pPr>
      <w:r>
        <w:rPr>
          <w:rFonts w:ascii="Times New Roman" w:cs="Times New Roman" w:eastAsia="Times New Roman" w:hAnsi="Times New Roman"/>
          <w:sz w:val="15"/>
          <w:szCs w:val="15"/>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0" w:name="page161"/>
    <w:bookmarkEnd w:id="1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is expected to be included in the next scheduled distribution to the holders of the CVR in March 2025.</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CVRs represent financial instruments that are accounted for under the fair value option election in ASC 825</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discounted cash flow methodology as of December 31, 2023 and a Monte Carlo simulation model as of June 30,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w w:val="95"/>
              </w:rPr>
              <w:t>June 30,</w:t>
            </w:r>
          </w:p>
        </w:tc>
      </w:tr>
      <w:tr>
        <w:trPr>
          <w:trHeight w:val="167"/>
        </w:trPr>
        <w:tc>
          <w:tcPr>
            <w:tcW w:w="6360" w:type="dxa"/>
            <w:vAlign w:val="bottom"/>
          </w:tcPr>
          <w:p>
            <w:pPr>
              <w:spacing w:after="0"/>
              <w:rPr>
                <w:sz w:val="14"/>
                <w:szCs w:val="14"/>
                <w:color w:val="auto"/>
              </w:rPr>
            </w:pPr>
          </w:p>
        </w:tc>
        <w:tc>
          <w:tcPr>
            <w:tcW w:w="104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1"/>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2024-2038</w:t>
            </w:r>
          </w:p>
        </w:tc>
      </w:tr>
      <w:tr>
        <w:trPr>
          <w:trHeight w:val="207"/>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95.0% - 100.0%</w:t>
            </w:r>
          </w:p>
        </w:tc>
      </w:tr>
      <w:tr>
        <w:trPr>
          <w:trHeight w:val="236"/>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 of future revenues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99"/>
        </w:trPr>
        <w:tc>
          <w:tcPr>
            <w:tcW w:w="6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6360" w:type="dxa"/>
            <w:vAlign w:val="bottom"/>
          </w:tcPr>
          <w:p>
            <w:pPr>
              <w:spacing w:after="0"/>
              <w:rPr>
                <w:sz w:val="14"/>
                <w:szCs w:val="14"/>
                <w:color w:val="auto"/>
              </w:rPr>
            </w:pPr>
          </w:p>
        </w:tc>
        <w:tc>
          <w:tcPr>
            <w:tcW w:w="10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6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2024 - 2038</w:t>
            </w:r>
          </w:p>
        </w:tc>
      </w:tr>
      <w:tr>
        <w:trPr>
          <w:trHeight w:val="207"/>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Risk-adjusted discount rate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48"/>
        </w:trPr>
        <w:tc>
          <w:tcPr>
            <w:tcW w:w="63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CVR liability for the six months ended June 30, 2024 (in thousands):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6680" w:type="dxa"/>
            <w:vAlign w:val="bottom"/>
          </w:tcPr>
          <w:p>
            <w:pPr>
              <w:spacing w:after="0"/>
              <w:rPr>
                <w:sz w:val="14"/>
                <w:szCs w:val="14"/>
                <w:color w:val="auto"/>
              </w:rPr>
            </w:pPr>
          </w:p>
        </w:tc>
        <w:tc>
          <w:tcPr>
            <w:tcW w:w="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4"/>
              </w:rPr>
              <w:t>CVR liability</w:t>
            </w:r>
          </w:p>
        </w:tc>
      </w:tr>
      <w:tr>
        <w:trPr>
          <w:trHeight w:val="19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60" w:type="dxa"/>
            <w:vAlign w:val="bottom"/>
            <w:shd w:val="clear" w:color="auto" w:fill="CCEEFF"/>
          </w:tcPr>
          <w:p>
            <w:pPr>
              <w:spacing w:after="0"/>
              <w:rPr>
                <w:sz w:val="17"/>
                <w:szCs w:val="17"/>
                <w:color w:val="auto"/>
              </w:rPr>
            </w:pPr>
          </w:p>
        </w:tc>
      </w:tr>
      <w:tr>
        <w:trPr>
          <w:trHeight w:val="202"/>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36,800</w:t>
            </w:r>
          </w:p>
        </w:tc>
        <w:tc>
          <w:tcPr>
            <w:tcW w:w="6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June 30, 2024</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395,400</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Forward Contract Liabilities</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Merger Consideration</w:t>
      </w:r>
    </w:p>
    <w:p>
      <w:pPr>
        <w:spacing w:after="0" w:line="101"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connection with the Merger, the Company entered into a contract for the issuance of 384,930.724 shares of Series A Preferred Stock as part of the consideration transferred. The fair value of the forward contract at the Closing Date was $155.3 million. The non-cash settlement of this liability occurred on December 5, 2023 with the issuance of the Series A Preferred Stock for $261.8 million.</w:t>
      </w:r>
    </w:p>
    <w:p>
      <w:pPr>
        <w:spacing w:after="0" w:line="2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November 2023 Private Placement</w:t>
      </w:r>
    </w:p>
    <w:p>
      <w:pPr>
        <w:spacing w:after="0" w:line="101"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1" w:name="page162"/>
    <w:bookmarkEnd w:id="161"/>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80"/>
        <w:spacing w:after="0" w:line="270" w:lineRule="auto"/>
        <w:rPr>
          <w:sz w:val="20"/>
          <w:szCs w:val="20"/>
          <w:color w:val="auto"/>
        </w:rPr>
      </w:pPr>
      <w:r>
        <w:rPr>
          <w:rFonts w:ascii="Times New Roman" w:cs="Times New Roman" w:eastAsia="Times New Roman" w:hAnsi="Times New Roman"/>
          <w:sz w:val="15"/>
          <w:szCs w:val="15"/>
          <w:color w:val="auto"/>
        </w:rPr>
        <w:t>Company’s Board of Directors, and TAS Partners LLC, an affiliate of Dr. Springer, represented a forward contract. See Note 10. The initial fair value of the forward contract liability on November 13, 2023 was insignificant as the fair value of the underlying Series A Preferred Stock was equal to the purchase price of the Series A Preferred Stock as agreed upon in the November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1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presents changes in the forward contract liabilities for the periods presented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Forward contract</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0"/>
              </w:rPr>
              <w:t>liabilities</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$ 28,307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(35,197)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3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June 30, 2024</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6. Property and Equipment</w:t>
            </w: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consists of the following (in thousands):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82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$ 6,944</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$ 6,280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3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12,701</w:t>
            </w:r>
          </w:p>
        </w:tc>
        <w:tc>
          <w:tcPr>
            <w:tcW w:w="1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(5,728)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$ 6,672</w:t>
            </w:r>
          </w:p>
        </w:tc>
        <w:tc>
          <w:tcPr>
            <w:tcW w:w="1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$ 2,113</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140" w:right="1160"/>
        <w:spacing w:after="0" w:line="277" w:lineRule="auto"/>
        <w:rPr>
          <w:sz w:val="20"/>
          <w:szCs w:val="20"/>
          <w:color w:val="auto"/>
        </w:rPr>
      </w:pPr>
      <w:r>
        <w:rPr>
          <w:rFonts w:ascii="Times New Roman" w:cs="Times New Roman" w:eastAsia="Times New Roman" w:hAnsi="Times New Roman"/>
          <w:sz w:val="16"/>
          <w:szCs w:val="16"/>
          <w:color w:val="auto"/>
        </w:rPr>
        <w:t>Depreciation expense was $0.2 million for each of the three months ended June 30, 2024 and 2023, and $0.4 million for each of the six months ended June 30, 2024 and 2023.</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7. Accrued Expenses</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Accrued expenses consist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30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employee related expenses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Accrued patent fees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8"/>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114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248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10,615</w:t>
            </w:r>
          </w:p>
        </w:tc>
        <w:tc>
          <w:tcPr>
            <w:tcW w:w="10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14,733</w:t>
            </w:r>
          </w:p>
        </w:tc>
        <w:tc>
          <w:tcPr>
            <w:tcW w:w="1140" w:type="dxa"/>
            <w:vAlign w:val="bottom"/>
          </w:tcPr>
          <w:p>
            <w:pPr>
              <w:spacing w:after="0"/>
              <w:rPr>
                <w:sz w:val="22"/>
                <w:szCs w:val="22"/>
                <w:color w:val="auto"/>
              </w:rPr>
            </w:pPr>
          </w:p>
        </w:tc>
      </w:tr>
      <w:tr>
        <w:trPr>
          <w:trHeight w:val="380"/>
        </w:trPr>
        <w:tc>
          <w:tcPr>
            <w:tcW w:w="114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F-18</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9" w:right="1119" w:bottom="1440" w:gutter="0" w:footer="0" w:header="0"/>
        </w:sectPr>
      </w:pPr>
    </w:p>
    <w:bookmarkStart w:id="162" w:name="page163"/>
    <w:bookmarkEnd w:id="1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Leases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65 Grove Street Lease</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July 2019, the Company entered into a lease with BRE-BMR Grove LLC for 25,078 square feet of laboratory and office space located at 65 Grove Street, Watertown, Massachusetts, or the Watertown Lease. On September 1, 2022, the Company entered into an amendment to the Watertown Lease, or the Lease Agreement Amendment, to expand the Company’s laboratory and office space located at 65 Grove Street, Watertown, Massachusetts by approximately 7,216 square feet. In connection with the Lease Agreement Amendment, the Company secured a letter of credit for the Watertown Lease from Silicon Valley Bank, a division of First-Citizens Bank &amp; Trust Company (successor by purchase to the Federal Deposit Insurance Corporation as Receiver for Silicon Valley Bridge Bank, N.A. (as successor to Silicon Valley Bank)), or SVB, for $1.6 million as of December 31, 2022.</w:t>
      </w:r>
    </w:p>
    <w:p>
      <w:pPr>
        <w:spacing w:after="0" w:line="70"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June 30, 2024 and December 31,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October 6, 2022, the Company entered into a sublease agreement to sublease 7,216 square feet of space currently rented by the Company at 65 Grove Street, Watertown, Massachusetts. The sublease commenced on October 24, 2022, and the term expired on March 31, 2024. On October 31, 2023, in connection with entering into Amendment No. 1 to the Sobi License as described in Note 13,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June 30, 2024 and December 31, 2023, deferred rent of $0.3 million and $0.8 million is included within accrued expenses and other current liabilities in the consolidated balance sheets. Sublease income is included within other income, net in the consolidated statements of operations and comprehensive income (loss).</w:t>
      </w:r>
    </w:p>
    <w:p>
      <w:pPr>
        <w:spacing w:after="0" w:line="77"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in the fourth quarter of 2023.</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704 Quince Orchard Road Leases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7495 New Horizon Way Leases</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 Base rent, which was due beginning on July 1, 2024, is $0.9 million annually and is subject to an annual upward adjustment of 3% of the then-current rental rate. In addition, the Company is obligated to pay its share of operating costs and taxes related to the property. The Company paid the first month’s rent of $0.1 million upon execution of the Frederick Lease Agreement.</w:t>
      </w:r>
    </w:p>
    <w:p>
      <w:pPr>
        <w:spacing w:after="0" w:line="77"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The Company assessed the classification of the lease at the commencement date and concluded it should be accounted for as an operating lease. The Company recorded a lease liability and right-of-use asset of $3.6 million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3" w:name="page164"/>
    <w:bookmarkEnd w:id="163"/>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60"/>
        <w:spacing w:after="0" w:line="253" w:lineRule="auto"/>
        <w:rPr>
          <w:sz w:val="20"/>
          <w:szCs w:val="20"/>
          <w:color w:val="auto"/>
        </w:rPr>
      </w:pPr>
      <w:r>
        <w:rPr>
          <w:rFonts w:ascii="Times New Roman" w:cs="Times New Roman" w:eastAsia="Times New Roman" w:hAnsi="Times New Roman"/>
          <w:sz w:val="16"/>
          <w:szCs w:val="16"/>
          <w:color w:val="auto"/>
        </w:rPr>
        <w:t>and $3.7 million, respectively, on the commencement date. The Frederick Lease Agreement includes a tenant improvement allowance of up to $0.7 million which was recognized as a reduction in the right-of-use asset and lease liability at the commencement date as the Company was reasonably certain to incur reimbursable costs related to alterations equal to or exceeding the amount. Additionally, the prepaid rent was included as an adjustment to the right-of-use asset. The discount rate of 14% was determined based on the Company’s incremental borrowing rate adjusted for the lease term, including any reasonably certain renewal periods.</w:t>
      </w:r>
    </w:p>
    <w:p>
      <w:pPr>
        <w:spacing w:after="0" w:line="71" w:lineRule="exact"/>
        <w:rPr>
          <w:sz w:val="20"/>
          <w:szCs w:val="20"/>
          <w:color w:val="auto"/>
        </w:rPr>
      </w:pPr>
    </w:p>
    <w:p>
      <w:pPr>
        <w:ind w:left="1140" w:right="1180"/>
        <w:spacing w:after="0" w:line="252" w:lineRule="auto"/>
        <w:rPr>
          <w:sz w:val="20"/>
          <w:szCs w:val="20"/>
          <w:color w:val="auto"/>
        </w:rPr>
      </w:pPr>
      <w:r>
        <w:rPr>
          <w:rFonts w:ascii="Times New Roman" w:cs="Times New Roman" w:eastAsia="Times New Roman" w:hAnsi="Times New Roman"/>
          <w:sz w:val="16"/>
          <w:szCs w:val="16"/>
          <w:color w:val="auto"/>
        </w:rPr>
        <w:t>Effective May 7, 2024, the Company and the Landlord entered into the first amendment to the Frederick Lease Agreement, or the Amended Frederick Lease Agreement,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is expected to be September 1, 2024.</w:t>
      </w:r>
    </w:p>
    <w:p>
      <w:pPr>
        <w:spacing w:after="0" w:line="70" w:lineRule="exact"/>
        <w:rPr>
          <w:sz w:val="20"/>
          <w:szCs w:val="20"/>
          <w:color w:val="auto"/>
        </w:rPr>
      </w:pPr>
    </w:p>
    <w:p>
      <w:pPr>
        <w:ind w:left="1140" w:right="1720"/>
        <w:spacing w:after="0" w:line="276" w:lineRule="auto"/>
        <w:rPr>
          <w:sz w:val="20"/>
          <w:szCs w:val="20"/>
          <w:color w:val="auto"/>
        </w:rPr>
      </w:pPr>
      <w:r>
        <w:rPr>
          <w:rFonts w:ascii="Times New Roman" w:cs="Times New Roman" w:eastAsia="Times New Roman" w:hAnsi="Times New Roman"/>
          <w:sz w:val="15"/>
          <w:szCs w:val="15"/>
          <w:color w:val="auto"/>
        </w:rPr>
        <w:t>The Company assessed the classification of the lease at the commencement date and concluded it should be accounted for as an operating lease. The Company recorded a lease liability and right-of-use asset each of</w:t>
      </w:r>
    </w:p>
    <w:p>
      <w:pPr>
        <w:ind w:left="1140" w:right="1220"/>
        <w:spacing w:after="0" w:line="249" w:lineRule="auto"/>
        <w:rPr>
          <w:sz w:val="20"/>
          <w:szCs w:val="20"/>
          <w:color w:val="auto"/>
        </w:rPr>
      </w:pPr>
      <w:r>
        <w:rPr>
          <w:rFonts w:ascii="Times New Roman" w:cs="Times New Roman" w:eastAsia="Times New Roman" w:hAnsi="Times New Roman"/>
          <w:sz w:val="16"/>
          <w:szCs w:val="16"/>
          <w:color w:val="auto"/>
        </w:rPr>
        <w:t>$1.2 million on the commencement date. The Amended Frederick Lease Agreement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74" w:lineRule="exact"/>
        <w:rPr>
          <w:sz w:val="20"/>
          <w:szCs w:val="20"/>
          <w:color w:val="auto"/>
        </w:rPr>
      </w:pPr>
    </w:p>
    <w:p>
      <w:pPr>
        <w:ind w:left="1140" w:right="1420"/>
        <w:spacing w:after="0" w:line="262" w:lineRule="auto"/>
        <w:rPr>
          <w:sz w:val="20"/>
          <w:szCs w:val="20"/>
          <w:color w:val="auto"/>
        </w:rPr>
      </w:pPr>
      <w:r>
        <w:rPr>
          <w:rFonts w:ascii="Times New Roman" w:cs="Times New Roman" w:eastAsia="Times New Roman" w:hAnsi="Times New Roman"/>
          <w:sz w:val="16"/>
          <w:szCs w:val="16"/>
          <w:color w:val="auto"/>
        </w:rPr>
        <w:t>The Company secured a letter of credit from SVB for $0.3 million for the Frederick Lease Agreement and the Amended Frederick Lease Agreement, which is recognized as long-term restricted cash as of June 30, 2024, and renews automatically each year.</w:t>
      </w:r>
    </w:p>
    <w:p>
      <w:pPr>
        <w:spacing w:after="0" w:line="62" w:lineRule="exact"/>
        <w:rPr>
          <w:sz w:val="20"/>
          <w:szCs w:val="20"/>
          <w:color w:val="auto"/>
        </w:rPr>
      </w:pPr>
    </w:p>
    <w:p>
      <w:pPr>
        <w:ind w:left="1140" w:right="1560"/>
        <w:spacing w:after="0" w:line="277" w:lineRule="auto"/>
        <w:rPr>
          <w:sz w:val="20"/>
          <w:szCs w:val="20"/>
          <w:color w:val="auto"/>
        </w:rPr>
      </w:pPr>
      <w:r>
        <w:rPr>
          <w:rFonts w:ascii="Times New Roman" w:cs="Times New Roman" w:eastAsia="Times New Roman" w:hAnsi="Times New Roman"/>
          <w:sz w:val="16"/>
          <w:szCs w:val="16"/>
          <w:color w:val="auto"/>
        </w:rPr>
        <w:t>For the three and six months ended June 30, 2024 and 2023, the components of lease costs were as follows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2"/>
              </w:rPr>
              <w:t>Three Months Ended</w:t>
            </w:r>
          </w:p>
        </w:tc>
        <w:tc>
          <w:tcPr>
            <w:tcW w:w="180" w:type="dxa"/>
            <w:vAlign w:val="bottom"/>
          </w:tcPr>
          <w:p>
            <w:pPr>
              <w:spacing w:after="0"/>
              <w:rPr>
                <w:sz w:val="12"/>
                <w:szCs w:val="12"/>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60" w:type="dxa"/>
            <w:vAlign w:val="bottom"/>
          </w:tcPr>
          <w:p>
            <w:pPr>
              <w:spacing w:after="0"/>
              <w:rPr>
                <w:sz w:val="12"/>
                <w:szCs w:val="12"/>
                <w:color w:val="auto"/>
              </w:rPr>
            </w:pPr>
          </w:p>
        </w:tc>
      </w:tr>
      <w:tr>
        <w:trPr>
          <w:trHeight w:val="167"/>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4"/>
                <w:szCs w:val="14"/>
                <w:color w:val="auto"/>
              </w:rPr>
            </w:pPr>
          </w:p>
        </w:tc>
      </w:tr>
      <w:tr>
        <w:trPr>
          <w:trHeight w:val="21"/>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6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r>
      <w:tr>
        <w:trPr>
          <w:trHeight w:val="21"/>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$ 696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60" w:type="dxa"/>
            <w:vAlign w:val="bottom"/>
            <w:tcBorders>
              <w:left w:val="single" w:sz="8" w:color="CCEEFF"/>
            </w:tcBorders>
            <w:shd w:val="clear" w:color="auto" w:fill="CCEEFF"/>
          </w:tcPr>
          <w:p>
            <w:pPr>
              <w:spacing w:after="0"/>
              <w:rPr>
                <w:sz w:val="18"/>
                <w:szCs w:val="18"/>
                <w:color w:val="auto"/>
              </w:rPr>
            </w:pPr>
          </w:p>
        </w:tc>
      </w:tr>
      <w:tr>
        <w:trPr>
          <w:trHeight w:val="20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60" w:type="dxa"/>
            <w:vAlign w:val="bottom"/>
          </w:tcPr>
          <w:p>
            <w:pPr>
              <w:spacing w:after="0"/>
              <w:rPr>
                <w:sz w:val="18"/>
                <w:szCs w:val="18"/>
                <w:color w:val="auto"/>
              </w:rPr>
            </w:pPr>
          </w:p>
        </w:tc>
      </w:tr>
      <w:tr>
        <w:trPr>
          <w:trHeight w:val="220"/>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left w:val="single" w:sz="8" w:color="CCEEFF"/>
            </w:tcBorders>
            <w:shd w:val="clear" w:color="auto" w:fill="CCEEFF"/>
          </w:tcPr>
          <w:p>
            <w:pPr>
              <w:spacing w:after="0"/>
              <w:rPr>
                <w:sz w:val="19"/>
                <w:szCs w:val="19"/>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60" w:type="dxa"/>
            <w:vAlign w:val="bottom"/>
          </w:tcPr>
          <w:p>
            <w:pPr>
              <w:spacing w:after="0"/>
              <w:rPr>
                <w:sz w:val="18"/>
                <w:szCs w:val="18"/>
                <w:color w:val="auto"/>
              </w:rPr>
            </w:pPr>
          </w:p>
        </w:tc>
      </w:tr>
      <w:tr>
        <w:trPr>
          <w:trHeight w:val="27"/>
        </w:trPr>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6"/>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1,059</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$ 717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1,724</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1,303</w:t>
            </w:r>
          </w:p>
        </w:tc>
        <w:tc>
          <w:tcPr>
            <w:tcW w:w="160" w:type="dxa"/>
            <w:vAlign w:val="bottom"/>
            <w:tcBorders>
              <w:left w:val="single" w:sz="8" w:color="CCEEFF"/>
            </w:tcBorders>
            <w:shd w:val="clear" w:color="auto" w:fill="CCEEFF"/>
          </w:tcPr>
          <w:p>
            <w:pPr>
              <w:spacing w:after="0"/>
              <w:rPr>
                <w:sz w:val="21"/>
                <w:szCs w:val="21"/>
                <w:color w:val="auto"/>
              </w:rPr>
            </w:pPr>
          </w:p>
        </w:tc>
      </w:tr>
      <w:tr>
        <w:trPr>
          <w:trHeight w:val="20"/>
        </w:trPr>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-874395</wp:posOffset>
            </wp:positionV>
            <wp:extent cx="2286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June 30, 2024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3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(remainder)</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$ 1,239</w:t>
            </w: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140" w:type="dxa"/>
            <w:vAlign w:val="bottom"/>
          </w:tcPr>
          <w:p>
            <w:pPr>
              <w:spacing w:after="0"/>
              <w:rPr>
                <w:sz w:val="19"/>
                <w:szCs w:val="19"/>
                <w:color w:val="auto"/>
              </w:rPr>
            </w:pPr>
          </w:p>
        </w:tc>
      </w:tr>
      <w:tr>
        <w:trPr>
          <w:trHeight w:val="218"/>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8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114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19,988</w:t>
            </w:r>
          </w:p>
        </w:tc>
        <w:tc>
          <w:tcPr>
            <w:tcW w:w="1140" w:type="dxa"/>
            <w:vAlign w:val="bottom"/>
          </w:tcPr>
          <w:p>
            <w:pPr>
              <w:spacing w:after="0"/>
              <w:rPr>
                <w:sz w:val="20"/>
                <w:szCs w:val="20"/>
                <w:color w:val="auto"/>
              </w:rPr>
            </w:pPr>
          </w:p>
        </w:tc>
      </w:tr>
      <w:tr>
        <w:trPr>
          <w:trHeight w:val="218"/>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38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1140" w:type="dxa"/>
            <w:vAlign w:val="bottom"/>
          </w:tcPr>
          <w:p>
            <w:pPr>
              <w:spacing w:after="0"/>
              <w:rPr>
                <w:sz w:val="18"/>
                <w:szCs w:val="18"/>
                <w:color w:val="auto"/>
              </w:rPr>
            </w:pPr>
          </w:p>
        </w:tc>
      </w:tr>
      <w:tr>
        <w:trPr>
          <w:trHeight w:val="266"/>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14,867</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340" w:type="dxa"/>
            <w:vAlign w:val="bottom"/>
            <w:gridSpan w:val="2"/>
          </w:tcPr>
          <w:p>
            <w:pPr>
              <w:jc w:val="right"/>
              <w:ind w:right="3465"/>
              <w:spacing w:after="0"/>
              <w:rPr>
                <w:sz w:val="20"/>
                <w:szCs w:val="20"/>
                <w:color w:val="auto"/>
              </w:rPr>
            </w:pPr>
            <w:r>
              <w:rPr>
                <w:rFonts w:ascii="Times New Roman" w:cs="Times New Roman" w:eastAsia="Times New Roman" w:hAnsi="Times New Roman"/>
                <w:sz w:val="16"/>
                <w:szCs w:val="16"/>
                <w:color w:val="auto"/>
              </w:rPr>
              <w:t>F-20</w:t>
            </w: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9680"/>
          </w:cols>
          <w:pgMar w:left="1100" w:top="248" w:right="1119" w:bottom="1440" w:gutter="0" w:footer="0" w:header="0"/>
        </w:sectPr>
      </w:pPr>
    </w:p>
    <w:bookmarkStart w:id="164" w:name="page165"/>
    <w:bookmarkEnd w:id="1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53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was as follows (in thousands):</w:t>
      </w:r>
    </w:p>
    <w:p>
      <w:pPr>
        <w:spacing w:after="0" w:line="17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3"/>
          <w:szCs w:val="13"/>
          <w:b w:val="1"/>
          <w:bCs w:val="1"/>
          <w:color w:val="auto"/>
        </w:rPr>
        <w:t>Six Months Ended</w:t>
      </w:r>
    </w:p>
    <w:p>
      <w:pPr>
        <w:ind w:left="7380"/>
        <w:spacing w:after="0"/>
        <w:rPr>
          <w:sz w:val="20"/>
          <w:szCs w:val="20"/>
          <w:color w:val="auto"/>
        </w:rPr>
      </w:pPr>
      <w:r>
        <w:rPr>
          <w:rFonts w:ascii="Times New Roman" w:cs="Times New Roman" w:eastAsia="Times New Roman" w:hAnsi="Times New Roman"/>
          <w:sz w:val="13"/>
          <w:szCs w:val="13"/>
          <w:b w:val="1"/>
          <w:bCs w:val="1"/>
          <w:color w:val="auto"/>
        </w:rPr>
        <w:t>June 30,</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200" w:type="dxa"/>
            <w:vAlign w:val="bottom"/>
          </w:tcPr>
          <w:p>
            <w:pPr>
              <w:spacing w:after="0"/>
              <w:rPr>
                <w:sz w:val="15"/>
                <w:szCs w:val="15"/>
                <w:color w:val="auto"/>
              </w:rPr>
            </w:pPr>
          </w:p>
        </w:tc>
        <w:tc>
          <w:tcPr>
            <w:tcW w:w="4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6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$1,604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48"/>
        </w:trPr>
        <w:tc>
          <w:tcPr>
            <w:tcW w:w="6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Other than the initial recording of the right-of-use assets and lease liabilities for the Frederick Lease Agreement and Amended Frederick Lease Agreement, which were non-cash, the changes in the Company’s right-of-use assets and lease liabilities for the six months ended June 30, 2024 and 2023 are reflected in the non-cash lease expense and accrued expenses and other liabilities, respectively, in the consolidated statements of cash flows.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980" w:type="dxa"/>
            <w:vAlign w:val="bottom"/>
          </w:tcPr>
          <w:p>
            <w:pPr>
              <w:spacing w:after="0"/>
              <w:rPr>
                <w:sz w:val="14"/>
                <w:szCs w:val="14"/>
                <w:color w:val="auto"/>
              </w:rPr>
            </w:pPr>
          </w:p>
        </w:tc>
        <w:tc>
          <w:tcPr>
            <w:tcW w:w="142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21"/>
        </w:trPr>
        <w:tc>
          <w:tcPr>
            <w:tcW w:w="5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1"/>
        </w:trPr>
        <w:tc>
          <w:tcPr>
            <w:tcW w:w="5980" w:type="dxa"/>
            <w:vAlign w:val="bottom"/>
          </w:tcPr>
          <w:p>
            <w:pPr>
              <w:spacing w:after="0"/>
              <w:rPr>
                <w:sz w:val="13"/>
                <w:szCs w:val="13"/>
                <w:color w:val="auto"/>
              </w:rPr>
            </w:pP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5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4.9 years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4.9 years</w:t>
            </w: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6"/>
                <w:szCs w:val="16"/>
                <w:color w:val="auto"/>
              </w:rPr>
              <w:t>11.5%</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9.7%</w:t>
            </w:r>
          </w:p>
        </w:tc>
      </w:tr>
    </w:tbl>
    <w:p>
      <w:pPr>
        <w:spacing w:after="0" w:line="3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Debt</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2020 Term Loan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68" w:lineRule="exact"/>
        <w:rPr>
          <w:sz w:val="20"/>
          <w:szCs w:val="20"/>
          <w:color w:val="auto"/>
        </w:rPr>
      </w:pPr>
    </w:p>
    <w:p>
      <w:pPr>
        <w:jc w:val="both"/>
        <w:ind w:left="800" w:right="1039"/>
        <w:spacing w:after="0" w:line="262" w:lineRule="auto"/>
        <w:rPr>
          <w:sz w:val="20"/>
          <w:szCs w:val="20"/>
          <w:color w:val="auto"/>
        </w:rPr>
      </w:pPr>
      <w:r>
        <w:rPr>
          <w:rFonts w:ascii="Times New Roman" w:cs="Times New Roman" w:eastAsia="Times New Roman" w:hAnsi="Times New Roman"/>
          <w:sz w:val="16"/>
          <w:szCs w:val="16"/>
          <w:color w:val="auto"/>
        </w:rPr>
        <w:t>During the third quarter of 2023, the Company recorded a loss of $0.7 million on the extinguishment of the 2020 Term Loan, consisting of the prepayment penalty of $0.2 million and the write-off of $0.5 million of unamortized debt issuance costs and venture debt termination fee.</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 of June 30, 2024 and December 31, 2023, the Company had no outstanding borrowings.</w:t>
      </w:r>
    </w:p>
    <w:p>
      <w:pPr>
        <w:spacing w:after="0" w:line="3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Series A Preferred Stock</w:t>
      </w:r>
    </w:p>
    <w:p>
      <w:pPr>
        <w:spacing w:after="0" w:line="103" w:lineRule="exact"/>
        <w:rPr>
          <w:sz w:val="20"/>
          <w:szCs w:val="20"/>
          <w:color w:val="auto"/>
        </w:rPr>
      </w:pPr>
    </w:p>
    <w:p>
      <w:pPr>
        <w:ind w:left="800" w:right="1199"/>
        <w:spacing w:after="0" w:line="257" w:lineRule="auto"/>
        <w:rPr>
          <w:sz w:val="20"/>
          <w:szCs w:val="20"/>
          <w:color w:val="auto"/>
        </w:rPr>
      </w:pPr>
      <w:r>
        <w:rPr>
          <w:rFonts w:ascii="Times New Roman" w:cs="Times New Roman" w:eastAsia="Times New Roman" w:hAnsi="Times New Roman"/>
          <w:sz w:val="16"/>
          <w:szCs w:val="16"/>
          <w:color w:val="auto"/>
        </w:rPr>
        <w:t>The Certificate of Designation of Preferences, Rights, and Limitations of the Series A Non-Voting Convertible Preferred Stock, or the Certificate of Designation, was filed on November 13, 2023, which provided for the designation of shares of the Series A Preferred Stock and authorized the issuance of 548,375 shares of Series A Preferred Stock.</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Additionally on November 13, 2023, the Company entered into the Securities Purchase Agreement with</w:t>
      </w:r>
    </w:p>
    <w:p>
      <w:pPr>
        <w:spacing w:after="0" w:line="23" w:lineRule="exact"/>
        <w:rPr>
          <w:sz w:val="20"/>
          <w:szCs w:val="20"/>
          <w:color w:val="auto"/>
        </w:rPr>
      </w:pPr>
    </w:p>
    <w:p>
      <w:pPr>
        <w:ind w:left="800" w:right="879" w:hanging="1"/>
        <w:spacing w:after="0" w:line="251" w:lineRule="auto"/>
        <w:tabs>
          <w:tab w:leader="none" w:pos="98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Timothy A. Springer, a member of the Company’s Board of Directors; (ii) TAS Partners LLC, an affiliate of Dr. Springer, and (iii) Seven One Eight Three Four Irrevocable Trust, a trust associated with Dr. Murat Kalayoglu, a co-founder and the former chief executive officer of Old Cartesian, who joined the Company’s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5" w:name="page166"/>
    <w:bookmarkEnd w:id="1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The remaining portion of the forward contract liability was settled upon the issuance of 49,570.163 shares of Series A Preferred Stock each on January 12, 2024 and February 11, 2024, respectively (see Note 5).</w:t>
      </w:r>
    </w:p>
    <w:p>
      <w:pPr>
        <w:spacing w:after="0" w:line="71" w:lineRule="exact"/>
        <w:rPr>
          <w:sz w:val="20"/>
          <w:szCs w:val="20"/>
          <w:color w:val="auto"/>
        </w:rPr>
      </w:pPr>
    </w:p>
    <w:p>
      <w:pPr>
        <w:ind w:left="800" w:right="1479"/>
        <w:spacing w:after="0" w:line="262" w:lineRule="auto"/>
        <w:rPr>
          <w:sz w:val="20"/>
          <w:szCs w:val="20"/>
          <w:color w:val="auto"/>
        </w:rPr>
      </w:pPr>
      <w:r>
        <w:rPr>
          <w:rFonts w:ascii="Times New Roman" w:cs="Times New Roman" w:eastAsia="Times New Roman" w:hAnsi="Times New Roman"/>
          <w:sz w:val="16"/>
          <w:szCs w:val="16"/>
          <w:color w:val="auto"/>
        </w:rPr>
        <w:t>On December 5, 2023, the Company issued 384,930.724 shares of Series A Preferred Stock as part of its consideration transferred in connection with the Merger which settled the related forward contract liability (see Note 5).</w:t>
      </w:r>
    </w:p>
    <w:p>
      <w:pPr>
        <w:spacing w:after="0" w:line="62"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March 26, 2024, the Company, with the consent of the requisite holders of Series A Preferred Stock, amended the Certificate of Designation such that the automatic conversion of the Series A Preferred Stock into common stock, or the Automatic Conversion, would occur eight business days following stockholder approval of the Conversion Proposal. Upon such date, each share of Series A Preferred Stock automatically converted into 33.333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 Each share of Series A Preferred Stock outstanding that was not automatically converted into common stock as a result of the beneficial ownership limitation is convertible at any time at the option of the holder, only to the extent the beneficial ownership limitation does not apply to the shares of Series A Preferred Stock to be converted.</w:t>
      </w:r>
    </w:p>
    <w:p>
      <w:pPr>
        <w:spacing w:after="0" w:line="74"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March 27, 2024, the Company’s stockholders approved the Conversion Proposal, among other matters, at the Special Meeting. As a result of the approval of the Conversion Proposal, all conditions that could have required cash redemption of the Series A Preferred Stock were satisfied. Since the Series A Preferred Stock is no longer redeemable, the associated balances of the Series A Preferred Stock were reclassified from mezzanine equity to permanent equity during the first quarter of 2024.</w:t>
      </w:r>
    </w:p>
    <w:p>
      <w:pPr>
        <w:spacing w:after="0" w:line="68"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On April 8, 2024, pursuant to the terms of the Certificate of Designation, as amended, 367,919.247 shares of Series A Preferred Stock automatically converted into 12,263,951 shares of common stock, including the non-cash reclassification of an amount equal to the increase in par value of common stock from additional paid-in capital; 166,341.592 shares of Series A Preferred Stock did not automatically convert due to beneficial ownership limitations.</w:t>
      </w:r>
    </w:p>
    <w:p>
      <w:pPr>
        <w:spacing w:after="0" w:line="68"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As of June 30, 2024, the Company had 166,341.592 shares of Series A Preferred Stock issued and outstanding, which are convertible into 5,544,719 shares of common stock.</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6" w:name="page167"/>
    <w:bookmarkEnd w:id="16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Equity</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“At-the-Market” Offerings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71"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During the six months ended June 30, 2024 and the year ended December 31, 2023, the Company sold no shares of its common stock pursuant to the 2021 Sales Agreement.</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is a summary of warrant activity for the six months ended June 30, 2024:</w:t>
      </w:r>
    </w:p>
    <w:p>
      <w:pPr>
        <w:spacing w:after="0" w:line="15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Number of Warrants</w:t>
            </w:r>
          </w:p>
        </w:tc>
        <w:tc>
          <w:tcPr>
            <w:tcW w:w="300" w:type="dxa"/>
            <w:vAlign w:val="bottom"/>
          </w:tcPr>
          <w:p>
            <w:pPr>
              <w:spacing w:after="0"/>
              <w:rPr>
                <w:sz w:val="14"/>
                <w:szCs w:val="14"/>
                <w:color w:val="auto"/>
              </w:rPr>
            </w:pPr>
          </w:p>
        </w:tc>
        <w:tc>
          <w:tcPr>
            <w:tcW w:w="9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39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w w:val="96"/>
              </w:rPr>
              <w:t>Liability</w:t>
            </w:r>
          </w:p>
        </w:tc>
        <w:tc>
          <w:tcPr>
            <w:tcW w:w="240" w:type="dxa"/>
            <w:vAlign w:val="bottom"/>
          </w:tcPr>
          <w:p>
            <w:pPr>
              <w:spacing w:after="0"/>
              <w:rPr>
                <w:sz w:val="10"/>
                <w:szCs w:val="10"/>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Pr>
          <w:p>
            <w:pPr>
              <w:spacing w:after="0"/>
              <w:rPr>
                <w:sz w:val="10"/>
                <w:szCs w:val="10"/>
                <w:color w:val="auto"/>
              </w:rPr>
            </w:pPr>
          </w:p>
        </w:tc>
        <w:tc>
          <w:tcPr>
            <w:tcW w:w="960" w:type="dxa"/>
            <w:vAlign w:val="bottom"/>
            <w:gridSpan w:val="3"/>
          </w:tcPr>
          <w:p>
            <w:pPr>
              <w:jc w:val="center"/>
              <w:ind w:right="20"/>
              <w:spacing w:after="0" w:line="124"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classified</w:t>
            </w:r>
          </w:p>
        </w:tc>
        <w:tc>
          <w:tcPr>
            <w:tcW w:w="2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0"/>
              </w:rPr>
              <w:t>classified</w:t>
            </w: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74,420</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966,393</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1,040,813</w:t>
            </w:r>
          </w:p>
        </w:tc>
        <w:tc>
          <w:tcPr>
            <w:tcW w:w="1260" w:type="dxa"/>
            <w:vAlign w:val="bottom"/>
            <w:tcBorders>
              <w:left w:val="single" w:sz="8" w:color="CCEEFF"/>
            </w:tcBorders>
            <w:gridSpan w:val="4"/>
            <w:shd w:val="clear" w:color="auto" w:fill="CCEEFF"/>
          </w:tcPr>
          <w:p>
            <w:pPr>
              <w:jc w:val="center"/>
              <w:ind w:left="221"/>
              <w:spacing w:after="0"/>
              <w:rPr>
                <w:sz w:val="20"/>
                <w:szCs w:val="20"/>
                <w:color w:val="auto"/>
              </w:rPr>
            </w:pPr>
            <w:r>
              <w:rPr>
                <w:rFonts w:ascii="Times New Roman" w:cs="Times New Roman" w:eastAsia="Times New Roman" w:hAnsi="Times New Roman"/>
                <w:sz w:val="16"/>
                <w:szCs w:val="16"/>
                <w:color w:val="auto"/>
                <w:w w:val="99"/>
              </w:rPr>
              <w:t>$45.98</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Exercises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(65,681)</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(65,681)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June 30, 2024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280" w:type="dxa"/>
            <w:vAlign w:val="bottom"/>
            <w:tcBorders>
              <w:lef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966,393</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1260" w:type="dxa"/>
            <w:vAlign w:val="bottom"/>
            <w:tcBorders>
              <w:left w:val="single" w:sz="8" w:color="CCEEFF"/>
            </w:tcBorders>
            <w:gridSpan w:val="4"/>
            <w:shd w:val="clear" w:color="auto" w:fill="CCEEFF"/>
          </w:tcPr>
          <w:p>
            <w:pPr>
              <w:jc w:val="center"/>
              <w:ind w:left="22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46.12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See Note 14 for further discussion on the exercise of the 65,681 warrants during the six months ended June 30, 2024. See Note 12 to the consolidated financial statements included in the Company’s Annual Report on Form 10-K for the year ended December 31, 2023 for further discussion of the terms related to the Company’s warrants.</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1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 has authorized shares of common stock for future issuance as of June 30, 2024 as follows:</w:t>
      </w:r>
    </w:p>
    <w:p>
      <w:pPr>
        <w:spacing w:after="0" w:line="153" w:lineRule="exact"/>
        <w:rPr>
          <w:sz w:val="20"/>
          <w:szCs w:val="20"/>
          <w:color w:val="auto"/>
        </w:rPr>
      </w:pPr>
    </w:p>
    <w:tbl>
      <w:tblPr>
        <w:tblLayout w:type="fixed"/>
        <w:tblInd w:w="800" w:type="dxa"/>
        <w:tblCellMar>
          <w:top w:w="0" w:type="dxa"/>
          <w:left w:w="0" w:type="dxa"/>
          <w:bottom w:w="0" w:type="dxa"/>
          <w:right w:w="0" w:type="dxa"/>
        </w:tblCellMar>
      </w:tblPr>
      <w:tr>
        <w:trPr>
          <w:trHeight w:val="297"/>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975,132</w:t>
            </w: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Shares available for future stock incentive awards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3,930,990</w:t>
            </w:r>
          </w:p>
        </w:tc>
      </w:tr>
      <w:tr>
        <w:trPr>
          <w:trHeight w:val="22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454,456</w:t>
            </w: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common stock options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1,889,561</w:t>
            </w:r>
          </w:p>
        </w:tc>
      </w:tr>
      <w:tr>
        <w:trPr>
          <w:trHeight w:val="224"/>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5,544,719</w:t>
            </w:r>
          </w:p>
        </w:tc>
      </w:tr>
      <w:tr>
        <w:trPr>
          <w:trHeight w:val="22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12,794,858</w:t>
            </w: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Stock Incentive Plans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7" w:name="page168"/>
    <w:bookmarkEnd w:id="167"/>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00"/>
        <w:spacing w:after="0" w:line="255" w:lineRule="auto"/>
        <w:rPr>
          <w:sz w:val="20"/>
          <w:szCs w:val="20"/>
          <w:color w:val="auto"/>
        </w:rPr>
      </w:pPr>
      <w:r>
        <w:rPr>
          <w:rFonts w:ascii="Times New Roman" w:cs="Times New Roman" w:eastAsia="Times New Roman" w:hAnsi="Times New Roman"/>
          <w:sz w:val="16"/>
          <w:szCs w:val="16"/>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68" w:lineRule="exact"/>
        <w:rPr>
          <w:sz w:val="20"/>
          <w:szCs w:val="20"/>
          <w:color w:val="auto"/>
        </w:rPr>
      </w:pPr>
    </w:p>
    <w:p>
      <w:pPr>
        <w:ind w:left="1140" w:right="1180"/>
        <w:spacing w:after="0" w:line="251" w:lineRule="auto"/>
        <w:rPr>
          <w:sz w:val="20"/>
          <w:szCs w:val="20"/>
          <w:color w:val="auto"/>
        </w:rPr>
      </w:pPr>
      <w:r>
        <w:rPr>
          <w:rFonts w:ascii="Times New Roman" w:cs="Times New Roman" w:eastAsia="Times New Roman" w:hAnsi="Times New Roman"/>
          <w:sz w:val="16"/>
          <w:szCs w:val="16"/>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January 2024, the number of shares of common stock that may be issued under the 2016 Plan was increased by 215,903. In June 2024, the Company’s stockholders approved an amendment and restatement of the 2016 Plan to reserve an additional 3,466,544 shares of its common stock for issuance. As of June 30, 2024, 3,496,828 shares remain available for future issuance under the 2016 Plan.</w:t>
      </w:r>
    </w:p>
    <w:p>
      <w:pPr>
        <w:spacing w:after="0" w:line="73" w:lineRule="exact"/>
        <w:rPr>
          <w:sz w:val="20"/>
          <w:szCs w:val="20"/>
          <w:color w:val="auto"/>
        </w:rPr>
      </w:pPr>
    </w:p>
    <w:p>
      <w:pPr>
        <w:ind w:left="1140" w:right="1140"/>
        <w:spacing w:after="0" w:line="276" w:lineRule="auto"/>
        <w:rPr>
          <w:sz w:val="20"/>
          <w:szCs w:val="20"/>
          <w:color w:val="auto"/>
        </w:rPr>
      </w:pPr>
      <w:r>
        <w:rPr>
          <w:rFonts w:ascii="Times New Roman" w:cs="Times New Roman" w:eastAsia="Times New Roman" w:hAnsi="Times New Roman"/>
          <w:sz w:val="15"/>
          <w:szCs w:val="15"/>
          <w:color w:val="auto"/>
        </w:rPr>
        <w:t>In September 2018, the Company’s 2018 Employment Inducement Incentive Award Plan, or the 2018 Inducement Incentive Award Plan, was adopted by the Board of Directors without stockholder approval pursuant to Rule 5635(c)</w:t>
      </w:r>
    </w:p>
    <w:p>
      <w:pPr>
        <w:ind w:left="1140" w:right="1140" w:hanging="1"/>
        <w:spacing w:after="0" w:line="264" w:lineRule="auto"/>
        <w:tabs>
          <w:tab w:leader="none" w:pos="136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2024, the Board of Directors approved an amendment and restatement of the 2018 Inducement Incentive Award Plan to reserve an additional 360,000 shares of the Company’s common stock for issuance thereunder. As of</w:t>
      </w:r>
    </w:p>
    <w:p>
      <w:pPr>
        <w:spacing w:after="0" w:line="1" w:lineRule="exact"/>
        <w:rPr>
          <w:rFonts w:ascii="Times New Roman" w:cs="Times New Roman" w:eastAsia="Times New Roman" w:hAnsi="Times New Roman"/>
          <w:sz w:val="15"/>
          <w:szCs w:val="15"/>
          <w:color w:val="auto"/>
        </w:rPr>
      </w:pPr>
    </w:p>
    <w:p>
      <w:pPr>
        <w:ind w:left="11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June 30, 2024, there are 364,660 shares available for future grant under the 2018 Inducement Incentive Award Plan.</w:t>
      </w:r>
    </w:p>
    <w:p>
      <w:pPr>
        <w:spacing w:after="0" w:line="84" w:lineRule="exact"/>
        <w:rPr>
          <w:sz w:val="20"/>
          <w:szCs w:val="20"/>
          <w:color w:val="auto"/>
        </w:rPr>
      </w:pPr>
    </w:p>
    <w:p>
      <w:pPr>
        <w:ind w:left="1140" w:right="1140"/>
        <w:spacing w:after="0" w:line="252" w:lineRule="auto"/>
        <w:rPr>
          <w:sz w:val="20"/>
          <w:szCs w:val="20"/>
          <w:color w:val="auto"/>
        </w:rPr>
      </w:pPr>
      <w:r>
        <w:rPr>
          <w:rFonts w:ascii="Times New Roman" w:cs="Times New Roman" w:eastAsia="Times New Roman" w:hAnsi="Times New Roman"/>
          <w:sz w:val="16"/>
          <w:szCs w:val="16"/>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June 30, 2024, there are 23,707 shares available for future grant under the Old Cartesian Plan.</w:t>
      </w:r>
    </w:p>
    <w:p>
      <w:pPr>
        <w:spacing w:after="0" w:line="73" w:lineRule="exact"/>
        <w:rPr>
          <w:sz w:val="20"/>
          <w:szCs w:val="20"/>
          <w:color w:val="auto"/>
        </w:rPr>
      </w:pPr>
    </w:p>
    <w:p>
      <w:pPr>
        <w:ind w:left="1140" w:right="1220"/>
        <w:spacing w:after="0" w:line="251" w:lineRule="auto"/>
        <w:rPr>
          <w:sz w:val="20"/>
          <w:szCs w:val="20"/>
          <w:color w:val="auto"/>
        </w:rPr>
      </w:pPr>
      <w:r>
        <w:rPr>
          <w:rFonts w:ascii="Times New Roman" w:cs="Times New Roman" w:eastAsia="Times New Roman" w:hAnsi="Times New Roman"/>
          <w:sz w:val="16"/>
          <w:szCs w:val="16"/>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$0.3 million and $0.7 million was recognized as research and development expense in the consolidated statements of operations and comprehensive income (loss) during the three and six months ended June 30, 2024, respectively. Following the Automatic Conversion, the options exercisable for shares of Series A Preferred Stock became exercisable for shares of common stock.</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03" w:lineRule="exact"/>
        <w:rPr>
          <w:sz w:val="20"/>
          <w:szCs w:val="20"/>
          <w:color w:val="auto"/>
        </w:rPr>
      </w:pPr>
    </w:p>
    <w:p>
      <w:pPr>
        <w:ind w:left="1140" w:right="1280"/>
        <w:spacing w:after="0" w:line="25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three and six months ended June 30, 2023 as described in Note 15, was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8"/>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300" w:type="dxa"/>
            <w:vAlign w:val="bottom"/>
          </w:tcPr>
          <w:p>
            <w:pPr>
              <w:spacing w:after="0"/>
              <w:rPr>
                <w:sz w:val="12"/>
                <w:szCs w:val="12"/>
                <w:color w:val="auto"/>
              </w:rPr>
            </w:pPr>
          </w:p>
        </w:tc>
        <w:tc>
          <w:tcPr>
            <w:tcW w:w="1220" w:type="dxa"/>
            <w:vAlign w:val="bottom"/>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300" w:type="dxa"/>
            <w:vAlign w:val="bottom"/>
          </w:tcPr>
          <w:p>
            <w:pPr>
              <w:spacing w:after="0"/>
              <w:rPr>
                <w:sz w:val="14"/>
                <w:szCs w:val="14"/>
                <w:color w:val="auto"/>
              </w:rPr>
            </w:pPr>
          </w:p>
        </w:tc>
        <w:tc>
          <w:tcPr>
            <w:tcW w:w="122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$3,869</w:t>
            </w:r>
          </w:p>
        </w:tc>
        <w:tc>
          <w:tcPr>
            <w:tcW w:w="114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815</w:t>
            </w: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2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2,190</w:t>
            </w:r>
          </w:p>
        </w:tc>
        <w:tc>
          <w:tcPr>
            <w:tcW w:w="114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6"/>
        </w:trPr>
        <w:tc>
          <w:tcPr>
            <w:tcW w:w="1140" w:type="dxa"/>
            <w:vAlign w:val="bottom"/>
          </w:tcPr>
          <w:p>
            <w:pPr>
              <w:spacing w:after="0"/>
              <w:rPr>
                <w:sz w:val="23"/>
                <w:szCs w:val="23"/>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1,591</w:t>
            </w:r>
          </w:p>
        </w:tc>
        <w:tc>
          <w:tcPr>
            <w:tcW w:w="4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3,783</w:t>
            </w:r>
          </w:p>
        </w:tc>
        <w:tc>
          <w:tcPr>
            <w:tcW w:w="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3,022</w:t>
            </w:r>
          </w:p>
        </w:tc>
        <w:tc>
          <w:tcPr>
            <w:tcW w:w="20" w:type="dxa"/>
            <w:vAlign w:val="bottom"/>
            <w:shd w:val="clear" w:color="auto" w:fill="CCEEFF"/>
          </w:tcPr>
          <w:p>
            <w:pPr>
              <w:spacing w:after="0"/>
              <w:rPr>
                <w:sz w:val="23"/>
                <w:szCs w:val="23"/>
                <w:color w:val="auto"/>
              </w:rPr>
            </w:pPr>
          </w:p>
        </w:tc>
        <w:tc>
          <w:tcPr>
            <w:tcW w:w="76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6,059</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F-24</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168" w:name="page169"/>
    <w:bookmarkEnd w:id="168"/>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03" w:lineRule="exact"/>
        <w:rPr>
          <w:sz w:val="20"/>
          <w:szCs w:val="20"/>
          <w:color w:val="auto"/>
        </w:rPr>
      </w:pPr>
    </w:p>
    <w:p>
      <w:pPr>
        <w:ind w:left="1140" w:right="1340"/>
        <w:spacing w:after="0" w:line="262" w:lineRule="auto"/>
        <w:rPr>
          <w:sz w:val="20"/>
          <w:szCs w:val="20"/>
          <w:color w:val="auto"/>
        </w:rPr>
      </w:pPr>
      <w:r>
        <w:rPr>
          <w:rFonts w:ascii="Times New Roman" w:cs="Times New Roman" w:eastAsia="Times New Roman" w:hAnsi="Times New Roman"/>
          <w:sz w:val="16"/>
          <w:szCs w:val="16"/>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540" w:type="dxa"/>
            <w:vAlign w:val="bottom"/>
            <w:gridSpan w:val="3"/>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80" w:type="dxa"/>
            <w:vAlign w:val="bottom"/>
          </w:tcPr>
          <w:p>
            <w:pPr>
              <w:spacing w:after="0"/>
              <w:rPr>
                <w:sz w:val="12"/>
                <w:szCs w:val="12"/>
                <w:color w:val="auto"/>
              </w:rPr>
            </w:pPr>
          </w:p>
        </w:tc>
        <w:tc>
          <w:tcPr>
            <w:tcW w:w="1440" w:type="dxa"/>
            <w:vAlign w:val="bottom"/>
            <w:gridSpan w:val="3"/>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4140" w:type="dxa"/>
            <w:vAlign w:val="bottom"/>
          </w:tcPr>
          <w:p>
            <w:pPr>
              <w:spacing w:after="0"/>
              <w:rPr>
                <w:sz w:val="14"/>
                <w:szCs w:val="14"/>
                <w:color w:val="auto"/>
              </w:rPr>
            </w:pPr>
          </w:p>
        </w:tc>
        <w:tc>
          <w:tcPr>
            <w:tcW w:w="1540" w:type="dxa"/>
            <w:vAlign w:val="bottom"/>
            <w:gridSpan w:val="3"/>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Pr>
          <w:p>
            <w:pPr>
              <w:spacing w:after="0"/>
              <w:rPr>
                <w:sz w:val="14"/>
                <w:szCs w:val="14"/>
                <w:color w:val="auto"/>
              </w:rPr>
            </w:pPr>
          </w:p>
        </w:tc>
        <w:tc>
          <w:tcPr>
            <w:tcW w:w="1440" w:type="dxa"/>
            <w:vAlign w:val="bottom"/>
            <w:gridSpan w:val="3"/>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21"/>
        </w:trPr>
        <w:tc>
          <w:tcPr>
            <w:tcW w:w="4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1"/>
        </w:trPr>
        <w:tc>
          <w:tcPr>
            <w:tcW w:w="4140" w:type="dxa"/>
            <w:vAlign w:val="bottom"/>
          </w:tcPr>
          <w:p>
            <w:pPr>
              <w:spacing w:after="0"/>
              <w:rPr>
                <w:sz w:val="13"/>
                <w:szCs w:val="13"/>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gridSpan w:val="2"/>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4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07"/>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6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6.18</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6.00</w:t>
            </w:r>
          </w:p>
        </w:tc>
        <w:tc>
          <w:tcPr>
            <w:tcW w:w="8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6"/>
                <w:szCs w:val="16"/>
                <w:color w:val="auto"/>
              </w:rPr>
              <w:t>6.20</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5.94</w:t>
            </w:r>
          </w:p>
        </w:tc>
      </w:tr>
      <w:tr>
        <w:trPr>
          <w:trHeight w:val="207"/>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94.64%</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w:t>
            </w:r>
          </w:p>
        </w:tc>
        <w:tc>
          <w:tcPr>
            <w:tcW w:w="6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$22.08</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$39.30</w:t>
            </w:r>
          </w:p>
        </w:tc>
        <w:tc>
          <w:tcPr>
            <w:tcW w:w="8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6"/>
                <w:szCs w:val="16"/>
                <w:color w:val="auto"/>
              </w:rPr>
              <w:t>$20.14</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$34.50</w:t>
            </w:r>
          </w:p>
        </w:tc>
      </w:tr>
      <w:tr>
        <w:trPr>
          <w:trHeight w:val="48"/>
        </w:trPr>
        <w:tc>
          <w:tcPr>
            <w:tcW w:w="4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67" w:lineRule="exact"/>
        <w:rPr>
          <w:sz w:val="20"/>
          <w:szCs w:val="20"/>
          <w:color w:val="auto"/>
        </w:rPr>
      </w:pPr>
    </w:p>
    <w:p>
      <w:pPr>
        <w:jc w:val="both"/>
        <w:ind w:left="1140" w:right="1200"/>
        <w:spacing w:after="0" w:line="262" w:lineRule="auto"/>
        <w:rPr>
          <w:sz w:val="20"/>
          <w:szCs w:val="20"/>
          <w:color w:val="auto"/>
        </w:rPr>
      </w:pPr>
      <w:r>
        <w:rPr>
          <w:rFonts w:ascii="Times New Roman" w:cs="Times New Roman" w:eastAsia="Times New Roman" w:hAnsi="Times New Roman"/>
          <w:sz w:val="16"/>
          <w:szCs w:val="16"/>
          <w:color w:val="auto"/>
        </w:rPr>
        <w:t>The weighted-average grant date fair value of stock options granted was $17.40 and $30.51 during the three months ended June 30, 2024 and 2023, respectively, and $16.05 and $26.89 during the six months ended June 30, 2024 and 2023, respectively.</w:t>
      </w:r>
    </w:p>
    <w:p>
      <w:pPr>
        <w:spacing w:after="0" w:line="62" w:lineRule="exact"/>
        <w:rPr>
          <w:sz w:val="20"/>
          <w:szCs w:val="20"/>
          <w:color w:val="auto"/>
        </w:rPr>
      </w:pPr>
    </w:p>
    <w:p>
      <w:pPr>
        <w:ind w:left="1140" w:right="1240"/>
        <w:spacing w:after="0" w:line="277" w:lineRule="auto"/>
        <w:rPr>
          <w:sz w:val="20"/>
          <w:szCs w:val="20"/>
          <w:color w:val="auto"/>
        </w:rPr>
      </w:pPr>
      <w:r>
        <w:rPr>
          <w:rFonts w:ascii="Times New Roman" w:cs="Times New Roman" w:eastAsia="Times New Roman" w:hAnsi="Times New Roman"/>
          <w:sz w:val="16"/>
          <w:szCs w:val="16"/>
          <w:color w:val="auto"/>
        </w:rPr>
        <w:t>As of June 30, 2024, total unrecognized compensation expense related to unvested common stock options was $9.9 million, which is expected to be recognized over a weighted average period of 3.0 years.</w:t>
      </w:r>
    </w:p>
    <w:p>
      <w:pPr>
        <w:spacing w:after="0" w:line="50" w:lineRule="exact"/>
        <w:rPr>
          <w:sz w:val="20"/>
          <w:szCs w:val="20"/>
          <w:color w:val="auto"/>
        </w:rPr>
      </w:pPr>
    </w:p>
    <w:p>
      <w:pPr>
        <w:ind w:left="1140" w:right="158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 the 2018 Inducement Incentive Award Plan, and Old Cartesian Plan for options for common stock:</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80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10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1080" w:type="dxa"/>
            <w:vAlign w:val="bottom"/>
            <w:gridSpan w:val="2"/>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$ 2.97</w:t>
            </w:r>
          </w:p>
        </w:tc>
        <w:tc>
          <w:tcPr>
            <w:tcW w:w="10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6.50</w:t>
            </w:r>
          </w:p>
        </w:tc>
        <w:tc>
          <w:tcPr>
            <w:tcW w:w="8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$13,760</w:t>
            </w:r>
          </w:p>
        </w:tc>
        <w:tc>
          <w:tcPr>
            <w:tcW w:w="0" w:type="dxa"/>
            <w:vAlign w:val="bottom"/>
          </w:tcPr>
          <w:p>
            <w:pPr>
              <w:spacing w:after="0"/>
              <w:rPr>
                <w:sz w:val="1"/>
                <w:szCs w:val="1"/>
                <w:color w:val="auto"/>
              </w:rPr>
            </w:pPr>
          </w:p>
        </w:tc>
      </w:tr>
      <w:tr>
        <w:trPr>
          <w:trHeight w:val="210"/>
        </w:trPr>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761,556</w:t>
            </w:r>
          </w:p>
        </w:tc>
        <w:tc>
          <w:tcPr>
            <w:tcW w:w="8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Converted from options for Series A Preferred</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470,403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$ 2.40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(89,009)</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$ 3.08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(30,254)</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June 30, 2024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1,889,561</w:t>
            </w:r>
          </w:p>
        </w:tc>
        <w:tc>
          <w:tcPr>
            <w:tcW w:w="8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$ 9.56</w:t>
            </w:r>
          </w:p>
        </w:tc>
        <w:tc>
          <w:tcPr>
            <w:tcW w:w="10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7.24</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$33,081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June 30, 2024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944,490</w:t>
            </w: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$ 2.74</w:t>
            </w:r>
          </w:p>
        </w:tc>
        <w:tc>
          <w:tcPr>
            <w:tcW w:w="10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5.43</w:t>
            </w:r>
          </w:p>
        </w:tc>
        <w:tc>
          <w:tcPr>
            <w:tcW w:w="8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$22,925</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June 30, 2024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1,743,749</w:t>
            </w:r>
          </w:p>
        </w:tc>
        <w:tc>
          <w:tcPr>
            <w:tcW w:w="8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$ 8.66</w:t>
            </w:r>
          </w:p>
        </w:tc>
        <w:tc>
          <w:tcPr>
            <w:tcW w:w="10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7.12</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$32,070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40" w:right="154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Old Cartesian Plan for options for Series A Preferred Stock: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8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14,112.299</w:t>
            </w:r>
          </w:p>
        </w:tc>
        <w:tc>
          <w:tcPr>
            <w:tcW w:w="106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1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5.91</w:t>
            </w:r>
          </w:p>
        </w:tc>
        <w:tc>
          <w:tcPr>
            <w:tcW w:w="86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$8,601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Converted to options for common stock</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June 30, 2024</w:t>
            </w: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F-25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169" w:name="page170"/>
    <w:bookmarkEnd w:id="16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80" w:lineRule="auto"/>
        <w:rPr>
          <w:sz w:val="20"/>
          <w:szCs w:val="20"/>
          <w:color w:val="auto"/>
        </w:rPr>
      </w:pPr>
      <w:r>
        <w:rPr>
          <w:rFonts w:ascii="Times New Roman" w:cs="Times New Roman" w:eastAsia="Times New Roman" w:hAnsi="Times New Roman"/>
          <w:sz w:val="15"/>
          <w:szCs w:val="15"/>
          <w:color w:val="auto"/>
        </w:rPr>
        <w:t>As a result of the approval of the Conversion Proposal on March 27, 2024, all conditions that could have required cash redemption of the Series A Preferred Stock underlying the stock options were satisfied. Since the Series A Preferred Stock is no longer redeemable, the associated balances of the stock options to purchase Series A Preferred Stock were reclassified from mezzanine equity to additional paid-in capital during the first quarter of 2024.</w:t>
      </w:r>
    </w:p>
    <w:p>
      <w:pPr>
        <w:spacing w:after="0" w:line="50"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Following the Automatic Conversion, all options to purchase Series A Preferred Stock were converted into options to purchase common stock with adjustments to the underlying number of shares of common stock determined by multiplying the number of shares of Series A Preferred Stock by 33.333 and rounding down to the nearest whole number of shares and the per- share exercise price by dividing the per-share exercise price of Series A Preferred Stock by 33.333 and rounding the resulting exercise price up to the nearest whole cent.</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During the six months ended June 30, 2024, the Company granted 471,104 restricted stock unit awards with a weighted-average fair value of $19.80 per share based on the closing price of the Company’s common stock on the date of grant under the 2016 Plan and the Old Cartesian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71"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Unrecognized compensation expense related to the restricted stock units was $6.1 million as of June 30, 2024, which is expected to be recognized over a weighted-average period of 3.4 years.</w:t>
      </w:r>
    </w:p>
    <w:p>
      <w:pPr>
        <w:spacing w:after="0" w:line="50"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Company’s restricted stock units under the 2016 Plan, the 2018 Inducement Incentive Award Plan, and the Old Cartesian Plan:</w:t>
      </w:r>
    </w:p>
    <w:p>
      <w:pPr>
        <w:spacing w:after="0" w:line="14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240" w:type="dxa"/>
            <w:vAlign w:val="bottom"/>
          </w:tcPr>
          <w:p>
            <w:pPr>
              <w:spacing w:after="0"/>
              <w:rPr>
                <w:sz w:val="11"/>
                <w:szCs w:val="11"/>
                <w:color w:val="auto"/>
              </w:rPr>
            </w:pPr>
          </w:p>
        </w:tc>
        <w:tc>
          <w:tcPr>
            <w:tcW w:w="98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grant date</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471,104</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(16,648)</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Unvested at June 30, 2024</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454,456</w:t>
            </w:r>
          </w:p>
        </w:tc>
        <w:tc>
          <w:tcPr>
            <w:tcW w:w="1220" w:type="dxa"/>
            <w:vAlign w:val="bottom"/>
            <w:gridSpan w:val="5"/>
          </w:tcPr>
          <w:p>
            <w:pPr>
              <w:ind w:left="5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19.80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In June 2016, the Company approved the 2016 Employee Stock Purchase Plan, or the ESPP, which authorized 5,769 shares of common stock for future issuance under the ESPP to participating employees. As of June 30, 2024, 45,795 shares remain available for future issuance under the ESPP. In connection with the Merger, the Board of Directors suspended the offerings under the ESPP.</w:t>
      </w:r>
    </w:p>
    <w:p>
      <w:pPr>
        <w:spacing w:after="0" w:line="6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Company recognized no stock-based compensation expense under the ESPP for the three and six months ended June 30, 2024 and less than $0.1 million stock-based compensation expense under the ESPP for each of the three and six months ended June 30, 2023.</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Revenue Arrangements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revenue</w:t>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Astellas Gene Therapies</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January 2023, the Company entered into a License and Development Agreement, or the Astellas Agreement, with Audentes Therapeutics, Inc., doing business as Astellas Gene Therapies, or Astellas. Under the Astellas Agreement, the 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is licensed by the Genovis Agreement, as described in Note 15 to these consolidated financial statements. Astellas paid a $10.0 million upfront payment to the Company upon signing of the Astellas Agreement, and the Company was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0" w:name="page171"/>
    <w:bookmarkEnd w:id="17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 A more detailed description of the Astellas Agreement and the Company's evaluation of this agreement under ASC 606 can be found in Note 14 to the consolidated financial statements in the Company’s Annual Report on Form 10-K for the year ended December 31, 2023.</w:t>
      </w:r>
    </w:p>
    <w:p>
      <w:pPr>
        <w:spacing w:after="0" w:line="70"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In March 2024, the Company was notified by Astellas of its intention to terminate the Astellas Agreement, which occurred effective June 6, 2024.</w:t>
      </w:r>
    </w:p>
    <w:p>
      <w:pPr>
        <w:spacing w:after="0" w:line="50" w:lineRule="exact"/>
        <w:rPr>
          <w:sz w:val="20"/>
          <w:szCs w:val="20"/>
          <w:color w:val="auto"/>
        </w:rPr>
      </w:pPr>
    </w:p>
    <w:p>
      <w:pPr>
        <w:ind w:left="800" w:right="999"/>
        <w:spacing w:after="0" w:line="251" w:lineRule="auto"/>
        <w:rPr>
          <w:sz w:val="20"/>
          <w:szCs w:val="20"/>
          <w:color w:val="auto"/>
        </w:rPr>
      </w:pPr>
      <w:r>
        <w:rPr>
          <w:rFonts w:ascii="Times New Roman" w:cs="Times New Roman" w:eastAsia="Times New Roman" w:hAnsi="Times New Roman"/>
          <w:sz w:val="16"/>
          <w:szCs w:val="16"/>
          <w:color w:val="auto"/>
        </w:rPr>
        <w:t>As of June 30, 2024, there were no unsatisfied performance obligations related to the Astellas Agreement. As of December 31, 2023, the Company recorded $2.3 million and $3.5 million as a short-term and a long-term contract liability, respectively, representing deferred revenue associated with the Astellas Agreement. As of June 30, 2024 and December 31, 2023, the Company recorded a receivable of $0.1 million and $0.3 million, respectively, representing billings for the Xork Development Services (as defined in the Astellas Agreement) that are subject to reimbursement by Astellas. Revenue of $0.5 million and $6.3 million related to the Astellas Agreement was recognized during the three and six months ended June 30, 2024, inclusive of $3.2 million of revenue recognized from performance obligations related to prior periods as a result of the change in transaction price during the six months ended June 30, 2024. Revenue of $0.8 million and $1.4 million related to the Astellas Agreement was recognized during the three and six months ended June 30, 2023, respectively.</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Takeda Pharmaceuticals USA,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 A more detailed description of the Takeda Agreement and the Company's evaluation of this agreement under ASC 606 can be found in Note 14 to the consolidated financial statements in the Company’s Annual Report on Form 10-K for the year ended December 31, 2023.</w:t>
      </w:r>
    </w:p>
    <w:p>
      <w:pPr>
        <w:spacing w:after="0" w:line="62"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three months ended June 30, 2023.</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The Takeda Agreement was terminated effective July 25, 2023, following Takeda’s decision to discontinue discovery and pre-clinical activities in adeno-associated virus, or AAV, gene therapy.</w:t>
      </w:r>
    </w:p>
    <w:p>
      <w:pPr>
        <w:spacing w:after="0" w:line="50"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As of June 30, 2024 and December 31, 2023, there were no unsatisfied performance obligations related to the Takeda Agreement. No revenue related to the Takeda Agreement was recognized during the three and six months ended June 30, 2024. Revenue of $0.1 million and $0.6 million related to the Takeda Agreement was recognized during the three and six months ended June 30, 2023, respectively.</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Swedish Orphan Biovitrum AB (publ.)</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 June 2020, the Company and Sobi entered into the Sobi License, which was subsequently amended.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1" w:name="page172"/>
    <w:bookmarkEnd w:id="1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14 to the consolidated financial statements in the Company’s Annual Report on Form 10-K for the year ended December 31, 2023.</w:t>
      </w:r>
    </w:p>
    <w:p>
      <w:pPr>
        <w:spacing w:after="0" w:line="7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On October 31, 2023, the Company and Sobi entered into Amendment No. 1 to the Sobi License,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0" w:lineRule="exact"/>
        <w:rPr>
          <w:sz w:val="20"/>
          <w:szCs w:val="20"/>
          <w:color w:val="auto"/>
        </w:rPr>
      </w:pPr>
    </w:p>
    <w:p>
      <w:pPr>
        <w:ind w:left="800" w:right="1119"/>
        <w:spacing w:after="0" w:line="276" w:lineRule="auto"/>
        <w:rPr>
          <w:sz w:val="20"/>
          <w:szCs w:val="20"/>
          <w:color w:val="auto"/>
        </w:rPr>
      </w:pPr>
      <w:r>
        <w:rPr>
          <w:rFonts w:ascii="Times New Roman" w:cs="Times New Roman" w:eastAsia="Times New Roman" w:hAnsi="Times New Roman"/>
          <w:sz w:val="15"/>
          <w:szCs w:val="15"/>
          <w:color w:val="auto"/>
        </w:rPr>
        <w:t>On June 28, 2024, Sobi initiated a rolling biologics license application to the FDA for SEL-212 for the potential treatment of chronic refractory gout which resulted in the achievement of a development milestone and a</w:t>
      </w:r>
    </w:p>
    <w:p>
      <w:pPr>
        <w:ind w:left="800" w:right="919"/>
        <w:spacing w:after="0" w:line="249" w:lineRule="auto"/>
        <w:rPr>
          <w:sz w:val="20"/>
          <w:szCs w:val="20"/>
          <w:color w:val="auto"/>
        </w:rPr>
      </w:pPr>
      <w:r>
        <w:rPr>
          <w:rFonts w:ascii="Times New Roman" w:cs="Times New Roman" w:eastAsia="Times New Roman" w:hAnsi="Times New Roman"/>
          <w:sz w:val="16"/>
          <w:szCs w:val="16"/>
          <w:color w:val="auto"/>
        </w:rPr>
        <w:t>$30.0 million payment obligation from Sobi to the Company. As a result, the development milestone was no longer constrained and $30.0 million was recognized as revenue during each of the three and six months ended June 30, 2024 as there were no remaining performance obligations under the Sobi License. The proceeds from the achievement of the development milestone were received from Sobi in July 2024 and are expected to be included, net of deductions as specified in the CVR Agreement, in the next scheduled distribution to holders of the CVRs in March 2025.</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As of June 30, 2024 and December 31, 2023, the Company recorded total outstanding receivables of $31.7 million and $4.6 million, respectively, representing billings for the Phase 3 DISSOLVE program that are subject to reimbursement by Sobi and, as of June 30, 2024, the unpaid milestone. Additionally, as of June 30, 2024 and December 31, 2023, the Company recorded a total unbilled receivable of $3.5 million and $3.0 million, respectively, representing revenue earned but not yet billed for the Phase 3 DISSOLVE program. Revenue of $32.8 million, inclusive of the $30.0 million development milestone, related to the Sobi License was recognized during each of the three and six months ended June 30, 2024. Revenue of $4.3 million and $8.7 million related to the Sobi License was recognized during the three and six months ended June 30, 2023, respectively.</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Sarepta Therapeutics,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Research License and Option Agreement</w:t>
      </w:r>
    </w:p>
    <w:p>
      <w:pPr>
        <w:spacing w:after="0" w:line="103"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 A more detailed description of the Sarepta Agreement and the Company's evaluation of this agreement under ASC 606 can be found in Note 14 to the consolidated financial statements in the Company’s Annual Report on Form 10-K for the year ended December 31, 2023.</w:t>
      </w:r>
    </w:p>
    <w:p>
      <w:pPr>
        <w:spacing w:after="0" w:line="75"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On March 13, 2023, the Company was notified by Sarepta that Sarepta would not be exercising its exclusive option under the Sarepta Agreement. Therefore, the remaining deferred revenue balance as of December 31, 2022 of $0.5 million was recognized as revenue during the six months ended June 30, 2023. No revenue related to the Sarepta Agreement was recognized during the three and six months ended June 30, 2024 or the three months ended June 30,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2" w:name="page173"/>
    <w:bookmarkEnd w:id="1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Transaction Price Allocated to Future Performance Obligations</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contracts for which work has not been performed, or has been partially performed. As of June 30, 2024, there were no unsatisfied performance obligations from contracts with customers.</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Contract Balances from Contracts with Customers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presents changes in the Company’s contract liabilities during the six months ended June 30,</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2024 (in thousands):</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Balance at</w:t>
            </w: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6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beginning of</w:t>
            </w:r>
          </w:p>
        </w:tc>
        <w:tc>
          <w:tcPr>
            <w:tcW w:w="280" w:type="dxa"/>
            <w:vAlign w:val="bottom"/>
          </w:tcPr>
          <w:p>
            <w:pPr>
              <w:spacing w:after="0"/>
              <w:rPr>
                <w:sz w:val="11"/>
                <w:szCs w:val="11"/>
                <w:color w:val="auto"/>
              </w:rPr>
            </w:pPr>
          </w:p>
        </w:tc>
        <w:tc>
          <w:tcPr>
            <w:tcW w:w="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Additions</w:t>
            </w:r>
          </w:p>
        </w:tc>
        <w:tc>
          <w:tcPr>
            <w:tcW w:w="340" w:type="dxa"/>
            <w:vAlign w:val="bottom"/>
          </w:tcPr>
          <w:p>
            <w:pPr>
              <w:spacing w:after="0"/>
              <w:rPr>
                <w:sz w:val="11"/>
                <w:szCs w:val="11"/>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Deductions</w:t>
            </w:r>
          </w:p>
        </w:tc>
        <w:tc>
          <w:tcPr>
            <w:tcW w:w="280" w:type="dxa"/>
            <w:vAlign w:val="bottom"/>
          </w:tcPr>
          <w:p>
            <w:pPr>
              <w:spacing w:after="0"/>
              <w:rPr>
                <w:sz w:val="11"/>
                <w:szCs w:val="11"/>
                <w:color w:val="auto"/>
              </w:rPr>
            </w:pPr>
          </w:p>
        </w:tc>
        <w:tc>
          <w:tcPr>
            <w:tcW w:w="60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end of</w:t>
            </w: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period</w:t>
            </w:r>
          </w:p>
        </w:tc>
        <w:tc>
          <w:tcPr>
            <w:tcW w:w="2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CEEFF"/>
          </w:tcPr>
          <w:p>
            <w:pPr>
              <w:jc w:val="center"/>
              <w:ind w:left="241"/>
              <w:spacing w:after="0"/>
              <w:rPr>
                <w:sz w:val="20"/>
                <w:szCs w:val="20"/>
                <w:color w:val="auto"/>
              </w:rPr>
            </w:pPr>
            <w:r>
              <w:rPr>
                <w:rFonts w:ascii="Times New Roman" w:cs="Times New Roman" w:eastAsia="Times New Roman" w:hAnsi="Times New Roman"/>
                <w:sz w:val="16"/>
                <w:szCs w:val="16"/>
                <w:color w:val="auto"/>
                <w:w w:val="98"/>
              </w:rPr>
              <w:t>$(5,849)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1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tcPr>
          <w:p>
            <w:pPr>
              <w:jc w:val="center"/>
              <w:ind w:left="241"/>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(5,849)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Grant revenue</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Institute of Neurological Disorders and Stroke of the National Institutes of Health</w:t>
      </w:r>
    </w:p>
    <w:p>
      <w:pPr>
        <w:spacing w:after="0" w:line="103" w:lineRule="exact"/>
        <w:rPr>
          <w:sz w:val="20"/>
          <w:szCs w:val="20"/>
          <w:color w:val="auto"/>
        </w:rPr>
      </w:pPr>
    </w:p>
    <w:p>
      <w:pPr>
        <w:jc w:val="both"/>
        <w:ind w:left="800" w:right="979"/>
        <w:spacing w:after="0" w:line="270" w:lineRule="auto"/>
        <w:rPr>
          <w:sz w:val="20"/>
          <w:szCs w:val="20"/>
          <w:color w:val="auto"/>
        </w:rPr>
      </w:pPr>
      <w:r>
        <w:rPr>
          <w:rFonts w:ascii="Times New Roman" w:cs="Times New Roman" w:eastAsia="Times New Roman" w:hAnsi="Times New Roman"/>
          <w:sz w:val="15"/>
          <w:szCs w:val="15"/>
          <w:color w:val="auto"/>
        </w:rPr>
        <w:t>In June 2024, the Company received funding approval from the National Institute of Neurological Disorders and Stroke of the National Institutes of Health, or NINDS, for an award of $1.5 million granted for the budget period, which runs from June 2024 through May 2025. Subject to the availability of funds and satisfactory progress of the project, an additional $1.5 million is recommended to be awarded for the budget period June 2025 through</w:t>
      </w:r>
    </w:p>
    <w:p>
      <w:pPr>
        <w:spacing w:after="0" w:line="1" w:lineRule="exact"/>
        <w:rPr>
          <w:sz w:val="20"/>
          <w:szCs w:val="20"/>
          <w:color w:val="auto"/>
        </w:rPr>
      </w:pPr>
    </w:p>
    <w:p>
      <w:pPr>
        <w:ind w:left="800" w:right="979"/>
        <w:spacing w:after="0" w:line="249" w:lineRule="auto"/>
        <w:rPr>
          <w:sz w:val="20"/>
          <w:szCs w:val="20"/>
          <w:color w:val="auto"/>
        </w:rPr>
      </w:pPr>
      <w:r>
        <w:rPr>
          <w:rFonts w:ascii="Times New Roman" w:cs="Times New Roman" w:eastAsia="Times New Roman" w:hAnsi="Times New Roman"/>
          <w:sz w:val="16"/>
          <w:szCs w:val="16"/>
          <w:color w:val="auto"/>
        </w:rPr>
        <w:t>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 during the budget period.</w:t>
      </w:r>
    </w:p>
    <w:p>
      <w:pPr>
        <w:spacing w:after="0" w:line="74"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As of June 30, 2024, the Company recorded a receivable of $0.2 million that is subject to reimbursement by NINDS. The Company recognized grant revenue of $0.2 million during each of the three and six months ended June 30, 2024.</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14. Related-Party Transactions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November 2023 Securities Purchase Agreement</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w:t>
      </w:r>
    </w:p>
    <w:p>
      <w:pPr>
        <w:spacing w:after="0" w:line="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149,330.115 shares of Series A Preferred Stock for an aggregate purchase price of $60.25 million (see Note 10). The November 2023 Private Placement includes a delayed settlement mechanism, and as a result, the below issuances and sales to related parties of the Company were made during the six months ended June 30, 2024.</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of Series A</w:t>
            </w:r>
          </w:p>
        </w:tc>
        <w:tc>
          <w:tcPr>
            <w:tcW w:w="120" w:type="dxa"/>
            <w:vAlign w:val="bottom"/>
          </w:tcPr>
          <w:p>
            <w:pPr>
              <w:spacing w:after="0"/>
              <w:rPr>
                <w:sz w:val="12"/>
                <w:szCs w:val="12"/>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Total aggregate</w:t>
            </w:r>
          </w:p>
        </w:tc>
        <w:tc>
          <w:tcPr>
            <w:tcW w:w="0" w:type="dxa"/>
            <w:vAlign w:val="bottom"/>
          </w:tcPr>
          <w:p>
            <w:pPr>
              <w:spacing w:after="0"/>
              <w:rPr>
                <w:sz w:val="1"/>
                <w:szCs w:val="1"/>
                <w:color w:val="auto"/>
              </w:rPr>
            </w:pPr>
          </w:p>
        </w:tc>
      </w:tr>
      <w:tr>
        <w:trPr>
          <w:trHeight w:val="131"/>
        </w:trPr>
        <w:tc>
          <w:tcPr>
            <w:tcW w:w="5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1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1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99,140.326</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$40,000,000</w:t>
            </w:r>
          </w:p>
        </w:tc>
        <w:tc>
          <w:tcPr>
            <w:tcW w:w="0" w:type="dxa"/>
            <w:vAlign w:val="bottom"/>
          </w:tcPr>
          <w:p>
            <w:pPr>
              <w:spacing w:after="0"/>
              <w:rPr>
                <w:sz w:val="1"/>
                <w:szCs w:val="1"/>
                <w:color w:val="auto"/>
              </w:rPr>
            </w:pPr>
          </w:p>
        </w:tc>
      </w:tr>
      <w:tr>
        <w:trPr>
          <w:trHeight w:val="48"/>
        </w:trPr>
        <w:tc>
          <w:tcPr>
            <w:tcW w:w="5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Exercise of Amended 2019 Warrants</w:t>
      </w:r>
    </w:p>
    <w:p>
      <w:pPr>
        <w:spacing w:after="0" w:line="103"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On March 26, 2024, TAS Partners LLC, an affiliate of Dr. Springer, exercised 65,681 Amended 2019 Warrants, paid the per-share exercise price of $43.80 in cash for an aggregate exercise price of $2.9 million, and received 65,681 shares of common stock and 1,970,443 CVRs.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3" w:name="page174"/>
    <w:bookmarkEnd w:id="1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During the three and six months ended June 30, 2023, there were no related party transactions.</w:t>
      </w:r>
    </w:p>
    <w:p>
      <w:pPr>
        <w:spacing w:after="0" w:line="206" w:lineRule="exact"/>
        <w:rPr>
          <w:sz w:val="20"/>
          <w:szCs w:val="20"/>
          <w:color w:val="auto"/>
        </w:rPr>
      </w:pPr>
    </w:p>
    <w:p>
      <w:pPr>
        <w:ind w:left="800" w:right="5359" w:hanging="1"/>
        <w:spacing w:after="0" w:line="380" w:lineRule="auto"/>
        <w:tabs>
          <w:tab w:leader="none" w:pos="1037"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Collaboration and License Agreements Biogen MA, Inc.</w:t>
      </w:r>
    </w:p>
    <w:p>
      <w:pPr>
        <w:spacing w:after="0" w:line="1"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3" w:lineRule="exact"/>
        <w:rPr>
          <w:sz w:val="20"/>
          <w:szCs w:val="20"/>
          <w:color w:val="auto"/>
        </w:rPr>
      </w:pPr>
    </w:p>
    <w:p>
      <w:pPr>
        <w:ind w:left="800" w:right="999"/>
        <w:spacing w:after="0" w:line="276" w:lineRule="auto"/>
        <w:rPr>
          <w:sz w:val="20"/>
          <w:szCs w:val="20"/>
          <w:color w:val="auto"/>
        </w:rPr>
      </w:pPr>
      <w:r>
        <w:rPr>
          <w:rFonts w:ascii="Times New Roman" w:cs="Times New Roman" w:eastAsia="Times New Roman" w:hAnsi="Times New Roman"/>
          <w:sz w:val="15"/>
          <w:szCs w:val="15"/>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1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Cancer Institute of the National Institutes of Health</w:t>
      </w:r>
    </w:p>
    <w:p>
      <w:pPr>
        <w:spacing w:after="0" w:line="103"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68"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7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74" w:name="page175"/>
    <w:bookmarkEnd w:id="17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Ginkgo Bioworks Holdings,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Agreements</w:t>
      </w:r>
    </w:p>
    <w:p>
      <w:pPr>
        <w:spacing w:after="0" w:line="10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 xml:space="preserve">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w:t>
      </w:r>
      <w:r>
        <w:rPr>
          <w:rFonts w:ascii="Times New Roman" w:cs="Times New Roman" w:eastAsia="Times New Roman" w:hAnsi="Times New Roman"/>
          <w:sz w:val="16"/>
          <w:szCs w:val="16"/>
          <w:i w:val="1"/>
          <w:iCs w:val="1"/>
          <w:color w:val="auto"/>
        </w:rPr>
        <w:t>Collaborative Arrangements</w:t>
      </w:r>
      <w:r>
        <w:rPr>
          <w:rFonts w:ascii="Times New Roman" w:cs="Times New Roman" w:eastAsia="Times New Roman" w:hAnsi="Times New Roman"/>
          <w:sz w:val="16"/>
          <w:szCs w:val="16"/>
          <w:color w:val="auto"/>
        </w:rPr>
        <w:t xml:space="preserve">, or ASC 808, as the risk and rewards are not shared by both parties. The Company will expense costs related to the First Ginkgo Agreement as incurred until regulatory approval is received in accordance with ASC 730,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or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1"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June 13, 2022, the Company was notified of the achievement of the midpoint of the technical development plan under the First Ginkgo Agreement by Ginkgo. This milestone resulted in the payment of $0.5 million and issuance of 29,761 shares of the Company’s common stock then-valued at $1.0 million to Ginkgo during the year ended December 31, 2022.</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44,642 shares of the Company’s common stock then-valued at $1.5 million to Ginkgo during the year ended December 31, 2023.</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Genovis AB (publ.)</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October 2021, the Company entered into an Exclusive License Agreement, or the Genovis Agreement, with Genovis AB (publ.), or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5" w:name="page176"/>
    <w:bookmarkEnd w:id="1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71" w:lineRule="exact"/>
        <w:rPr>
          <w:sz w:val="20"/>
          <w:szCs w:val="20"/>
          <w:color w:val="auto"/>
        </w:rPr>
      </w:pPr>
    </w:p>
    <w:p>
      <w:pPr>
        <w:jc w:val="both"/>
        <w:ind w:left="800" w:right="1099"/>
        <w:spacing w:after="0" w:line="262" w:lineRule="auto"/>
        <w:rPr>
          <w:sz w:val="20"/>
          <w:szCs w:val="20"/>
          <w:color w:val="auto"/>
        </w:rPr>
      </w:pPr>
      <w:r>
        <w:rPr>
          <w:rFonts w:ascii="Times New Roman" w:cs="Times New Roman" w:eastAsia="Times New Roman" w:hAnsi="Times New Roman"/>
          <w:sz w:val="16"/>
          <w:szCs w:val="16"/>
          <w:color w:val="auto"/>
        </w:rPr>
        <w:t>In February 2023, the Company made a $4.0 million payment to Genovis as a result of the sublicense of Xork to Astellas. See Note 13 to these unaudited consolidated financial statements for further discussion on the Astellas Agreement.</w:t>
      </w:r>
    </w:p>
    <w:p>
      <w:pPr>
        <w:spacing w:after="0" w:line="62" w:lineRule="exact"/>
        <w:rPr>
          <w:sz w:val="20"/>
          <w:szCs w:val="20"/>
          <w:color w:val="auto"/>
        </w:rPr>
      </w:pPr>
    </w:p>
    <w:p>
      <w:pPr>
        <w:ind w:left="800" w:right="1359"/>
        <w:spacing w:after="0" w:line="277" w:lineRule="auto"/>
        <w:rPr>
          <w:sz w:val="20"/>
          <w:szCs w:val="20"/>
          <w:color w:val="auto"/>
        </w:rPr>
      </w:pPr>
      <w:r>
        <w:rPr>
          <w:rFonts w:ascii="Times New Roman" w:cs="Times New Roman" w:eastAsia="Times New Roman" w:hAnsi="Times New Roman"/>
          <w:sz w:val="16"/>
          <w:szCs w:val="16"/>
          <w:color w:val="auto"/>
        </w:rPr>
        <w:t>In March 2024, the Company notified Genovis of its intention to terminate the Genovis Agreement effective September 13, 2024.</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Cyrus Biotechnology,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In September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81"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On June 13, 2022, the Company and Cyrus mutually agreed that the preclinical key in-vitro success milestone had been achieved.</w:t>
      </w:r>
    </w:p>
    <w:p>
      <w:pPr>
        <w:spacing w:after="0" w:line="50"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In October 2023, the Company notified Cyrus of its termination of the Cyrus Agreement effective December 29, 2023.</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Stock Purchase Agreement</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1"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As of June 30, 2024, no impairment indicators were present and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6" w:name="page177"/>
    <w:bookmarkEnd w:id="17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Feasibility Study and License Agreement</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1"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3"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The Company and AskBio mutually agreed to the termination of the AskBio Collaboration Agreement, effective December 13, 2023.</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 collaboration expense under the AskBio Collaboration Agreement was recognized during the three and</w:t>
      </w:r>
    </w:p>
    <w:p>
      <w:pPr>
        <w:spacing w:after="0" w:line="23"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six months ended June 30, 2024. For the three and six months ended June 30, 2023, the Company recognized less than $0.1 million and $0.1 million, respectively, of collaboration expense under the AskBio Collaboration Agreement in which actual costs incurred by both parties approximate a 50% cost share.</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Shenyang Sunshine Pharmaceutical Co., Ltd</w:t>
      </w:r>
    </w:p>
    <w:p>
      <w:pPr>
        <w:spacing w:after="0" w:line="103" w:lineRule="exact"/>
        <w:rPr>
          <w:sz w:val="20"/>
          <w:szCs w:val="20"/>
          <w:color w:val="auto"/>
        </w:rPr>
      </w:pPr>
    </w:p>
    <w:p>
      <w:pPr>
        <w:ind w:left="800" w:right="1019"/>
        <w:spacing w:after="0" w:line="253" w:lineRule="auto"/>
        <w:rPr>
          <w:sz w:val="20"/>
          <w:szCs w:val="20"/>
          <w:color w:val="auto"/>
        </w:rPr>
      </w:pPr>
      <w:r>
        <w:rPr>
          <w:rFonts w:ascii="Times New Roman" w:cs="Times New Roman" w:eastAsia="Times New Roman" w:hAnsi="Times New Roman"/>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June 30, 2024.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16. Income Taxes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As of June 30, 2024,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17. Defined Contribution Plan</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less than $0.1 million and $0.1 million during the three months ended June 30, 2024 and 2023, respectively, and $0.1 million and $0.2 million during the six months ended June 30, 2024 and 2023, respectively.</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18. Commitments and Contingencies</w:t>
      </w:r>
    </w:p>
    <w:p>
      <w:pPr>
        <w:spacing w:after="0" w:line="103"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As of June 30, 2024, the Company was not a party to any litigation that could have a material adverse effect on the Company’s business, financial position, results of operations or cash flows.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7" w:name="page178"/>
    <w:bookmarkEnd w:id="1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77"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19. Restructuring</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As a result of these measures, the Company implemented a restructuring plan resulting in an approximate 89% reduction of the Company's existing headcount by July 1, 2024. The Company recognized restructuring expenses consisting of one-time cash severance payments and other employee-related costs of $6.4 million for the year ended December 31, 2023 with $5.6 million and $0.8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$2.5 million were paid as of December 31, 2023.</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2024, the Company recorded restructuring expenses consisting of one-time cash severance payments and other employee-related costs of $0.8 million, with $0.2 million and $0.6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$4.5 million were paid during the six months ended June 30, 2024. The Company expects that the payments for the restructuring plan will be substantially complete by June 30, 2024.</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accrued restructuring balance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Beginning Balance</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Ending Balance</w:t>
            </w: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6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Charges</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Payments</w:t>
            </w:r>
          </w:p>
        </w:tc>
        <w:tc>
          <w:tcPr>
            <w:tcW w:w="1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gridSpan w:val="2"/>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liability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$3,896</w:t>
            </w:r>
          </w:p>
        </w:tc>
        <w:tc>
          <w:tcPr>
            <w:tcW w:w="6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$805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04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6"/>
                <w:szCs w:val="16"/>
                <w:color w:val="auto"/>
                <w:w w:val="99"/>
              </w:rPr>
              <w:t>$174</w:t>
            </w:r>
          </w:p>
        </w:tc>
        <w:tc>
          <w:tcPr>
            <w:tcW w:w="0" w:type="dxa"/>
            <w:vAlign w:val="bottom"/>
          </w:tcPr>
          <w:p>
            <w:pPr>
              <w:spacing w:after="0"/>
              <w:rPr>
                <w:sz w:val="1"/>
                <w:szCs w:val="1"/>
                <w:color w:val="auto"/>
              </w:rPr>
            </w:pPr>
          </w:p>
        </w:tc>
      </w:tr>
      <w:tr>
        <w:trPr>
          <w:trHeight w:val="48"/>
        </w:trPr>
        <w:tc>
          <w:tcPr>
            <w:tcW w:w="39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 Subsequent Events</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On July 2, 2024, the Company entered into the July 2024 Purchase Agreement for the July 2024 Private Placement, with certain institutional and accredited investors, or the Purchasers.</w:t>
      </w:r>
    </w:p>
    <w:p>
      <w:pPr>
        <w:spacing w:after="0" w:line="5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July 2024 Purchase Agreement, the Purchasers agreed to purchase an aggregate of 3,563,247 shares of common stock and 2,937,903 shares of Series B Preferred Stock, inclusive of 2,359,500 shares of Series B Preferred Stock purchased by directors and executive officers, and related parties thereto, each at a price per share of $20.00. Each share of Series B Preferred Stock is convertible into one share of the Company’s common stock subject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8" w:name="page179"/>
    <w:bookmarkEnd w:id="17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to stockholder approval of a proposal to issue such shares of common stock upon conversion of such shares of Series B Preferred Stock in accordance with the Listing Rules of the Nasdaq Stock Market LLC, or the Series B Conversion Proposal. The July 2024 Private Placement resulted in gross proceeds of approximately $130.0 million before deducting placement agent fees and other offering expenses.</w:t>
      </w:r>
    </w:p>
    <w:p>
      <w:pPr>
        <w:spacing w:after="0" w:line="67"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Pursuant to the July 2024 Purchase Agreement, the Company has agreed to submit to its stockholders the approval of the Series B Conversion Proposal, at a special meeting of stockholders, which is to be held no later than October 31, 2024.</w:t>
      </w:r>
    </w:p>
    <w:p>
      <w:pPr>
        <w:spacing w:after="0" w:line="62" w:lineRule="exact"/>
        <w:rPr>
          <w:sz w:val="20"/>
          <w:szCs w:val="20"/>
          <w:color w:val="auto"/>
        </w:rPr>
      </w:pPr>
    </w:p>
    <w:p>
      <w:pPr>
        <w:jc w:val="both"/>
        <w:ind w:left="800" w:right="879"/>
        <w:spacing w:after="0" w:line="272" w:lineRule="auto"/>
        <w:rPr>
          <w:sz w:val="20"/>
          <w:szCs w:val="20"/>
          <w:color w:val="auto"/>
        </w:rPr>
      </w:pPr>
      <w:r>
        <w:rPr>
          <w:rFonts w:ascii="Times New Roman" w:cs="Times New Roman" w:eastAsia="Times New Roman" w:hAnsi="Times New Roman"/>
          <w:sz w:val="15"/>
          <w:szCs w:val="15"/>
          <w:color w:val="auto"/>
        </w:rPr>
        <w:t>Holders of shares of Series B Preferred Stock are entitled to receive dividends on shares of Series B Preferred Stock equal to, on an as-if-converted-to-common stock basis, and in the same form as dividends actually paid on shares of the common stock. Except as otherwise required by law, the Series B Preferred Stock does not have voting rights.</w:t>
      </w:r>
    </w:p>
    <w:p>
      <w:pPr>
        <w:spacing w:after="0" w:line="1" w:lineRule="exact"/>
        <w:rPr>
          <w:sz w:val="20"/>
          <w:szCs w:val="20"/>
          <w:color w:val="auto"/>
        </w:rPr>
      </w:pPr>
    </w:p>
    <w:p>
      <w:pPr>
        <w:ind w:left="800" w:right="919"/>
        <w:spacing w:after="0" w:line="248" w:lineRule="auto"/>
        <w:rPr>
          <w:sz w:val="20"/>
          <w:szCs w:val="20"/>
          <w:color w:val="auto"/>
        </w:rPr>
      </w:pPr>
      <w:r>
        <w:rPr>
          <w:rFonts w:ascii="Times New Roman" w:cs="Times New Roman" w:eastAsia="Times New Roman" w:hAnsi="Times New Roman"/>
          <w:sz w:val="16"/>
          <w:szCs w:val="16"/>
          <w:color w:val="auto"/>
        </w:rPr>
        <w:t>However, as long as any shares of Series B Preferred Stock are outstanding, the Company will not, without the affirmative vote of the holders of a majority of the then outstanding shares of the Series B Preferred Stock, (a) alter or change adversely the powers, preferences or rights given to the Series B Preferred Stock, (b) alter or amend the Certificate of Designation of Preferences, Rights and Limitations of the Series B Non-Voting Convertible Preferred Stock, or the Series B Certificate of Designation, or (c) amend its restated certificate of incorporation, as amended, or other charter documents in any manner that adversely affects any rights of the holders of Series B Preferred Stock. The Series B Preferred Stock does not have a preference upon any liquidation, dissolution or winding-up of the Company.</w:t>
      </w:r>
    </w:p>
    <w:p>
      <w:pPr>
        <w:spacing w:after="0" w:line="77"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Series B Conversion Proposal, each share of Series B Preferred Stock will automatically convert into one share of common stock, subject to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7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Based on the 21,382,485 shares of common stock outstanding on August 7, 2024, there would be 29,865,107 shares of common stock outstanding if all shares of Series A Preferred Stock and all shares of Series B Preferred Stock converted into common stock on such date.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9" w:name="page180"/>
    <w:bookmarkEnd w:id="17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2539" w:firstLine="1724"/>
        <w:spacing w:after="0" w:line="435"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To the Stockholders and the Board of Directors of Cartesian Therapeutics, Inc.</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Cartesian Therapeutics, Inc. and subsidiaries (the Company) as of December 31, 2023 and 2022, the related consolidated statements of operations and comprehensive income (loss), changes in convertible preferred stock and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three years in the period ended December 31, 2023, in conformity with U.S. generally accepted accounting principles.</w:t>
      </w:r>
    </w:p>
    <w:p>
      <w:pPr>
        <w:spacing w:after="0" w:line="7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7, 2024 expressed an adverse opinion thereon.</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03"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0" w:name="page181"/>
    <w:bookmarkEnd w:id="180"/>
    <w:tbl>
      <w:tblPr>
        <w:tblLayout w:type="fixed"/>
        <w:tblInd w:w="800" w:type="dxa"/>
        <w:tblCellMar>
          <w:top w:w="0" w:type="dxa"/>
          <w:left w:w="0" w:type="dxa"/>
          <w:bottom w:w="0" w:type="dxa"/>
          <w:right w:w="0" w:type="dxa"/>
        </w:tblCellMar>
      </w:tblPr>
      <w:tr>
        <w:trPr>
          <w:trHeight w:val="149"/>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5820" w:type="dxa"/>
            <w:vAlign w:val="bottom"/>
          </w:tcPr>
          <w:p>
            <w:pPr>
              <w:spacing w:after="0"/>
              <w:rPr>
                <w:sz w:val="12"/>
                <w:szCs w:val="12"/>
                <w:color w:val="auto"/>
              </w:rPr>
            </w:pPr>
          </w:p>
        </w:tc>
      </w:tr>
      <w:tr>
        <w:trPr>
          <w:trHeight w:val="396"/>
        </w:trPr>
        <w:tc>
          <w:tcPr>
            <w:tcW w:w="13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w w:val="99"/>
              </w:rPr>
              <w:t>Valuation of in-process research and development acquired in a business combination</w:t>
            </w:r>
          </w:p>
        </w:tc>
      </w:tr>
      <w:tr>
        <w:trPr>
          <w:trHeight w:val="195"/>
        </w:trPr>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Description of the</w:t>
            </w: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described in Note 3, on November 13, 2023, the Company acquired Cartesian</w:t>
            </w:r>
          </w:p>
        </w:tc>
      </w:tr>
      <w:tr>
        <w:trPr>
          <w:trHeight w:val="192"/>
        </w:trPr>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Matter</w:t>
            </w: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Therapeutics, Inc. in a stock for stock transfer, which was accounted for as a business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combination using the acquisition method of accounting. The acquired intangible assets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consisted of in-process research and development which had estimated acquisition-date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values of $150.6 million.</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Auditing the acquisition date fair value of the in-process research and development was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complex due to the significant judgment required in estimating the fair value. In</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particular, the fair value estimate required the use of valuation methodologies that were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sensitive to significant assumptions (e.g., projected revenue growth rates, including</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forecasted selling prices and unit volumes, and discount rates applied to the in-process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 which are affected by expected future market or economic</w:t>
            </w:r>
          </w:p>
        </w:tc>
      </w:tr>
      <w:tr>
        <w:trPr>
          <w:trHeight w:val="207"/>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conditions.</w:t>
            </w:r>
          </w:p>
        </w:tc>
      </w:tr>
      <w:tr>
        <w:trPr>
          <w:trHeight w:val="408"/>
        </w:trPr>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How We Addressed the</w:t>
            </w: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test the estimated fair value of the acquired in-process research and development</w:t>
            </w:r>
          </w:p>
        </w:tc>
      </w:tr>
      <w:tr>
        <w:trPr>
          <w:trHeight w:val="192"/>
        </w:trPr>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Matter in Our Audit</w:t>
            </w: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our audit procedures included, among others, assessing the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appropriateness of the valuation methodology and testing the significant assumptions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discussed above and the completeness and accuracy of the underlying data used by the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Company. For example, we evaluated the reasonableness of assumptions used to</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determine the projected revenue growth rates by comparing the forecasted assumptions to</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projected industry growth rates, and other factors considered by management in</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developing the model. We involved our valuation specialist to assist in evaluating the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valuation methodologies and discount rates used to value in-process research and</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development intangible assets. We also performed sensitivity analyses to evaluate the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the fair value of the acquired in-process research and development intangible</w:t>
            </w:r>
          </w:p>
        </w:tc>
      </w:tr>
      <w:tr>
        <w:trPr>
          <w:trHeight w:val="207"/>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that would result from changes in the significant assumptions.</w:t>
            </w:r>
          </w:p>
        </w:tc>
      </w:tr>
    </w:tbl>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We have served as the Company’s auditor since 2009.</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March 7,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81" w:name="page182"/>
    <w:bookmarkEnd w:id="18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1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280" w:type="dxa"/>
            <w:vAlign w:val="bottom"/>
          </w:tcPr>
          <w:p>
            <w:pPr>
              <w:spacing w:after="0"/>
              <w:rPr>
                <w:sz w:val="12"/>
                <w:szCs w:val="12"/>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21"/>
        </w:trPr>
        <w:tc>
          <w:tcPr>
            <w:tcW w:w="5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76,911</w:t>
            </w:r>
          </w:p>
        </w:tc>
        <w:tc>
          <w:tcPr>
            <w:tcW w:w="10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$106,438</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28,164</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5,870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6,596</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3,162</w:t>
            </w: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90,729</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148,138</w:t>
            </w:r>
          </w:p>
        </w:tc>
        <w:tc>
          <w:tcPr>
            <w:tcW w:w="80" w:type="dxa"/>
            <w:vAlign w:val="bottom"/>
          </w:tcPr>
          <w:p>
            <w:pPr>
              <w:spacing w:after="0"/>
              <w:rPr>
                <w:sz w:val="19"/>
                <w:szCs w:val="19"/>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2,794</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10,068</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11,617</w:t>
            </w:r>
          </w:p>
        </w:tc>
        <w:tc>
          <w:tcPr>
            <w:tcW w:w="8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48,163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80" w:type="dxa"/>
            <w:vAlign w:val="bottom"/>
          </w:tcPr>
          <w:p>
            <w:pPr>
              <w:spacing w:after="0"/>
              <w:rPr>
                <w:sz w:val="18"/>
                <w:szCs w:val="18"/>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2,000</w:t>
            </w: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r>
      <w:tr>
        <w:trPr>
          <w:trHeight w:val="26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305,050</w:t>
            </w:r>
          </w:p>
        </w:tc>
        <w:tc>
          <w:tcPr>
            <w:tcW w:w="10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165,886</w:t>
            </w: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 equity</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3,150</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316</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15,572</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14,084</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Loan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8,476</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2,166</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1,608</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593</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68,209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25,077</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Loan payable, net of current portion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17,786</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8,789</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10,055</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net of current portion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5,674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19,140</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 net of current portion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342,617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444,680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72,058</w:t>
            </w:r>
          </w:p>
        </w:tc>
      </w:tr>
      <w:tr>
        <w:trPr>
          <w:trHeight w:val="23"/>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$0.0001 par value; 548,375 and no shares authorized as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31, 2023 and December 31, 2022, respectively; 435,120.513 and no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296,851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 Series A Preferred Stock</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$0.0001 par value; 9,451,625 and 10,000,000 shares authorized as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December 31, 2023 and December 31, 2022, respectively; no shares issued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7"/>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outstanding as of December 31, 2023 and December 31, 2022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5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2" w:name="page183"/>
    <w:bookmarkEnd w:id="182"/>
    <w:tbl>
      <w:tblPr>
        <w:tblLayout w:type="fixed"/>
        <w:tblInd w:w="800" w:type="dxa"/>
        <w:tblCellMar>
          <w:top w:w="0" w:type="dxa"/>
          <w:left w:w="0" w:type="dxa"/>
          <w:bottom w:w="0" w:type="dxa"/>
          <w:right w:w="0" w:type="dxa"/>
        </w:tblCellMar>
      </w:tblPr>
      <w:tr>
        <w:trPr>
          <w:trHeight w:val="149"/>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December 31,</w:t>
            </w:r>
          </w:p>
        </w:tc>
        <w:tc>
          <w:tcPr>
            <w:tcW w:w="4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December 31,</w:t>
            </w:r>
          </w:p>
        </w:tc>
      </w:tr>
      <w:tr>
        <w:trPr>
          <w:trHeight w:val="167"/>
        </w:trPr>
        <w:tc>
          <w:tcPr>
            <w:tcW w:w="1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r>
      <w:tr>
        <w:trPr>
          <w:trHeight w:val="21"/>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89"/>
        </w:trPr>
        <w:tc>
          <w:tcPr>
            <w:tcW w:w="5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w:t>
            </w:r>
          </w:p>
        </w:tc>
        <w:tc>
          <w:tcPr>
            <w:tcW w:w="640" w:type="dxa"/>
            <w:vAlign w:val="bottom"/>
            <w:shd w:val="clear" w:color="auto" w:fill="CCEEFF"/>
          </w:tcPr>
          <w:p>
            <w:pPr>
              <w:spacing w:after="0"/>
              <w:rPr>
                <w:sz w:val="16"/>
                <w:szCs w:val="16"/>
                <w:color w:val="auto"/>
              </w:rPr>
            </w:pPr>
          </w:p>
        </w:tc>
        <w:tc>
          <w:tcPr>
            <w:tcW w:w="40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6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2023 and December 31, 2022; 161,927,821 and 153,042,435</w:t>
            </w:r>
          </w:p>
        </w:tc>
        <w:tc>
          <w:tcPr>
            <w:tcW w:w="640" w:type="dxa"/>
            <w:vAlign w:val="bottom"/>
            <w:shd w:val="clear" w:color="auto" w:fill="CCEEFF"/>
          </w:tcPr>
          <w:p>
            <w:pPr>
              <w:spacing w:after="0"/>
              <w:rPr>
                <w:sz w:val="16"/>
                <w:szCs w:val="16"/>
                <w:color w:val="auto"/>
              </w:rPr>
            </w:pPr>
          </w:p>
        </w:tc>
        <w:tc>
          <w:tcPr>
            <w:tcW w:w="40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6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640" w:type="dxa"/>
            <w:vAlign w:val="bottom"/>
            <w:shd w:val="clear" w:color="auto" w:fill="CCEEFF"/>
          </w:tcPr>
          <w:p>
            <w:pPr>
              <w:spacing w:after="0"/>
              <w:rPr>
                <w:sz w:val="16"/>
                <w:szCs w:val="16"/>
                <w:color w:val="auto"/>
              </w:rPr>
            </w:pPr>
          </w:p>
        </w:tc>
        <w:tc>
          <w:tcPr>
            <w:tcW w:w="40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56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shd w:val="clear" w:color="auto" w:fill="CCEEFF"/>
          </w:tcPr>
          <w:p>
            <w:pPr>
              <w:spacing w:after="0"/>
              <w:rPr>
                <w:sz w:val="18"/>
                <w:szCs w:val="18"/>
                <w:color w:val="auto"/>
              </w:rPr>
            </w:pPr>
          </w:p>
        </w:tc>
      </w:tr>
      <w:tr>
        <w:trPr>
          <w:trHeight w:val="207"/>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493,308</w:t>
            </w:r>
          </w:p>
        </w:tc>
        <w:tc>
          <w:tcPr>
            <w:tcW w:w="60" w:type="dxa"/>
            <w:vAlign w:val="bottom"/>
          </w:tcPr>
          <w:p>
            <w:pPr>
              <w:spacing w:after="0"/>
              <w:rPr>
                <w:sz w:val="18"/>
                <w:szCs w:val="18"/>
                <w:color w:val="auto"/>
              </w:rPr>
            </w:pPr>
          </w:p>
        </w:tc>
      </w:tr>
      <w:tr>
        <w:trPr>
          <w:trHeight w:val="220"/>
        </w:trPr>
        <w:tc>
          <w:tcPr>
            <w:tcW w:w="5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(614,647)</w:t>
            </w:r>
          </w:p>
        </w:tc>
        <w:tc>
          <w:tcPr>
            <w:tcW w:w="11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(394,937)</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(4,558)</w:t>
            </w:r>
          </w:p>
        </w:tc>
      </w:tr>
      <w:tr>
        <w:trPr>
          <w:trHeight w:val="21"/>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6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(440,184)</w:t>
            </w:r>
          </w:p>
        </w:tc>
        <w:tc>
          <w:tcPr>
            <w:tcW w:w="104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4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8"/>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$ 305,050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$ 165,886</w:t>
            </w:r>
          </w:p>
        </w:tc>
        <w:tc>
          <w:tcPr>
            <w:tcW w:w="6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83" w:name="page184"/>
    <w:bookmarkEnd w:id="18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26,004</w:t>
            </w:r>
          </w:p>
        </w:tc>
        <w:tc>
          <w:tcPr>
            <w:tcW w:w="5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110,777</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71,839</w:t>
            </w:r>
          </w:p>
        </w:tc>
        <w:tc>
          <w:tcPr>
            <w:tcW w:w="3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72,377</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40,581</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112,420</w:t>
            </w:r>
          </w:p>
        </w:tc>
        <w:tc>
          <w:tcPr>
            <w:tcW w:w="320" w:type="dxa"/>
            <w:vAlign w:val="bottom"/>
            <w:tcBorders>
              <w:left w:val="single" w:sz="8" w:color="CCEEFF"/>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96,239</w:t>
            </w:r>
          </w:p>
        </w:tc>
        <w:tc>
          <w:tcPr>
            <w:tcW w:w="320" w:type="dxa"/>
            <w:vAlign w:val="bottom"/>
            <w:tcBorders>
              <w:left w:val="single" w:sz="8" w:color="CCEEFF"/>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89,674</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(86,416)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3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transaction gain (loss), net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3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contingent value right liability</w:t>
            </w:r>
          </w:p>
        </w:tc>
        <w:tc>
          <w:tcPr>
            <w:tcW w:w="2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3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320" w:type="dxa"/>
            <w:vAlign w:val="bottom"/>
            <w:tcBorders>
              <w:left w:val="single" w:sz="8" w:color="CCEEFF"/>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320" w:type="dxa"/>
            <w:vAlign w:val="bottom"/>
            <w:tcBorders>
              <w:left w:val="single" w:sz="8" w:color="CCEEFF"/>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(238,710)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3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35,379</w:t>
            </w:r>
          </w:p>
        </w:tc>
        <w:tc>
          <w:tcPr>
            <w:tcW w:w="32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right w:val="single" w:sz="8" w:color="CCEEFF"/>
            </w:tcBorders>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(loss) income</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(219,752)</w:t>
            </w:r>
          </w:p>
        </w:tc>
        <w:tc>
          <w:tcPr>
            <w:tcW w:w="5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35,387</w:t>
            </w:r>
          </w:p>
        </w:tc>
        <w:tc>
          <w:tcPr>
            <w:tcW w:w="320" w:type="dxa"/>
            <w:vAlign w:val="bottom"/>
            <w:tcBorders>
              <w:lef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(25,690)</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0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3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5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11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320" w:type="dxa"/>
            <w:vAlign w:val="bottom"/>
            <w:tcBorders>
              <w:left w:val="single" w:sz="8" w:color="CCEEFF"/>
            </w:tcBorders>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114,328,798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3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114,328,798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4" w:name="page185"/>
    <w:bookmarkEnd w:id="184"/>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Options for</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gridSpan w:val="3"/>
            <w:vMerge w:val="restart"/>
          </w:tcPr>
          <w:p>
            <w:pPr>
              <w:jc w:val="center"/>
              <w:ind w:left="37"/>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right w:val="single" w:sz="8" w:color="auto"/>
            </w:tcBorders>
            <w:gridSpan w:val="3"/>
            <w:vMerge w:val="restart"/>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right w:val="single" w:sz="8" w:color="auto"/>
            </w:tcBorders>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1"/>
              </w:rPr>
              <w:t>Additional</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5"/>
                <w:szCs w:val="5"/>
                <w:color w:val="auto"/>
              </w:rPr>
            </w:pPr>
          </w:p>
        </w:tc>
        <w:tc>
          <w:tcPr>
            <w:tcW w:w="740" w:type="dxa"/>
            <w:vAlign w:val="bottom"/>
            <w:gridSpan w:val="3"/>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71"/>
        </w:trPr>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Pr>
          <w:p>
            <w:pPr>
              <w:spacing w:after="0"/>
              <w:rPr>
                <w:sz w:val="6"/>
                <w:szCs w:val="6"/>
                <w:color w:val="auto"/>
              </w:rPr>
            </w:pPr>
          </w:p>
        </w:tc>
        <w:tc>
          <w:tcPr>
            <w:tcW w:w="960" w:type="dxa"/>
            <w:vAlign w:val="bottom"/>
            <w:tcBorders>
              <w:right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1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right w:val="single" w:sz="8" w:color="auto"/>
            </w:tcBorders>
            <w:gridSpan w:val="3"/>
            <w:vMerge w:val="continue"/>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8"/>
                <w:szCs w:val="8"/>
                <w:color w:val="auto"/>
              </w:rPr>
            </w:pPr>
          </w:p>
        </w:tc>
        <w:tc>
          <w:tcPr>
            <w:tcW w:w="720" w:type="dxa"/>
            <w:vAlign w:val="bottom"/>
            <w:gridSpan w:val="3"/>
            <w:vMerge w:val="restart"/>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8"/>
                <w:szCs w:val="8"/>
                <w:color w:val="auto"/>
              </w:rPr>
            </w:pPr>
          </w:p>
        </w:tc>
        <w:tc>
          <w:tcPr>
            <w:tcW w:w="800" w:type="dxa"/>
            <w:vAlign w:val="bottom"/>
            <w:gridSpan w:val="3"/>
            <w:vMerge w:val="restart"/>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8"/>
                <w:szCs w:val="8"/>
                <w:color w:val="auto"/>
              </w:rPr>
            </w:pPr>
          </w:p>
        </w:tc>
        <w:tc>
          <w:tcPr>
            <w:tcW w:w="740" w:type="dxa"/>
            <w:vAlign w:val="bottom"/>
            <w:gridSpan w:val="3"/>
            <w:vMerge w:val="restart"/>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3"/>
                <w:szCs w:val="13"/>
                <w:color w:val="auto"/>
              </w:rPr>
            </w:pPr>
          </w:p>
        </w:tc>
        <w:tc>
          <w:tcPr>
            <w:tcW w:w="960" w:type="dxa"/>
            <w:vAlign w:val="bottom"/>
            <w:tcBorders>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Balance at December 31,</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60" w:type="dxa"/>
            <w:vAlign w:val="bottom"/>
            <w:tcBorders>
              <w:right w:val="single" w:sz="8" w:color="auto"/>
            </w:tcBorders>
            <w:gridSpan w:val="3"/>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108,071,249</w:t>
            </w:r>
          </w:p>
        </w:tc>
        <w:tc>
          <w:tcPr>
            <w:tcW w:w="44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$391,175</w:t>
            </w:r>
          </w:p>
        </w:tc>
        <w:tc>
          <w:tcPr>
            <w:tcW w:w="880" w:type="dxa"/>
            <w:vAlign w:val="bottom"/>
            <w:tcBorders>
              <w:left w:val="single" w:sz="8" w:color="CCEEFF"/>
            </w:tcBorders>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$(404,629)</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$(4,563)</w:t>
            </w:r>
          </w:p>
        </w:tc>
        <w:tc>
          <w:tcPr>
            <w:tcW w:w="8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$(18,006)</w:t>
            </w:r>
          </w:p>
        </w:tc>
        <w:tc>
          <w:tcPr>
            <w:tcW w:w="0" w:type="dxa"/>
            <w:vAlign w:val="bottom"/>
          </w:tcPr>
          <w:p>
            <w:pPr>
              <w:spacing w:after="0"/>
              <w:rPr>
                <w:sz w:val="1"/>
                <w:szCs w:val="1"/>
                <w:color w:val="auto"/>
              </w:rPr>
            </w:pPr>
          </w:p>
        </w:tc>
      </w:tr>
      <w:tr>
        <w:trPr>
          <w:trHeight w:val="174"/>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shd w:val="clear" w:color="auto" w:fill="CCEEFF"/>
          </w:tcPr>
          <w:p>
            <w:pPr>
              <w:spacing w:after="0"/>
              <w:rPr>
                <w:sz w:val="15"/>
                <w:szCs w:val="15"/>
                <w:color w:val="auto"/>
              </w:rPr>
            </w:pPr>
          </w:p>
        </w:tc>
        <w:tc>
          <w:tcPr>
            <w:tcW w:w="860" w:type="dxa"/>
            <w:vAlign w:val="bottom"/>
            <w:gridSpan w:val="4"/>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right w:val="single" w:sz="8" w:color="auto"/>
            </w:tcBorders>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tcBorders>
              <w:left w:val="single" w:sz="8" w:color="CCEEFF"/>
              <w:right w:val="single" w:sz="8" w:color="CCEEFF"/>
            </w:tcBorders>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80" w:type="dxa"/>
            <w:vAlign w:val="bottom"/>
            <w:tcBorders>
              <w:left w:val="single" w:sz="8" w:color="CCEEFF"/>
            </w:tcBorders>
            <w:gridSpan w:val="4"/>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58,794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447,492</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778</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upon exercise of options</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vested restricted</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201,250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through at-the-market</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13,767,511</w:t>
            </w:r>
          </w:p>
        </w:tc>
        <w:tc>
          <w:tcPr>
            <w:tcW w:w="44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51,933</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51,934</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offering, net</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tcBorders>
              <w:left w:val="single" w:sz="8" w:color="CCEEFF"/>
              <w:right w:val="single" w:sz="8" w:color="CCEEFF"/>
            </w:tcBorders>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1,076,669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5,624</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upon exercise of warrants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7,720</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Currency translation</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8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Unrealized loss on</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(25,687)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(25,687)</w:t>
            </w:r>
          </w:p>
        </w:tc>
        <w:tc>
          <w:tcPr>
            <w:tcW w:w="0" w:type="dxa"/>
            <w:vAlign w:val="bottom"/>
          </w:tcPr>
          <w:p>
            <w:pPr>
              <w:spacing w:after="0"/>
              <w:rPr>
                <w:sz w:val="1"/>
                <w:szCs w:val="1"/>
                <w:color w:val="auto"/>
              </w:rPr>
            </w:pPr>
          </w:p>
        </w:tc>
      </w:tr>
      <w:tr>
        <w:trPr>
          <w:trHeight w:val="20"/>
        </w:trPr>
        <w:tc>
          <w:tcPr>
            <w:tcW w:w="1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gridSpan w:val="2"/>
            <w:vMerge w:val="continue"/>
            <w:shd w:val="clear" w:color="auto" w:fill="CCEEFF"/>
          </w:tcPr>
          <w:p>
            <w:pPr>
              <w:spacing w:after="0"/>
              <w:rPr>
                <w:sz w:val="11"/>
                <w:szCs w:val="11"/>
                <w:color w:val="auto"/>
              </w:rPr>
            </w:pP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tcBorders>
              <w:right w:val="single" w:sz="8" w:color="auto"/>
            </w:tcBorders>
            <w:gridSpan w:val="3"/>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123,622,965</w:t>
            </w:r>
          </w:p>
        </w:tc>
        <w:tc>
          <w:tcPr>
            <w:tcW w:w="44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457,391</w:t>
            </w:r>
          </w:p>
        </w:tc>
        <w:tc>
          <w:tcPr>
            <w:tcW w:w="880" w:type="dxa"/>
            <w:vAlign w:val="bottom"/>
            <w:tcBorders>
              <w:left w:val="single" w:sz="8" w:color="CCEEFF"/>
            </w:tcBorders>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(430,316)</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(4,566)</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$ 22,521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spacing w:after="0"/>
              <w:rPr>
                <w:sz w:val="17"/>
                <w:szCs w:val="17"/>
                <w:color w:val="auto"/>
              </w:rPr>
            </w:pPr>
          </w:p>
        </w:tc>
        <w:tc>
          <w:tcPr>
            <w:tcW w:w="860" w:type="dxa"/>
            <w:vAlign w:val="bottom"/>
            <w:gridSpan w:val="4"/>
            <w:vMerge w:val="continue"/>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3"/>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40" w:type="dxa"/>
            <w:vAlign w:val="bottom"/>
            <w:tcBorders>
              <w:left w:val="single" w:sz="8" w:color="CCEEFF"/>
              <w:right w:val="single" w:sz="8" w:color="CCEEFF"/>
            </w:tcBorders>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80" w:type="dxa"/>
            <w:vAlign w:val="bottom"/>
            <w:tcBorders>
              <w:left w:val="single" w:sz="8" w:color="CCEEFF"/>
            </w:tcBorders>
            <w:gridSpan w:val="4"/>
            <w:vMerge w:val="continue"/>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580" w:type="dxa"/>
            <w:vAlign w:val="bottom"/>
            <w:tcBorders>
              <w:top w:val="single" w:sz="8" w:color="CCEEFF"/>
            </w:tcBorders>
            <w:gridSpan w:val="2"/>
          </w:tcPr>
          <w:p>
            <w:pPr>
              <w:spacing w:after="0" w:line="146" w:lineRule="exact"/>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CCEEFF"/>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120,877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71,190</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upon exercise of options</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vested restricted</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131,430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through at-the-market</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774,544</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2,121</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offering, net</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27,428,572</w:t>
            </w: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21,477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21,480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and common warrants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892,857</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license agreement</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Reclassification of warrant</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780</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liabilities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Currency translation</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18</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Unrealized loss on</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w:t>
            </w:r>
          </w:p>
        </w:tc>
        <w:tc>
          <w:tcPr>
            <w:tcW w:w="8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tcBorders>
              <w:right w:val="single" w:sz="8" w:color="auto"/>
            </w:tcBorders>
            <w:gridSpan w:val="3"/>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153,042,435</w:t>
            </w:r>
          </w:p>
        </w:tc>
        <w:tc>
          <w:tcPr>
            <w:tcW w:w="44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493,308</w:t>
            </w:r>
          </w:p>
        </w:tc>
        <w:tc>
          <w:tcPr>
            <w:tcW w:w="880" w:type="dxa"/>
            <w:vAlign w:val="bottom"/>
            <w:tcBorders>
              <w:left w:val="single" w:sz="8" w:color="CCEEFF"/>
            </w:tcBorders>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(394,937)</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(4,558)</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$ 93,828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CEEFF"/>
          </w:tcPr>
          <w:p>
            <w:pPr>
              <w:spacing w:after="0"/>
              <w:rPr>
                <w:sz w:val="15"/>
                <w:szCs w:val="15"/>
                <w:color w:val="auto"/>
              </w:rPr>
            </w:pPr>
          </w:p>
        </w:tc>
        <w:tc>
          <w:tcPr>
            <w:tcW w:w="860" w:type="dxa"/>
            <w:vAlign w:val="bottom"/>
            <w:gridSpan w:val="4"/>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right w:val="single" w:sz="8" w:color="auto"/>
            </w:tcBorders>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tcBorders>
              <w:left w:val="single" w:sz="8" w:color="CCEEFF"/>
              <w:right w:val="single" w:sz="8" w:color="CCEEFF"/>
            </w:tcBorders>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80" w:type="dxa"/>
            <w:vAlign w:val="bottom"/>
            <w:tcBorders>
              <w:left w:val="single" w:sz="8" w:color="CCEEFF"/>
            </w:tcBorders>
            <w:gridSpan w:val="4"/>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5" w:name="page186"/>
    <w:bookmarkEnd w:id="185"/>
    <w:tbl>
      <w:tblPr>
        <w:tblLayout w:type="fixed"/>
        <w:tblInd w:w="320" w:type="dxa"/>
        <w:tblCellMar>
          <w:top w:w="0" w:type="dxa"/>
          <w:left w:w="0" w:type="dxa"/>
          <w:bottom w:w="0" w:type="dxa"/>
          <w:right w:w="0" w:type="dxa"/>
        </w:tblCellMar>
      </w:tblPr>
      <w:tr>
        <w:trPr>
          <w:trHeight w:val="149"/>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360" w:type="dxa"/>
            <w:vAlign w:val="bottom"/>
            <w:tcBorders>
              <w:top w:val="single" w:sz="8" w:color="0000EE"/>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Options for</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5"/>
            <w:vMerge w:val="restart"/>
          </w:tcPr>
          <w:p>
            <w:pPr>
              <w:jc w:val="right"/>
              <w:ind w:right="460"/>
              <w:spacing w:after="0" w:line="131"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100" w:type="dxa"/>
            <w:vAlign w:val="bottom"/>
          </w:tcPr>
          <w:p>
            <w:pPr>
              <w:spacing w:after="0"/>
              <w:rPr>
                <w:sz w:val="6"/>
                <w:szCs w:val="6"/>
                <w:color w:val="auto"/>
              </w:rPr>
            </w:pPr>
          </w:p>
        </w:tc>
        <w:tc>
          <w:tcPr>
            <w:tcW w:w="900" w:type="dxa"/>
            <w:vAlign w:val="bottom"/>
            <w:gridSpan w:val="3"/>
            <w:vMerge w:val="restart"/>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40" w:type="dxa"/>
            <w:vAlign w:val="bottom"/>
            <w:tcBorders>
              <w:left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40" w:type="dxa"/>
            <w:vAlign w:val="bottom"/>
            <w:tcBorders>
              <w:left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3"/>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5"/>
                <w:szCs w:val="5"/>
                <w:color w:val="auto"/>
              </w:rPr>
            </w:pPr>
          </w:p>
        </w:tc>
        <w:tc>
          <w:tcPr>
            <w:tcW w:w="740" w:type="dxa"/>
            <w:vAlign w:val="bottom"/>
            <w:gridSpan w:val="3"/>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71"/>
        </w:trPr>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tcPr>
          <w:p>
            <w:pPr>
              <w:spacing w:after="0"/>
              <w:rPr>
                <w:sz w:val="6"/>
                <w:szCs w:val="6"/>
                <w:color w:val="auto"/>
              </w:rPr>
            </w:pPr>
          </w:p>
        </w:tc>
        <w:tc>
          <w:tcPr>
            <w:tcW w:w="9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40" w:type="dxa"/>
            <w:vAlign w:val="bottom"/>
            <w:tcBorders>
              <w:left w:val="single" w:sz="8" w:color="auto"/>
            </w:tcBorders>
          </w:tcPr>
          <w:p>
            <w:pPr>
              <w:spacing w:after="0"/>
              <w:rPr>
                <w:sz w:val="6"/>
                <w:szCs w:val="6"/>
                <w:color w:val="auto"/>
              </w:rPr>
            </w:pPr>
          </w:p>
        </w:tc>
        <w:tc>
          <w:tcPr>
            <w:tcW w:w="12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40" w:type="dxa"/>
            <w:vAlign w:val="bottom"/>
            <w:tcBorders>
              <w:left w:val="single" w:sz="8" w:color="auto"/>
            </w:tcBorders>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vMerge w:val="restart"/>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8"/>
                <w:szCs w:val="8"/>
                <w:color w:val="auto"/>
              </w:rPr>
            </w:pPr>
          </w:p>
        </w:tc>
        <w:tc>
          <w:tcPr>
            <w:tcW w:w="720" w:type="dxa"/>
            <w:vAlign w:val="bottom"/>
            <w:gridSpan w:val="3"/>
            <w:vMerge w:val="restart"/>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8"/>
                <w:szCs w:val="8"/>
                <w:color w:val="auto"/>
              </w:rPr>
            </w:pPr>
          </w:p>
        </w:tc>
        <w:tc>
          <w:tcPr>
            <w:tcW w:w="800" w:type="dxa"/>
            <w:vAlign w:val="bottom"/>
            <w:gridSpan w:val="3"/>
            <w:vMerge w:val="restart"/>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restart"/>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Borders>
              <w:left w:val="single" w:sz="8" w:color="auto"/>
            </w:tcBorders>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40" w:type="dxa"/>
            <w:vAlign w:val="bottom"/>
            <w:tcBorders>
              <w:left w:val="single" w:sz="8" w:color="auto"/>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 private</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619.627</w:t>
            </w:r>
          </w:p>
        </w:tc>
        <w:tc>
          <w:tcPr>
            <w:tcW w:w="80" w:type="dxa"/>
            <w:vAlign w:val="bottom"/>
            <w:tcBorders>
              <w:left w:val="single" w:sz="8" w:color="CCEEFF"/>
            </w:tcBorders>
            <w:shd w:val="clear" w:color="auto" w:fill="CCEEFF"/>
          </w:tcPr>
          <w:p>
            <w:pPr>
              <w:spacing w:after="0"/>
              <w:rPr>
                <w:sz w:val="11"/>
                <w:szCs w:val="11"/>
                <w:color w:val="auto"/>
              </w:rPr>
            </w:pPr>
          </w:p>
        </w:tc>
        <w:tc>
          <w:tcPr>
            <w:tcW w:w="5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w:t>
            </w:r>
          </w:p>
        </w:tc>
        <w:tc>
          <w:tcPr>
            <w:tcW w:w="680" w:type="dxa"/>
            <w:vAlign w:val="bottom"/>
            <w:gridSpan w:val="2"/>
            <w:vMerge w:val="continue"/>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5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connection with the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Merger and settlement of</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384,930.724</w:t>
            </w:r>
          </w:p>
        </w:tc>
        <w:tc>
          <w:tcPr>
            <w:tcW w:w="80" w:type="dxa"/>
            <w:vAlign w:val="bottom"/>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261,753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related forward contract</w:t>
            </w: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connection with private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placement and settlement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of related forward</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49,570.162</w:t>
            </w:r>
          </w:p>
        </w:tc>
        <w:tc>
          <w:tcPr>
            <w:tcW w:w="80" w:type="dxa"/>
            <w:vAlign w:val="bottom"/>
            <w:tcBorders>
              <w:left w:val="single" w:sz="8" w:color="CCEEFF"/>
            </w:tcBorders>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contract</w:t>
            </w:r>
          </w:p>
        </w:tc>
        <w:tc>
          <w:tcPr>
            <w:tcW w:w="680" w:type="dxa"/>
            <w:vAlign w:val="bottom"/>
            <w:gridSpan w:val="2"/>
            <w:vMerge w:val="continue"/>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186,044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tcBorders>
              <w:lef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vested restricted</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636,418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680" w:type="dxa"/>
            <w:vAlign w:val="bottom"/>
            <w:tcBorders>
              <w:left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forward in connection</w:t>
            </w:r>
          </w:p>
        </w:tc>
        <w:tc>
          <w:tcPr>
            <w:tcW w:w="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with the Merger</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in connection with the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Merger and settlement of</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6,723,639</w:t>
            </w:r>
          </w:p>
        </w:tc>
        <w:tc>
          <w:tcPr>
            <w:tcW w:w="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left w:val="single" w:sz="8" w:color="CCEEFF"/>
            </w:tcBorders>
            <w:shd w:val="clear" w:color="auto" w:fill="CCEEFF"/>
          </w:tcPr>
          <w:p>
            <w:pPr>
              <w:spacing w:after="0"/>
              <w:rPr>
                <w:sz w:val="11"/>
                <w:szCs w:val="11"/>
                <w:color w:val="auto"/>
              </w:rPr>
            </w:pPr>
          </w:p>
        </w:tc>
        <w:tc>
          <w:tcPr>
            <w:tcW w:w="6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related forward contract</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680" w:type="dxa"/>
            <w:vAlign w:val="bottom"/>
            <w:tcBorders>
              <w:left w:val="single" w:sz="8" w:color="auto"/>
            </w:tcBorders>
            <w:gridSpan w:val="2"/>
            <w:vMerge w:val="continue"/>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4"/>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replacement</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6,801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6,801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options in Merger</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1,339,285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license agreement</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680" w:type="dxa"/>
            <w:vAlign w:val="bottom"/>
            <w:tcBorders>
              <w:left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680" w:type="dxa"/>
            <w:vAlign w:val="bottom"/>
            <w:gridSpan w:val="4"/>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Settlement of outstanding</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(6,169)</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equity awards at Merger</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Distribution of contingent</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(340,300)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(340,300)</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value rights</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680" w:type="dxa"/>
            <w:vAlign w:val="bottom"/>
            <w:gridSpan w:val="4"/>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20,964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Currency translation</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w:t>
            </w:r>
          </w:p>
        </w:tc>
        <w:tc>
          <w:tcPr>
            <w:tcW w:w="84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Unrealized gain on</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tcPr>
          <w:p>
            <w:pPr>
              <w:spacing w:after="0"/>
              <w:rPr>
                <w:sz w:val="10"/>
                <w:szCs w:val="10"/>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(219,710)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(219,710)</w:t>
            </w: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auto"/>
              </w:rPr>
              <w:t>Balance at December 31,</w:t>
            </w: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580" w:type="dxa"/>
            <w:vAlign w:val="bottom"/>
            <w:gridSpan w:val="2"/>
            <w:vMerge w:val="continue"/>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435,120.</w:t>
            </w:r>
            <w:r>
              <w:rPr>
                <w:rFonts w:ascii="Times New Roman" w:cs="Times New Roman" w:eastAsia="Times New Roman" w:hAnsi="Times New Roman"/>
                <w:sz w:val="13"/>
                <w:szCs w:val="13"/>
                <w:u w:val="single" w:color="auto"/>
                <w:color w:val="auto"/>
              </w:rPr>
              <w:t>513</w:t>
            </w:r>
          </w:p>
        </w:tc>
        <w:tc>
          <w:tcPr>
            <w:tcW w:w="80" w:type="dxa"/>
            <w:vAlign w:val="bottom"/>
          </w:tcPr>
          <w:p>
            <w:pPr>
              <w:spacing w:after="0"/>
              <w:rPr>
                <w:sz w:val="10"/>
                <w:szCs w:val="10"/>
                <w:color w:val="auto"/>
              </w:rPr>
            </w:pPr>
          </w:p>
        </w:tc>
        <w:tc>
          <w:tcPr>
            <w:tcW w:w="5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296,851</w:t>
            </w:r>
          </w:p>
        </w:tc>
        <w:tc>
          <w:tcPr>
            <w:tcW w:w="10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3,703</w:t>
            </w:r>
          </w:p>
        </w:tc>
        <w:tc>
          <w:tcPr>
            <w:tcW w:w="68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161,927,821</w:t>
            </w: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w:t>
            </w:r>
          </w:p>
        </w:tc>
        <w:tc>
          <w:tcPr>
            <w:tcW w:w="160" w:type="dxa"/>
            <w:vAlign w:val="bottom"/>
          </w:tcPr>
          <w:p>
            <w:pPr>
              <w:spacing w:after="0"/>
              <w:rPr>
                <w:sz w:val="10"/>
                <w:szCs w:val="10"/>
                <w:color w:val="auto"/>
              </w:rPr>
            </w:pP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$ 179,047</w:t>
            </w:r>
          </w:p>
        </w:tc>
        <w:tc>
          <w:tcPr>
            <w:tcW w:w="8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(614,647)</w:t>
            </w: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(4,600)</w:t>
            </w:r>
          </w:p>
        </w:tc>
        <w:tc>
          <w:tcPr>
            <w:tcW w:w="8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(440,184)</w:t>
            </w:r>
          </w:p>
        </w:tc>
        <w:tc>
          <w:tcPr>
            <w:tcW w:w="0" w:type="dxa"/>
            <w:vAlign w:val="bottom"/>
          </w:tcPr>
          <w:p>
            <w:pPr>
              <w:spacing w:after="0"/>
              <w:rPr>
                <w:sz w:val="1"/>
                <w:szCs w:val="1"/>
                <w:color w:val="auto"/>
              </w:rPr>
            </w:pPr>
          </w:p>
        </w:tc>
      </w:tr>
      <w:tr>
        <w:trPr>
          <w:trHeight w:val="182"/>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680" w:type="dxa"/>
            <w:vAlign w:val="bottom"/>
            <w:tcBorders>
              <w:left w:val="single" w:sz="8" w:color="auto"/>
            </w:tcBorders>
            <w:gridSpan w:val="2"/>
            <w:vMerge w:val="continue"/>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86" w:name="page187"/>
    <w:bookmarkEnd w:id="186"/>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7"/>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2022</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r>
      <w:tr>
        <w:trPr>
          <w:trHeight w:val="21"/>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7"/>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(Amounts in thousands)</w:t>
            </w:r>
          </w:p>
        </w:tc>
      </w:tr>
      <w:tr>
        <w:trPr>
          <w:trHeight w:val="21"/>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(25,687)</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60" w:type="dxa"/>
            <w:vAlign w:val="bottom"/>
          </w:tcPr>
          <w:p>
            <w:pPr>
              <w:spacing w:after="0"/>
              <w:rPr>
                <w:sz w:val="18"/>
                <w:szCs w:val="18"/>
                <w:color w:val="auto"/>
              </w:rPr>
            </w:pP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60" w:type="dxa"/>
            <w:vAlign w:val="bottom"/>
          </w:tcPr>
          <w:p>
            <w:pPr>
              <w:spacing w:after="0"/>
              <w:rPr>
                <w:sz w:val="18"/>
                <w:szCs w:val="18"/>
                <w:color w:val="auto"/>
              </w:rPr>
            </w:pP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Impairment of Right of use asset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22,524</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11,194</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w:t>
            </w: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60" w:type="dxa"/>
            <w:vAlign w:val="bottom"/>
          </w:tcPr>
          <w:p>
            <w:pPr>
              <w:spacing w:after="0"/>
              <w:rPr>
                <w:sz w:val="18"/>
                <w:szCs w:val="18"/>
                <w:color w:val="auto"/>
              </w:rPr>
            </w:pP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 revaluation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(12,746)</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(20,882)</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 revaluation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 revaluation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149,600</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10"/>
        </w:trPr>
        <w:tc>
          <w:tcPr>
            <w:tcW w:w="5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Unbilled receivable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deposits and 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10"/>
        </w:trPr>
        <w:tc>
          <w:tcPr>
            <w:tcW w:w="5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7"/>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(64,707)</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(45,496)</w:t>
            </w:r>
          </w:p>
        </w:tc>
      </w:tr>
      <w:tr>
        <w:trPr>
          <w:trHeight w:val="220"/>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60" w:type="dxa"/>
            <w:vAlign w:val="bottom"/>
            <w:shd w:val="clear" w:color="auto" w:fill="CCEEFF"/>
          </w:tcPr>
          <w:p>
            <w:pPr>
              <w:spacing w:after="0"/>
              <w:rPr>
                <w:sz w:val="19"/>
                <w:szCs w:val="19"/>
                <w:color w:val="auto"/>
              </w:rPr>
            </w:pPr>
          </w:p>
        </w:tc>
      </w:tr>
      <w:tr>
        <w:trPr>
          <w:trHeight w:val="21"/>
        </w:trPr>
        <w:tc>
          <w:tcPr>
            <w:tcW w:w="5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6"/>
        </w:trPr>
        <w:tc>
          <w:tcPr>
            <w:tcW w:w="5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(31,631)</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(60,382)</w:t>
            </w:r>
          </w:p>
        </w:tc>
      </w:tr>
      <w:tr>
        <w:trPr>
          <w:trHeight w:val="2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Cash assumed in acquisition of Old Cartesian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60" w:type="dxa"/>
            <w:vAlign w:val="bottom"/>
            <w:shd w:val="clear" w:color="auto" w:fill="CCEEFF"/>
          </w:tcPr>
          <w:p>
            <w:pPr>
              <w:spacing w:after="0"/>
              <w:rPr>
                <w:sz w:val="19"/>
                <w:szCs w:val="19"/>
                <w:color w:val="auto"/>
              </w:rPr>
            </w:pP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Payment made for 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(33,501)</w:t>
            </w:r>
          </w:p>
        </w:tc>
        <w:tc>
          <w:tcPr>
            <w:tcW w:w="98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(30,455)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21"/>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5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34,609</w:t>
            </w:r>
          </w:p>
        </w:tc>
        <w:tc>
          <w:tcPr>
            <w:tcW w:w="32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(15,002)</w:t>
            </w:r>
          </w:p>
        </w:tc>
        <w:tc>
          <w:tcPr>
            <w:tcW w:w="980" w:type="dxa"/>
            <w:vAlign w:val="bottom"/>
            <w:tcBorders>
              <w:left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(17,140)</w:t>
            </w:r>
          </w:p>
        </w:tc>
      </w:tr>
      <w:tr>
        <w:trPr>
          <w:trHeight w:val="218"/>
        </w:trPr>
        <w:tc>
          <w:tcPr>
            <w:tcW w:w="5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2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Series A Preferred Stock, gross in private placement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principal, final payment fee, and prepayment penalty on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amendment fee included in debt discount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340" w:type="dxa"/>
            <w:vAlign w:val="bottom"/>
            <w:tcBorders>
              <w:lef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common stock- at-the-market offering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51,958</w:t>
            </w:r>
          </w:p>
        </w:tc>
        <w:tc>
          <w:tcPr>
            <w:tcW w:w="60" w:type="dxa"/>
            <w:vAlign w:val="bottom"/>
          </w:tcPr>
          <w:p>
            <w:pPr>
              <w:spacing w:after="0"/>
              <w:rPr>
                <w:sz w:val="18"/>
                <w:szCs w:val="18"/>
                <w:color w:val="auto"/>
              </w:rPr>
            </w:pP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issuance of common stock and common warrants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36,859</w:t>
            </w:r>
          </w:p>
        </w:tc>
        <w:tc>
          <w:tcPr>
            <w:tcW w:w="340" w:type="dxa"/>
            <w:vAlign w:val="bottom"/>
            <w:tcBorders>
              <w:lef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outstanding equity awards at Merger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60" w:type="dxa"/>
            <w:vAlign w:val="bottom"/>
            <w:shd w:val="clear" w:color="auto" w:fill="CCEEFF"/>
          </w:tcPr>
          <w:p>
            <w:pPr>
              <w:spacing w:after="0"/>
              <w:rPr>
                <w:sz w:val="19"/>
                <w:szCs w:val="19"/>
                <w:color w:val="auto"/>
              </w:rPr>
            </w:pPr>
          </w:p>
        </w:tc>
      </w:t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60" w:type="dxa"/>
            <w:vAlign w:val="bottom"/>
          </w:tcPr>
          <w:p>
            <w:pPr>
              <w:spacing w:after="0"/>
              <w:rPr>
                <w:sz w:val="18"/>
                <w:szCs w:val="18"/>
                <w:color w:val="auto"/>
              </w:rPr>
            </w:pPr>
          </w:p>
        </w:tc>
      </w:tr>
      <w:tr>
        <w:trPr>
          <w:trHeight w:val="229"/>
        </w:trPr>
        <w:tc>
          <w:tcPr>
            <w:tcW w:w="5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32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39,215</w:t>
            </w:r>
          </w:p>
        </w:tc>
        <w:tc>
          <w:tcPr>
            <w:tcW w:w="92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98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(24,628)</w:t>
            </w:r>
          </w:p>
        </w:tc>
      </w:t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108,038</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115,436</w:t>
            </w:r>
          </w:p>
        </w:tc>
        <w:tc>
          <w:tcPr>
            <w:tcW w:w="3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140,064</w:t>
            </w:r>
          </w:p>
        </w:tc>
        <w:tc>
          <w:tcPr>
            <w:tcW w:w="60" w:type="dxa"/>
            <w:vAlign w:val="bottom"/>
          </w:tcPr>
          <w:p>
            <w:pPr>
              <w:spacing w:after="0"/>
              <w:rPr>
                <w:sz w:val="18"/>
                <w:szCs w:val="18"/>
                <w:color w:val="auto"/>
              </w:rPr>
            </w:pPr>
          </w:p>
        </w:tc>
      </w:tr>
      <w:tr>
        <w:trPr>
          <w:trHeight w:val="24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78,288</w:t>
            </w:r>
          </w:p>
        </w:tc>
        <w:tc>
          <w:tcPr>
            <w:tcW w:w="9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108,038</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115,436</w:t>
            </w:r>
          </w:p>
        </w:tc>
        <w:tc>
          <w:tcPr>
            <w:tcW w:w="60" w:type="dxa"/>
            <w:vAlign w:val="bottom"/>
            <w:shd w:val="clear" w:color="auto" w:fill="CCEEFF"/>
          </w:tcPr>
          <w:p>
            <w:pPr>
              <w:spacing w:after="0"/>
              <w:rPr>
                <w:sz w:val="21"/>
                <w:szCs w:val="21"/>
                <w:color w:val="auto"/>
              </w:rPr>
            </w:pPr>
          </w:p>
        </w:tc>
      </w:tr>
      <w:tr>
        <w:trPr>
          <w:trHeight w:val="20"/>
        </w:trPr>
        <w:tc>
          <w:tcPr>
            <w:tcW w:w="5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7" w:name="page188"/>
    <w:bookmarkEnd w:id="187"/>
    <w:tbl>
      <w:tblPr>
        <w:tblLayout w:type="fixed"/>
        <w:tblInd w:w="320" w:type="dxa"/>
        <w:tblCellMar>
          <w:top w:w="0" w:type="dxa"/>
          <w:left w:w="0" w:type="dxa"/>
          <w:bottom w:w="0" w:type="dxa"/>
          <w:right w:w="0" w:type="dxa"/>
        </w:tblCellMar>
      </w:tblPr>
      <w:tr>
        <w:trPr>
          <w:trHeight w:val="149"/>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8"/>
          </w:tcPr>
          <w:p>
            <w:pPr>
              <w:jc w:val="center"/>
              <w:ind w:left="187"/>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440" w:type="dxa"/>
            <w:vAlign w:val="bottom"/>
          </w:tcPr>
          <w:p>
            <w:pPr>
              <w:spacing w:after="0"/>
              <w:rPr>
                <w:sz w:val="24"/>
                <w:szCs w:val="24"/>
                <w:color w:val="auto"/>
              </w:rPr>
            </w:pPr>
          </w:p>
        </w:tc>
      </w:tr>
      <w:tr>
        <w:trPr>
          <w:trHeight w:val="21"/>
        </w:trPr>
        <w:tc>
          <w:tcPr>
            <w:tcW w:w="1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21"/>
        </w:trPr>
        <w:tc>
          <w:tcPr>
            <w:tcW w:w="1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(Amounts in thousands)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 cash flow information</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9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$2,248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$2,002</w:t>
            </w:r>
          </w:p>
        </w:tc>
      </w:tr>
      <w:tr>
        <w:trPr>
          <w:trHeight w:val="22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license agreement in stock-based compensation expense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9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Cashless warrant exercise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$5,624</w:t>
            </w: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Reclassification of warrant liability to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780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not yet paid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5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224</w:t>
            </w:r>
          </w:p>
        </w:tc>
      </w:tr>
      <w:tr>
        <w:trPr>
          <w:trHeight w:val="48"/>
        </w:trPr>
        <w:tc>
          <w:tcPr>
            <w:tcW w:w="1360" w:type="dxa"/>
            <w:vAlign w:val="bottom"/>
            <w:shd w:val="clear" w:color="auto" w:fill="CCEEFF"/>
          </w:tcPr>
          <w:p>
            <w:pPr>
              <w:spacing w:after="0"/>
              <w:rPr>
                <w:sz w:val="4"/>
                <w:szCs w:val="4"/>
                <w:color w:val="auto"/>
              </w:rPr>
            </w:pPr>
          </w:p>
        </w:tc>
        <w:tc>
          <w:tcPr>
            <w:tcW w:w="4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88" w:name="page189"/>
    <w:bookmarkEnd w:id="18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3" w:lineRule="exact"/>
        <w:rPr>
          <w:sz w:val="20"/>
          <w:szCs w:val="20"/>
          <w:color w:val="auto"/>
        </w:rPr>
      </w:pPr>
    </w:p>
    <w:p>
      <w:pPr>
        <w:ind w:left="800" w:right="839"/>
        <w:spacing w:after="0" w:line="269" w:lineRule="auto"/>
        <w:rPr>
          <w:sz w:val="20"/>
          <w:szCs w:val="20"/>
          <w:color w:val="auto"/>
        </w:rPr>
      </w:pPr>
      <w:r>
        <w:rPr>
          <w:rFonts w:ascii="Times New Roman" w:cs="Times New Roman" w:eastAsia="Times New Roman" w:hAnsi="Times New Roman"/>
          <w:sz w:val="15"/>
          <w:szCs w:val="15"/>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6,723,639 shares of the common stock, $0.0001 per share, of the Company and 384,930.724 shares of the newly designated Series A Non-Voting Convertible Preferred Stock,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11.</w:t>
      </w:r>
    </w:p>
    <w:p>
      <w:pPr>
        <w:spacing w:after="0" w:line="68"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connection with the Merger, a contractual contingent value right, or CVR, was distributed to the holders of record of the Company's common stock and 2022 Warrants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6.</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9" w:name="page190"/>
    <w:bookmarkEnd w:id="18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62"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0"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As of December 31, 2023, the Company’s cash, cash equivalents, and restricted cash were $78.3 million, of which $1.4 million was restricted cash related to lease commitments and $0.2 million was held by its Russian subsidiary designated solely for use in its operations. The Company believes the cash, cash equivalents and restricted cash as of December 31, 2023 combined with net proceeds of $40.0 million received subsequent to December 31, 2023 from the November 2023 Private Placement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6.</w:t>
      </w:r>
    </w:p>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Certificate of Designation of Preferences, Rights, and Limitations of the Series A Non-Voting Convertible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or the Certificate of Designation, contains a provision granting each holder of the Series 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the option to require the Company to redeem any or all of such holder’s then-outstanding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Series A Preferred Stock beginning on the date that is 18 months following the date of the closing of the Merger,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November 13, 2023, at a price per share equal to the ten-day trailing average closing trading price of the common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stock at such time; provided, however, that no holder will have the right to seek redemption of any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Series A Preferred Stock to the extent that such holder would otherwise be unable to convert such shares of Series A</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due to the common stock beneficial ownership limitation applicable to such holder. The Company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could be required to use a significant amount of its cash resources on hand to satisfy this redemption obligation,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particularly if its stockholders do not ever approve a proposal to convert the Company’s Series A Preferred Stock</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into common stock, or generally if holders of Series A Preferred Stock exercise their redemption right with respect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 a significant number of shares of Series A Preferred Stock or at a time when the trading price of the Company’s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common stock is elevated. Further, in the event that the Company does not have sufficient cash on hand to satisfy its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redemption obligations, the Company may need to raise additional capital to satisfy these potential obligations. Any</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redemption payments could materially limit the amount of cash the Company has available to fund our operations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the potential need to redeem shares of Series A Preferred Stock may limit the flexibility with which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Company seeks to operate its business.</w:t>
      </w:r>
    </w:p>
    <w:p>
      <w:pPr>
        <w:spacing w:after="0" w:line="84"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If the Company is unable to obtain additional funding on a timely basis, it may be forced to significantly curtail, delay, or discontinue one or more of its planned research or development programs or be unable to expand 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0" w:name="page191"/>
    <w:bookmarkEnd w:id="19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operations or otherwise capitalize on its commercialization of its product candidates. As of December 31, 2023, the Company had an accumulated deficit of $614.6 million. The Company anticipates operating losses to continue for the foreseeable future due to, among other things, costs related to research and development of its product candidates and its administrative organization.</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officers, directors, consultants and employees for certain events or occurrences that happen by reason of the relationship with, or position held at, the Company. Through December 31,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83" w:lineRule="exact"/>
        <w:rPr>
          <w:sz w:val="20"/>
          <w:szCs w:val="20"/>
          <w:color w:val="auto"/>
        </w:rPr>
      </w:pPr>
    </w:p>
    <w:p>
      <w:pPr>
        <w:ind w:left="800" w:right="5099" w:hanging="1"/>
        <w:spacing w:after="0" w:line="388" w:lineRule="auto"/>
        <w:tabs>
          <w:tab w:leader="none" w:pos="958"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w:t>
      </w:r>
    </w:p>
    <w:p>
      <w:pPr>
        <w:spacing w:after="0" w:line="1"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its wholly owned subsidiaries, Selecta (RUS), LLC, or Selecta (RUS), a Russian limited liability corporation, and Selecta Biosciences Security Corporation, a Massachusetts securities corporation, and Cartesian Bio, LLC, a Delaware limited liability company, which is a variable interest entity for which the Company is the primary beneficiary. All significant intercompany accounts and transactions have been eliminated.</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estimated fair value of the intangible assets acquired in connection with the Merger, estimated fair value of the CVRs, deferred income taxes, revenue recognition and estimating accrued research and development expenses. The Company assesses the above estimates on an ongoing basis; however, actual results could materially differ from those estimates.</w:t>
      </w:r>
    </w:p>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Equivalents, Restricted Cash, Marketable Securities and Investments</w:t>
      </w:r>
    </w:p>
    <w:p>
      <w:pPr>
        <w:spacing w:after="0" w:line="103"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Cash equivalents include all highly liquid investments maturing within 90 days from the date of purchase. Marketable securities consist of securities with remaining maturities greater than 90 days when purchased. The Company classifies these marketable securities as available-for-sale and records them at fair value in the accompanying consolidated balance sheets. Marketable securities with less than one year until maturity are classified as short term, while marketable securities with maturities greater than one year are classified as long term. Unrealized gains or losses are included in accumulated other comprehensive income (loss). Premiums or discounts from par value are amortized to investment income over the life of the underlying investment. Although available to be sold to meet operating needs or otherwise, securities are generally held through maturity. The cost of securities sold is determined based on the specific identification method for purposes of recording realized gains and losses.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1" w:name="page192"/>
    <w:bookmarkEnd w:id="19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has also in the past invested in equity securities of a company whose securities are not publicly traded and where fair value is not readily available. This investment is recorded using cost minus impairment adjusted for changes in observable prices, depending on our ownership percentage and other factors that suggest we have significant influence. The Company monitors this investment to evaluate whether any increase or decline in its value has occurred, based on the implied value of recent company financings, public market prices of comparable companies and general market conditions. This investment is included in investments in the consolidated balance sheets.</w:t>
      </w:r>
    </w:p>
    <w:p>
      <w:pPr>
        <w:spacing w:after="0" w:line="2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Concentrations of Credit Risk and Off-Balance Sheet Risk</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 of credit risk consist primarily of cash, cash equivalents, short-term deposits and marketable securities,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The Company also maintains cash in Russian bank accounts in denominations of both Russian rubles and U.S. dollars. As of December 31, 2023, the Company maintained approximately $0.2 million in Russian bank accounts in denominations of both Russian rubles and U.S. dollars.</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Company’s financial instruments consist mainly of cash equivalents, restricted cash, accounts payable, loans payable, marketable securities, investments, warrants to purchase common stock, forward contract liabilities, and contingent value rights. The carrying amounts of cash equivalents, restricted cash, accounts receivable, and accounts payable approximate their estimated fair value due to their short-term maturities.</w:t>
      </w:r>
    </w:p>
    <w:p>
      <w:pPr>
        <w:spacing w:after="0" w:line="67"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69" w:lineRule="exact"/>
        <w:rPr>
          <w:sz w:val="20"/>
          <w:szCs w:val="20"/>
          <w:color w:val="auto"/>
        </w:rPr>
      </w:pPr>
    </w:p>
    <w:p>
      <w:pPr>
        <w:ind w:left="1120" w:right="999"/>
        <w:spacing w:after="0" w:line="280" w:lineRule="auto"/>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—Level 1 inputs are quoted prices in active markets for identical assets or liabilities that the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has the ability to access at the measurement date.</w:t>
      </w:r>
    </w:p>
    <w:p>
      <w:pPr>
        <w:spacing w:after="0" w:line="46" w:lineRule="exact"/>
        <w:rPr>
          <w:sz w:val="20"/>
          <w:szCs w:val="20"/>
          <w:color w:val="auto"/>
        </w:rPr>
      </w:pPr>
    </w:p>
    <w:p>
      <w:pPr>
        <w:jc w:val="both"/>
        <w:ind w:left="1120" w:right="839"/>
        <w:spacing w:after="0" w:line="264"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—Level 2 inputs are inputs other than quoted prices included within Level 1 that are observable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or liability, either directly or indirectly. If the asset or liability has a specified (contractual) term, a Level 2 input must be observable for substantially the full term of the asset or liability.</w:t>
      </w:r>
    </w:p>
    <w:p>
      <w:pPr>
        <w:spacing w:after="0" w:line="58"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—Level 3 inputs are unobservable inputs for the asset or liability in which there is little, if any,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for the asset or liability at the measurement date.</w:t>
      </w:r>
    </w:p>
    <w:p>
      <w:pPr>
        <w:spacing w:after="0" w:line="4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and contingent value rights are determined using Level 3 inputs.</w:t>
      </w:r>
    </w:p>
    <w:p>
      <w:pPr>
        <w:spacing w:after="0" w:line="68"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73"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The carrying amounts reflected in the consolidated balance sheet for investments approximate fair value and are assessed for impairment quarterly.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2" w:name="page193"/>
    <w:bookmarkEnd w:id="19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The Company recognized a $0.7 million impairment charge on a right-of-use asset during the year ended December 31, 2023.</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Debt Issuance Costs</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Debt issuance costs and fees paid to lenders are recorded as a direct deduction from the face amount of the related debt. Debt issuance costs are amortized over the term of the related debt using the effective interest method and recorded as interest expense.</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Comprehensive income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income (loss) consists of: (i) all components of net income (loss) and (ii) all components of comprehensive income (loss) other than net income (loss), referred to as other comprehensive income (loss). Other comprehensive income (loss) is comprised of unrealized gains and losses on debt securities and foreign currency translation adjustments.</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6"/>
          <w:szCs w:val="16"/>
          <w:i w:val="1"/>
          <w:iCs w:val="1"/>
          <w:color w:val="auto"/>
        </w:rPr>
        <w:t>Revenue from Contracts with Customers (ASC 606)</w:t>
      </w:r>
      <w:r>
        <w:rPr>
          <w:rFonts w:ascii="Times New Roman" w:cs="Times New Roman" w:eastAsia="Times New Roman" w:hAnsi="Times New Roman"/>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promised goods or services into a performance obligation. The Company then recognizes as revenue the amount of the transaction price that is allocated to the respective performance obligation when (or as) the performance obligation is satisfied. For example, certain performance obligations associated with the License and Development Agreement, or Astellas Agreement, entered into with Audentes Therapeutics, Inc., or Astellas, (see Note 14) will be satisfied over time, and revenue will be recognized using the input method.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93" w:name="page194"/>
    <w:bookmarkEnd w:id="19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Collaboration and License Revenue: </w:t>
      </w:r>
      <w:r>
        <w:rPr>
          <w:rFonts w:ascii="Times New Roman" w:cs="Times New Roman" w:eastAsia="Times New Roman" w:hAnsi="Times New Roman"/>
          <w:sz w:val="16"/>
          <w:szCs w:val="16"/>
          <w:color w:val="auto"/>
        </w:rPr>
        <w:t>The Company currently generates its revenue through collaboration and license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agreements with strategic collaborators for the development and commercialization of product candidates. Collaboration and license agreements with customers are generally accounted for in accordance with ASC 606. The Company analyzes collaboration arrangements by first assessing whether they are within the scope of ASC Topic 808, </w:t>
      </w:r>
      <w:r>
        <w:rPr>
          <w:rFonts w:ascii="Times New Roman" w:cs="Times New Roman" w:eastAsia="Times New Roman" w:hAnsi="Times New Roman"/>
          <w:sz w:val="16"/>
          <w:szCs w:val="16"/>
          <w:i w:val="1"/>
          <w:iCs w:val="1"/>
          <w:color w:val="auto"/>
        </w:rPr>
        <w:t>Collaborative Arrangements (ASC 808</w:t>
      </w:r>
      <w:r>
        <w:rPr>
          <w:rFonts w:ascii="Times New Roman" w:cs="Times New Roman" w:eastAsia="Times New Roman" w:hAnsi="Times New Roman"/>
          <w:sz w:val="16"/>
          <w:szCs w:val="16"/>
          <w:color w:val="auto"/>
        </w:rPr>
        <w:t xml:space="preserve">), and evaluates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6"/>
          <w:szCs w:val="16"/>
          <w:i w:val="1"/>
          <w:iCs w:val="1"/>
          <w:color w:val="auto"/>
        </w:rPr>
        <w:t>Research and Development (ASC 730)</w:t>
      </w:r>
      <w:r>
        <w:rPr>
          <w:rFonts w:ascii="Times New Roman" w:cs="Times New Roman" w:eastAsia="Times New Roman" w:hAnsi="Times New Roman"/>
          <w:sz w:val="16"/>
          <w:szCs w:val="16"/>
          <w:color w:val="auto"/>
        </w:rPr>
        <w:t>, and records reimbursements from counterparties as an offset to the related research and development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terms of the Company’s arrangements typically include one or more of the following: (i) upfront fees;</w:t>
      </w:r>
    </w:p>
    <w:p>
      <w:pPr>
        <w:spacing w:after="0" w:line="23" w:lineRule="exact"/>
        <w:rPr>
          <w:sz w:val="20"/>
          <w:szCs w:val="20"/>
          <w:color w:val="auto"/>
        </w:rPr>
      </w:pPr>
    </w:p>
    <w:p>
      <w:pPr>
        <w:ind w:left="800" w:right="819" w:hanging="1"/>
        <w:spacing w:after="0" w:line="251" w:lineRule="auto"/>
        <w:tabs>
          <w:tab w:leader="none" w:pos="103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9"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Licenses of Intellectual Property: </w:t>
      </w:r>
      <w:r>
        <w:rPr>
          <w:rFonts w:ascii="Times New Roman" w:cs="Times New Roman" w:eastAsia="Times New Roman" w:hAnsi="Times New Roman"/>
          <w:sz w:val="16"/>
          <w:szCs w:val="16"/>
          <w:color w:val="auto"/>
        </w:rPr>
        <w:t>If the license to the Company’s intellectual property is determined to be distinct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the other promised goods and services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68"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Milestone Payments: </w:t>
      </w:r>
      <w:r>
        <w:rPr>
          <w:rFonts w:ascii="Times New Roman" w:cs="Times New Roman" w:eastAsia="Times New Roman" w:hAnsi="Times New Roman"/>
          <w:sz w:val="16"/>
          <w:szCs w:val="16"/>
          <w:color w:val="auto"/>
        </w:rPr>
        <w:t>At the inception of each arrangement that includes developmental and regulatory milestone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4" w:name="page195"/>
    <w:bookmarkEnd w:id="19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3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Manufacturing Supply Services: </w:t>
      </w:r>
      <w:r>
        <w:rPr>
          <w:rFonts w:ascii="Times New Roman" w:cs="Times New Roman" w:eastAsia="Times New Roman" w:hAnsi="Times New Roman"/>
          <w:sz w:val="16"/>
          <w:szCs w:val="16"/>
          <w:color w:val="auto"/>
        </w:rPr>
        <w:t>Arrangements that include a promise for future supply of drug substance or drug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 for either clinical development or 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64" w:lineRule="exact"/>
        <w:rPr>
          <w:sz w:val="20"/>
          <w:szCs w:val="20"/>
          <w:color w:val="auto"/>
        </w:rPr>
      </w:pPr>
    </w:p>
    <w:p>
      <w:pPr>
        <w:ind w:left="800" w:right="89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Royalties: </w:t>
      </w:r>
      <w:r>
        <w:rPr>
          <w:rFonts w:ascii="Times New Roman" w:cs="Times New Roman" w:eastAsia="Times New Roman" w:hAnsi="Times New Roman"/>
          <w:sz w:val="16"/>
          <w:szCs w:val="16"/>
          <w:color w:val="auto"/>
        </w:rPr>
        <w:t>For arrangements that include sales-based royalties, including milestone payments based on the level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81"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June 2020, the Company and Sobi entered into a License and Development Agreement, which was amended in October 2023. Pursuant to the Sobi License, clinical trial costs incurred to complete development of the SEL-212 product candidate, including but not limited to costs incurred while conducting and completing the Phase 3 DISSOLVE trials, were reimbursed by Sobi. These costs, when reimbursed, were recognized as revenue consistent with the revenue recognition methodology disclosed in Note 14. The reimbursable costs exclude any costs of additional development activities required that are related to the ImmTOR platform and that are unrelated to SEL-212.</w:t>
      </w:r>
    </w:p>
    <w:p>
      <w:pPr>
        <w:spacing w:after="0" w:line="73"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In January 2023, the Company and Astellas entered into the Astellas Agreement. Pursuant to the Astellas Agreement, Astellas will reimburse the Company for 25% of all budgeted costs incurred to complete the development of Xork for use in Pompe disease with an Astellas gene therapy investigational or authorized product. These costs, when reimbursed, will be recognized as revenue consistent with the revenue recognition methodology disclosed in Note 14.</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ind w:left="800" w:right="1019"/>
        <w:spacing w:after="0" w:line="312" w:lineRule="auto"/>
        <w:rPr>
          <w:sz w:val="20"/>
          <w:szCs w:val="20"/>
          <w:color w:val="auto"/>
        </w:rPr>
      </w:pPr>
      <w:r>
        <w:rPr>
          <w:rFonts w:ascii="Times New Roman" w:cs="Times New Roman" w:eastAsia="Times New Roman" w:hAnsi="Times New Roman"/>
          <w:sz w:val="15"/>
          <w:szCs w:val="15"/>
          <w:color w:val="auto"/>
        </w:rPr>
        <w:t>The Company provides deferred tax assets and liabilities for the expected future tax consequences of temporary differences between the Company’s financial statement carrying amounts and the tax basis of assets and liabilities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5" w:name="page196"/>
    <w:bookmarkEnd w:id="19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19"/>
        <w:spacing w:after="0" w:line="262" w:lineRule="auto"/>
        <w:rPr>
          <w:sz w:val="20"/>
          <w:szCs w:val="20"/>
          <w:color w:val="auto"/>
        </w:rPr>
      </w:pPr>
      <w:r>
        <w:rPr>
          <w:rFonts w:ascii="Times New Roman" w:cs="Times New Roman" w:eastAsia="Times New Roman" w:hAnsi="Times New Roman"/>
          <w:sz w:val="16"/>
          <w:szCs w:val="16"/>
          <w:color w:val="auto"/>
        </w:rPr>
        <w:t>using enacted tax rates expected to be in effect in the years in which the differences are expected to reverse. A valuation allowance is provided to reduce the deferred tax assets to the amount that will more-likely-than-not be realized.</w:t>
      </w:r>
    </w:p>
    <w:p>
      <w:pPr>
        <w:spacing w:after="0" w:line="62"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6"/>
          <w:szCs w:val="16"/>
          <w:i w:val="1"/>
          <w:iCs w:val="1"/>
          <w:color w:val="auto"/>
        </w:rPr>
        <w:t>Accounting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Certain Financial Instruments with Characteristics of both Liabilities and Equity</w:t>
      </w:r>
      <w:r>
        <w:rPr>
          <w:rFonts w:ascii="Times New Roman" w:cs="Times New Roman" w:eastAsia="Times New Roman" w:hAnsi="Times New Roman"/>
          <w:sz w:val="16"/>
          <w:szCs w:val="16"/>
          <w:color w:val="auto"/>
        </w:rPr>
        <w:t>, and then in accordance with ASC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815-40, </w:t>
      </w:r>
      <w:r>
        <w:rPr>
          <w:rFonts w:ascii="Times New Roman" w:cs="Times New Roman" w:eastAsia="Times New Roman" w:hAnsi="Times New Roman"/>
          <w:sz w:val="16"/>
          <w:szCs w:val="16"/>
          <w:i w:val="1"/>
          <w:iCs w:val="1"/>
          <w:color w:val="auto"/>
        </w:rPr>
        <w:t>Accounting for Derivative Financial Instruments Indexed to, and Potentially Settled in, a Company’s Own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Under ASC 480, warrants are considered liability classified if the warrants are mandatorily redeemable,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obligate the issuer to settle the warrants or the underlying shares by paying cash or other assets, or must or may require settlement by issuing variable number of shares.</w:t>
      </w:r>
    </w:p>
    <w:p>
      <w:pPr>
        <w:spacing w:after="0" w:line="73"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ultimately vest.</w:t>
      </w:r>
    </w:p>
    <w:p>
      <w:pPr>
        <w:spacing w:after="0" w:line="2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(Loss) Income Per Share</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The Company applies the two-class method to compute basic and diluted net (loss) income per share attributable to common stockholders when it has issued shares that meet the definition of participating securities. The two-class method determines net (loss) income per share for each class of common and participating securities according to dividends declared or accumulated and participation rights in undistributed earnings. The two-class method requires (loss) income available to common stockholders for the period to be allocated between common and participating securities based upon their respective rights to share in the earnings as if all (loss) income for the period had been distributed. The Company's Series A Preferred Stock and 2022 Warrants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71"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Basic net (loss) income per share attributable to common stockholders is computed by dividing the net (loss) income attributable to common stockholders by the weighted average number of shares of common stock outstanding for the period. Diluted net (loss) income attributable to common stockholders is computed by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6" w:name="page197"/>
    <w:bookmarkEnd w:id="19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adjusting net (loss) income per share attributable to common stockholders to reallocate undistributed earnings based on the potential impact of dilutive securities. Diluted net (loss) income per share attributable to common stockholders is computed by dividing the diluted net (loss) income attributable to common stockholders by the weighted average number of shares of common stock outstanding for the period, including potential dilutive common shares. For purpose of this calculation, outstanding options to purchase common stock and Series A Preferred Stock, forward contracts to issue Series A Preferred Stock, restricted stock units, warrants to purchase common stock, employee stock purchase plan stock, contingently issuable shares, and Series A Preferred Stock are considered potential dilutive common shares.</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Liabilities</w:t>
      </w:r>
    </w:p>
    <w:p>
      <w:pPr>
        <w:spacing w:after="0" w:line="101"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color w:val="auto"/>
        </w:rPr>
        <w:t xml:space="preserve">The Company accounts for its contingent liabilities in accordance with ASC No.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0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 xml:space="preserve">The Company accounts for its leases in accordance with ASC Topic 842, </w:t>
      </w:r>
      <w:r>
        <w:rPr>
          <w:rFonts w:ascii="Times New Roman" w:cs="Times New Roman" w:eastAsia="Times New Roman" w:hAnsi="Times New Roman"/>
          <w:sz w:val="16"/>
          <w:szCs w:val="16"/>
          <w:i w:val="1"/>
          <w:iCs w:val="1"/>
          <w:color w:val="auto"/>
        </w:rPr>
        <w:t>Leases (ASC 842)</w:t>
      </w:r>
      <w:r>
        <w:rPr>
          <w:rFonts w:ascii="Times New Roman" w:cs="Times New Roman" w:eastAsia="Times New Roman" w:hAnsi="Times New Roman"/>
          <w:sz w:val="16"/>
          <w:szCs w:val="16"/>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7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Company enters into lease agreements with terms generally ranging from two to eight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one and five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1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Acquisitions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7" w:name="page198"/>
    <w:bookmarkEnd w:id="19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9" w:lineRule="auto"/>
        <w:rPr>
          <w:sz w:val="20"/>
          <w:szCs w:val="20"/>
          <w:color w:val="auto"/>
        </w:rPr>
      </w:pPr>
      <w:r>
        <w:rPr>
          <w:rFonts w:ascii="Times New Roman" w:cs="Times New Roman" w:eastAsia="Times New Roman" w:hAnsi="Times New Roman"/>
          <w:sz w:val="15"/>
          <w:szCs w:val="15"/>
          <w:color w:val="auto"/>
        </w:rPr>
        <w:t>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based on the fair value estimates as of the date of acquisition. In accordance with ASC 805, Business Combinations, or ASC 805, the Company recognizes and measures goodwill as of the acquisition date, as the excess of the fair value of the consideration paid over the fair value of the identified net assets acquired.</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03" w:lineRule="exact"/>
        <w:rPr>
          <w:sz w:val="20"/>
          <w:szCs w:val="20"/>
          <w:color w:val="auto"/>
        </w:rPr>
      </w:pPr>
    </w:p>
    <w:p>
      <w:pPr>
        <w:ind w:left="800" w:right="879"/>
        <w:spacing w:after="0" w:line="271" w:lineRule="auto"/>
        <w:rPr>
          <w:sz w:val="20"/>
          <w:szCs w:val="20"/>
          <w:color w:val="auto"/>
        </w:rPr>
      </w:pPr>
      <w:r>
        <w:rPr>
          <w:rFonts w:ascii="Times New Roman" w:cs="Times New Roman" w:eastAsia="Times New Roman" w:hAnsi="Times New Roman"/>
          <w:sz w:val="15"/>
          <w:szCs w:val="15"/>
          <w:color w:val="auto"/>
        </w:rPr>
        <w:t>Goodwill represents the amount of consideration paid in excess of the fair value of the identified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An entity is permitted to first assess qualitative factors to determine if a quantitative impairment test is necessary. Such qualitative factors include macroeconomic conditions, industry and market considerations, cost factors, overall financial performance and other relevant events. Further testing is only required if the entity determines, based on the qualitative assessment, that it is more likely than not that the fair value of the reporting unit is less than its carrying amount.</w:t>
      </w:r>
    </w:p>
    <w:p>
      <w:pPr>
        <w:spacing w:after="0" w:line="5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The Company evaluates goodwill for impairment at least annually on October 1 and whenever facts and circumstances indicate that their carrying amounts may not be recoverable. For the year ended December 31, 2023, the Company determined that there was no impairment to goodwill.</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p>
      <w:pPr>
        <w:spacing w:after="0" w:line="103"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Indefinite-lived intangible assets consist of in-process research and development, or IPR&amp;D. The fair values of IPR&amp;D assets acquired in business combinations are capitalized. These assets are treated as indefinite-lived intangible assets until completion or abandonment of the projects, at which time the assets are amortized over the remaining useful life or written off, as appropriate.</w:t>
      </w:r>
    </w:p>
    <w:p>
      <w:pPr>
        <w:spacing w:after="0" w:line="67" w:lineRule="exact"/>
        <w:rPr>
          <w:sz w:val="20"/>
          <w:szCs w:val="20"/>
          <w:color w:val="auto"/>
        </w:rPr>
      </w:pPr>
    </w:p>
    <w:p>
      <w:pPr>
        <w:ind w:left="800" w:right="919"/>
        <w:spacing w:after="0" w:line="250" w:lineRule="auto"/>
        <w:rPr>
          <w:sz w:val="20"/>
          <w:szCs w:val="20"/>
          <w:color w:val="auto"/>
        </w:rPr>
      </w:pPr>
      <w:r>
        <w:rPr>
          <w:rFonts w:ascii="Times New Roman" w:cs="Times New Roman" w:eastAsia="Times New Roman" w:hAnsi="Times New Roman"/>
          <w:sz w:val="16"/>
          <w:szCs w:val="16"/>
          <w:color w:val="auto"/>
        </w:rPr>
        <w:t>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w:t>
      </w:r>
    </w:p>
    <w:p>
      <w:pPr>
        <w:spacing w:after="0" w:line="7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 Company evaluates indefinite-lived intangible assets for impairment at least annually on October 1 and whenever facts and circumstances indicate that their carrying amounts may not be recoverable. For the year ended December 31, 2023, the Company determined that there was no impairment to the IPR&amp;D assets.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Company records the Series A Preferred Stock upon issuance at its fair value. The fair value includes the original issuance price, the settlement of any related forward contract, and is less issuance costs. The Company classifies its Series A Preferred Stock outside of stockholders’ equity as the redemption of such shares is outside the Company’s control. The Company does not adjust the carrying value of the Series A Preferred Stock to redemption value until it is probable of becoming redeemable, which the Company did not conclude was probable as of December 31,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8" w:name="page199"/>
    <w:bookmarkEnd w:id="19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 Options</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Company classifies a portion of the fair value of the vested stock options for Series A Preferred Stock equal to the estimated redemption value on the measurement date outside of stockholders’ equity, as the redemption of the shares underlying the options are outside the Company’s control. Any fair value in excess of the estimated redemption value is recognized as additional paid-in capital. The estimated redemption value is based on the intrinsic value of the option. The Company does not adjust the carrying value of the stock options for Series A Preferred Stock until the underlying Series A Preferred Stock is probable of becoming redeemable. The Company concluded the redemption was not probable of occurring as of December 31, 2023. The Company records the stock options for Series A Preferred Stock based on the intrinsic value of the vested options.</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103"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The Company evaluates its variable interests in variable interest entities, or VIEs, and consolidates VIEs when the Company is the primary beneficiary. The Company determines whether it is the primary beneficiary of a VIE based on its assessment of whether the Company possesses both (i) the power to direct the activities that most significantly affect the VIE’s economic performance and (ii) the obligation to absorb losses that could be significant to the VIE or the right to receive benefits that could be significant to the VIE. The Company reevaluates the accounting for its VIEs upon the occurrence of events that could change the primary beneficiary conclusion.</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 Liability</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 xml:space="preserve">The CVRs distributed by the Company pursuant to the terms of the CVR Agreement represent financial instruments that are accounted for under the fair value option election in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liability are presented within change in fair value of contingent value right liability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Forward Contract Liabilities</w:t>
      </w:r>
    </w:p>
    <w:p>
      <w:pPr>
        <w:spacing w:after="0" w:line="103" w:lineRule="exact"/>
        <w:rPr>
          <w:sz w:val="20"/>
          <w:szCs w:val="20"/>
          <w:color w:val="auto"/>
        </w:rPr>
      </w:pPr>
    </w:p>
    <w:p>
      <w:pPr>
        <w:ind w:left="800" w:right="899"/>
        <w:spacing w:after="0" w:line="269" w:lineRule="auto"/>
        <w:rPr>
          <w:sz w:val="20"/>
          <w:szCs w:val="20"/>
          <w:color w:val="auto"/>
        </w:rPr>
      </w:pPr>
      <w:r>
        <w:rPr>
          <w:rFonts w:ascii="Times New Roman" w:cs="Times New Roman" w:eastAsia="Times New Roman" w:hAnsi="Times New Roman"/>
          <w:sz w:val="15"/>
          <w:szCs w:val="15"/>
          <w:color w:val="auto"/>
        </w:rPr>
        <w:t>The Company accounts for contracts related to the future issuance of Series A Preferred Stock as a liability because the underlying shares of Series A Preferred Stock include a redemption feature that may require the Company to settle the instrument by transferring an asset. The forward contract liability is carried at fair value through the date the underlying Series A Preferred Stock are issued. The fair value of the forward contract liability was initially measured based on the fair value of the Series A Preferred Stock issued in the November 2023 Private Placement (see Note 11), less the purchase price, if any. Subsequent measurement of the fair value of the forward contract liability is based on the market price of the Company’s common stock, which represents the redemption and conversion value of the Series A Preferred Stock, less the purchase price, if any, on an as-converted basis. The remeasurement of the forward contract liability is based on Level 2 inputs within the fair value hierarchy as it’s based on observable market data. Changes in fair value of the liability are presented within change in fair value of forward contract liabilities in the consolidated statements of operations and comprehensive income (loss).</w:t>
      </w:r>
    </w:p>
    <w:p>
      <w:pPr>
        <w:spacing w:after="0" w:line="2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800" w:right="1079"/>
        <w:spacing w:after="0" w:line="256"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9" w:name="page200"/>
    <w:bookmarkEnd w:id="19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66"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 xml:space="preserve">In January 2017, the FASB issued ASU 2017-04, </w:t>
      </w:r>
      <w:r>
        <w:rPr>
          <w:rFonts w:ascii="Times New Roman" w:cs="Times New Roman" w:eastAsia="Times New Roman" w:hAnsi="Times New Roman"/>
          <w:sz w:val="16"/>
          <w:szCs w:val="16"/>
          <w:i w:val="1"/>
          <w:iCs w:val="1"/>
          <w:color w:val="auto"/>
        </w:rPr>
        <w:t>Intangibles - Goodwill and Other (Topic 350),</w:t>
      </w:r>
      <w:r>
        <w:rPr>
          <w:rFonts w:ascii="Times New Roman" w:cs="Times New Roman" w:eastAsia="Times New Roman" w:hAnsi="Times New Roman"/>
          <w:sz w:val="16"/>
          <w:szCs w:val="16"/>
          <w:color w:val="auto"/>
        </w:rPr>
        <w:t xml:space="preserve">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ASU is effective for annual and interim impairment tests performed in periods beginning after December 15, 2022. Early adoption of the standard is permitted. The Company adopted the new standard effective January 1, 2023 and there was no impact on its consolidated financial statements or results of operations upon adoption.</w:t>
      </w: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Segment Disclosures </w:t>
      </w:r>
      <w:r>
        <w:rPr>
          <w:rFonts w:ascii="Times New Roman" w:cs="Times New Roman" w:eastAsia="Times New Roman" w:hAnsi="Times New Roman"/>
          <w:sz w:val="16"/>
          <w:szCs w:val="16"/>
          <w:color w:val="auto"/>
        </w:rPr>
        <w:t>(ASU 2023-07), which requires an enhanced disclosure of significant segment expenses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67"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2023-09), which improves the transparency of income tax disclosures by requiring consistent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Merger</w:t>
      </w:r>
    </w:p>
    <w:p>
      <w:pPr>
        <w:spacing w:after="0" w:line="103" w:lineRule="exact"/>
        <w:rPr>
          <w:sz w:val="20"/>
          <w:szCs w:val="20"/>
          <w:color w:val="auto"/>
        </w:rPr>
      </w:pPr>
    </w:p>
    <w:p>
      <w:pPr>
        <w:ind w:left="800" w:right="839"/>
        <w:spacing w:after="0" w:line="271" w:lineRule="auto"/>
        <w:rPr>
          <w:sz w:val="20"/>
          <w:szCs w:val="20"/>
          <w:color w:val="auto"/>
        </w:rPr>
      </w:pPr>
      <w:r>
        <w:rPr>
          <w:rFonts w:ascii="Times New Roman" w:cs="Times New Roman" w:eastAsia="Times New Roman" w:hAnsi="Times New Roman"/>
          <w:sz w:val="15"/>
          <w:szCs w:val="15"/>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5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2"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Merger Agreement was unanimously approved by the board of directors, or the Board of Directors, of Selecta and the board of directors of Old Cartesian. The Merger was consummated substantially concurrently with the entry into the Merger Agreement and was not subject to approval of the Company's stockholders.</w:t>
      </w:r>
    </w:p>
    <w:p>
      <w:pPr>
        <w:spacing w:after="0" w:line="62" w:lineRule="exact"/>
        <w:rPr>
          <w:sz w:val="20"/>
          <w:szCs w:val="20"/>
          <w:color w:val="auto"/>
        </w:rPr>
      </w:pPr>
    </w:p>
    <w:p>
      <w:pPr>
        <w:ind w:left="800" w:right="959"/>
        <w:spacing w:after="0" w:line="276" w:lineRule="auto"/>
        <w:rPr>
          <w:sz w:val="20"/>
          <w:szCs w:val="20"/>
          <w:color w:val="auto"/>
        </w:rPr>
      </w:pPr>
      <w:r>
        <w:rPr>
          <w:rFonts w:ascii="Times New Roman" w:cs="Times New Roman" w:eastAsia="Times New Roman" w:hAnsi="Times New Roman"/>
          <w:sz w:val="15"/>
          <w:szCs w:val="15"/>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6,723,639 shares of the Company’s common stock and (ii) 384,930.724 shares of Series A Preferred Stock. The issuance of the shares of common stock and Series A Preferred Stock occurred on December 5, 2023 which</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0" w:name="page201"/>
    <w:bookmarkEnd w:id="20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40"/>
        <w:spacing w:after="0" w:line="252" w:lineRule="auto"/>
        <w:rPr>
          <w:sz w:val="20"/>
          <w:szCs w:val="20"/>
          <w:color w:val="auto"/>
        </w:rPr>
      </w:pPr>
      <w:r>
        <w:rPr>
          <w:rFonts w:ascii="Times New Roman" w:cs="Times New Roman" w:eastAsia="Times New Roman" w:hAnsi="Times New Roman"/>
          <w:sz w:val="16"/>
          <w:szCs w:val="16"/>
          <w:color w:val="auto"/>
        </w:rPr>
        <w:t>was after the December 4, 2023 record date for the distribution of the CVRs (see Note 6);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73" w:lineRule="exact"/>
        <w:rPr>
          <w:sz w:val="20"/>
          <w:szCs w:val="20"/>
          <w:color w:val="auto"/>
        </w:rPr>
      </w:pPr>
    </w:p>
    <w:p>
      <w:pPr>
        <w:ind w:left="1140" w:right="1200"/>
        <w:spacing w:after="0" w:line="252" w:lineRule="auto"/>
        <w:rPr>
          <w:sz w:val="20"/>
          <w:szCs w:val="20"/>
          <w:color w:val="auto"/>
        </w:rPr>
      </w:pPr>
      <w:r>
        <w:rPr>
          <w:rFonts w:ascii="Times New Roman" w:cs="Times New Roman" w:eastAsia="Times New Roman" w:hAnsi="Times New Roman"/>
          <w:sz w:val="16"/>
          <w:szCs w:val="16"/>
          <w:color w:val="auto"/>
        </w:rPr>
        <w:t>Pursuant to the Merger Agreement, the Company agreed to hold a stockholders’ meeting to submit the following proposals to a vote of its stockholders: (i) the approval of the conversion of shares of Series A Preferred Stock into shares of common stock, or the Conversion Proposal, and (ii) either or both of (A) the approval of an amendment to the Company’s restated certificate of incorporation, as amended, or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70"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 xml:space="preserve">The Company concluded the acquisition resulted in the Company obtaining a controlling financial interest in a VIE in accordance with </w:t>
      </w:r>
      <w:r>
        <w:rPr>
          <w:rFonts w:ascii="Times New Roman" w:cs="Times New Roman" w:eastAsia="Times New Roman" w:hAnsi="Times New Roman"/>
          <w:sz w:val="16"/>
          <w:szCs w:val="16"/>
          <w:i w:val="1"/>
          <w:iCs w:val="1"/>
          <w:color w:val="auto"/>
        </w:rPr>
        <w:t>ASC 810, Consolidation</w:t>
      </w:r>
      <w:r>
        <w:rPr>
          <w:rFonts w:ascii="Times New Roman" w:cs="Times New Roman" w:eastAsia="Times New Roman" w:hAnsi="Times New Roman"/>
          <w:sz w:val="16"/>
          <w:szCs w:val="16"/>
          <w:color w:val="auto"/>
        </w:rPr>
        <w:t>. The Company 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the absorb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As the primary beneficiary, the Company was the acquirer in the transaction.</w:t>
      </w:r>
    </w:p>
    <w:p>
      <w:pPr>
        <w:spacing w:after="0" w:line="77" w:lineRule="exact"/>
        <w:rPr>
          <w:sz w:val="20"/>
          <w:szCs w:val="20"/>
          <w:color w:val="auto"/>
        </w:rPr>
      </w:pPr>
    </w:p>
    <w:p>
      <w:pPr>
        <w:ind w:left="1140" w:right="1160"/>
        <w:spacing w:after="0" w:line="252" w:lineRule="auto"/>
        <w:rPr>
          <w:sz w:val="20"/>
          <w:szCs w:val="20"/>
          <w:color w:val="auto"/>
        </w:rPr>
      </w:pPr>
      <w:r>
        <w:rPr>
          <w:rFonts w:ascii="Times New Roman" w:cs="Times New Roman" w:eastAsia="Times New Roman" w:hAnsi="Times New Roman"/>
          <w:sz w:val="16"/>
          <w:szCs w:val="16"/>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70" w:lineRule="exact"/>
        <w:rPr>
          <w:sz w:val="20"/>
          <w:szCs w:val="20"/>
          <w:color w:val="auto"/>
        </w:rPr>
      </w:pPr>
    </w:p>
    <w:p>
      <w:pPr>
        <w:ind w:left="1140" w:right="1800"/>
        <w:spacing w:after="0" w:line="277" w:lineRule="auto"/>
        <w:rPr>
          <w:sz w:val="20"/>
          <w:szCs w:val="20"/>
          <w:color w:val="auto"/>
        </w:rPr>
      </w:pPr>
      <w:r>
        <w:rPr>
          <w:rFonts w:ascii="Times New Roman" w:cs="Times New Roman" w:eastAsia="Times New Roman" w:hAnsi="Times New Roman"/>
          <w:sz w:val="16"/>
          <w:szCs w:val="16"/>
          <w:color w:val="auto"/>
        </w:rPr>
        <w:t>The total fair value of the consideration of $168.5 million as of the Closing Date is summarized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14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common stock</w:t>
            </w:r>
          </w:p>
        </w:tc>
        <w:tc>
          <w:tcPr>
            <w:tcW w:w="3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140" w:type="dxa"/>
            <w:vAlign w:val="bottom"/>
          </w:tcPr>
          <w:p>
            <w:pPr>
              <w:spacing w:after="0"/>
              <w:rPr>
                <w:sz w:val="24"/>
                <w:szCs w:val="24"/>
                <w:color w:val="auto"/>
              </w:rPr>
            </w:pPr>
          </w:p>
        </w:tc>
      </w:tr>
      <w:tr>
        <w:trPr>
          <w:trHeight w:val="207"/>
        </w:trPr>
        <w:tc>
          <w:tcPr>
            <w:tcW w:w="11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1140" w:type="dxa"/>
            <w:vAlign w:val="bottom"/>
          </w:tcPr>
          <w:p>
            <w:pPr>
              <w:spacing w:after="0"/>
              <w:rPr>
                <w:sz w:val="18"/>
                <w:szCs w:val="18"/>
                <w:color w:val="auto"/>
              </w:rPr>
            </w:pPr>
          </w:p>
        </w:tc>
      </w:tr>
      <w:tr>
        <w:trPr>
          <w:trHeight w:val="224"/>
        </w:trPr>
        <w:tc>
          <w:tcPr>
            <w:tcW w:w="114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allocated to consideration paid</w:t>
            </w:r>
          </w:p>
        </w:tc>
        <w:tc>
          <w:tcPr>
            <w:tcW w:w="3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10,444</w:t>
            </w:r>
          </w:p>
        </w:tc>
        <w:tc>
          <w:tcPr>
            <w:tcW w:w="1140" w:type="dxa"/>
            <w:vAlign w:val="bottom"/>
          </w:tcPr>
          <w:p>
            <w:pPr>
              <w:spacing w:after="0"/>
              <w:rPr>
                <w:sz w:val="19"/>
                <w:szCs w:val="19"/>
                <w:color w:val="auto"/>
              </w:rPr>
            </w:pPr>
          </w:p>
        </w:tc>
      </w:tr>
      <w:tr>
        <w:trPr>
          <w:trHeight w:val="226"/>
        </w:trPr>
        <w:tc>
          <w:tcPr>
            <w:tcW w:w="45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consideration</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168,465</w:t>
            </w: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8"/>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560" w:type="dxa"/>
            <w:vAlign w:val="bottom"/>
            <w:gridSpan w:val="2"/>
          </w:tcPr>
          <w:p>
            <w:pPr>
              <w:jc w:val="right"/>
              <w:ind w:right="3080"/>
              <w:spacing w:after="0"/>
              <w:rPr>
                <w:sz w:val="20"/>
                <w:szCs w:val="20"/>
                <w:color w:val="auto"/>
              </w:rPr>
            </w:pPr>
            <w:r>
              <w:rPr>
                <w:rFonts w:ascii="Times New Roman" w:cs="Times New Roman" w:eastAsia="Times New Roman" w:hAnsi="Times New Roman"/>
                <w:sz w:val="16"/>
                <w:szCs w:val="16"/>
                <w:color w:val="auto"/>
              </w:rPr>
              <w:t>F-57</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01" w:name="page202"/>
    <w:bookmarkEnd w:id="20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11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31"/>
        </w:trPr>
        <w:tc>
          <w:tcPr>
            <w:tcW w:w="6640" w:type="dxa"/>
            <w:vAlign w:val="bottom"/>
          </w:tcPr>
          <w:p>
            <w:pPr>
              <w:spacing w:after="0"/>
              <w:rPr>
                <w:sz w:val="11"/>
                <w:szCs w:val="11"/>
                <w:color w:val="auto"/>
              </w:rPr>
            </w:pPr>
          </w:p>
        </w:tc>
        <w:tc>
          <w:tcPr>
            <w:tcW w:w="7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November 13,</w:t>
            </w:r>
          </w:p>
        </w:tc>
      </w:tr>
      <w:tr>
        <w:trPr>
          <w:trHeight w:val="167"/>
        </w:trPr>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80" w:type="dxa"/>
            <w:vAlign w:val="bottom"/>
          </w:tcPr>
          <w:p>
            <w:pPr>
              <w:spacing w:after="0"/>
              <w:rPr>
                <w:sz w:val="14"/>
                <w:szCs w:val="14"/>
                <w:color w:val="auto"/>
              </w:rPr>
            </w:pPr>
          </w:p>
        </w:tc>
      </w:tr>
      <w:tr>
        <w:trPr>
          <w:trHeight w:val="21"/>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tcPr>
          <w:p>
            <w:pPr>
              <w:spacing w:after="0"/>
              <w:rPr>
                <w:sz w:val="18"/>
                <w:szCs w:val="18"/>
                <w:color w:val="auto"/>
              </w:rPr>
            </w:pP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18"/>
                <w:szCs w:val="18"/>
                <w:color w:val="auto"/>
              </w:rPr>
            </w:pPr>
          </w:p>
        </w:tc>
      </w:tr>
      <w:tr>
        <w:trPr>
          <w:trHeight w:val="221"/>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664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206,763</w:t>
            </w: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tcPr>
          <w:p>
            <w:pPr>
              <w:spacing w:after="0"/>
              <w:rPr>
                <w:sz w:val="18"/>
                <w:szCs w:val="18"/>
                <w:color w:val="auto"/>
              </w:rPr>
            </w:pP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18"/>
                <w:szCs w:val="18"/>
                <w:color w:val="auto"/>
              </w:rPr>
            </w:pPr>
          </w:p>
        </w:tc>
      </w:tr>
      <w:tr>
        <w:trPr>
          <w:trHeight w:val="214"/>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34,853</w:t>
            </w:r>
          </w:p>
        </w:tc>
        <w:tc>
          <w:tcPr>
            <w:tcW w:w="80" w:type="dxa"/>
            <w:vAlign w:val="bottom"/>
            <w:shd w:val="clear" w:color="auto" w:fill="CCEEFF"/>
          </w:tcPr>
          <w:p>
            <w:pPr>
              <w:spacing w:after="0"/>
              <w:rPr>
                <w:sz w:val="18"/>
                <w:szCs w:val="18"/>
                <w:color w:val="auto"/>
              </w:rPr>
            </w:pPr>
          </w:p>
        </w:tc>
      </w:tr>
      <w:tr>
        <w:trPr>
          <w:trHeight w:val="27"/>
        </w:trPr>
        <w:tc>
          <w:tcPr>
            <w:tcW w:w="6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4"/>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38,298</w:t>
            </w: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$168,465</w:t>
            </w:r>
          </w:p>
        </w:tc>
      </w:tr>
      <w:tr>
        <w:trPr>
          <w:trHeight w:val="48"/>
        </w:trPr>
        <w:tc>
          <w:tcPr>
            <w:tcW w:w="6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fair value of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the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the Company’s intangible assets acquired in the Merger and their carrying value as of</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December 31, 2023 (in thousands):</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Acquisition Date</w:t>
            </w:r>
          </w:p>
        </w:tc>
        <w:tc>
          <w:tcPr>
            <w:tcW w:w="140" w:type="dxa"/>
            <w:vAlign w:val="bottom"/>
          </w:tcPr>
          <w:p>
            <w:pPr>
              <w:spacing w:after="0"/>
              <w:rPr>
                <w:sz w:val="12"/>
                <w:szCs w:val="12"/>
                <w:color w:val="auto"/>
              </w:rPr>
            </w:pPr>
          </w:p>
        </w:tc>
        <w:tc>
          <w:tcPr>
            <w:tcW w:w="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Impairment</w:t>
            </w:r>
          </w:p>
        </w:tc>
        <w:tc>
          <w:tcPr>
            <w:tcW w:w="140" w:type="dxa"/>
            <w:vAlign w:val="bottom"/>
          </w:tcPr>
          <w:p>
            <w:pPr>
              <w:spacing w:after="0"/>
              <w:rPr>
                <w:sz w:val="12"/>
                <w:szCs w:val="12"/>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Carrying Value at</w:t>
            </w:r>
          </w:p>
        </w:tc>
        <w:tc>
          <w:tcPr>
            <w:tcW w:w="0" w:type="dxa"/>
            <w:vAlign w:val="bottom"/>
          </w:tcPr>
          <w:p>
            <w:pPr>
              <w:spacing w:after="0"/>
              <w:rPr>
                <w:sz w:val="1"/>
                <w:szCs w:val="1"/>
                <w:color w:val="auto"/>
              </w:rPr>
            </w:pPr>
          </w:p>
        </w:tc>
      </w:tr>
      <w:tr>
        <w:trPr>
          <w:trHeight w:val="164"/>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40" w:type="dxa"/>
            <w:vAlign w:val="bottom"/>
          </w:tcPr>
          <w:p>
            <w:pPr>
              <w:spacing w:after="0"/>
              <w:rPr>
                <w:sz w:val="14"/>
                <w:szCs w:val="14"/>
                <w:color w:val="auto"/>
              </w:rPr>
            </w:pPr>
          </w:p>
        </w:tc>
        <w:tc>
          <w:tcPr>
            <w:tcW w:w="68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0" w:type="dxa"/>
            <w:vAlign w:val="bottom"/>
          </w:tcPr>
          <w:p>
            <w:pPr>
              <w:spacing w:after="0"/>
              <w:rPr>
                <w:sz w:val="1"/>
                <w:szCs w:val="1"/>
                <w:color w:val="auto"/>
              </w:rPr>
            </w:pPr>
          </w:p>
        </w:tc>
      </w:tr>
      <w:tr>
        <w:trPr>
          <w:trHeight w:val="194"/>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Descartes-08 for MG</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Descartes-08 for SLE</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56,700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56,700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in-process research and development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150,600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3"/>
              </w:rPr>
              <w:t>$—</w:t>
            </w: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150,600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7" w:lineRule="exact"/>
        <w:rPr>
          <w:sz w:val="20"/>
          <w:szCs w:val="20"/>
          <w:color w:val="auto"/>
        </w:rPr>
      </w:pPr>
    </w:p>
    <w:p>
      <w:pPr>
        <w:ind w:left="800" w:right="1159"/>
        <w:spacing w:after="0" w:line="262" w:lineRule="auto"/>
        <w:rPr>
          <w:sz w:val="20"/>
          <w:szCs w:val="20"/>
          <w:color w:val="auto"/>
        </w:rPr>
      </w:pPr>
      <w:r>
        <w:rPr>
          <w:rFonts w:ascii="Times New Roman" w:cs="Times New Roman" w:eastAsia="Times New Roman" w:hAnsi="Times New Roman"/>
          <w:sz w:val="16"/>
          <w:szCs w:val="16"/>
          <w:color w:val="auto"/>
        </w:rPr>
        <w:t>For the period from November 13, 2023 to December 31, 2023, Old Cartesian’s revenue and net loss within the consolidated statements of operations and comprehensive (loss) income were $0.0 million and $1.6 million, respectively.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2" w:name="page203"/>
    <w:bookmarkEnd w:id="202"/>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The following unaudited pro forma financial information reflects the consolidated results of operations of the Company as if the Merger had taken place on January 1, 2022. The unaudited pro forma financial information is not necessarily indicative of the results of operations as they would have been had the transactions been effected on the assumed date (in thousands):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1"/>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980" w:type="dxa"/>
            <w:vAlign w:val="bottom"/>
            <w:gridSpan w:val="2"/>
          </w:tcPr>
          <w:p>
            <w:pPr>
              <w:jc w:val="center"/>
              <w:ind w:left="286"/>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21"/>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26,004</w:t>
            </w:r>
          </w:p>
        </w:tc>
        <w:tc>
          <w:tcPr>
            <w:tcW w:w="980" w:type="dxa"/>
            <w:vAlign w:val="bottom"/>
            <w:gridSpan w:val="2"/>
            <w:shd w:val="clear" w:color="auto" w:fill="CCEEFF"/>
          </w:tcPr>
          <w:p>
            <w:pPr>
              <w:jc w:val="center"/>
              <w:ind w:left="286"/>
              <w:spacing w:after="0"/>
              <w:rPr>
                <w:sz w:val="20"/>
                <w:szCs w:val="20"/>
                <w:color w:val="auto"/>
              </w:rPr>
            </w:pPr>
            <w:r>
              <w:rPr>
                <w:rFonts w:ascii="Times New Roman" w:cs="Times New Roman" w:eastAsia="Times New Roman" w:hAnsi="Times New Roman"/>
                <w:sz w:val="16"/>
                <w:szCs w:val="16"/>
                <w:color w:val="auto"/>
                <w:w w:val="96"/>
              </w:rPr>
              <w:t>$112,226</w:t>
            </w: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$(232,259)</w:t>
            </w:r>
          </w:p>
        </w:tc>
        <w:tc>
          <w:tcPr>
            <w:tcW w:w="980" w:type="dxa"/>
            <w:vAlign w:val="bottom"/>
            <w:gridSpan w:val="2"/>
          </w:tcPr>
          <w:p>
            <w:pPr>
              <w:jc w:val="center"/>
              <w:ind w:left="286"/>
              <w:spacing w:after="0"/>
              <w:rPr>
                <w:sz w:val="20"/>
                <w:szCs w:val="20"/>
                <w:color w:val="auto"/>
              </w:rPr>
            </w:pPr>
            <w:r>
              <w:rPr>
                <w:rFonts w:ascii="Times New Roman" w:cs="Times New Roman" w:eastAsia="Times New Roman" w:hAnsi="Times New Roman"/>
                <w:sz w:val="16"/>
                <w:szCs w:val="16"/>
                <w:color w:val="auto"/>
              </w:rPr>
              <w:t>$ 29,607</w:t>
            </w:r>
          </w:p>
        </w:tc>
      </w:tr>
    </w:tbl>
    <w:p>
      <w:pPr>
        <w:spacing w:after="0" w:line="121" w:lineRule="exact"/>
        <w:rPr>
          <w:sz w:val="20"/>
          <w:szCs w:val="20"/>
          <w:color w:val="auto"/>
        </w:rPr>
      </w:pPr>
    </w:p>
    <w:p>
      <w:pPr>
        <w:ind w:left="1140" w:right="1960"/>
        <w:spacing w:after="0" w:line="312" w:lineRule="auto"/>
        <w:rPr>
          <w:sz w:val="20"/>
          <w:szCs w:val="20"/>
          <w:color w:val="auto"/>
        </w:rPr>
      </w:pPr>
      <w:r>
        <w:rPr>
          <w:rFonts w:ascii="Times New Roman" w:cs="Times New Roman" w:eastAsia="Times New Roman" w:hAnsi="Times New Roman"/>
          <w:sz w:val="15"/>
          <w:szCs w:val="15"/>
          <w:color w:val="auto"/>
        </w:rPr>
        <w:t>The Company’s transaction costs of $4.9 million were expensed as incurred and included in general and administrative expense in the consolidated statements of operations and comprehensive (loss) income.</w:t>
      </w:r>
    </w:p>
    <w:p>
      <w:pPr>
        <w:spacing w:after="0" w:line="27" w:lineRule="exact"/>
        <w:rPr>
          <w:sz w:val="20"/>
          <w:szCs w:val="20"/>
          <w:color w:val="auto"/>
        </w:rPr>
      </w:pPr>
    </w:p>
    <w:p>
      <w:pPr>
        <w:ind w:left="1140" w:right="1160"/>
        <w:spacing w:after="0" w:line="255" w:lineRule="auto"/>
        <w:rPr>
          <w:sz w:val="20"/>
          <w:szCs w:val="20"/>
          <w:color w:val="auto"/>
        </w:rPr>
      </w:pPr>
      <w:r>
        <w:rPr>
          <w:rFonts w:ascii="Times New Roman" w:cs="Times New Roman" w:eastAsia="Times New Roman" w:hAnsi="Times New Roman"/>
          <w:sz w:val="16"/>
          <w:szCs w:val="16"/>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 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Marketable Securities and Investments</w:t>
      </w:r>
    </w:p>
    <w:p>
      <w:pPr>
        <w:spacing w:after="0" w:line="103" w:lineRule="exact"/>
        <w:rPr>
          <w:sz w:val="20"/>
          <w:szCs w:val="20"/>
          <w:color w:val="auto"/>
        </w:rPr>
      </w:pPr>
    </w:p>
    <w:p>
      <w:pPr>
        <w:ind w:left="1140" w:right="1580"/>
        <w:spacing w:after="0" w:line="277" w:lineRule="auto"/>
        <w:rPr>
          <w:sz w:val="20"/>
          <w:szCs w:val="20"/>
          <w:color w:val="auto"/>
        </w:rPr>
      </w:pPr>
      <w:r>
        <w:rPr>
          <w:rFonts w:ascii="Times New Roman" w:cs="Times New Roman" w:eastAsia="Times New Roman" w:hAnsi="Times New Roman"/>
          <w:sz w:val="16"/>
          <w:szCs w:val="16"/>
          <w:color w:val="auto"/>
        </w:rPr>
        <w:t>No marketable securities were held as of December 31, 2023. The following table summarizes the marketable securities held as of December 31, 2022 (in thousands):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7"/>
              </w:rPr>
              <w:t>Amortized</w:t>
            </w:r>
          </w:p>
        </w:tc>
        <w:tc>
          <w:tcPr>
            <w:tcW w:w="380" w:type="dxa"/>
            <w:vAlign w:val="bottom"/>
          </w:tcPr>
          <w:p>
            <w:pPr>
              <w:spacing w:after="0"/>
              <w:rPr>
                <w:sz w:val="12"/>
                <w:szCs w:val="12"/>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340" w:type="dxa"/>
            <w:vAlign w:val="bottom"/>
          </w:tcPr>
          <w:p>
            <w:pPr>
              <w:spacing w:after="0"/>
              <w:rPr>
                <w:sz w:val="12"/>
                <w:szCs w:val="12"/>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320" w:type="dxa"/>
            <w:vAlign w:val="bottom"/>
          </w:tcPr>
          <w:p>
            <w:pPr>
              <w:spacing w:after="0"/>
              <w:rPr>
                <w:sz w:val="12"/>
                <w:szCs w:val="12"/>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67"/>
        </w:trPr>
        <w:tc>
          <w:tcPr>
            <w:tcW w:w="416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cost</w:t>
            </w:r>
          </w:p>
        </w:tc>
        <w:tc>
          <w:tcPr>
            <w:tcW w:w="3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gains</w:t>
            </w:r>
          </w:p>
        </w:tc>
        <w:tc>
          <w:tcPr>
            <w:tcW w:w="340" w:type="dxa"/>
            <w:vAlign w:val="bottom"/>
          </w:tcPr>
          <w:p>
            <w:pPr>
              <w:spacing w:after="0"/>
              <w:rPr>
                <w:sz w:val="14"/>
                <w:szCs w:val="14"/>
                <w:color w:val="auto"/>
              </w:rPr>
            </w:pPr>
          </w:p>
        </w:tc>
        <w:tc>
          <w:tcPr>
            <w:tcW w:w="60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3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21"/>
        </w:trPr>
        <w:tc>
          <w:tcPr>
            <w:tcW w:w="4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50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 and treasuries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$13,566</w:t>
            </w:r>
          </w:p>
        </w:tc>
        <w:tc>
          <w:tcPr>
            <w:tcW w:w="380" w:type="dxa"/>
            <w:vAlign w:val="bottom"/>
          </w:tcPr>
          <w:p>
            <w:pPr>
              <w:spacing w:after="0"/>
              <w:rPr>
                <w:sz w:val="18"/>
                <w:szCs w:val="18"/>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$13,557</w:t>
            </w:r>
          </w:p>
        </w:tc>
      </w:tr>
      <w:tr>
        <w:trPr>
          <w:trHeight w:val="220"/>
        </w:trPr>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$ 1,953</w:t>
            </w:r>
          </w:p>
        </w:tc>
        <w:tc>
          <w:tcPr>
            <w:tcW w:w="380" w:type="dxa"/>
            <w:vAlign w:val="bottom"/>
            <w:tcBorders>
              <w:left w:val="single" w:sz="8" w:color="CCEEFF"/>
            </w:tcBorders>
            <w:shd w:val="clear" w:color="auto" w:fill="CCEEFF"/>
          </w:tcPr>
          <w:p>
            <w:pPr>
              <w:spacing w:after="0"/>
              <w:rPr>
                <w:sz w:val="19"/>
                <w:szCs w:val="19"/>
                <w:color w:val="auto"/>
              </w:rPr>
            </w:pPr>
          </w:p>
        </w:tc>
        <w:tc>
          <w:tcPr>
            <w:tcW w:w="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12,656</w:t>
            </w:r>
          </w:p>
        </w:tc>
      </w:tr>
      <w:tr>
        <w:trPr>
          <w:trHeight w:val="21"/>
        </w:trPr>
        <w:tc>
          <w:tcPr>
            <w:tcW w:w="4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46"/>
        </w:trPr>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28,175</w:t>
            </w:r>
          </w:p>
        </w:tc>
        <w:tc>
          <w:tcPr>
            <w:tcW w:w="380" w:type="dxa"/>
            <w:vAlign w:val="bottom"/>
            <w:tcBorders>
              <w:left w:val="single" w:sz="8" w:color="CCEEFF"/>
            </w:tcBorders>
            <w:shd w:val="clear" w:color="auto" w:fill="CCEEFF"/>
          </w:tcPr>
          <w:p>
            <w:pPr>
              <w:spacing w:after="0"/>
              <w:rPr>
                <w:sz w:val="21"/>
                <w:szCs w:val="21"/>
                <w:color w:val="auto"/>
              </w:rPr>
            </w:pPr>
          </w:p>
        </w:tc>
        <w:tc>
          <w:tcPr>
            <w:tcW w:w="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28,164</w:t>
            </w:r>
          </w:p>
        </w:tc>
      </w:tr>
      <w:tr>
        <w:trPr>
          <w:trHeight w:val="20"/>
        </w:trPr>
        <w:tc>
          <w:tcPr>
            <w:tcW w:w="4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103" w:lineRule="exact"/>
        <w:rPr>
          <w:sz w:val="20"/>
          <w:szCs w:val="20"/>
          <w:color w:val="auto"/>
        </w:rPr>
      </w:pPr>
    </w:p>
    <w:p>
      <w:pPr>
        <w:ind w:left="1140" w:right="1280"/>
        <w:spacing w:after="0" w:line="257" w:lineRule="auto"/>
        <w:rPr>
          <w:sz w:val="20"/>
          <w:szCs w:val="20"/>
          <w:color w:val="auto"/>
        </w:rPr>
      </w:pPr>
      <w:r>
        <w:rPr>
          <w:rFonts w:ascii="Times New Roman" w:cs="Times New Roman" w:eastAsia="Times New Roman" w:hAnsi="Times New Roman"/>
          <w:sz w:val="16"/>
          <w:szCs w:val="16"/>
          <w:color w:val="auto"/>
        </w:rPr>
        <w:t>As of December 31, 2023 and 2022, the Company has a $2.0 million investment in Cyrus Biotechnology, Inc., or Cyrus, pursuant to the Company's Collaboration and License Agreement with Cyrus, or the Cyrus Agreement. The Company’s maximum exposure to loss related to this VIE is limited to the carrying value of the investment. See Note 16 for details.</w:t>
      </w:r>
    </w:p>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 Net (Loss) Income Per Share</w:t>
      </w:r>
    </w:p>
    <w:p>
      <w:pPr>
        <w:spacing w:after="0" w:line="103" w:lineRule="exact"/>
        <w:rPr>
          <w:sz w:val="20"/>
          <w:szCs w:val="20"/>
          <w:color w:val="auto"/>
        </w:rPr>
      </w:pPr>
    </w:p>
    <w:p>
      <w:pPr>
        <w:ind w:left="1140" w:right="1140"/>
        <w:spacing w:after="0" w:line="257" w:lineRule="auto"/>
        <w:rPr>
          <w:sz w:val="20"/>
          <w:szCs w:val="20"/>
          <w:color w:val="auto"/>
        </w:rPr>
      </w:pPr>
      <w:r>
        <w:rPr>
          <w:rFonts w:ascii="Times New Roman" w:cs="Times New Roman" w:eastAsia="Times New Roman" w:hAnsi="Times New Roman"/>
          <w:sz w:val="16"/>
          <w:szCs w:val="16"/>
          <w:color w:val="auto"/>
        </w:rPr>
        <w:t>The Company reported a net loss for the years ended December 31, 2023 and 2021, and net income for the year ended December 31, 2022. The Company used the treasury stock method to determine the number of dilutive shares. The following table sets forth the computation of basic and diluted net (loss) income per share (in thousands, except share and per-share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 income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$ 35,379</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$(25,687)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CVR distribution to participating securities</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(loss) income allocable to shares of common stock -</w:t>
            </w: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(257,260)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35,379</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Change in fair value of warrants</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(20,882)</w:t>
            </w:r>
          </w:p>
        </w:tc>
        <w:tc>
          <w:tcPr>
            <w:tcW w:w="4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(loss) income allocable to shares of common stock -</w:t>
            </w: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(257,260)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$ 14,497</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(25,687)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vMerge w:val="restart"/>
          </w:tcPr>
          <w:p>
            <w:pPr>
              <w:ind w:left="3560"/>
              <w:spacing w:after="0"/>
              <w:rPr>
                <w:sz w:val="20"/>
                <w:szCs w:val="20"/>
                <w:color w:val="auto"/>
              </w:rPr>
            </w:pPr>
            <w:r>
              <w:rPr>
                <w:rFonts w:ascii="Times New Roman" w:cs="Times New Roman" w:eastAsia="Times New Roman" w:hAnsi="Times New Roman"/>
                <w:sz w:val="16"/>
                <w:szCs w:val="16"/>
                <w:color w:val="auto"/>
              </w:rPr>
              <w:t>F-59</w:t>
            </w: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203" w:name="page204"/>
    <w:bookmarkEnd w:id="203"/>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620" w:type="dxa"/>
            <w:vAlign w:val="bottom"/>
          </w:tcPr>
          <w:p>
            <w:pPr>
              <w:spacing w:after="0"/>
              <w:rPr>
                <w:sz w:val="24"/>
                <w:szCs w:val="24"/>
                <w:color w:val="auto"/>
              </w:rPr>
            </w:pPr>
          </w:p>
        </w:tc>
      </w:tr>
      <w:tr>
        <w:trPr>
          <w:trHeight w:val="21"/>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r>
      <w:tr>
        <w:trPr>
          <w:trHeight w:val="210"/>
        </w:trPr>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114,328,798</w:t>
            </w:r>
          </w:p>
        </w:tc>
      </w:tr>
      <w:tr>
        <w:trPr>
          <w:trHeight w:val="189"/>
        </w:trPr>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Dilutive effect of employee equity incentive plans and</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r>
      <w:tr>
        <w:trPr>
          <w:trHeight w:val="235"/>
        </w:trPr>
        <w:tc>
          <w:tcPr>
            <w:tcW w:w="40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outstanding warrants</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1,116,334</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408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used in per share</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07"/>
        </w:trPr>
        <w:tc>
          <w:tcPr>
            <w:tcW w:w="4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calculations - diluted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114,328,798</w:t>
            </w:r>
          </w:p>
        </w:tc>
      </w:tr>
      <w:tr>
        <w:trPr>
          <w:trHeight w:val="20"/>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per share:</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r>
      <w:tr>
        <w:trPr>
          <w:trHeight w:val="202"/>
        </w:trPr>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45"/>
        </w:trPr>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The following table represents the potential dilutive shares of common stock excluded from the computation of the diluted net (loss) income per share for all periods presented, as the effect would have been anti-dilutive:</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2500" w:type="dxa"/>
            <w:vAlign w:val="bottom"/>
            <w:gridSpan w:val="5"/>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4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1"/>
        </w:trPr>
        <w:tc>
          <w:tcPr>
            <w:tcW w:w="4900" w:type="dxa"/>
            <w:vAlign w:val="bottom"/>
          </w:tcPr>
          <w:p>
            <w:pPr>
              <w:spacing w:after="0"/>
              <w:rPr>
                <w:sz w:val="13"/>
                <w:szCs w:val="13"/>
                <w:color w:val="auto"/>
              </w:rPr>
            </w:pPr>
          </w:p>
        </w:tc>
        <w:tc>
          <w:tcPr>
            <w:tcW w:w="78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4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31,224,703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213,339</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10,735,980</w:t>
            </w:r>
          </w:p>
        </w:tc>
      </w:tr>
      <w:tr>
        <w:trPr>
          <w:trHeight w:val="207"/>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435,120,513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99,140,326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options, RSUs and ESPP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17,800,034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11,492,002</w:t>
            </w:r>
          </w:p>
        </w:tc>
      </w:tr>
      <w:tr>
        <w:trPr>
          <w:trHeight w:val="21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49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602,904,502</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18,013,373</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22,227,982</w:t>
            </w:r>
          </w:p>
        </w:tc>
      </w:tr>
      <w:tr>
        <w:trPr>
          <w:trHeight w:val="20"/>
        </w:trPr>
        <w:tc>
          <w:tcPr>
            <w:tcW w:w="4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6. Fair Value Measurements</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December 31, 2023 and 2022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7"/>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Level 1</w:t>
            </w:r>
          </w:p>
        </w:tc>
        <w:tc>
          <w:tcPr>
            <w:tcW w:w="140" w:type="dxa"/>
            <w:vAlign w:val="bottom"/>
          </w:tcPr>
          <w:p>
            <w:pPr>
              <w:spacing w:after="0"/>
              <w:rPr>
                <w:sz w:val="13"/>
                <w:szCs w:val="13"/>
                <w:color w:val="auto"/>
              </w:rPr>
            </w:pPr>
          </w:p>
        </w:tc>
        <w:tc>
          <w:tcPr>
            <w:tcW w:w="68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3"/>
                <w:szCs w:val="13"/>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9"/>
              </w:rPr>
              <w:t>Level 3</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$ 41,161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$41,161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140" w:type="dxa"/>
            <w:vAlign w:val="bottom"/>
          </w:tcPr>
          <w:p>
            <w:pPr>
              <w:spacing w:after="0"/>
              <w:rPr>
                <w:sz w:val="23"/>
                <w:szCs w:val="2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300" w:type="dxa"/>
            <w:vAlign w:val="bottom"/>
            <w:tcBorders>
              <w:right w:val="single" w:sz="8" w:color="CCEEFF"/>
            </w:tcBorders>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$ 41,161</w:t>
            </w:r>
          </w:p>
        </w:tc>
        <w:tc>
          <w:tcPr>
            <w:tcW w:w="6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41,161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4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spacing w:after="0"/>
              <w:rPr>
                <w:sz w:val="20"/>
                <w:szCs w:val="20"/>
                <w:color w:val="auto"/>
              </w:rPr>
            </w:pPr>
          </w:p>
        </w:tc>
        <w:tc>
          <w:tcPr>
            <w:tcW w:w="348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6,394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13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3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86"/>
              </w:rPr>
              <w:t>$</w:t>
            </w:r>
            <w:r>
              <w:rPr>
                <w:rFonts w:ascii="Times New Roman" w:cs="Times New Roman" w:eastAsia="Times New Roman" w:hAnsi="Times New Roman"/>
                <w:sz w:val="16"/>
                <w:szCs w:val="16"/>
                <w:color w:val="auto"/>
                <w:w w:val="86"/>
              </w:rPr>
              <w:t>393,301</w:t>
            </w:r>
          </w:p>
        </w:tc>
        <w:tc>
          <w:tcPr>
            <w:tcW w:w="160" w:type="dxa"/>
            <w:vAlign w:val="bottom"/>
            <w:tcBorders>
              <w:left w:val="single" w:sz="8" w:color="CCEEFF"/>
            </w:tcBorders>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28,307</w:t>
            </w:r>
          </w:p>
        </w:tc>
        <w:tc>
          <w:tcPr>
            <w:tcW w:w="120" w:type="dxa"/>
            <w:vAlign w:val="bottom"/>
            <w:tcBorders>
              <w:left w:val="single" w:sz="8" w:color="CCEEFF"/>
            </w:tcBorders>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5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364,994</w:t>
            </w:r>
          </w:p>
        </w:tc>
        <w:tc>
          <w:tcPr>
            <w:tcW w:w="1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89"/>
              </w:rPr>
              <w:t>Level 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$53,552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$53,552</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30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government agency securities and treasuries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1,951</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paper</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140" w:type="dxa"/>
            <w:vAlign w:val="bottom"/>
          </w:tcPr>
          <w:p>
            <w:pPr>
              <w:spacing w:after="0"/>
              <w:rPr>
                <w:sz w:val="23"/>
                <w:szCs w:val="2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300" w:type="dxa"/>
            <w:vAlign w:val="bottom"/>
            <w:tcBorders>
              <w:right w:val="single" w:sz="8" w:color="CCEEFF"/>
            </w:tcBorders>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81,716</w:t>
            </w:r>
          </w:p>
        </w:tc>
        <w:tc>
          <w:tcPr>
            <w:tcW w:w="240" w:type="dxa"/>
            <w:vAlign w:val="bottom"/>
            <w:tcBorders>
              <w:left w:val="single" w:sz="8" w:color="CCEEFF"/>
              <w:right w:val="single" w:sz="8" w:color="CCEEFF"/>
            </w:tcBorders>
            <w:gridSpan w:val="2"/>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53,552</w:t>
            </w:r>
          </w:p>
        </w:tc>
        <w:tc>
          <w:tcPr>
            <w:tcW w:w="820" w:type="dxa"/>
            <w:vAlign w:val="bottom"/>
            <w:tcBorders>
              <w:left w:val="single" w:sz="8" w:color="CCEEFF"/>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28,164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701"/>
        </w:trPr>
        <w:tc>
          <w:tcPr>
            <w:tcW w:w="114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F-60</w:t>
            </w: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39" w:right="1119" w:bottom="1440" w:gutter="0" w:footer="0" w:header="0"/>
        </w:sectPr>
      </w:pPr>
    </w:p>
    <w:bookmarkStart w:id="204" w:name="page205"/>
    <w:bookmarkEnd w:id="204"/>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3"/>
                <w:szCs w:val="13"/>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220" w:type="dxa"/>
            <w:vAlign w:val="bottom"/>
          </w:tcPr>
          <w:p>
            <w:pPr>
              <w:spacing w:after="0"/>
              <w:rPr>
                <w:sz w:val="13"/>
                <w:szCs w:val="13"/>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Level 3</w:t>
            </w:r>
          </w:p>
        </w:tc>
      </w:tr>
      <w:tr>
        <w:trPr>
          <w:trHeight w:val="21"/>
        </w:trPr>
        <w:tc>
          <w:tcPr>
            <w:tcW w:w="1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8"/>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5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$19,140</w:t>
            </w:r>
          </w:p>
        </w:tc>
        <w:tc>
          <w:tcPr>
            <w:tcW w:w="240" w:type="dxa"/>
            <w:vAlign w:val="bottom"/>
          </w:tcPr>
          <w:p>
            <w:pPr>
              <w:spacing w:after="0"/>
              <w:rPr>
                <w:sz w:val="18"/>
                <w:szCs w:val="18"/>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1"/>
              </w:rPr>
              <w:t>$—</w:t>
            </w:r>
          </w:p>
        </w:tc>
        <w:tc>
          <w:tcPr>
            <w:tcW w:w="220" w:type="dxa"/>
            <w:vAlign w:val="bottom"/>
          </w:tcPr>
          <w:p>
            <w:pPr>
              <w:spacing w:after="0"/>
              <w:rPr>
                <w:sz w:val="18"/>
                <w:szCs w:val="18"/>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20" w:type="dxa"/>
            <w:vAlign w:val="bottom"/>
          </w:tcPr>
          <w:p>
            <w:pPr>
              <w:spacing w:after="0"/>
              <w:rPr>
                <w:sz w:val="18"/>
                <w:szCs w:val="18"/>
                <w:color w:val="auto"/>
              </w:rPr>
            </w:pPr>
          </w:p>
        </w:tc>
      </w:tr>
      <w:tr>
        <w:trPr>
          <w:trHeight w:val="21"/>
        </w:trPr>
        <w:tc>
          <w:tcPr>
            <w:tcW w:w="1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19,140</w:t>
            </w:r>
          </w:p>
        </w:tc>
        <w:tc>
          <w:tcPr>
            <w:tcW w:w="240" w:type="dxa"/>
            <w:vAlign w:val="bottom"/>
            <w:tcBorders>
              <w:left w:val="single" w:sz="8" w:color="CCEEFF"/>
            </w:tcBorders>
            <w:shd w:val="clear" w:color="auto" w:fill="CCEEFF"/>
          </w:tcPr>
          <w:p>
            <w:pPr>
              <w:spacing w:after="0"/>
              <w:rPr>
                <w:sz w:val="21"/>
                <w:szCs w:val="21"/>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w:t>
            </w:r>
          </w:p>
        </w:tc>
        <w:tc>
          <w:tcPr>
            <w:tcW w:w="2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19,140</w:t>
            </w:r>
          </w:p>
        </w:tc>
        <w:tc>
          <w:tcPr>
            <w:tcW w:w="20" w:type="dxa"/>
            <w:vAlign w:val="bottom"/>
            <w:shd w:val="clear" w:color="auto" w:fill="CCEEFF"/>
          </w:tcPr>
          <w:p>
            <w:pPr>
              <w:spacing w:after="0"/>
              <w:rPr>
                <w:sz w:val="21"/>
                <w:szCs w:val="21"/>
                <w:color w:val="auto"/>
              </w:rPr>
            </w:pP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There were no transfers within the fair value hierarchy during the years ended December 31, 2023 or 2022.</w:t>
      </w:r>
    </w:p>
    <w:p>
      <w:pPr>
        <w:spacing w:after="0" w:line="2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Cash, Cash Equivalents, and Restricted Cash</w:t>
      </w:r>
    </w:p>
    <w:p>
      <w:pPr>
        <w:spacing w:after="0" w:line="103" w:lineRule="exact"/>
        <w:rPr>
          <w:sz w:val="20"/>
          <w:szCs w:val="20"/>
          <w:color w:val="auto"/>
        </w:rPr>
      </w:pPr>
    </w:p>
    <w:p>
      <w:pPr>
        <w:ind w:left="800" w:right="1319"/>
        <w:spacing w:after="0" w:line="277" w:lineRule="auto"/>
        <w:rPr>
          <w:sz w:val="20"/>
          <w:szCs w:val="20"/>
          <w:color w:val="auto"/>
        </w:rPr>
      </w:pPr>
      <w:r>
        <w:rPr>
          <w:rFonts w:ascii="Times New Roman" w:cs="Times New Roman" w:eastAsia="Times New Roman" w:hAnsi="Times New Roman"/>
          <w:sz w:val="16"/>
          <w:szCs w:val="16"/>
          <w:color w:val="auto"/>
        </w:rPr>
        <w:t>As of December 31, 2023 and 2022, money market funds were classified as cash and cash equivalents on the accompanying consolidated balance sheets as they mature within 90 days from the date of purchase.</w:t>
      </w:r>
    </w:p>
    <w:p>
      <w:pPr>
        <w:spacing w:after="0" w:line="50"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As of December 31, 2023, the Company had restricted cash balances relating to a secured letter of credit in connection with its lease for the Company’s prior headquarters (see Note 9 included elsewhere in this Annual Report). Short-term restricted cash is included within prepaid expenses and other current assets in the consolidated balance sheets. The Company’s consolidated statement of cash flows includes the following as of December 31, 2023, 2022 and 2021 (in thousands):</w:t>
      </w:r>
    </w:p>
    <w:p>
      <w:pPr>
        <w:spacing w:after="0" w:line="193"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2080" w:type="dxa"/>
            <w:vAlign w:val="bottom"/>
            <w:gridSpan w:val="6"/>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1"/>
        </w:trPr>
        <w:tc>
          <w:tcPr>
            <w:tcW w:w="532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$76,911</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$106,438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$114,057</w:t>
            </w: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Short-term restricted cash</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78,288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108,038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115,436</w:t>
            </w:r>
          </w:p>
        </w:tc>
      </w:tr>
      <w:tr>
        <w:trPr>
          <w:trHeight w:val="20"/>
        </w:trPr>
        <w:tc>
          <w:tcPr>
            <w:tcW w:w="5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Marketable Securities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No marketable securities were held as of December 31, 2023. Marketable securities held as of December 31, 2022 and classified as Level 2 within the valuation hierarchy consist of U.S. government agency securities and treasuries, corporate bonds and commercial paper. Marketable securities represent holdings of available-for-sale marketable debt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Warrants to Purchase Common Stock</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common warrants are required to be measured at fair value and reported as a liability on the balance sheet. On December 20, 2022, the Company amended the terms of the outstanding 2019 Warrants held by certain members of its Board of Directors, or the Amended 2019 Warrants, to remove the cash settlement provision. As a result, the Amended 2019 Warrants were remeasured at fair value on December 20, 2022 and reclassified from a liability to equity on the balance sheet. Refer to Note 12 for further discussion on the equity-classified Amended 2019 Warrants.</w:t>
      </w:r>
    </w:p>
    <w:p>
      <w:pPr>
        <w:spacing w:after="0" w:line="70"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05" w:name="page206"/>
    <w:bookmarkEnd w:id="20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The changes in the fair values of the warrants are reflected in the statement of operations and comprehensive income (loss) for the years ended December 31, 2023, 2022 and 2021.</w:t>
      </w:r>
    </w:p>
    <w:p>
      <w:pPr>
        <w:spacing w:after="0" w:line="7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estimated fair values of the 2019 Warrants and the 2022 Warrants were determined using the following inputs to the Black-Scholes simulation valuation:</w:t>
      </w:r>
    </w:p>
    <w:p>
      <w:pPr>
        <w:spacing w:after="0" w:line="48" w:lineRule="exact"/>
        <w:rPr>
          <w:sz w:val="20"/>
          <w:szCs w:val="20"/>
          <w:color w:val="auto"/>
        </w:rPr>
      </w:pPr>
    </w:p>
    <w:p>
      <w:pPr>
        <w:ind w:left="1120" w:right="879"/>
        <w:spacing w:after="0" w:line="280" w:lineRule="auto"/>
        <w:rPr>
          <w:sz w:val="20"/>
          <w:szCs w:val="20"/>
          <w:color w:val="auto"/>
        </w:rPr>
      </w:pPr>
      <w:r>
        <w:rPr>
          <w:rFonts w:ascii="Times New Roman" w:cs="Times New Roman" w:eastAsia="Times New Roman" w:hAnsi="Times New Roman"/>
          <w:sz w:val="16"/>
          <w:szCs w:val="16"/>
          <w:i w:val="1"/>
          <w:iCs w:val="1"/>
          <w:color w:val="auto"/>
        </w:rPr>
        <w:t>Estimated fair value of the underlying stock</w:t>
      </w:r>
      <w:r>
        <w:rPr>
          <w:rFonts w:ascii="Times New Roman" w:cs="Times New Roman" w:eastAsia="Times New Roman" w:hAnsi="Times New Roman"/>
          <w:sz w:val="16"/>
          <w:szCs w:val="16"/>
          <w:color w:val="auto"/>
        </w:rPr>
        <w:t>. The Company estimates the fair value of the common stock 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closing stock price at the end of each reporting period.</w:t>
      </w:r>
    </w:p>
    <w:p>
      <w:pPr>
        <w:spacing w:after="0" w:line="46" w:lineRule="exact"/>
        <w:rPr>
          <w:sz w:val="20"/>
          <w:szCs w:val="20"/>
          <w:color w:val="auto"/>
        </w:rPr>
      </w:pPr>
    </w:p>
    <w:p>
      <w:pPr>
        <w:ind w:left="1120" w:right="1639"/>
        <w:spacing w:after="0" w:line="280" w:lineRule="auto"/>
        <w:rPr>
          <w:sz w:val="20"/>
          <w:szCs w:val="20"/>
          <w:color w:val="auto"/>
        </w:rPr>
      </w:pPr>
      <w:r>
        <w:rPr>
          <w:rFonts w:ascii="Times New Roman" w:cs="Times New Roman" w:eastAsia="Times New Roman" w:hAnsi="Times New Roman"/>
          <w:sz w:val="16"/>
          <w:szCs w:val="16"/>
          <w:i w:val="1"/>
          <w:iCs w:val="1"/>
          <w:color w:val="auto"/>
        </w:rPr>
        <w:t>Risk-free interest rate</w:t>
      </w:r>
      <w:r>
        <w:rPr>
          <w:rFonts w:ascii="Times New Roman" w:cs="Times New Roman" w:eastAsia="Times New Roman" w:hAnsi="Times New Roman"/>
          <w:sz w:val="16"/>
          <w:szCs w:val="16"/>
          <w:color w:val="auto"/>
        </w:rPr>
        <w:t>. The risk-free interest rate is based on the U.S. Treasury at the valuation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commensurate with the expected remaining life assumption.</w:t>
      </w:r>
    </w:p>
    <w:p>
      <w:pPr>
        <w:spacing w:after="0" w:line="46"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Dividend rate</w:t>
      </w:r>
      <w:r>
        <w:rPr>
          <w:rFonts w:ascii="Times New Roman" w:cs="Times New Roman" w:eastAsia="Times New Roman" w:hAnsi="Times New Roman"/>
          <w:sz w:val="16"/>
          <w:szCs w:val="16"/>
          <w:color w:val="auto"/>
        </w:rPr>
        <w:t>. The dividend rate is based on the historical rate, which the Company anticipates will remain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zero.</w:t>
      </w:r>
    </w:p>
    <w:p>
      <w:pPr>
        <w:spacing w:after="0" w:line="46" w:lineRule="exact"/>
        <w:rPr>
          <w:sz w:val="20"/>
          <w:szCs w:val="20"/>
          <w:color w:val="auto"/>
        </w:rPr>
      </w:pPr>
    </w:p>
    <w:p>
      <w:pPr>
        <w:ind w:left="1120" w:right="1139"/>
        <w:spacing w:after="0" w:line="315" w:lineRule="auto"/>
        <w:rPr>
          <w:sz w:val="20"/>
          <w:szCs w:val="20"/>
          <w:color w:val="auto"/>
        </w:rPr>
      </w:pPr>
      <w:r>
        <w:rPr>
          <w:rFonts w:ascii="Times New Roman" w:cs="Times New Roman" w:eastAsia="Times New Roman" w:hAnsi="Times New Roman"/>
          <w:sz w:val="15"/>
          <w:szCs w:val="15"/>
          <w:i w:val="1"/>
          <w:iCs w:val="1"/>
          <w:color w:val="auto"/>
        </w:rPr>
        <w:t>Expected life</w:t>
      </w:r>
      <w:r>
        <w:rPr>
          <w:rFonts w:ascii="Times New Roman" w:cs="Times New Roman" w:eastAsia="Times New Roman" w:hAnsi="Times New Roman"/>
          <w:sz w:val="15"/>
          <w:szCs w:val="15"/>
          <w:color w:val="auto"/>
        </w:rPr>
        <w:t>. The expected life of the 2019 Warrants and the 2022 Warrants is assumed to be equivalent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remaining contractual terms which expire on December 23, 2024 and April 11, 2027, respectively.</w:t>
      </w:r>
    </w:p>
    <w:p>
      <w:pPr>
        <w:spacing w:after="0" w:line="22" w:lineRule="exact"/>
        <w:rPr>
          <w:sz w:val="20"/>
          <w:szCs w:val="20"/>
          <w:color w:val="auto"/>
        </w:rPr>
      </w:pPr>
    </w:p>
    <w:p>
      <w:pPr>
        <w:ind w:left="1120" w:right="1219"/>
        <w:spacing w:after="0" w:line="280" w:lineRule="auto"/>
        <w:rPr>
          <w:sz w:val="20"/>
          <w:szCs w:val="20"/>
          <w:color w:val="auto"/>
        </w:rPr>
      </w:pPr>
      <w:r>
        <w:rPr>
          <w:rFonts w:ascii="Times New Roman" w:cs="Times New Roman" w:eastAsia="Times New Roman" w:hAnsi="Times New Roman"/>
          <w:sz w:val="16"/>
          <w:szCs w:val="16"/>
          <w:i w:val="1"/>
          <w:iCs w:val="1"/>
          <w:color w:val="auto"/>
        </w:rPr>
        <w:t>Volatility</w:t>
      </w:r>
      <w:r>
        <w:rPr>
          <w:rFonts w:ascii="Times New Roman" w:cs="Times New Roman" w:eastAsia="Times New Roman" w:hAnsi="Times New Roman"/>
          <w:sz w:val="16"/>
          <w:szCs w:val="16"/>
          <w:color w:val="auto"/>
        </w:rPr>
        <w:t>. The Company estimates stock price volatility based on the Company’s historical volatility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time commensurate with the expected remaining life of the warrants.</w:t>
      </w:r>
    </w:p>
    <w:p>
      <w:pPr>
        <w:spacing w:after="0" w:line="48"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2019 Warrants liability is as follows: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61"/>
        </w:trPr>
        <w:tc>
          <w:tcPr>
            <w:tcW w:w="574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0.98</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1.98</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83.67%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79.92%</w:t>
            </w:r>
          </w:p>
        </w:tc>
      </w:tr>
    </w:tbl>
    <w:p>
      <w:pPr>
        <w:spacing w:after="0" w:line="121" w:lineRule="exact"/>
        <w:rPr>
          <w:sz w:val="20"/>
          <w:szCs w:val="20"/>
          <w:color w:val="auto"/>
        </w:rPr>
      </w:pPr>
    </w:p>
    <w:p>
      <w:pPr>
        <w:ind w:left="800" w:right="1059"/>
        <w:spacing w:after="0" w:line="277" w:lineRule="auto"/>
        <w:rPr>
          <w:sz w:val="20"/>
          <w:szCs w:val="20"/>
          <w:color w:val="auto"/>
        </w:rPr>
      </w:pPr>
      <w:r>
        <w:rPr>
          <w:rFonts w:ascii="Times New Roman" w:cs="Times New Roman" w:eastAsia="Times New Roman" w:hAnsi="Times New Roman"/>
          <w:sz w:val="16"/>
          <w:szCs w:val="16"/>
          <w:color w:val="auto"/>
        </w:rPr>
        <w:t>A summary of the Black-Scholes valuation model assumptions used to record the fair value of the 2022 Warrants liability is as follows: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61"/>
        </w:trPr>
        <w:tc>
          <w:tcPr>
            <w:tcW w:w="574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3.28</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4.28</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84.09%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98.05%</w:t>
            </w:r>
          </w:p>
        </w:tc>
      </w:tr>
    </w:tbl>
    <w:p>
      <w:pPr>
        <w:spacing w:after="0" w:line="121"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warrant liabilities (see Note 12), for the year ended December 31, 2023 (in thousands):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Warrant liabilities</w:t>
            </w: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19,140</w:t>
            </w:r>
          </w:p>
        </w:tc>
        <w:tc>
          <w:tcPr>
            <w:tcW w:w="220" w:type="dxa"/>
            <w:vAlign w:val="bottom"/>
            <w:shd w:val="clear" w:color="auto" w:fill="CCEEFF"/>
          </w:tcPr>
          <w:p>
            <w:pPr>
              <w:spacing w:after="0"/>
              <w:rPr>
                <w:sz w:val="18"/>
                <w:szCs w:val="18"/>
                <w:color w:val="auto"/>
              </w:rPr>
            </w:pPr>
          </w:p>
        </w:tc>
      </w:tr>
      <w:tr>
        <w:trPr>
          <w:trHeight w:val="216"/>
        </w:trPr>
        <w:tc>
          <w:tcPr>
            <w:tcW w:w="6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2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(12,746)</w:t>
            </w:r>
          </w:p>
        </w:tc>
      </w:tr>
      <w:tr>
        <w:trPr>
          <w:trHeight w:val="21"/>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6,394</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December 6, 2023, as contemplated by the Merger Agreement, the Company entered into the CVR Agreement, pursuant to which each holder of common stock as of December 4, 2023 or a 2022 Warrant was distributed a CVR, issued by the Company for each share of common stock held directly or underlying a 2022 Warrant held by such holder as of December 4, 2023. Holders of warrants other than the 2022 Warrants will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6" w:name="page207"/>
    <w:bookmarkEnd w:id="206"/>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40"/>
        <w:spacing w:after="0" w:line="277" w:lineRule="auto"/>
        <w:rPr>
          <w:sz w:val="20"/>
          <w:szCs w:val="20"/>
          <w:color w:val="auto"/>
        </w:rPr>
      </w:pPr>
      <w:r>
        <w:rPr>
          <w:rFonts w:ascii="Times New Roman" w:cs="Times New Roman" w:eastAsia="Times New Roman" w:hAnsi="Times New Roman"/>
          <w:sz w:val="16"/>
          <w:szCs w:val="16"/>
          <w:color w:val="auto"/>
        </w:rPr>
        <w:t>entitled to receive, upon exercise of such warrants and in accordance with the terms of the warrants, one CVR per each share of common stock underlying such warrants.</w:t>
      </w:r>
    </w:p>
    <w:p>
      <w:pPr>
        <w:spacing w:after="0" w:line="50" w:lineRule="exact"/>
        <w:rPr>
          <w:sz w:val="20"/>
          <w:szCs w:val="20"/>
          <w:color w:val="auto"/>
        </w:rPr>
      </w:pPr>
    </w:p>
    <w:p>
      <w:pPr>
        <w:jc w:val="both"/>
        <w:ind w:left="1140" w:right="1560"/>
        <w:spacing w:after="0" w:line="312"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Sobi License) ends, or the Termination Date:</w:t>
      </w:r>
    </w:p>
    <w:p>
      <w:pPr>
        <w:spacing w:after="0" w:line="27" w:lineRule="exact"/>
        <w:rPr>
          <w:sz w:val="20"/>
          <w:szCs w:val="20"/>
          <w:color w:val="auto"/>
        </w:rPr>
      </w:pPr>
    </w:p>
    <w:p>
      <w:pPr>
        <w:ind w:left="1760" w:right="1320" w:hanging="305"/>
        <w:spacing w:after="0" w:line="257" w:lineRule="auto"/>
        <w:tabs>
          <w:tab w:leader="none" w:pos="17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760" w:right="1140" w:hanging="305"/>
        <w:spacing w:after="0" w:line="253" w:lineRule="auto"/>
        <w:tabs>
          <w:tab w:leader="none" w:pos="17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1140" w:right="1200"/>
        <w:spacing w:after="0" w:line="251" w:lineRule="auto"/>
        <w:rPr>
          <w:sz w:val="20"/>
          <w:szCs w:val="20"/>
          <w:color w:val="auto"/>
        </w:rPr>
      </w:pPr>
      <w:r>
        <w:rPr>
          <w:rFonts w:ascii="Times New Roman" w:cs="Times New Roman" w:eastAsia="Times New Roman" w:hAnsi="Times New Roman"/>
          <w:sz w:val="16"/>
          <w:szCs w:val="16"/>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w:t>
      </w:r>
    </w:p>
    <w:p>
      <w:pPr>
        <w:spacing w:after="0" w:line="69"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 xml:space="preserve">The CVRs represent financial instruments that are accounted for under the fair value option election in </w:t>
      </w:r>
      <w:r>
        <w:rPr>
          <w:rFonts w:ascii="Times New Roman" w:cs="Times New Roman" w:eastAsia="Times New Roman" w:hAnsi="Times New Roman"/>
          <w:sz w:val="16"/>
          <w:szCs w:val="16"/>
          <w:i w:val="1"/>
          <w:iCs w:val="1"/>
          <w:color w:val="auto"/>
        </w:rPr>
        <w:t>ASC 825,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Under the fair value option election, the CVRs are initially measured at the aggregate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At Issuance</w:t>
            </w: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November 13,</w:t>
            </w:r>
          </w:p>
        </w:tc>
        <w:tc>
          <w:tcPr>
            <w:tcW w:w="0" w:type="dxa"/>
            <w:vAlign w:val="bottom"/>
          </w:tcPr>
          <w:p>
            <w:pPr>
              <w:spacing w:after="0"/>
              <w:rPr>
                <w:sz w:val="1"/>
                <w:szCs w:val="1"/>
                <w:color w:val="auto"/>
              </w:rPr>
            </w:pPr>
          </w:p>
        </w:tc>
      </w:tr>
      <w:tr>
        <w:trPr>
          <w:trHeight w:val="172"/>
        </w:trPr>
        <w:tc>
          <w:tcPr>
            <w:tcW w:w="5480" w:type="dxa"/>
            <w:vAlign w:val="bottom"/>
          </w:tcPr>
          <w:p>
            <w:pPr>
              <w:spacing w:after="0"/>
              <w:rPr>
                <w:sz w:val="14"/>
                <w:szCs w:val="14"/>
                <w:color w:val="auto"/>
              </w:rPr>
            </w:pPr>
          </w:p>
        </w:tc>
        <w:tc>
          <w:tcPr>
            <w:tcW w:w="78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22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8"/>
              </w:rPr>
              <w:t>2024 - 2038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2024 - 2038</w:t>
            </w: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Risk-adjusted discount rate</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48"/>
        </w:trPr>
        <w:tc>
          <w:tcPr>
            <w:tcW w:w="54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CVR liability for the year ended</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December 31,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6"/>
              </w:rPr>
              <w:t>CVR liability</w:t>
            </w:r>
          </w:p>
        </w:tc>
        <w:tc>
          <w:tcPr>
            <w:tcW w:w="1140" w:type="dxa"/>
            <w:vAlign w:val="bottom"/>
          </w:tcPr>
          <w:p>
            <w:pPr>
              <w:spacing w:after="0"/>
              <w:rPr>
                <w:sz w:val="14"/>
                <w:szCs w:val="14"/>
                <w:color w:val="auto"/>
              </w:rPr>
            </w:pPr>
          </w:p>
        </w:tc>
      </w:tr>
      <w:tr>
        <w:trPr>
          <w:trHeight w:val="222"/>
        </w:trPr>
        <w:tc>
          <w:tcPr>
            <w:tcW w:w="114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45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340,300</w:t>
            </w: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3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114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8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40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384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358,600</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60" w:type="dxa"/>
            <w:vAlign w:val="bottom"/>
            <w:gridSpan w:val="2"/>
          </w:tcPr>
          <w:p>
            <w:pPr>
              <w:jc w:val="right"/>
              <w:ind w:right="2929"/>
              <w:spacing w:after="0"/>
              <w:rPr>
                <w:sz w:val="20"/>
                <w:szCs w:val="20"/>
                <w:color w:val="auto"/>
              </w:rPr>
            </w:pPr>
            <w:r>
              <w:rPr>
                <w:rFonts w:ascii="Times New Roman" w:cs="Times New Roman" w:eastAsia="Times New Roman" w:hAnsi="Times New Roman"/>
                <w:sz w:val="16"/>
                <w:szCs w:val="16"/>
                <w:color w:val="auto"/>
              </w:rPr>
              <w:t>F-63</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07" w:name="page208"/>
    <w:bookmarkEnd w:id="20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Forward Contract Liabilities</w:t>
      </w:r>
    </w:p>
    <w:p>
      <w:pPr>
        <w:spacing w:after="0" w:line="3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Merger Consideration</w:t>
      </w:r>
    </w:p>
    <w:p>
      <w:pPr>
        <w:spacing w:after="0" w:line="101"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In connection with the Merger, the Company entered into a contract for the issuance of 384,930.724 shares of Series A Preferred Stock as part of the consideration transferred. The fair value of the forward contract at the Closing Date (defined below) was $155.3 million. The non-cash settlement of this liability occurred on December 5, 2023 with the issuance of the Series A Preferred Stock for $261.8 million.</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November 2023 Private Placement</w:t>
      </w:r>
    </w:p>
    <w:p>
      <w:pPr>
        <w:spacing w:after="0" w:line="101" w:lineRule="exact"/>
        <w:rPr>
          <w:sz w:val="20"/>
          <w:szCs w:val="20"/>
          <w:color w:val="auto"/>
        </w:rPr>
      </w:pPr>
    </w:p>
    <w:p>
      <w:pPr>
        <w:ind w:left="800" w:right="859"/>
        <w:spacing w:after="0" w:line="271" w:lineRule="auto"/>
        <w:rPr>
          <w:sz w:val="20"/>
          <w:szCs w:val="20"/>
          <w:color w:val="auto"/>
        </w:rPr>
      </w:pPr>
      <w:r>
        <w:rPr>
          <w:rFonts w:ascii="Times New Roman" w:cs="Times New Roman" w:eastAsia="Times New Roman" w:hAnsi="Times New Roman"/>
          <w:sz w:val="15"/>
          <w:szCs w:val="15"/>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11. The fair value of the forward contract liability on November 13, 2023 was insignificant as the fair value of the underlying Series A Preferred Stock was equal to the purchase price of the Series A Preferred Stock as agreed upon in the November 2023 Private Placement. The non-cash settlement of a portion of the liability occurred on December 13, 2023 with the issuance of the first tranche of the Series A Preferred Stock for $14.8 million.</w:t>
      </w:r>
    </w:p>
    <w:p>
      <w:pPr>
        <w:spacing w:after="0" w:line="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presents changes in the forward contract liabilities for the periods presented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Forward contract</w:t>
            </w:r>
          </w:p>
        </w:tc>
      </w:tr>
      <w:tr>
        <w:trPr>
          <w:trHeight w:val="167"/>
        </w:trPr>
        <w:tc>
          <w:tcPr>
            <w:tcW w:w="5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0"/>
              </w:rPr>
              <w:t>liabilities</w:t>
            </w:r>
          </w:p>
        </w:tc>
      </w:tr>
      <w:tr>
        <w:trPr>
          <w:trHeight w:val="21"/>
        </w:trPr>
        <w:tc>
          <w:tcPr>
            <w:tcW w:w="5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4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4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(276,601)</w:t>
            </w:r>
          </w:p>
        </w:tc>
        <w:tc>
          <w:tcPr>
            <w:tcW w:w="60" w:type="dxa"/>
            <w:vAlign w:val="bottom"/>
            <w:shd w:val="clear" w:color="auto" w:fill="CCEEFF"/>
          </w:tcPr>
          <w:p>
            <w:pPr>
              <w:spacing w:after="0"/>
              <w:rPr>
                <w:sz w:val="18"/>
                <w:szCs w:val="18"/>
                <w:color w:val="auto"/>
              </w:rPr>
            </w:pPr>
          </w:p>
        </w:tc>
      </w:tr>
      <w:tr>
        <w:trPr>
          <w:trHeight w:val="21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149,600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460" w:type="dxa"/>
            <w:vAlign w:val="bottom"/>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475"/>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7. Property and Equipment</w:t>
            </w:r>
          </w:p>
        </w:tc>
        <w:tc>
          <w:tcPr>
            <w:tcW w:w="4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30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consists of the following (in thousands):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0"/>
        </w:trPr>
        <w:tc>
          <w:tcPr>
            <w:tcW w:w="5780" w:type="dxa"/>
            <w:vAlign w:val="bottom"/>
          </w:tcPr>
          <w:p>
            <w:pPr>
              <w:spacing w:after="0"/>
              <w:rPr>
                <w:sz w:val="24"/>
                <w:szCs w:val="24"/>
                <w:color w:val="auto"/>
              </w:rPr>
            </w:pPr>
          </w:p>
        </w:tc>
        <w:tc>
          <w:tcPr>
            <w:tcW w:w="1620" w:type="dxa"/>
            <w:vAlign w:val="bottom"/>
            <w:gridSpan w:val="9"/>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5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7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r>
      <w:tr>
        <w:trPr>
          <w:trHeight w:val="21"/>
        </w:trPr>
        <w:tc>
          <w:tcPr>
            <w:tcW w:w="5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$ 6,280</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$ 6,001</w:t>
            </w:r>
          </w:p>
        </w:tc>
        <w:tc>
          <w:tcPr>
            <w:tcW w:w="60" w:type="dxa"/>
            <w:vAlign w:val="bottom"/>
            <w:shd w:val="clear" w:color="auto" w:fill="CCEEFF"/>
          </w:tcPr>
          <w:p>
            <w:pPr>
              <w:spacing w:after="0"/>
              <w:rPr>
                <w:sz w:val="18"/>
                <w:szCs w:val="18"/>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697</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453</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192</w:t>
            </w: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599</w:t>
            </w:r>
          </w:p>
        </w:tc>
      </w:tr>
      <w:tr>
        <w:trPr>
          <w:trHeight w:val="238"/>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8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60" w:type="dxa"/>
            <w:vAlign w:val="bottom"/>
            <w:shd w:val="clear" w:color="auto" w:fill="CCEEFF"/>
          </w:tcPr>
          <w:p>
            <w:pPr>
              <w:spacing w:after="0"/>
              <w:rPr>
                <w:sz w:val="20"/>
                <w:szCs w:val="20"/>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(5,205)</w:t>
            </w:r>
          </w:p>
        </w:tc>
      </w:tr>
      <w:tr>
        <w:trPr>
          <w:trHeight w:val="27"/>
        </w:trPr>
        <w:tc>
          <w:tcPr>
            <w:tcW w:w="57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6"/>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$ 2,113</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$ 2,794</w:t>
            </w:r>
          </w:p>
        </w:tc>
        <w:tc>
          <w:tcPr>
            <w:tcW w:w="60" w:type="dxa"/>
            <w:vAlign w:val="bottom"/>
            <w:shd w:val="clear" w:color="auto" w:fill="CCEEFF"/>
          </w:tcPr>
          <w:p>
            <w:pPr>
              <w:spacing w:after="0"/>
              <w:rPr>
                <w:sz w:val="21"/>
                <w:szCs w:val="21"/>
                <w:color w:val="auto"/>
              </w:rPr>
            </w:pP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Depreciation expense was $0.7 million, $0.7 million and $0.6 million for the years ended December 31, 2023, 2022 and 2021, respectively.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8" w:name="page209"/>
    <w:bookmarkEnd w:id="20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Accrued Expenses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expenses consist of the following (in thousands):</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4"/>
                <w:szCs w:val="14"/>
                <w:color w:val="auto"/>
              </w:rPr>
            </w:pPr>
          </w:p>
        </w:tc>
      </w:tr>
      <w:tr>
        <w:trPr>
          <w:trHeight w:val="21"/>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61"/>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21"/>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1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employee related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Accrued patent fees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2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2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6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14,733</w:t>
            </w:r>
          </w:p>
        </w:tc>
        <w:tc>
          <w:tcPr>
            <w:tcW w:w="5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14,084</w:t>
            </w: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65 Grove Street Lease</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July 2019, the Company entered into a lease with BRE-BMR Grove LLC for 25,078 square feet of laboratory and office space located at 65 Grove Street, Watertown, Massachusetts, or the Watertown Lease. As part of the Watertown Lease,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Watertown Lease, the Company secured a letter of credit from Silicon Valley Bank, a division of First-Citizens Bank &amp; Trust Company (successor by purchase to the Federal Deposit Insurance Corporation as Receiver for Silicon Valley Bridge Bank, N.A. (as successor to Silicon Valley Bank)), or SVB, for $1.6 million, of which $0.3 million is recognized as short-term restricted cash and $1.3 million is recognized as long-term restricted cash, as of December 31, 2022.</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September 1, 2022, the Company entered into an amendment, or the Lease Agreement Amendment, to its lease agreement with BRE-BMR Grove LLC, originally entered into on July 23, 2019, or the Lease Agreement, to expand the Company’s laboratory and office space located at 65 Grove Street, Watertown, Massachusetts by 7,216 square feet. The lease term began on September 1, 2022, consistent with when the Company took control of the office space and the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w:t>
      </w:r>
    </w:p>
    <w:p>
      <w:pPr>
        <w:spacing w:after="0" w:line="7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On October 6, 2022, the Company entered into a sublease agreement to sublease 7,216 square feet of space currently rented by the Company at 65 Grove Street, Watertown, Massachusetts. The sublease commenced on October 24, 2022, when the Company, the sublessee and BRE-BMR Grove LLC, executed a Consent to Sublease. The term of the sublease expires on March 31, 2024 with no option to extend the sublease term. Sublease income is included within other income, net in the consolidated statements of operations and comprehensive income (loss).</w:t>
      </w:r>
    </w:p>
    <w:p>
      <w:pPr>
        <w:spacing w:after="0" w:line="68"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As a result of the sublease agreement and Consent to Sublease,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December 31,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9" w:name="page210"/>
    <w:bookmarkEnd w:id="20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60"/>
        <w:spacing w:after="0" w:line="252" w:lineRule="auto"/>
        <w:rPr>
          <w:sz w:val="20"/>
          <w:szCs w:val="20"/>
          <w:color w:val="auto"/>
        </w:rPr>
      </w:pPr>
      <w:r>
        <w:rPr>
          <w:rFonts w:ascii="Times New Roman" w:cs="Times New Roman" w:eastAsia="Times New Roman" w:hAnsi="Times New Roman"/>
          <w:sz w:val="16"/>
          <w:szCs w:val="16"/>
          <w:color w:val="auto"/>
        </w:rPr>
        <w:t>On October 31, 2023, in connection with entering into Amendment No. 1 to the License and Development Agreement with Sobi as described in Note 14,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December 31, 2023, deferred rent of $0.8 million is included within accrued expenses and other current liabilities in the consolidated balance sheets.</w:t>
      </w:r>
    </w:p>
    <w:p>
      <w:pPr>
        <w:spacing w:after="0" w:line="70" w:lineRule="exact"/>
        <w:rPr>
          <w:sz w:val="20"/>
          <w:szCs w:val="20"/>
          <w:color w:val="auto"/>
        </w:rPr>
      </w:pPr>
    </w:p>
    <w:p>
      <w:pPr>
        <w:ind w:left="1140" w:right="1340"/>
        <w:spacing w:after="0" w:line="253" w:lineRule="auto"/>
        <w:rPr>
          <w:sz w:val="20"/>
          <w:szCs w:val="20"/>
          <w:color w:val="auto"/>
        </w:rPr>
      </w:pPr>
      <w:r>
        <w:rPr>
          <w:rFonts w:ascii="Times New Roman" w:cs="Times New Roman" w:eastAsia="Times New Roman" w:hAnsi="Times New Roman"/>
          <w:sz w:val="16"/>
          <w:szCs w:val="16"/>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with $0.6 million and $0.1 million recognized in research and development and general and administrative operating expense categories, respectively, on its consolidated statements of operations and comprehensive income (loss) during the year ended December 31, 2023.</w:t>
      </w: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704 Quince Orchard Road Leases</w:t>
      </w:r>
    </w:p>
    <w:p>
      <w:pPr>
        <w:spacing w:after="0" w:line="103" w:lineRule="exact"/>
        <w:rPr>
          <w:sz w:val="20"/>
          <w:szCs w:val="20"/>
          <w:color w:val="auto"/>
        </w:rPr>
      </w:pPr>
    </w:p>
    <w:p>
      <w:pPr>
        <w:ind w:left="1140" w:right="1200"/>
        <w:spacing w:after="0" w:line="262" w:lineRule="auto"/>
        <w:rPr>
          <w:sz w:val="20"/>
          <w:szCs w:val="20"/>
          <w:color w:val="auto"/>
        </w:rPr>
      </w:pPr>
      <w:r>
        <w:rPr>
          <w:rFonts w:ascii="Times New Roman" w:cs="Times New Roman" w:eastAsia="Times New Roman" w:hAnsi="Times New Roman"/>
          <w:sz w:val="16"/>
          <w:szCs w:val="16"/>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Moscow, Russia Lease</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Company has a month-to-month facility agreement for Selecta (RUS)'s Moscow, Russia office. Rent expense is recognized as incurred.</w:t>
      </w:r>
    </w:p>
    <w:p>
      <w:pPr>
        <w:spacing w:after="0" w:line="50" w:lineRule="exact"/>
        <w:rPr>
          <w:sz w:val="20"/>
          <w:szCs w:val="20"/>
          <w:color w:val="auto"/>
        </w:rPr>
      </w:pPr>
    </w:p>
    <w:p>
      <w:pPr>
        <w:ind w:left="1140" w:right="1880"/>
        <w:spacing w:after="0" w:line="277" w:lineRule="auto"/>
        <w:rPr>
          <w:sz w:val="20"/>
          <w:szCs w:val="20"/>
          <w:color w:val="auto"/>
        </w:rPr>
      </w:pPr>
      <w:r>
        <w:rPr>
          <w:rFonts w:ascii="Times New Roman" w:cs="Times New Roman" w:eastAsia="Times New Roman" w:hAnsi="Times New Roman"/>
          <w:sz w:val="16"/>
          <w:szCs w:val="16"/>
          <w:color w:val="auto"/>
        </w:rPr>
        <w:t>Rent expense for the years ended December 31, 2023, 2022 and 2021 was $3.8 million, $3.2 million, and $2.9 million, respectively.</w:t>
      </w:r>
    </w:p>
    <w:p>
      <w:pPr>
        <w:spacing w:after="0" w:line="50" w:lineRule="exact"/>
        <w:rPr>
          <w:sz w:val="20"/>
          <w:szCs w:val="20"/>
          <w:color w:val="auto"/>
        </w:rPr>
      </w:pPr>
    </w:p>
    <w:p>
      <w:pPr>
        <w:ind w:left="1140" w:right="2000"/>
        <w:spacing w:after="0" w:line="277" w:lineRule="auto"/>
        <w:rPr>
          <w:sz w:val="20"/>
          <w:szCs w:val="20"/>
          <w:color w:val="auto"/>
        </w:rPr>
      </w:pPr>
      <w:r>
        <w:rPr>
          <w:rFonts w:ascii="Times New Roman" w:cs="Times New Roman" w:eastAsia="Times New Roman" w:hAnsi="Times New Roman"/>
          <w:sz w:val="16"/>
          <w:szCs w:val="16"/>
          <w:color w:val="auto"/>
        </w:rPr>
        <w:t>For the years ended December 31, 2023, 2022 and 2021, the components of lease costs were as follows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1960" w:type="dxa"/>
            <w:vAlign w:val="bottom"/>
            <w:gridSpan w:val="7"/>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1"/>
        </w:trPr>
        <w:tc>
          <w:tcPr>
            <w:tcW w:w="5440" w:type="dxa"/>
            <w:vAlign w:val="bottom"/>
          </w:tcPr>
          <w:p>
            <w:pPr>
              <w:spacing w:after="0"/>
              <w:rPr>
                <w:sz w:val="13"/>
                <w:szCs w:val="13"/>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66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$ 2,828</w:t>
            </w:r>
          </w:p>
        </w:tc>
        <w:tc>
          <w:tcPr>
            <w:tcW w:w="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22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lef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lef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(1,172)</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5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r>
      <w:tr>
        <w:trPr>
          <w:trHeight w:val="24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$ 2,629</w:t>
            </w:r>
          </w:p>
        </w:tc>
        <w:tc>
          <w:tcPr>
            <w:tcW w:w="8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3,021</w:t>
            </w:r>
          </w:p>
        </w:tc>
        <w:tc>
          <w:tcPr>
            <w:tcW w:w="8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2,867</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December 31, 2023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40" w:type="dxa"/>
            <w:vAlign w:val="bottom"/>
            <w:gridSpan w:val="3"/>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4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$ 3,077</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4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8"/>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13,452</w:t>
            </w:r>
          </w:p>
        </w:tc>
        <w:tc>
          <w:tcPr>
            <w:tcW w:w="1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8"/>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3720" w:type="dxa"/>
            <w:vAlign w:val="bottom"/>
            <w:gridSpan w:val="2"/>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1140" w:type="dxa"/>
            <w:vAlign w:val="bottom"/>
          </w:tcPr>
          <w:p>
            <w:pPr>
              <w:spacing w:after="0"/>
              <w:rPr>
                <w:sz w:val="22"/>
                <w:szCs w:val="22"/>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10,955</w:t>
            </w:r>
          </w:p>
        </w:tc>
        <w:tc>
          <w:tcPr>
            <w:tcW w:w="1140" w:type="dxa"/>
            <w:vAlign w:val="bottom"/>
          </w:tcPr>
          <w:p>
            <w:pPr>
              <w:spacing w:after="0"/>
              <w:rPr>
                <w:sz w:val="22"/>
                <w:szCs w:val="22"/>
                <w:color w:val="auto"/>
              </w:rPr>
            </w:pPr>
          </w:p>
        </w:tc>
      </w:tr>
      <w:tr>
        <w:trPr>
          <w:trHeight w:val="380"/>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F-66</w:t>
            </w: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10" w:name="page211"/>
    <w:bookmarkEnd w:id="2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17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19"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300" w:type="dxa"/>
            <w:vAlign w:val="bottom"/>
          </w:tcPr>
          <w:p>
            <w:pPr>
              <w:spacing w:after="0"/>
              <w:rPr>
                <w:sz w:val="15"/>
                <w:szCs w:val="15"/>
                <w:color w:val="auto"/>
              </w:rPr>
            </w:pPr>
          </w:p>
        </w:tc>
        <w:tc>
          <w:tcPr>
            <w:tcW w:w="4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6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0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$2,696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r>
      <w:tr>
        <w:trPr>
          <w:trHeight w:val="48"/>
        </w:trPr>
        <w:tc>
          <w:tcPr>
            <w:tcW w:w="63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Other than the initial recording and modification of the right-of-use asset and lease liability for the Watertown Lease during the year ended December 31, 2022 and the impairment on the right-of-use asset for the Watertown Lease and the assumption of the right-of-use assets and lease liabilities in connection with the Merger during the year ended December 31, 2023, which were non-cash, the changes in the Company’s right-of-use asset and lease liability for the years ended December 31, 2023 and 2022 are reflected in the non-cash lease expense and accrued expenses and other liabilities, respectively, in the consolidated statements of cash flows.</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1340" w:type="dxa"/>
            <w:vAlign w:val="bottom"/>
            <w:gridSpan w:val="3"/>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6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1"/>
        </w:trPr>
        <w:tc>
          <w:tcPr>
            <w:tcW w:w="6060" w:type="dxa"/>
            <w:vAlign w:val="bottom"/>
          </w:tcPr>
          <w:p>
            <w:pPr>
              <w:spacing w:after="0"/>
              <w:rPr>
                <w:sz w:val="13"/>
                <w:szCs w:val="13"/>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6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6"/>
              </w:rPr>
              <w:t>4.3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5.4 years</w:t>
            </w:r>
          </w:p>
        </w:tc>
      </w:t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bl>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Debt</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2020 Term Loan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68"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 loss of $0.7 million on the extinguishment of the 2020 Term Loan, consisting of the prepayment penalty of $0.2 million and the write-off of $0.5 million of unamortized debt issuance costs and venture debt termination fee, which was included within interest expense in the consolidated statements of operations and comprehensive income (loss).</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had no outstanding borrowings, and as of December 31, 2022, the outstanding principal balance under the 2020 Term Loan was $25.0 million.</w:t>
      </w:r>
    </w:p>
    <w:p>
      <w:pPr>
        <w:spacing w:after="0" w:line="50"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During the years ended December 31, 2023, 2022 and 2021, the Company recognized $2.1 million, $3.0 million and $2.8 million respectively of interest expense related to the 2020 Term Loan.</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Series A Preferred Stock</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Certificate of Designation was filed on November 13, 2023, which provided for the designation of shares of the Series A Preferred Stock and authorized the issuance of 548,375 shares of Series A Preferred Stock.</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Additionally on November 13, 2023, the Company entered into the Securities Purchase Agreement with</w:t>
      </w:r>
    </w:p>
    <w:p>
      <w:pPr>
        <w:spacing w:after="0" w:line="23" w:lineRule="exact"/>
        <w:rPr>
          <w:sz w:val="20"/>
          <w:szCs w:val="20"/>
          <w:color w:val="auto"/>
        </w:rPr>
      </w:pPr>
    </w:p>
    <w:p>
      <w:pPr>
        <w:ind w:left="800" w:right="959" w:hanging="1"/>
        <w:spacing w:after="0" w:line="255" w:lineRule="auto"/>
        <w:tabs>
          <w:tab w:leader="none" w:pos="98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Timothy A. Springer, a member of the Company’s Board of Directors; (ii) TAS Partners LLC, an affiliate of Dr. Springer, and (iii) Seven One Eight Three Four Irrevocable Trust, a trust associated with Dr. Murat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1" w:name="page212"/>
    <w:bookmarkEnd w:id="2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Kalayoglu, a co-founder and the former chief executive officer of Old Cartesian, who joined the Company’s 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7"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(see Note 6).</w:t>
      </w:r>
    </w:p>
    <w:p>
      <w:pPr>
        <w:spacing w:after="0" w:line="67" w:lineRule="exact"/>
        <w:rPr>
          <w:sz w:val="20"/>
          <w:szCs w:val="20"/>
          <w:color w:val="auto"/>
        </w:rPr>
      </w:pPr>
    </w:p>
    <w:p>
      <w:pPr>
        <w:ind w:left="800" w:right="1479"/>
        <w:spacing w:after="0" w:line="262" w:lineRule="auto"/>
        <w:rPr>
          <w:sz w:val="20"/>
          <w:szCs w:val="20"/>
          <w:color w:val="auto"/>
        </w:rPr>
      </w:pPr>
      <w:r>
        <w:rPr>
          <w:rFonts w:ascii="Times New Roman" w:cs="Times New Roman" w:eastAsia="Times New Roman" w:hAnsi="Times New Roman"/>
          <w:sz w:val="16"/>
          <w:szCs w:val="16"/>
          <w:color w:val="auto"/>
        </w:rPr>
        <w:t>On December 5, 2023, the Company issued 384,930.724 shares of Series A Preferred Stock as part of its consideration transferred in connection with the Merger which settled the related forward contract liability (see Note 6).</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As of December 31, 2023, the Company had 435,120.513 shares of Series A Preferred Stock issued and outstanding.</w:t>
      </w:r>
    </w:p>
    <w:p>
      <w:pPr>
        <w:spacing w:after="0" w:line="111" w:lineRule="exact"/>
        <w:rPr>
          <w:sz w:val="20"/>
          <w:szCs w:val="20"/>
          <w:color w:val="auto"/>
        </w:rPr>
      </w:pPr>
    </w:p>
    <w:p>
      <w:pPr>
        <w:ind w:left="800" w:right="839"/>
        <w:spacing w:after="0" w:line="254" w:lineRule="auto"/>
        <w:rPr>
          <w:sz w:val="20"/>
          <w:szCs w:val="20"/>
          <w:color w:val="auto"/>
        </w:rPr>
      </w:pPr>
      <w:r>
        <w:rPr>
          <w:rFonts w:ascii="Times New Roman" w:cs="Times New Roman" w:eastAsia="Times New Roman" w:hAnsi="Times New Roman"/>
          <w:sz w:val="16"/>
          <w:szCs w:val="16"/>
          <w:color w:val="auto"/>
        </w:rPr>
        <w:t xml:space="preserve">In accordance with the guidance in 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the Series A Preferred Stock is classified outside of stockholders’ equity because the shares of Series A Preferred Stock contain redemption features that are not solely within the control of the Company. The Series A Preferred Stock is not currently redeemable, nor is it probable that the instrument will become redeemable, as it is only redeemable upon the occurrence of a contingent event. Accordingly, no accretion has been recognized for the Series A Preferred Stock and it will not be accreted until it is probable that the shares of Series A Preferred Stock will become redeemable.</w:t>
      </w:r>
    </w:p>
    <w:p>
      <w:pPr>
        <w:spacing w:after="0" w:line="1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Series A Preferred Stock had the following rights and preferences as of December 31, 2023:</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Conversion</w:t>
      </w:r>
    </w:p>
    <w:p>
      <w:pPr>
        <w:spacing w:after="0" w:line="103" w:lineRule="exact"/>
        <w:rPr>
          <w:sz w:val="20"/>
          <w:szCs w:val="20"/>
          <w:color w:val="auto"/>
        </w:rPr>
      </w:pPr>
    </w:p>
    <w:p>
      <w:pPr>
        <w:ind w:left="800" w:right="939"/>
        <w:spacing w:after="0" w:line="251" w:lineRule="auto"/>
        <w:rPr>
          <w:sz w:val="20"/>
          <w:szCs w:val="20"/>
          <w:color w:val="auto"/>
        </w:rPr>
      </w:pPr>
      <w:r>
        <w:rPr>
          <w:rFonts w:ascii="Times New Roman" w:cs="Times New Roman" w:eastAsia="Times New Roman" w:hAnsi="Times New Roman"/>
          <w:sz w:val="16"/>
          <w:szCs w:val="16"/>
          <w:color w:val="auto"/>
        </w:rPr>
        <w:t>Prior to the stockholder approval of the Conversion Proposal, the Series A Preferred Shares are not convertible. Following the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Each share of Series A Preferred Stock outstanding that is not otherwise automatically converted into common stock as a result of the beneficial ownership limitation shall be convertible at any time at the option of the holder following stockholder approval of the Conversion Proposal, only to the extent the beneficial ownership limitation does not apply to the shares of Series A Preferred Stock to be converted.</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2" w:name="page213"/>
    <w:bookmarkEnd w:id="2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Series A Preferred Stock that would not be convertible into shares of common stock as a result of the beneficial ownership limitation referred to above. The amount payable upon redemption will be equal to the average closing sale price of the common stock listed over the ten consecutive trading days ending on, and including, the day immediately prior to the redemption date multiplied by the number of shares of common stock the Series A Preferred Stock would be convertible into.</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Holders of Series A Preferred Stock are entitled to receive dividends on shares of Series A Preferred Stock on an as-converted basis equal to the dividends paid on shares of the common stock; provided, however, that holders of Series A Preferred Stock (or any shares of common stock into which the Series A Preferred Stock are convertible) are not entitled to any CVRs or any amounts paid under the CVR Agreement.</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Except as otherwise required by law, the Series A Preferred Stock does not have voting rights. However, as long as any shares of Series A Preferred Stock are outstanding, the Company will not, without the affirmative vote of the holders of a majority of the then-outstanding shares of the Series A Preferred Stock, (a) alter or change adversely the powers, preferences or rights given to the Series A Preferred Stock, (b) alter or amend the Certificate of Designation,</w:t>
      </w:r>
    </w:p>
    <w:p>
      <w:pPr>
        <w:spacing w:after="0" w:line="1" w:lineRule="exact"/>
        <w:rPr>
          <w:sz w:val="20"/>
          <w:szCs w:val="20"/>
          <w:color w:val="auto"/>
        </w:rPr>
      </w:pPr>
    </w:p>
    <w:p>
      <w:pPr>
        <w:ind w:left="800" w:right="859" w:hanging="1"/>
        <w:spacing w:after="0" w:line="266" w:lineRule="auto"/>
        <w:tabs>
          <w:tab w:leader="none" w:pos="1015"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the Charter or other organizational documents in any manner that adversely affects any rights of the holders of Series A Preferred Stock, (d) issue further shares of Series A Preferred Stock (other than in connection with the exercise of the stock options to purchase Series A Preferred Stock)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stockholder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holders of Series A Preferred Stock shall rank on parity with the common stockholders as to distributions of assets upon liquidation, dissolution or winding up of the Company, whether voluntarily or involuntarily.</w:t>
      </w:r>
    </w:p>
    <w:p>
      <w:pPr>
        <w:spacing w:after="0" w:line="50"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Upon any liquidation, dissolution or winding-up of the Company, whether voluntary or involuntary each holder of Series A Preferred Stock shall be entitled to receive out the assets of the Company equal to of the same amount that a holder of common stock would receive if the Series A Preferred Stock were fully converted, which shall be paid pari passu with holders of common stock, plus an amount equal to any dividends declared but unpaid. If the assets available for distribution are not sufficient to pay the holders of the Series A Preferred Stock pursuant to the preceding sentence, the assets will be distributed ratably to the holders of the Series A Preferred Stock and common stock.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3" w:name="page214"/>
    <w:bookmarkEnd w:id="2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has authorized shares of Series A Preferred Stock for future issuance as follows: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As of</w:t>
            </w:r>
          </w:p>
        </w:tc>
      </w:tr>
      <w:tr>
        <w:trPr>
          <w:trHeight w:val="131"/>
        </w:trPr>
        <w:tc>
          <w:tcPr>
            <w:tcW w:w="6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6080" w:type="dxa"/>
            <w:vAlign w:val="bottom"/>
          </w:tcPr>
          <w:p>
            <w:pPr>
              <w:spacing w:after="0"/>
              <w:rPr>
                <w:sz w:val="14"/>
                <w:szCs w:val="14"/>
                <w:color w:val="auto"/>
              </w:rPr>
            </w:pPr>
          </w:p>
        </w:tc>
        <w:tc>
          <w:tcPr>
            <w:tcW w:w="1320" w:type="dxa"/>
            <w:vAlign w:val="bottom"/>
            <w:gridSpan w:val="2"/>
          </w:tcPr>
          <w:p>
            <w:pPr>
              <w:jc w:val="center"/>
              <w:ind w:left="469"/>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21"/>
        </w:trPr>
        <w:tc>
          <w:tcPr>
            <w:tcW w:w="6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reserved for issuance in November 2023 Private Placement</w:t>
            </w:r>
          </w:p>
        </w:tc>
        <w:tc>
          <w:tcPr>
            <w:tcW w:w="1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99,140.326</w:t>
            </w:r>
          </w:p>
        </w:tc>
      </w:tr>
      <w:tr>
        <w:trPr>
          <w:trHeight w:val="21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Outstanding Series A Preferred Stock options</w:t>
            </w:r>
          </w:p>
        </w:tc>
        <w:tc>
          <w:tcPr>
            <w:tcW w:w="5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14,112.299</w:t>
            </w:r>
          </w:p>
        </w:tc>
      </w:tr>
      <w:tr>
        <w:trPr>
          <w:trHeight w:val="24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113,252.</w:t>
            </w:r>
            <w:r>
              <w:rPr>
                <w:rFonts w:ascii="Times New Roman" w:cs="Times New Roman" w:eastAsia="Times New Roman" w:hAnsi="Times New Roman"/>
                <w:sz w:val="16"/>
                <w:szCs w:val="16"/>
                <w:u w:val="single" w:color="auto"/>
                <w:color w:val="auto"/>
                <w:w w:val="97"/>
              </w:rPr>
              <w:t>625</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Equity</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w:t>
      </w:r>
    </w:p>
    <w:p>
      <w:pPr>
        <w:spacing w:after="0" w:line="103" w:lineRule="exact"/>
        <w:rPr>
          <w:sz w:val="20"/>
          <w:szCs w:val="20"/>
          <w:color w:val="auto"/>
        </w:rPr>
      </w:pPr>
    </w:p>
    <w:p>
      <w:pPr>
        <w:ind w:left="800" w:right="979"/>
        <w:spacing w:after="0" w:line="312" w:lineRule="auto"/>
        <w:rPr>
          <w:sz w:val="20"/>
          <w:szCs w:val="20"/>
          <w:color w:val="auto"/>
        </w:rPr>
      </w:pPr>
      <w:r>
        <w:rPr>
          <w:rFonts w:ascii="Times New Roman" w:cs="Times New Roman" w:eastAsia="Times New Roman" w:hAnsi="Times New Roman"/>
          <w:sz w:val="15"/>
          <w:szCs w:val="15"/>
          <w:color w:val="auto"/>
        </w:rPr>
        <w:t>On December 5, 2023, the Company issued 6,723,639 shares of common stock as part of its consideration transferred in connection with the Merger which settled the related equity-classified forward contract (see Note 3).</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Underwritten Offering</w:t>
      </w:r>
    </w:p>
    <w:p>
      <w:pPr>
        <w:spacing w:after="0" w:line="103" w:lineRule="exact"/>
        <w:rPr>
          <w:sz w:val="20"/>
          <w:szCs w:val="20"/>
          <w:color w:val="auto"/>
        </w:rPr>
      </w:pPr>
    </w:p>
    <w:p>
      <w:pPr>
        <w:ind w:left="800" w:right="999"/>
        <w:spacing w:after="0" w:line="272" w:lineRule="auto"/>
        <w:rPr>
          <w:sz w:val="20"/>
          <w:szCs w:val="20"/>
          <w:color w:val="auto"/>
        </w:rPr>
      </w:pPr>
      <w:r>
        <w:rPr>
          <w:rFonts w:ascii="Times New Roman" w:cs="Times New Roman" w:eastAsia="Times New Roman" w:hAnsi="Times New Roman"/>
          <w:sz w:val="15"/>
          <w:szCs w:val="15"/>
          <w:color w:val="auto"/>
        </w:rPr>
        <w:t>On April 6, 2022, the Company entered into an underwriting agreement with SVB Securities LLC (now known as Leerink Partners LLC), as representative of the several underwriters named therein, relating to an underwritten offering of 27,428,572 shares of the Company’s common stock and 2022 Warrants to purchase up to</w:t>
      </w:r>
    </w:p>
    <w:p>
      <w:pPr>
        <w:spacing w:after="0" w:line="1" w:lineRule="exact"/>
        <w:rPr>
          <w:sz w:val="20"/>
          <w:szCs w:val="20"/>
          <w:color w:val="auto"/>
        </w:rPr>
      </w:pPr>
    </w:p>
    <w:p>
      <w:pPr>
        <w:ind w:left="800" w:right="1059"/>
        <w:spacing w:after="0" w:line="250" w:lineRule="auto"/>
        <w:rPr>
          <w:sz w:val="20"/>
          <w:szCs w:val="20"/>
          <w:color w:val="auto"/>
        </w:rPr>
      </w:pPr>
      <w:r>
        <w:rPr>
          <w:rFonts w:ascii="Times New Roman" w:cs="Times New Roman" w:eastAsia="Times New Roman" w:hAnsi="Times New Roman"/>
          <w:sz w:val="16"/>
          <w:szCs w:val="16"/>
          <w:color w:val="auto"/>
        </w:rPr>
        <w:t>20,571,429 shares of common stock. The offering of such shares and the 2022 Warrants is referred to as the 2022 Offering. Each share and accompanying 2022 Warrant to purchase 0.75 shares of common stock was sold at a combined offering price of $1.41. The exercise price for the 2022 Warrants is $1.55 per share. The Company received net proceeds from the 2022 Offering of approximately $36.9 million.</w:t>
      </w:r>
    </w:p>
    <w:p>
      <w:pPr>
        <w:spacing w:after="0" w:line="71" w:lineRule="exact"/>
        <w:rPr>
          <w:sz w:val="20"/>
          <w:szCs w:val="20"/>
          <w:color w:val="auto"/>
        </w:rPr>
      </w:pPr>
    </w:p>
    <w:p>
      <w:pPr>
        <w:ind w:left="800" w:right="919"/>
        <w:spacing w:after="0" w:line="251" w:lineRule="auto"/>
        <w:rPr>
          <w:sz w:val="20"/>
          <w:szCs w:val="20"/>
          <w:color w:val="auto"/>
        </w:rPr>
      </w:pPr>
      <w:r>
        <w:rPr>
          <w:rFonts w:ascii="Times New Roman" w:cs="Times New Roman" w:eastAsia="Times New Roman" w:hAnsi="Times New Roman"/>
          <w:sz w:val="16"/>
          <w:szCs w:val="16"/>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the kind and amount of securities, cash or other property that the holders would have received had they exercised the Warrants immediately prior to such transaction. Therefore, the Company is required to account for the 2022 Warrants as liabilities and record the 2022 Warrants at fair value. The 2022 Warrants do not entitle the holders thereof to any voting rights or any of the other rights or privileges to which holders of Common Stock are entitled.</w:t>
      </w:r>
    </w:p>
    <w:p>
      <w:pPr>
        <w:spacing w:after="0" w:line="2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“At-the-Market” Offerings</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2020 Sales Agreement</w:t>
      </w:r>
    </w:p>
    <w:p>
      <w:pPr>
        <w:spacing w:after="0" w:line="103"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On August 6, 2020, the Company entered into a sales agreement, or the 2020 Sales Agreement with Jefferies LLC, as sales agent, pursuant to which the Company was permitted, from time to time, to issue and sell common stock with an aggregate value of up to $50.0 million in an “at the market offering.” On October 8, 2021, the Company delivered notice to Jefferies LLC that the Company was terminating the 2020 Sales Agreement, with effect as of October 19, 2021.</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2021 Sales Agreement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4" w:name="page215"/>
    <w:bookmarkEnd w:id="2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sold no shares of its common stock pursuant to the 2021 Sales Agreement. During the year ended December 31, 2022, the Company sold 774,544 shares of its common stock pursuant to the 2021 Sales Agreement for aggregate net proceeds of $2.1 million, after deducting commissions and other transaction costs.</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June 2020 Sobi Stock Purchase</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14 for details.</w:t>
      </w:r>
    </w:p>
    <w:p>
      <w:pPr>
        <w:spacing w:after="0" w:line="6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Also on June 11, 2020, the Company entered into a registration rights agreement, as amended by that certain letter agreement, dated as of November 4, 2020, or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ten business days after the SEC informs the Company that no review of such resale registration statement will be made or that the SEC has no further comments on such resale registration statement.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December 2019 Financing</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On December 18, 2019, the Company entered into a securities purchase agreement, or the 2019 Purchase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Agreement, with a group of institutional investors and certain members of the Board of Directors. Pursuant to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2019 Purchase Agreement, the Company sold an aggregate of 37,634,883 shares of its common stock at a purchase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price of $1.46 per share, warrants to purchase an aggregate of 22,988,501 shares of common stock at a purchase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price of $0.125 per share underlying each common warrant, and pre-funded warrants to purchase an aggregate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8,342,128 shares of common stock at a purchase price of $1.46 per share, all with five year terms, or the 2019 PIPE.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closing of the 2019 PIPE occurred on December 23, 2019. The exercise price of the pre-funded warrants is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$0.0001 per share and the exercise price for the common warrants is $1.46 per share. In the event of a certain sale of</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 the terms of the common warrants require us to make a payment to such common warrant holders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based on a Black-Scholes valuation (using variables as specified in the warrants). This provision does not apply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pre-funded warrants. Therefore, the Company is required to account for the common warrants as liabilities and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record them at fair value, while the pre-funded warrants met the criteria to be classified as permanent equity.</w:t>
      </w:r>
    </w:p>
    <w:p>
      <w:pPr>
        <w:spacing w:after="0" w:line="84"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The Company recorded the fair value of the 2019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w:t>
      </w:r>
    </w:p>
    <w:p>
      <w:pPr>
        <w:spacing w:after="0" w:line="67"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As discussed in Note 6, the Company remeasured the Amended 2019 Warrants at the fair value of $0.8 million on December 20, 2022 and reclassified this amount to additional paid-in capital.</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remaining 2019 Warrants liability and the 2022 Warrants liability were revalued as of December 31, 2023 at</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$6.4 million. During the years ended December 31, 2023, 2022 and 2021, the Company recorded a decrease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$12.7 million and $20.9 million and an increase of $2.3 million, respectively, in the fair value of the warrants in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income (loss).</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June 2017 Financing</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In June 2017, the Company entered into a securities purchase agreement, or the Institutional Purchase Agreement, with certain institutional investors and a securities purchase agreement with Timothy A. Springer,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5" w:name="page216"/>
    <w:bookmarkEnd w:id="215"/>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80"/>
        <w:spacing w:after="0" w:line="252" w:lineRule="auto"/>
        <w:rPr>
          <w:sz w:val="20"/>
          <w:szCs w:val="20"/>
          <w:color w:val="auto"/>
        </w:rPr>
      </w:pPr>
      <w:r>
        <w:rPr>
          <w:rFonts w:ascii="Times New Roman" w:cs="Times New Roman" w:eastAsia="Times New Roman" w:hAnsi="Times New Roman"/>
          <w:sz w:val="16"/>
          <w:szCs w:val="16"/>
          <w:color w:val="auto"/>
        </w:rPr>
        <w:t>Ph.D., a member of the Board of Directors, or the Springer Purchase Agreement, for a private placement of the Company’s securities, or the 2017 PIPE. 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Stock Market on June 23, 2017, and warrants to purchase up to 79,130 shares of common stock, or the Warrant Shares, exercisable at $17.71 per Warrant Share, and with a term of five years. The equity-classified warrants expired during the year ended December 31, 2022.</w:t>
      </w: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is a summary of warrant activity for the years ended December 31, 2023 and 2022:</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3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Number of Warrants</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0"/>
                <w:szCs w:val="10"/>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Pr>
          <w:p>
            <w:pPr>
              <w:spacing w:after="0"/>
              <w:rPr>
                <w:sz w:val="11"/>
                <w:szCs w:val="11"/>
                <w:color w:val="auto"/>
              </w:rPr>
            </w:pPr>
          </w:p>
        </w:tc>
        <w:tc>
          <w:tcPr>
            <w:tcW w:w="9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classified</w:t>
            </w:r>
          </w:p>
        </w:tc>
        <w:tc>
          <w:tcPr>
            <w:tcW w:w="22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classified</w:t>
            </w: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292,469</w:t>
            </w: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10,443,511</w:t>
            </w: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10,735,980</w:t>
            </w:r>
          </w:p>
        </w:tc>
        <w:tc>
          <w:tcPr>
            <w:tcW w:w="300" w:type="dxa"/>
            <w:vAlign w:val="bottom"/>
            <w:tcBorders>
              <w:left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1.62</w:t>
            </w:r>
          </w:p>
        </w:tc>
        <w:tc>
          <w:tcPr>
            <w:tcW w:w="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Issuance</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20,571,429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20,571,429</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1.55</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(79,130)</w:t>
            </w: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(79,130)</w:t>
            </w:r>
          </w:p>
        </w:tc>
        <w:tc>
          <w:tcPr>
            <w:tcW w:w="1260" w:type="dxa"/>
            <w:vAlign w:val="bottom"/>
            <w:tcBorders>
              <w:left w:val="single" w:sz="8" w:color="CCEEFF"/>
            </w:tcBorders>
            <w:gridSpan w:val="5"/>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173"/>
        </w:trPr>
        <w:tc>
          <w:tcPr>
            <w:tcW w:w="35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Reclassification of warrant liability to equity on</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modification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2,022,987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(2,022,987)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2,236,326</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28,991,953</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31,228,279</w:t>
            </w:r>
          </w:p>
        </w:tc>
        <w:tc>
          <w:tcPr>
            <w:tcW w:w="700" w:type="dxa"/>
            <w:vAlign w:val="bottom"/>
            <w:tcBorders>
              <w:left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Canceled</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(3,576)</w:t>
            </w:r>
          </w:p>
        </w:tc>
        <w:tc>
          <w:tcPr>
            <w:tcW w:w="22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2,232,750</w:t>
            </w: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28,991,953</w:t>
            </w:r>
          </w:p>
        </w:tc>
        <w:tc>
          <w:tcPr>
            <w:tcW w:w="8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31,224,703</w:t>
            </w:r>
          </w:p>
        </w:tc>
        <w:tc>
          <w:tcPr>
            <w:tcW w:w="700" w:type="dxa"/>
            <w:vAlign w:val="bottom"/>
            <w:tcBorders>
              <w:left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1.53</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3"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had 350,000,000 shares of common stock authorized for issuance, $0.0001 par value per share, with 161,927,821 shares issued and outstanding. The voting, dividend and liquidation rights of the common stockholders are subject to and qualified by the rights, powers and preferences of the preferred stock. The common stock has the following characteristics:</w:t>
      </w:r>
    </w:p>
    <w:p>
      <w:pPr>
        <w:spacing w:after="0" w:line="2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1140" w:right="1180"/>
        <w:spacing w:after="0" w:line="277" w:lineRule="auto"/>
        <w:rPr>
          <w:sz w:val="20"/>
          <w:szCs w:val="20"/>
          <w:color w:val="auto"/>
        </w:rPr>
      </w:pPr>
      <w:r>
        <w:rPr>
          <w:rFonts w:ascii="Times New Roman" w:cs="Times New Roman" w:eastAsia="Times New Roman" w:hAnsi="Times New Roman"/>
          <w:sz w:val="16"/>
          <w:szCs w:val="16"/>
          <w:color w:val="auto"/>
        </w:rPr>
        <w:t>Common stockholders are entitled to one vote for each share of common stock held with respect to all matters voted on by the stockholders of the Company.</w:t>
      </w:r>
    </w:p>
    <w:p>
      <w:pPr>
        <w:spacing w:after="0" w:line="1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Common stockholders are entitled to receive dividends, if and when declared by the Board of Directors. Through</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December 31, 2023, no cash dividends have been declared or paid on common stock.</w:t>
      </w:r>
    </w:p>
    <w:p>
      <w:pPr>
        <w:spacing w:after="0" w:line="2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Upon liquidation of the Company, common stockholders are entitled to receive all assets of the Company available for distribution to such stockholders.</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Company has authorized shares of common stock for future issuance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140" w:type="dxa"/>
            <w:vAlign w:val="bottom"/>
          </w:tcPr>
          <w:p>
            <w:pPr>
              <w:spacing w:after="0"/>
              <w:rPr>
                <w:sz w:val="12"/>
                <w:szCs w:val="12"/>
                <w:color w:val="auto"/>
              </w:rPr>
            </w:pPr>
          </w:p>
        </w:tc>
      </w:tr>
      <w:tr>
        <w:trPr>
          <w:trHeight w:val="131"/>
        </w:trPr>
        <w:tc>
          <w:tcPr>
            <w:tcW w:w="11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1"/>
                <w:szCs w:val="11"/>
                <w:color w:val="auto"/>
              </w:rPr>
            </w:pPr>
          </w:p>
        </w:tc>
      </w:tr>
      <w:tr>
        <w:trPr>
          <w:trHeight w:val="167"/>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40" w:type="dxa"/>
            <w:vAlign w:val="bottom"/>
            <w:gridSpan w:val="2"/>
          </w:tcPr>
          <w:p>
            <w:pPr>
              <w:jc w:val="center"/>
              <w:ind w:left="32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4040" w:type="dxa"/>
            <w:vAlign w:val="bottom"/>
            <w:tcBorders>
              <w:right w:val="single" w:sz="8" w:color="CCEEFF"/>
            </w:tcBorders>
            <w:gridSpan w:val="2"/>
            <w:shd w:val="clear" w:color="auto" w:fill="CCEEFF"/>
          </w:tcPr>
          <w:p>
            <w:pPr>
              <w:jc w:val="center"/>
              <w:ind w:left="3243"/>
              <w:spacing w:after="0"/>
              <w:rPr>
                <w:sz w:val="20"/>
                <w:szCs w:val="20"/>
                <w:color w:val="auto"/>
              </w:rPr>
            </w:pPr>
            <w:r>
              <w:rPr>
                <w:rFonts w:ascii="Times New Roman" w:cs="Times New Roman" w:eastAsia="Times New Roman" w:hAnsi="Times New Roman"/>
                <w:sz w:val="16"/>
                <w:szCs w:val="16"/>
                <w:color w:val="auto"/>
                <w:w w:val="99"/>
              </w:rPr>
              <w:t>31,224,703</w:t>
            </w: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Shares available for future stock incentive awards</w:t>
            </w:r>
          </w:p>
        </w:tc>
        <w:tc>
          <w:tcPr>
            <w:tcW w:w="4040" w:type="dxa"/>
            <w:vAlign w:val="bottom"/>
            <w:gridSpan w:val="2"/>
          </w:tcPr>
          <w:p>
            <w:pPr>
              <w:jc w:val="center"/>
              <w:ind w:left="3243"/>
              <w:spacing w:after="0"/>
              <w:rPr>
                <w:sz w:val="20"/>
                <w:szCs w:val="20"/>
                <w:color w:val="auto"/>
              </w:rPr>
            </w:pPr>
            <w:r>
              <w:rPr>
                <w:rFonts w:ascii="Times New Roman" w:cs="Times New Roman" w:eastAsia="Times New Roman" w:hAnsi="Times New Roman"/>
                <w:sz w:val="16"/>
                <w:szCs w:val="16"/>
                <w:color w:val="auto"/>
                <w:w w:val="99"/>
              </w:rPr>
              <w:t>35,836,268</w:t>
            </w:r>
          </w:p>
        </w:tc>
        <w:tc>
          <w:tcPr>
            <w:tcW w:w="114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common stock options</w:t>
            </w:r>
          </w:p>
        </w:tc>
        <w:tc>
          <w:tcPr>
            <w:tcW w:w="4040" w:type="dxa"/>
            <w:vAlign w:val="bottom"/>
            <w:tcBorders>
              <w:right w:val="single" w:sz="8" w:color="CCEEFF"/>
            </w:tcBorders>
            <w:gridSpan w:val="2"/>
            <w:shd w:val="clear" w:color="auto" w:fill="CCEEFF"/>
          </w:tcPr>
          <w:p>
            <w:pPr>
              <w:jc w:val="center"/>
              <w:ind w:left="3243"/>
              <w:spacing w:after="0"/>
              <w:rPr>
                <w:sz w:val="20"/>
                <w:szCs w:val="20"/>
                <w:color w:val="auto"/>
              </w:rPr>
            </w:pPr>
            <w:r>
              <w:rPr>
                <w:rFonts w:ascii="Times New Roman" w:cs="Times New Roman" w:eastAsia="Times New Roman" w:hAnsi="Times New Roman"/>
                <w:sz w:val="16"/>
                <w:szCs w:val="16"/>
                <w:color w:val="auto"/>
                <w:w w:val="99"/>
              </w:rPr>
              <w:t>23,306,661</w:t>
            </w:r>
          </w:p>
        </w:tc>
        <w:tc>
          <w:tcPr>
            <w:tcW w:w="114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332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140" w:type="dxa"/>
            <w:vAlign w:val="bottom"/>
          </w:tcPr>
          <w:p>
            <w:pPr>
              <w:spacing w:after="0"/>
              <w:rPr>
                <w:sz w:val="2"/>
                <w:szCs w:val="2"/>
                <w:color w:val="auto"/>
              </w:rPr>
            </w:pPr>
          </w:p>
        </w:tc>
      </w:tr>
      <w:tr>
        <w:trPr>
          <w:trHeight w:val="214"/>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w:t>
            </w:r>
          </w:p>
        </w:tc>
        <w:tc>
          <w:tcPr>
            <w:tcW w:w="4040" w:type="dxa"/>
            <w:vAlign w:val="bottom"/>
            <w:gridSpan w:val="2"/>
          </w:tcPr>
          <w:p>
            <w:pPr>
              <w:jc w:val="center"/>
              <w:ind w:left="3243"/>
              <w:spacing w:after="0"/>
              <w:rPr>
                <w:sz w:val="20"/>
                <w:szCs w:val="20"/>
                <w:color w:val="auto"/>
              </w:rPr>
            </w:pPr>
            <w:r>
              <w:rPr>
                <w:rFonts w:ascii="Times New Roman" w:cs="Times New Roman" w:eastAsia="Times New Roman" w:hAnsi="Times New Roman"/>
                <w:sz w:val="16"/>
                <w:szCs w:val="16"/>
                <w:color w:val="auto"/>
                <w:w w:val="99"/>
              </w:rPr>
              <w:t>90,367,632</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F-72</w:t>
            </w: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16" w:name="page217"/>
    <w:bookmarkEnd w:id="2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As described in Note 11, prior to the stockholder approval of the Conversion Proposal, the Series A Preferred Shares are not convertible. Following the stockholder approval of the Conversion Proposal, each share of Series A Preferred Stock will automatically convert into 1,000 shares of common stock.</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Stock Incentive Plans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In connection with the Merger, all outstanding awards issued under the 2008 Plan were cancelled, and the Board formally terminated the 2008 Plan.</w:t>
      </w:r>
    </w:p>
    <w:p>
      <w:pPr>
        <w:spacing w:after="0" w:line="67"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68"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2023 and 2022, the number of shares of common stock that may be issued under the 2016 Plan was increased by 6,121,697 and 4,944,919 shares, respectively. As of December 31, 2023, 22,504,503 shares remain available for future issuance under the 2016 Plan.</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an amendment and restatement of the 2018 Inducement Incentive Award Plan to reserve an additional 2,000,000 shares of the Company’s common stock for issuance thereunder. In December 2023, the Board approved an amendment and restatement of the 2018 Inducement Incentive Award Plan to reserve an additional 1,825,000 shares of the Company’s common stock for issuance thereunder. As of December 31, 2023, there are 4,500,858 shares available for future grant under the 2018 Inducement Incentive Award Plan.</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December 31, 2023, there are 3,848,809 shares available for future grant under the Old Cartesian Plan.</w:t>
      </w:r>
    </w:p>
    <w:p>
      <w:pPr>
        <w:spacing w:after="0" w:line="7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In connection with the Merger, the outstanding stock options to purchase Old Cartesian common stock were converted into stock options to purchase 23,306,661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$0.2 million was recognized as research and development expense in the consolidated statements of operations and comprehensive (loss) income during the year ended December 31, 2023.</w:t>
      </w:r>
    </w:p>
    <w:p>
      <w:pPr>
        <w:spacing w:after="0" w:line="2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Settlement of Equity Compensation Awards</w:t>
      </w:r>
    </w:p>
    <w:p>
      <w:pPr>
        <w:spacing w:after="0" w:line="103" w:lineRule="exact"/>
        <w:rPr>
          <w:sz w:val="20"/>
          <w:szCs w:val="20"/>
          <w:color w:val="auto"/>
        </w:rPr>
      </w:pPr>
    </w:p>
    <w:p>
      <w:pPr>
        <w:jc w:val="both"/>
        <w:ind w:left="800" w:right="819"/>
        <w:spacing w:after="0" w:line="253" w:lineRule="auto"/>
        <w:rPr>
          <w:sz w:val="20"/>
          <w:szCs w:val="20"/>
          <w:color w:val="auto"/>
        </w:rPr>
      </w:pPr>
      <w:r>
        <w:rPr>
          <w:rFonts w:ascii="Times New Roman" w:cs="Times New Roman" w:eastAsia="Times New Roman" w:hAnsi="Times New Roman"/>
          <w:sz w:val="16"/>
          <w:szCs w:val="16"/>
          <w:color w:val="auto"/>
        </w:rPr>
        <w:t>Upon consummation of the First Merger, the equity compensation awards of the Company outstanding as of the date of the Merger were settled as follows: (i) each unvested option to acquire shares of common stock and each unvested restricted stock unit award with respect to shares of common stock was accelerated and vested in full at the effective time of the First Merger; (ii) each option to acquire shares of common stock was canceled and in exchange therefore, former holders became entitled to receive an amount in cash equal to the product of (A) the total number of shares of common stock subject to the unexercised portion the stock option (determined after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7" w:name="page218"/>
    <w:bookmarkEnd w:id="217"/>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80"/>
        <w:spacing w:after="0" w:line="252" w:lineRule="auto"/>
        <w:rPr>
          <w:sz w:val="20"/>
          <w:szCs w:val="20"/>
          <w:color w:val="auto"/>
        </w:rPr>
      </w:pPr>
      <w:r>
        <w:rPr>
          <w:rFonts w:ascii="Times New Roman" w:cs="Times New Roman" w:eastAsia="Times New Roman" w:hAnsi="Times New Roman"/>
          <w:sz w:val="16"/>
          <w:szCs w:val="16"/>
          <w:color w:val="auto"/>
        </w:rPr>
        <w:t>giving effect to the accelerated vesting) multiplied by (B) the excess, if any, of $2.06, or the Cash-out Amount, over the applicable exercise price per share of common stock under such stock option; and (iii) 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 Stock options with an exercise price in excess of the Cash-out Amount received no cash payment.</w:t>
      </w:r>
    </w:p>
    <w:p>
      <w:pPr>
        <w:spacing w:after="0" w:line="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modification to accelerate the vesting of all awards upon the Merger resulted in full recognition of unrecognized</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compensation of $13.1 million, of which $5.9 million and $7.2 million was classified as research and development</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expense and general and administrative expense, respectively, in the consolidated statements of operations and</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comprehensive (loss) income. In addition, with the exception of any options with an exercise price greater than</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$2.06 per share, all awards were settled in cash for an amount equal to $2.06 less any exercise price associated with</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awards. The total cash payment made to the holders of stock options and restricted stock units was $9.4 million.</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fair value of the awards prior to the settlement was recorded to additional paid-in capital in an amount of</w:t>
      </w:r>
    </w:p>
    <w:p>
      <w:pPr>
        <w:spacing w:after="0" w:line="6" w:lineRule="exact"/>
        <w:rPr>
          <w:sz w:val="20"/>
          <w:szCs w:val="20"/>
          <w:color w:val="auto"/>
        </w:rPr>
      </w:pPr>
    </w:p>
    <w:p>
      <w:pPr>
        <w:ind w:left="1140" w:right="1200"/>
        <w:spacing w:after="0" w:line="250" w:lineRule="auto"/>
        <w:rPr>
          <w:sz w:val="20"/>
          <w:szCs w:val="20"/>
          <w:color w:val="auto"/>
        </w:rPr>
      </w:pPr>
      <w:r>
        <w:rPr>
          <w:rFonts w:ascii="Times New Roman" w:cs="Times New Roman" w:eastAsia="Times New Roman" w:hAnsi="Times New Roman"/>
          <w:sz w:val="16"/>
          <w:szCs w:val="16"/>
          <w:color w:val="auto"/>
        </w:rPr>
        <w:t>$6.2 million and the amount in excess of fair value was recognized as additional stock-based compensation expense in an amount of $3.2 million, of which $1.5 million and $1.7 million was classified as research and development expense and general and administrative expense, respectively, in the consolidated statements of operations and comprehensive (loss) income.</w:t>
      </w: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03" w:lineRule="exact"/>
        <w:rPr>
          <w:sz w:val="20"/>
          <w:szCs w:val="20"/>
          <w:color w:val="auto"/>
        </w:rPr>
      </w:pPr>
    </w:p>
    <w:p>
      <w:pPr>
        <w:ind w:left="1140" w:right="1280"/>
        <w:spacing w:after="0" w:line="253"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year ended December 31, 2023 and $1.0 million recognized as stock-based compensation expense upon the issuance of common stock to Ginkgo during the year ended December 31, 2022 as described in Note 16, was as follows (in thousands):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1"/>
        </w:trPr>
        <w:tc>
          <w:tcPr>
            <w:tcW w:w="5340" w:type="dxa"/>
            <w:vAlign w:val="bottom"/>
          </w:tcPr>
          <w:p>
            <w:pPr>
              <w:spacing w:after="0"/>
              <w:rPr>
                <w:sz w:val="13"/>
                <w:szCs w:val="13"/>
                <w:color w:val="auto"/>
              </w:rPr>
            </w:pPr>
          </w:p>
        </w:tc>
        <w:tc>
          <w:tcPr>
            <w:tcW w:w="72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gridSpan w:val="2"/>
          </w:tcPr>
          <w:p>
            <w:pPr>
              <w:jc w:val="center"/>
              <w:ind w:left="10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1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700" w:type="dxa"/>
            <w:vAlign w:val="bottom"/>
            <w:tcBorders>
              <w:right w:val="single" w:sz="8" w:color="CCEEFF"/>
            </w:tcBorders>
            <w:gridSpan w:val="2"/>
            <w:shd w:val="clear" w:color="auto" w:fill="CCEEFF"/>
          </w:tcPr>
          <w:p>
            <w:pPr>
              <w:jc w:val="center"/>
              <w:ind w:left="106"/>
              <w:spacing w:after="0"/>
              <w:rPr>
                <w:sz w:val="20"/>
                <w:szCs w:val="20"/>
                <w:color w:val="auto"/>
              </w:rPr>
            </w:pPr>
            <w:r>
              <w:rPr>
                <w:rFonts w:ascii="Times New Roman" w:cs="Times New Roman" w:eastAsia="Times New Roman" w:hAnsi="Times New Roman"/>
                <w:sz w:val="16"/>
                <w:szCs w:val="16"/>
                <w:color w:val="auto"/>
              </w:rPr>
              <w:t>$ 5,061</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w:t>
            </w:r>
          </w:p>
        </w:tc>
      </w:tr>
      <w:tr>
        <w:trPr>
          <w:trHeight w:val="218"/>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12,793</w:t>
            </w:r>
          </w:p>
        </w:tc>
        <w:tc>
          <w:tcPr>
            <w:tcW w:w="18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8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w:t>
            </w:r>
          </w:p>
        </w:tc>
      </w:tr>
      <w:tr>
        <w:trPr>
          <w:trHeight w:val="24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25,778</w:t>
            </w:r>
          </w:p>
        </w:tc>
        <w:tc>
          <w:tcPr>
            <w:tcW w:w="700" w:type="dxa"/>
            <w:vAlign w:val="bottom"/>
            <w:tcBorders>
              <w:right w:val="single" w:sz="8" w:color="CCEEFF"/>
            </w:tcBorders>
            <w:gridSpan w:val="2"/>
            <w:shd w:val="clear" w:color="auto" w:fill="CCEEFF"/>
          </w:tcPr>
          <w:p>
            <w:pPr>
              <w:jc w:val="center"/>
              <w:ind w:left="106"/>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11,194</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7,720</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03" w:lineRule="exact"/>
        <w:rPr>
          <w:sz w:val="20"/>
          <w:szCs w:val="20"/>
          <w:color w:val="auto"/>
        </w:rPr>
      </w:pPr>
    </w:p>
    <w:p>
      <w:pPr>
        <w:ind w:left="1140" w:right="1420"/>
        <w:spacing w:after="0" w:line="277" w:lineRule="auto"/>
        <w:rPr>
          <w:sz w:val="20"/>
          <w:szCs w:val="20"/>
          <w:color w:val="auto"/>
        </w:rPr>
      </w:pPr>
      <w:r>
        <w:rPr>
          <w:rFonts w:ascii="Times New Roman" w:cs="Times New Roman" w:eastAsia="Times New Roman" w:hAnsi="Times New Roman"/>
          <w:sz w:val="16"/>
          <w:szCs w:val="16"/>
          <w:color w:val="auto"/>
        </w:rPr>
        <w:t>The fair value of the stock options assumed in connection with the Merger was calculated using a Black-Scholes option pricing model based on the following weighted-average assumptions: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360" w:type="dxa"/>
            <w:vAlign w:val="bottom"/>
          </w:tcPr>
          <w:p>
            <w:pPr>
              <w:spacing w:after="0"/>
              <w:rPr>
                <w:sz w:val="12"/>
                <w:szCs w:val="12"/>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4.92 %</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3.59</w:t>
            </w:r>
          </w:p>
        </w:tc>
        <w:tc>
          <w:tcPr>
            <w:tcW w:w="12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83.77 %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83.87 %</w:t>
            </w:r>
          </w:p>
        </w:tc>
        <w:tc>
          <w:tcPr>
            <w:tcW w:w="0" w:type="dxa"/>
            <w:vAlign w:val="bottom"/>
          </w:tcPr>
          <w:p>
            <w:pPr>
              <w:spacing w:after="0"/>
              <w:rPr>
                <w:sz w:val="1"/>
                <w:szCs w:val="1"/>
                <w:color w:val="auto"/>
              </w:rPr>
            </w:pPr>
          </w:p>
        </w:tc>
      </w:tr>
      <w:tr>
        <w:trPr>
          <w:trHeight w:val="19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 or Series A Preferred Stock, as</w:t>
            </w: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applicable</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$ 0.40</w:t>
            </w:r>
          </w:p>
        </w:tc>
        <w:tc>
          <w:tcPr>
            <w:tcW w:w="12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$403.47</w:t>
            </w:r>
          </w:p>
        </w:tc>
        <w:tc>
          <w:tcPr>
            <w:tcW w:w="0" w:type="dxa"/>
            <w:vAlign w:val="bottom"/>
          </w:tcPr>
          <w:p>
            <w:pPr>
              <w:spacing w:after="0"/>
              <w:rPr>
                <w:sz w:val="1"/>
                <w:szCs w:val="1"/>
                <w:color w:val="auto"/>
              </w:rPr>
            </w:pPr>
          </w:p>
        </w:tc>
      </w:tr>
      <w:tr>
        <w:trPr>
          <w:trHeight w:val="48"/>
        </w:trPr>
        <w:tc>
          <w:tcPr>
            <w:tcW w:w="53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right="1460"/>
        <w:spacing w:after="0" w:line="262"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18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3"/>
        </w:trPr>
        <w:tc>
          <w:tcPr>
            <w:tcW w:w="114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0.79 %</w:t>
            </w:r>
          </w:p>
        </w:tc>
        <w:tc>
          <w:tcPr>
            <w:tcW w:w="1140" w:type="dxa"/>
            <w:vAlign w:val="bottom"/>
          </w:tcPr>
          <w:p>
            <w:pPr>
              <w:spacing w:after="0"/>
              <w:rPr>
                <w:sz w:val="20"/>
                <w:szCs w:val="20"/>
                <w:color w:val="auto"/>
              </w:rPr>
            </w:pPr>
          </w:p>
        </w:tc>
      </w:tr>
      <w:tr>
        <w:trPr>
          <w:trHeight w:val="381"/>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6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F-74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18" w:name="page219"/>
    <w:bookmarkEnd w:id="218"/>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40" w:type="dxa"/>
            <w:vAlign w:val="bottom"/>
            <w:gridSpan w:val="5"/>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2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172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5.94</w:t>
            </w: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6.02</w:t>
            </w: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6.03</w:t>
            </w:r>
          </w:p>
        </w:tc>
      </w:tr>
      <w:tr>
        <w:trPr>
          <w:trHeight w:val="189"/>
        </w:trPr>
        <w:tc>
          <w:tcPr>
            <w:tcW w:w="1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6"/>
                <w:szCs w:val="16"/>
                <w:color w:val="auto"/>
              </w:rPr>
              <w:t>94.64</w:t>
            </w: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92.21</w:t>
            </w: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95.04</w:t>
            </w:r>
          </w:p>
        </w:tc>
      </w:tr>
      <w:tr>
        <w:trPr>
          <w:trHeight w:val="21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w:t>
            </w:r>
          </w:p>
        </w:tc>
        <w:tc>
          <w:tcPr>
            <w:tcW w:w="1720" w:type="dxa"/>
            <w:vAlign w:val="bottom"/>
            <w:gridSpan w:val="2"/>
          </w:tcPr>
          <w:p>
            <w:pPr>
              <w:jc w:val="right"/>
              <w:ind w:right="89"/>
              <w:spacing w:after="0"/>
              <w:rPr>
                <w:sz w:val="20"/>
                <w:szCs w:val="20"/>
                <w:color w:val="auto"/>
              </w:rPr>
            </w:pPr>
            <w:r>
              <w:rPr>
                <w:rFonts w:ascii="Times New Roman" w:cs="Times New Roman" w:eastAsia="Times New Roman" w:hAnsi="Times New Roman"/>
                <w:sz w:val="16"/>
                <w:szCs w:val="16"/>
                <w:color w:val="auto"/>
              </w:rPr>
              <w:t>$ 1.15</w:t>
            </w: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$ 2.63</w:t>
            </w: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$ 3.58</w:t>
            </w:r>
          </w:p>
        </w:tc>
      </w:tr>
    </w:tbl>
    <w:p>
      <w:pPr>
        <w:spacing w:after="0" w:line="121" w:lineRule="exact"/>
        <w:rPr>
          <w:sz w:val="20"/>
          <w:szCs w:val="20"/>
          <w:color w:val="auto"/>
        </w:rPr>
      </w:pPr>
    </w:p>
    <w:p>
      <w:pPr>
        <w:ind w:left="1140" w:right="1320"/>
        <w:spacing w:after="0" w:line="255" w:lineRule="auto"/>
        <w:rPr>
          <w:sz w:val="20"/>
          <w:szCs w:val="20"/>
          <w:color w:val="auto"/>
        </w:rPr>
      </w:pPr>
      <w:r>
        <w:rPr>
          <w:rFonts w:ascii="Times New Roman" w:cs="Times New Roman" w:eastAsia="Times New Roman" w:hAnsi="Times New Roman"/>
          <w:sz w:val="16"/>
          <w:szCs w:val="16"/>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68" w:lineRule="exact"/>
        <w:rPr>
          <w:sz w:val="20"/>
          <w:szCs w:val="20"/>
          <w:color w:val="auto"/>
        </w:rPr>
      </w:pPr>
    </w:p>
    <w:p>
      <w:pPr>
        <w:ind w:left="1140" w:right="1920"/>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years ended December 31, 2023, 2022 and 2021 was $0.90, $1.99, and $2.73 respectively.</w:t>
      </w:r>
    </w:p>
    <w:p>
      <w:pPr>
        <w:spacing w:after="0" w:line="50" w:lineRule="exact"/>
        <w:rPr>
          <w:sz w:val="20"/>
          <w:szCs w:val="20"/>
          <w:color w:val="auto"/>
        </w:rPr>
      </w:pPr>
    </w:p>
    <w:p>
      <w:pPr>
        <w:jc w:val="both"/>
        <w:ind w:left="1140" w:right="1160"/>
        <w:spacing w:after="0" w:line="262" w:lineRule="auto"/>
        <w:rPr>
          <w:sz w:val="20"/>
          <w:szCs w:val="20"/>
          <w:color w:val="auto"/>
        </w:rPr>
      </w:pPr>
      <w:r>
        <w:rPr>
          <w:rFonts w:ascii="Times New Roman" w:cs="Times New Roman" w:eastAsia="Times New Roman" w:hAnsi="Times New Roman"/>
          <w:sz w:val="16"/>
          <w:szCs w:val="16"/>
          <w:color w:val="auto"/>
        </w:rPr>
        <w:t>As of December 31, 2023, total unrecognized compensation expense related to unvested common stock options and Series A Preferred Stock options was $1.4 million and $1.0 million, respectively, which is expected to be recognized over a weighted average period of 2.4 years and 2.5 years, respectively.</w:t>
      </w:r>
    </w:p>
    <w:p>
      <w:pPr>
        <w:spacing w:after="0" w:line="62"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2008 Plan, the 2016 Plan, the 2018 Inducement Incentive Award Plan, and Old Cartesian Plan for options for common stock:</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80" w:type="dxa"/>
            <w:vAlign w:val="bottom"/>
          </w:tcPr>
          <w:p>
            <w:pPr>
              <w:spacing w:after="0"/>
              <w:rPr>
                <w:sz w:val="12"/>
                <w:szCs w:val="12"/>
                <w:color w:val="auto"/>
              </w:rPr>
            </w:pPr>
          </w:p>
        </w:tc>
        <w:tc>
          <w:tcPr>
            <w:tcW w:w="78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3"/>
              </w:rPr>
              <w:t>Common Stock</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8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15,578,412</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$3.44</w:t>
            </w:r>
          </w:p>
        </w:tc>
        <w:tc>
          <w:tcPr>
            <w:tcW w:w="110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color w:val="auto"/>
              </w:rPr>
              <w:t>7.57</w:t>
            </w:r>
          </w:p>
        </w:tc>
        <w:tc>
          <w:tcPr>
            <w:tcW w:w="44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5,477,200</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$1.15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Assumed in connection with Merger</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(2,215,020)</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$2.68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(18,840,592)</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$2.86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Borders>
              <w:right w:val="single" w:sz="8" w:color="CCEEFF"/>
            </w:tcBorders>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$0.10</w:t>
            </w:r>
          </w:p>
        </w:tc>
        <w:tc>
          <w:tcPr>
            <w:tcW w:w="110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color w:val="auto"/>
              </w:rPr>
              <w:t>6.50</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December 31, 2023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18,067,999</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$0.10</w:t>
            </w:r>
          </w:p>
        </w:tc>
        <w:tc>
          <w:tcPr>
            <w:tcW w:w="110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6"/>
                <w:szCs w:val="16"/>
                <w:color w:val="auto"/>
              </w:rPr>
              <w:t>6.13</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$0.10</w:t>
            </w:r>
          </w:p>
        </w:tc>
        <w:tc>
          <w:tcPr>
            <w:tcW w:w="110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color w:val="auto"/>
              </w:rPr>
              <w:t>6.50</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35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Non-employee consultants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266,239</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$8.05</w:t>
            </w:r>
          </w:p>
        </w:tc>
        <w:tc>
          <w:tcPr>
            <w:tcW w:w="110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6"/>
                <w:szCs w:val="16"/>
                <w:color w:val="auto"/>
              </w:rPr>
              <w:t>5.08</w:t>
            </w:r>
          </w:p>
        </w:tc>
        <w:tc>
          <w:tcPr>
            <w:tcW w:w="4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(266,239)</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$8.05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Borders>
              <w:right w:val="single" w:sz="8" w:color="CCEEFF"/>
            </w:tcBorders>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9"/>
                <w:szCs w:val="19"/>
                <w:color w:val="auto"/>
              </w:rPr>
            </w:pPr>
          </w:p>
        </w:tc>
        <w:tc>
          <w:tcPr>
            <w:tcW w:w="1000" w:type="dxa"/>
            <w:vAlign w:val="bottom"/>
          </w:tcPr>
          <w:p>
            <w:pPr>
              <w:jc w:val="right"/>
              <w:ind w:right="29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140" w:right="154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Old Cartesian Plan for options for Series A Preferred Stock: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80" w:type="dxa"/>
            <w:vAlign w:val="bottom"/>
          </w:tcPr>
          <w:p>
            <w:pPr>
              <w:spacing w:after="0"/>
              <w:rPr>
                <w:sz w:val="11"/>
                <w:szCs w:val="11"/>
                <w:color w:val="auto"/>
              </w:rPr>
            </w:pPr>
          </w:p>
        </w:tc>
        <w:tc>
          <w:tcPr>
            <w:tcW w:w="7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0" w:type="dxa"/>
            <w:vAlign w:val="bottom"/>
          </w:tcPr>
          <w:p>
            <w:pPr>
              <w:jc w:val="right"/>
              <w:ind w:right="29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Assumed in connection with Merger</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14,112.299</w:t>
            </w:r>
          </w:p>
        </w:tc>
        <w:tc>
          <w:tcPr>
            <w:tcW w:w="106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6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14,112.</w:t>
            </w:r>
            <w:r>
              <w:rPr>
                <w:rFonts w:ascii="Times New Roman" w:cs="Times New Roman" w:eastAsia="Times New Roman" w:hAnsi="Times New Roman"/>
                <w:sz w:val="16"/>
                <w:szCs w:val="16"/>
                <w:u w:val="single" w:color="auto"/>
                <w:color w:val="auto"/>
              </w:rPr>
              <w:t>299</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10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color w:val="auto"/>
              </w:rPr>
              <w:t>5.91</w:t>
            </w: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$8,601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F-75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39" w:right="1119" w:bottom="1440" w:gutter="0" w:footer="0" w:header="0"/>
        </w:sectPr>
      </w:pPr>
    </w:p>
    <w:bookmarkStart w:id="219" w:name="page220"/>
    <w:bookmarkEnd w:id="219"/>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8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8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December 31, 2023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10,860.441</w:t>
            </w:r>
          </w:p>
        </w:tc>
        <w:tc>
          <w:tcPr>
            <w:tcW w:w="106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w w:val="99"/>
              </w:rPr>
              <w:t>$71.67</w:t>
            </w:r>
          </w:p>
        </w:tc>
        <w:tc>
          <w:tcPr>
            <w:tcW w:w="11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5.15</w:t>
            </w:r>
          </w:p>
        </w:tc>
        <w:tc>
          <w:tcPr>
            <w:tcW w:w="86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$6,709</w:t>
            </w:r>
          </w:p>
        </w:tc>
        <w:tc>
          <w:tcPr>
            <w:tcW w:w="0" w:type="dxa"/>
            <w:vAlign w:val="bottom"/>
          </w:tcPr>
          <w:p>
            <w:pPr>
              <w:spacing w:after="0"/>
              <w:rPr>
                <w:sz w:val="1"/>
                <w:szCs w:val="1"/>
                <w:color w:val="auto"/>
              </w:rPr>
            </w:pPr>
          </w:p>
        </w:tc>
      </w:tr>
      <w:tr>
        <w:trPr>
          <w:trHeight w:val="20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14,112.299</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5.91</w:t>
            </w:r>
          </w:p>
        </w:tc>
        <w:tc>
          <w:tcPr>
            <w:tcW w:w="86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$8,601</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03"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During the year ended December 31, 2023, the Company granted 1,054,600 restricted stock awards with a weighted average fair value of $1.13 per share based on the closing price of the Company’s common stock on the date of grant to employees under the 2016 Plan, which vested over a four-year term . Forfeitures are estimated at the time of grant and are adjusted, if necessary, in subsequent periods if actual forfeitures differ from those estimates. The Company has estimated a forfeiture rate of 10% for restricted stock awards to employees based on historical experience.</w:t>
      </w:r>
    </w:p>
    <w:p>
      <w:pPr>
        <w:spacing w:after="0" w:line="5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There was no unrecognized compensation expense and no outstanding restricted stock units as of December 31, 2023.</w:t>
      </w:r>
    </w:p>
    <w:p>
      <w:pPr>
        <w:spacing w:after="0" w:line="50"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Company’s restricted stock units under the 2016 Plan and 2018 Inducement Incentive Award Plan:</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760" w:type="dxa"/>
            <w:vAlign w:val="bottom"/>
            <w:vMerge w:val="restart"/>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80" w:type="dxa"/>
            <w:vAlign w:val="bottom"/>
          </w:tcPr>
          <w:p>
            <w:pPr>
              <w:spacing w:after="0"/>
              <w:rPr>
                <w:sz w:val="11"/>
                <w:szCs w:val="11"/>
                <w:color w:val="auto"/>
              </w:rPr>
            </w:pPr>
          </w:p>
        </w:tc>
        <w:tc>
          <w:tcPr>
            <w:tcW w:w="9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grant date</w:t>
            </w: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40" w:type="dxa"/>
            <w:vAlign w:val="bottom"/>
            <w:gridSpan w:val="3"/>
          </w:tcPr>
          <w:p>
            <w:pPr>
              <w:jc w:val="center"/>
              <w:ind w:left="503"/>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2022</w:t>
            </w:r>
          </w:p>
        </w:tc>
        <w:tc>
          <w:tcPr>
            <w:tcW w:w="760" w:type="dxa"/>
            <w:vAlign w:val="bottom"/>
            <w:tcBorders>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1,705,558</w:t>
            </w:r>
          </w:p>
        </w:tc>
        <w:tc>
          <w:tcPr>
            <w:tcW w:w="1240" w:type="dxa"/>
            <w:vAlign w:val="bottom"/>
            <w:gridSpan w:val="4"/>
            <w:shd w:val="clear" w:color="auto" w:fill="CCEEFF"/>
          </w:tcPr>
          <w:p>
            <w:pPr>
              <w:jc w:val="center"/>
              <w:ind w:left="203"/>
              <w:spacing w:after="0"/>
              <w:rPr>
                <w:sz w:val="20"/>
                <w:szCs w:val="20"/>
                <w:color w:val="auto"/>
              </w:rPr>
            </w:pPr>
            <w:r>
              <w:rPr>
                <w:rFonts w:ascii="Times New Roman" w:cs="Times New Roman" w:eastAsia="Times New Roman" w:hAnsi="Times New Roman"/>
                <w:sz w:val="16"/>
                <w:szCs w:val="16"/>
                <w:color w:val="auto"/>
                <w:w w:val="99"/>
              </w:rPr>
              <w:t>$2.62</w:t>
            </w:r>
          </w:p>
        </w:tc>
        <w:tc>
          <w:tcPr>
            <w:tcW w:w="0" w:type="dxa"/>
            <w:vAlign w:val="bottom"/>
          </w:tcPr>
          <w:p>
            <w:pPr>
              <w:spacing w:after="0"/>
              <w:rPr>
                <w:sz w:val="1"/>
                <w:szCs w:val="1"/>
                <w:color w:val="auto"/>
              </w:rPr>
            </w:pPr>
          </w:p>
        </w:tc>
      </w:tr>
      <w:tr>
        <w:trPr>
          <w:trHeight w:val="210"/>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1,054,600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(636,418)</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(446,108)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(1,677,632)</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In June 2016, the Company approved the 2016 Employee Stock Purchase Plan, or the ESPP, which authorized 173,076 shares of common stock for future issuance under the ESPP to participating employees. In January 2023 and 2022, the number of shares of common stock authorized for issuance under the ESPP was increased by 1,530,424 shares and 1,236,229 shares, respectively. During the year ended December 31, 2023, the Company issued 186,044 shares of common stock under the ESPP. As of December 31, 2023, 4,982,098 shares remain available for future issuance under the ESPP. In connection with the Merger, the Board suspended the current ESPP offering period.</w:t>
      </w:r>
    </w:p>
    <w:p>
      <w:pPr>
        <w:spacing w:after="0" w:line="7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For each of the years ended December 31, 2023 and 2022, the Company recognized $0.1 million of stock-based compensation expense under the ESPP.</w:t>
      </w:r>
    </w:p>
    <w:p>
      <w:pPr>
        <w:spacing w:after="0" w:line="226" w:lineRule="exact"/>
        <w:rPr>
          <w:sz w:val="20"/>
          <w:szCs w:val="20"/>
          <w:color w:val="auto"/>
        </w:rPr>
      </w:pPr>
    </w:p>
    <w:p>
      <w:pPr>
        <w:ind w:left="800" w:right="6379" w:hanging="1"/>
        <w:spacing w:after="0" w:line="406" w:lineRule="auto"/>
        <w:tabs>
          <w:tab w:leader="none" w:pos="1037" w:val="left"/>
        </w:tabs>
        <w:numPr>
          <w:ilvl w:val="0"/>
          <w:numId w:val="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 Arrangements Astellas Gene Therapies</w:t>
      </w:r>
    </w:p>
    <w:p>
      <w:pPr>
        <w:ind w:left="800" w:right="919"/>
        <w:spacing w:after="0" w:line="251" w:lineRule="auto"/>
        <w:rPr>
          <w:sz w:val="20"/>
          <w:szCs w:val="20"/>
          <w:color w:val="auto"/>
        </w:rPr>
      </w:pPr>
      <w:r>
        <w:rPr>
          <w:rFonts w:ascii="Times New Roman" w:cs="Times New Roman" w:eastAsia="Times New Roman" w:hAnsi="Times New Roman"/>
          <w:sz w:val="16"/>
          <w:szCs w:val="16"/>
          <w:color w:val="auto"/>
        </w:rPr>
        <w:t>In January 2023, the Company entered into the Astellas Agreement, with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is licensed pursuant to an Exclusive License Agreement with Genovis, or the Genovis Agreement, as described in Note 16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20" w:name="page221"/>
    <w:bookmarkEnd w:id="22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19"/>
        <w:spacing w:after="0" w:line="262" w:lineRule="auto"/>
        <w:rPr>
          <w:sz w:val="20"/>
          <w:szCs w:val="20"/>
          <w:color w:val="auto"/>
        </w:rPr>
      </w:pPr>
      <w:r>
        <w:rPr>
          <w:rFonts w:ascii="Times New Roman" w:cs="Times New Roman" w:eastAsia="Times New Roman" w:hAnsi="Times New Roman"/>
          <w:sz w:val="16"/>
          <w:szCs w:val="16"/>
          <w:color w:val="auto"/>
        </w:rPr>
        <w:t>an Astellas investigational or authorized product. The Company is also eligible for tiered royalty payments ranging from low to high single digits. Any proceeds received from milestone payments or royalties relating to Xork would be required to be distributed to holders of CVRs, net of certain deductions.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Astellas Agreement, the Company will have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will reimburse the Company for 25% of all budgeted costs incurred to complete the development of Xork for use in Pompe disease with an Astellas gene therapy investigational or authorized product. The Company will have control and responsibility over regulatory filings, including any investigational drug applications, biologics license applications,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investigational drug applications, biologics license applications, and marketing authorization applications, relating to Astellas products and Astellas products used in combination with Xork.</w:t>
      </w:r>
    </w:p>
    <w:p>
      <w:pPr>
        <w:spacing w:after="0" w:line="77"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Company determined the Astellas Agreement represents a service arrangement under the scope of ASC 606. The Company determined that the sublicense of Xork to Astellas, the licensed know-how, and the Xork Development Services represent a single promise and performance obligation to be transferred to Astellas over time due to the nature of the promises in the contract. As such, the Company will recognize the transaction price as revenue utilizing the input method to measure the progress of satisfying the single performance obligation to Astellas.</w:t>
      </w:r>
    </w:p>
    <w:p>
      <w:pPr>
        <w:spacing w:after="0" w:line="71"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In determining the transaction price, the Company concluded the upfront payment of $10.0 million and development cost reimbursements of $5.5 million will be included in the initial transaction price. All other development milestones will be fully constrained and will only be included in the transaction price when the applicable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development milestones is outside the control of the Company and probability of success criteria is estimated. The Company will re-evaluate the transaction price in each reporting period, as uncertain events are resolved, or as other changes in circumstances occur. In accordance with ASC 606, the Company will only recognize revenue associated with sales-based milestones and royalties when the subsequent sales thresholds are reached and underlying sales occur, respectively. The Company determined that a significant financing component does not exist in its arrangement with Astellas. The Company also determined the options to negotiate additional fields, enter into a clinical supply agreement, and enter into a commercial supply agreement do not represent material rights under the Astellas Agreement. Astellas has the right to terminate the Astellas Agreement in its entirety or on a field-by-field basis, upon 90 days’ written notice to the Company.</w:t>
      </w:r>
    </w:p>
    <w:p>
      <w:pPr>
        <w:spacing w:after="0" w:line="67"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December 31, 2023, the Company recorded $2.3 million as a short-term contract liability and $3.5 million as a long-term contract liability, representing deferred revenue associated with the Astellas Agreement. As of December 31, 2023, the Company recorded a receivable of $0.3 million, representing billings for the Xork Development Services that are subject to reimbursement by Astellas. Revenue of $5.5 million related to the Astellas Agreement was recognized during the year ended December 31, 2023.</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Takeda Pharmaceuticals USA,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On October 1, 2021, the Company entered into a License Agreement, or the Takeda Agreement, with Takeda. Under the Takeda Agreement, the Company granted Takeda an exclusive license to the Company’s ImmTOR technology initially for two specified disease indications within the field of lysosomal storage disorders. Takeda paid a</w:t>
      </w:r>
    </w:p>
    <w:p>
      <w:pPr>
        <w:spacing w:after="0" w:line="1" w:lineRule="exact"/>
        <w:rPr>
          <w:sz w:val="20"/>
          <w:szCs w:val="20"/>
          <w:color w:val="auto"/>
        </w:rPr>
      </w:pPr>
    </w:p>
    <w:p>
      <w:pPr>
        <w:ind w:left="800" w:right="919"/>
        <w:spacing w:after="0" w:line="249" w:lineRule="auto"/>
        <w:rPr>
          <w:sz w:val="20"/>
          <w:szCs w:val="20"/>
          <w:color w:val="auto"/>
        </w:rPr>
      </w:pPr>
      <w:r>
        <w:rPr>
          <w:rFonts w:ascii="Times New Roman" w:cs="Times New Roman" w:eastAsia="Times New Roman" w:hAnsi="Times New Roman"/>
          <w:sz w:val="16"/>
          <w:szCs w:val="16"/>
          <w:color w:val="auto"/>
        </w:rPr>
        <w:t>$3.0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1" w:name="page222"/>
    <w:bookmarkEnd w:id="2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Takeda Agreement, the Company determined the Takeda Agreement represented a service arrangement under the scope of ASC 606, and given the reversion of the rights under the Takeda Agreement represented a penalty in substance for a termination by Takeda, the contract term would remain the stated term of the Takeda Agreement. The Company determined that the research license, the licensed know-how, and the manufactured supply and delivery of materials represented a single promise and performance obligation to be transferred to Takeda over time due to the nature of the promises in the contract. The delivery of the manufactured supply was the predominant promise within the arrangement, as it was essential to the utility of the licensed intellectual property. The material supplied by the Company to Takeda was unique to the Company and cannot be obtained by other vendors. As such, consideration in the initial transaction price was allocated to the single performance obligation and the recognition period would not extend beyond the initial contractual period. The Company recognized the revenue associated with the upfront payment and combined single performance obligation utilizing the output method over the term that manufactured supply was delivered to Takeda.</w:t>
      </w:r>
    </w:p>
    <w:p>
      <w:pPr>
        <w:spacing w:after="0" w:line="75" w:lineRule="exact"/>
        <w:rPr>
          <w:sz w:val="20"/>
          <w:szCs w:val="20"/>
          <w:color w:val="auto"/>
        </w:rPr>
      </w:pPr>
    </w:p>
    <w:p>
      <w:pPr>
        <w:ind w:left="800" w:right="879"/>
        <w:spacing w:after="0" w:line="249"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payment associated with all the performance milestones was fully constrained and only included in the transaction price when the respective milestone was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re-evaluated the transaction price in each reporting period, as uncertain events were resolved, or as other changes in circumstances occurred. Takeda had the right to exercise covenant release rights on a field-by-field basis. If Takeda exercised its covenant release rights, we could have received exercise payments per indication and would have been entitled to significant development and commercial milestone payments and tiered royalties on commercial sales. The Company determined that a significant financing component did not exist in its arrangement with Takeda. The Company also determined the options to negotiate additional fields, pursue other products, enter into a supply agreement explore additional fields, and pursue additional development under the initial fields did not represent material rights under the agreement. Takeda had the right to terminate the Takeda Agreement in its entirety or on a field-by-field basis, upon 90 days’ written notice to the Company.</w:t>
      </w:r>
    </w:p>
    <w:p>
      <w:pPr>
        <w:spacing w:after="0" w:line="81"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year ended December 31, 2023.</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The Takeda Agreement was terminated effective July 25, 2023, following Takeda’s decision to discontinue discovery and pre-clinical activities in adeno-associated virus, or AAV, gene therapy.</w:t>
      </w:r>
    </w:p>
    <w:p>
      <w:pPr>
        <w:spacing w:after="0" w:line="5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recorded no contract liability. As of December 31, 2022, the Company recorded $0.1 million as a short-term contract liability and no long-term contract liability representing deferred revenue associated with this agreement. Revenue of $0.6 million and $1.8 million related to the Takeda Agreement was recognized during the years ended December 31, 2023 and 2022, respectively.</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Swedish Orphan Biovitrum</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June 11, 2020, the Company and Sobi entered into a License and Development Agreement.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2" w:name="page223"/>
    <w:bookmarkEnd w:id="2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Sobi License, the Company agreed to supply (at cost) quantities of the Compound and ImmTOR as necessary for completion of the two Phase 3 clinical trials of SEL-212 (DISSOLVE I and DISSOLVE II) and a six-month placebo extension. The Company was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77"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The transactions contemplated by the Sobi License were consummated on July 28, 2020.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6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12 for details.</w:t>
      </w:r>
    </w:p>
    <w:p>
      <w:pPr>
        <w:spacing w:after="0" w:line="62"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59"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determining the transaction price, the Company concluded the upfront payment of $75.0 million and the</w:t>
      </w:r>
    </w:p>
    <w:p>
      <w:pPr>
        <w:spacing w:after="0" w:line="23" w:lineRule="exact"/>
        <w:rPr>
          <w:sz w:val="20"/>
          <w:szCs w:val="20"/>
          <w:color w:val="auto"/>
        </w:rPr>
      </w:pPr>
    </w:p>
    <w:p>
      <w:pPr>
        <w:ind w:left="800" w:right="879"/>
        <w:spacing w:after="0" w:line="248" w:lineRule="auto"/>
        <w:rPr>
          <w:sz w:val="20"/>
          <w:szCs w:val="20"/>
          <w:color w:val="auto"/>
        </w:rPr>
      </w:pPr>
      <w:r>
        <w:rPr>
          <w:rFonts w:ascii="Times New Roman" w:cs="Times New Roman" w:eastAsia="Times New Roman" w:hAnsi="Times New Roman"/>
          <w:sz w:val="16"/>
          <w:szCs w:val="16"/>
          <w:color w:val="auto"/>
        </w:rPr>
        <w:t>$5.0 million development milestone associated with the dosing of the first patient in the Phase 3 DISSOLVE trials were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re-evaluates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is included in the transaction price for revenue recognition.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3" w:name="page224"/>
    <w:bookmarkEnd w:id="2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99"/>
        <w:spacing w:after="0" w:line="288" w:lineRule="auto"/>
        <w:rPr>
          <w:sz w:val="20"/>
          <w:szCs w:val="20"/>
          <w:color w:val="auto"/>
        </w:rPr>
      </w:pPr>
      <w:r>
        <w:rPr>
          <w:rFonts w:ascii="Times New Roman" w:cs="Times New Roman" w:eastAsia="Times New Roman" w:hAnsi="Times New Roman"/>
          <w:sz w:val="15"/>
          <w:szCs w:val="15"/>
          <w:color w:val="auto"/>
        </w:rPr>
        <w:t>The Company estimates and includes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44"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7" w:lineRule="exact"/>
        <w:rPr>
          <w:sz w:val="20"/>
          <w:szCs w:val="20"/>
          <w:color w:val="auto"/>
        </w:rPr>
      </w:pPr>
    </w:p>
    <w:p>
      <w:pPr>
        <w:ind w:left="800" w:right="939"/>
        <w:spacing w:after="0" w:line="269" w:lineRule="auto"/>
        <w:rPr>
          <w:sz w:val="20"/>
          <w:szCs w:val="20"/>
          <w:color w:val="auto"/>
        </w:rPr>
      </w:pPr>
      <w:r>
        <w:rPr>
          <w:rFonts w:ascii="Times New Roman" w:cs="Times New Roman" w:eastAsia="Times New Roman" w:hAnsi="Times New Roman"/>
          <w:sz w:val="15"/>
          <w:szCs w:val="15"/>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62"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On June 29, 2022, the Company completed enrollment of the DISSOLVE II trial. The completion of enrollment of the DISSOLVE II trial resulted in the achievement of a development milestone and a $10.0 million payment obligation from Sobi to the Company. This amount was added to the overall transaction price and payment was received during the year ended December 31, 2022.</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October 31, 2023, the Company and Sobi entered into Amendment No. 1 to the License and Development Agreement,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As of December 31, 2023 and 2022, the Company recorded a total outstanding receivable of $4.6 million and $5.0 million, respectively, representing billings for the Phase 3 DISSOLVE program that are subject to reimbursement by Sobi. Additionally, as of December 31, 2023 and 2022, the Company recorded a total unbilled receivable of $3.0 million and $3.2 million, respectively, representing revenue earned but not yet billed for the Phase 3 DISSOLVE program. Revenue of $19.4 million and $82.6 million related to the Sobi License was recognized during the years ended December 31, 2023 and 2022, respectively, inclusive of $1.1 million of revenue recognized from performance obligations related to prior periods as a result of the change in transaction price during the year ended December 31, 2023.</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Sarepta Therapeutics,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Research License and Option Agreement</w:t>
      </w:r>
    </w:p>
    <w:p>
      <w:pPr>
        <w:spacing w:after="0" w:line="103"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4" w:name="page225"/>
    <w:bookmarkEnd w:id="2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99"/>
        <w:spacing w:after="0" w:line="253" w:lineRule="auto"/>
        <w:rPr>
          <w:sz w:val="20"/>
          <w:szCs w:val="20"/>
          <w:color w:val="auto"/>
        </w:rPr>
      </w:pPr>
      <w:r>
        <w:rPr>
          <w:rFonts w:ascii="Times New Roman" w:cs="Times New Roman" w:eastAsia="Times New Roman" w:hAnsi="Times New Roman"/>
          <w:sz w:val="16"/>
          <w:szCs w:val="16"/>
          <w:color w:val="auto"/>
        </w:rPr>
        <w:t>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7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68"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Pursuant to the Sarepta Agreement, the Company determined the Sarepta Agreement represents a service arrangement under the scope of ASC 606, with a 24-month contract duration. Given the reversion of the rights under the Sarepta Agreement represents a penalty in substance for a termination by Sarepta, the contract term would remain the stated term of the Sarepta Agreement.</w:t>
      </w:r>
    </w:p>
    <w:p>
      <w:pPr>
        <w:spacing w:after="0" w:line="67"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71"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7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w:t>
      </w:r>
    </w:p>
    <w:p>
      <w:pPr>
        <w:spacing w:after="0" w:line="68" w:lineRule="exact"/>
        <w:rPr>
          <w:sz w:val="20"/>
          <w:szCs w:val="20"/>
          <w:color w:val="auto"/>
        </w:rPr>
      </w:pPr>
    </w:p>
    <w:p>
      <w:pPr>
        <w:jc w:val="both"/>
        <w:ind w:left="800" w:right="979"/>
        <w:spacing w:after="0" w:line="257" w:lineRule="auto"/>
        <w:rPr>
          <w:sz w:val="20"/>
          <w:szCs w:val="20"/>
          <w:color w:val="auto"/>
        </w:rPr>
      </w:pPr>
      <w:r>
        <w:rPr>
          <w:rFonts w:ascii="Times New Roman" w:cs="Times New Roman" w:eastAsia="Times New Roman" w:hAnsi="Times New Roman"/>
          <w:sz w:val="16"/>
          <w:szCs w:val="16"/>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67"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On June 10, 2022, the Company was notified by Sarepta that Sarepta would be extending their options under the Sarepta Agreement. In exchange for a nine-month extension to Sarepta’s options to both Duchenne muscular dystrophy and certain limb-girdle muscular dystrophies, the Company received a milestone payment of $2.0 million during the year ended December 31, 2022.</w:t>
      </w:r>
    </w:p>
    <w:p>
      <w:pPr>
        <w:spacing w:after="0" w:line="67"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On June 15, 2022, the Company was notified by Sarepta of the achievement of a milestone event related to certain preclinical study milestones under the Sarepta Agreement. Accordingly, the Company received a milestone payment of $4.0 million during the year ended December 31, 2022.</w:t>
      </w:r>
    </w:p>
    <w:p>
      <w:pPr>
        <w:spacing w:after="0" w:line="62" w:lineRule="exact"/>
        <w:rPr>
          <w:sz w:val="20"/>
          <w:szCs w:val="20"/>
          <w:color w:val="auto"/>
        </w:rPr>
      </w:pPr>
    </w:p>
    <w:p>
      <w:pPr>
        <w:jc w:val="both"/>
        <w:ind w:left="800" w:right="899"/>
        <w:spacing w:after="0" w:line="312" w:lineRule="auto"/>
        <w:rPr>
          <w:sz w:val="20"/>
          <w:szCs w:val="20"/>
          <w:color w:val="auto"/>
        </w:rPr>
      </w:pPr>
      <w:r>
        <w:rPr>
          <w:rFonts w:ascii="Times New Roman" w:cs="Times New Roman" w:eastAsia="Times New Roman" w:hAnsi="Times New Roman"/>
          <w:sz w:val="15"/>
          <w:szCs w:val="15"/>
          <w:color w:val="auto"/>
        </w:rPr>
        <w:t>On March 13, 2023, the Company was notified by Sarepta that Sarepta would not be exercising its exclusive option under the Sarepta Agreement. The Sarepta Agreement terminated upon the expiration of the option in March 2023.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5" w:name="page226"/>
    <w:bookmarkEnd w:id="2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recorded no contract liability. As of December 31, 2022, the Company recorded $0.5 million as a short-term contract liability representing deferred revenue associated with this agreement. Revenue of $0.5 million and $10.2 million related to the Sarepta Agreement was recognized during the years ended December 31, 2023 and 2022, respectively.</w:t>
      </w:r>
    </w:p>
    <w:p>
      <w:pPr>
        <w:spacing w:after="0" w:line="2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 for Pompe Disease</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December 2019, the Company and Asklepios Biopharmaceutical, Inc., or AskBio, entered into a license agreement, or the AskBio License Agreement. Pursuant to the AskBio License Agreement, AskBio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68" w:lineRule="exact"/>
        <w:rPr>
          <w:sz w:val="20"/>
          <w:szCs w:val="20"/>
          <w:color w:val="auto"/>
        </w:rPr>
      </w:pPr>
    </w:p>
    <w:p>
      <w:pPr>
        <w:ind w:left="800" w:right="919"/>
        <w:spacing w:after="0" w:line="312" w:lineRule="auto"/>
        <w:rPr>
          <w:sz w:val="20"/>
          <w:szCs w:val="20"/>
          <w:color w:val="auto"/>
        </w:rPr>
      </w:pPr>
      <w:r>
        <w:rPr>
          <w:rFonts w:ascii="Times New Roman" w:cs="Times New Roman" w:eastAsia="Times New Roman" w:hAnsi="Times New Roman"/>
          <w:sz w:val="15"/>
          <w:szCs w:val="15"/>
          <w:color w:val="auto"/>
        </w:rPr>
        <w:t>On November 18, 2022, both parties agreed to mutually terminate the AskBio License Agreement. Therefore, the remaining contract liability of $7.0 million was recognized as revenue during the period ended December 31, 2022.</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Spark Therapeutics, Inc.</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provided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71"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On January 18, 2022, both parties agreed to mutually terminate the Spark License Agreement. Therefore, the remaining contract liability of $9.2 million was recognized as revenue during the year ended December 31, 2022.</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Transaction Price Allocated to Future Performance Obligations</w:t>
      </w:r>
    </w:p>
    <w:p>
      <w:pPr>
        <w:spacing w:after="0" w:line="103"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contracts for which work has not been performed (or has been partially performed). As of December 31, 2023, the aggregate amount of the transaction price allocated to remaining performance obligations was $5.8 million.</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 xml:space="preserve">Contract Balances from Contracts with Customers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Astellas, Takeda, Sobi, Sarepta, AskBio, and Spark</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following table presents changes in the Company’s contract liabilities during the year ended December 31, 2023 (in thousands):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Balance at</w:t>
            </w: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6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beginning of</w:t>
            </w:r>
          </w:p>
        </w:tc>
        <w:tc>
          <w:tcPr>
            <w:tcW w:w="2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Additions</w:t>
            </w:r>
          </w:p>
        </w:tc>
        <w:tc>
          <w:tcPr>
            <w:tcW w:w="260" w:type="dxa"/>
            <w:vAlign w:val="bottom"/>
          </w:tcPr>
          <w:p>
            <w:pPr>
              <w:spacing w:after="0"/>
              <w:rPr>
                <w:sz w:val="11"/>
                <w:szCs w:val="11"/>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83"/>
              </w:rPr>
              <w:t>Deductions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end of</w:t>
            </w: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period</w:t>
            </w: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$593</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6"/>
              </w:rPr>
              <w:t>$10,500</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$(5,244)</w:t>
            </w:r>
          </w:p>
        </w:tc>
        <w:tc>
          <w:tcPr>
            <w:tcW w:w="700" w:type="dxa"/>
            <w:vAlign w:val="bottom"/>
            <w:gridSpan w:val="3"/>
          </w:tcPr>
          <w:p>
            <w:pPr>
              <w:jc w:val="center"/>
              <w:ind w:left="161"/>
              <w:spacing w:after="0"/>
              <w:rPr>
                <w:sz w:val="20"/>
                <w:szCs w:val="20"/>
                <w:color w:val="auto"/>
              </w:rPr>
            </w:pPr>
            <w:r>
              <w:rPr>
                <w:rFonts w:ascii="Times New Roman" w:cs="Times New Roman" w:eastAsia="Times New Roman" w:hAnsi="Times New Roman"/>
                <w:sz w:val="16"/>
                <w:szCs w:val="16"/>
                <w:color w:val="auto"/>
                <w:w w:val="95"/>
              </w:rPr>
              <w:t>$5,849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593</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10,500</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(5,244)</w:t>
            </w:r>
          </w:p>
        </w:tc>
        <w:tc>
          <w:tcPr>
            <w:tcW w:w="700" w:type="dxa"/>
            <w:vAlign w:val="bottom"/>
            <w:gridSpan w:val="3"/>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5,849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15. Related-Party Transactions</w:t>
      </w:r>
    </w:p>
    <w:p>
      <w:pPr>
        <w:spacing w:after="0" w:line="1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November 2023 Securities Purchase Agreement</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w:t>
      </w:r>
    </w:p>
    <w:p>
      <w:pPr>
        <w:spacing w:after="0" w:line="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149,330.115 shares of Series A Preferred Stock for an aggregate purchase price of $60.25 million (see Note 11). The November 2023 Private Placement includes a delayed settlement mechanism, and as a result, the below issuances and sales to related parties of the Company were made during the year ended December 31,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6" w:name="page227"/>
    <w:bookmarkEnd w:id="226"/>
    <w:tbl>
      <w:tblPr>
        <w:tblLayout w:type="fixed"/>
        <w:tblInd w:w="800" w:type="dxa"/>
        <w:tblCellMar>
          <w:top w:w="0" w:type="dxa"/>
          <w:left w:w="0" w:type="dxa"/>
          <w:bottom w:w="0" w:type="dxa"/>
          <w:right w:w="0" w:type="dxa"/>
        </w:tblCellMar>
      </w:tblPr>
      <w:tr>
        <w:trPr>
          <w:trHeight w:val="149"/>
        </w:trPr>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of Series A</w:t>
            </w:r>
          </w:p>
        </w:tc>
        <w:tc>
          <w:tcPr>
            <w:tcW w:w="120" w:type="dxa"/>
            <w:vAlign w:val="bottom"/>
          </w:tcPr>
          <w:p>
            <w:pPr>
              <w:spacing w:after="0"/>
              <w:rPr>
                <w:sz w:val="24"/>
                <w:szCs w:val="24"/>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Total aggregate</w:t>
            </w:r>
          </w:p>
        </w:tc>
        <w:tc>
          <w:tcPr>
            <w:tcW w:w="0" w:type="dxa"/>
            <w:vAlign w:val="bottom"/>
          </w:tcPr>
          <w:p>
            <w:pPr>
              <w:spacing w:after="0"/>
              <w:rPr>
                <w:sz w:val="1"/>
                <w:szCs w:val="1"/>
                <w:color w:val="auto"/>
              </w:rPr>
            </w:pPr>
          </w:p>
        </w:tc>
      </w:tr>
      <w:tr>
        <w:trPr>
          <w:trHeight w:val="131"/>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1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24,785.081</w:t>
            </w:r>
          </w:p>
        </w:tc>
        <w:tc>
          <w:tcPr>
            <w:tcW w:w="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$10,000,000</w:t>
            </w:r>
          </w:p>
        </w:tc>
        <w:tc>
          <w:tcPr>
            <w:tcW w:w="0" w:type="dxa"/>
            <w:vAlign w:val="bottom"/>
          </w:tcPr>
          <w:p>
            <w:pPr>
              <w:spacing w:after="0"/>
              <w:rPr>
                <w:sz w:val="1"/>
                <w:szCs w:val="1"/>
                <w:color w:val="auto"/>
              </w:rPr>
            </w:pPr>
          </w:p>
        </w:tc>
      </w:tr>
      <w:tr>
        <w:trPr>
          <w:trHeight w:val="207"/>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12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24,785.081</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w w:val="99"/>
              </w:rPr>
              <w:t>$10,000,000</w:t>
            </w:r>
          </w:p>
        </w:tc>
        <w:tc>
          <w:tcPr>
            <w:tcW w:w="0" w:type="dxa"/>
            <w:vAlign w:val="bottom"/>
          </w:tcPr>
          <w:p>
            <w:pPr>
              <w:spacing w:after="0"/>
              <w:rPr>
                <w:sz w:val="1"/>
                <w:szCs w:val="1"/>
                <w:color w:val="auto"/>
              </w:rPr>
            </w:pPr>
          </w:p>
        </w:tc>
      </w:tr>
      <w:tr>
        <w:trPr>
          <w:trHeight w:val="192"/>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 One Eight Three Four Irrevocable Trust (affiliate of Murat Kalayoglu, MD,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Ph.D.)</w:t>
            </w:r>
          </w:p>
        </w:tc>
        <w:tc>
          <w:tcPr>
            <w:tcW w:w="11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619.627</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8"/>
        </w:trPr>
        <w:tc>
          <w:tcPr>
            <w:tcW w:w="1360" w:type="dxa"/>
            <w:vAlign w:val="bottom"/>
            <w:shd w:val="clear" w:color="auto" w:fill="CCEEFF"/>
          </w:tcPr>
          <w:p>
            <w:pPr>
              <w:spacing w:after="0"/>
              <w:rPr>
                <w:sz w:val="4"/>
                <w:szCs w:val="4"/>
                <w:color w:val="auto"/>
              </w:rPr>
            </w:pPr>
          </w:p>
        </w:tc>
        <w:tc>
          <w:tcPr>
            <w:tcW w:w="3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April 2022 Offering</w:t>
      </w:r>
    </w:p>
    <w:p>
      <w:pPr>
        <w:spacing w:after="0" w:line="103"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2022, the Company completed the 2022 Offering as described in Note 12. The following table sets forth the number of shares of Common Stock and 2022 Warrants purchased in the 2022 Offering by directors and executive officers, as of the time of the Offering, and related parties thereto:</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of Common</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2022 Warrants</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aggregate</w:t>
            </w:r>
          </w:p>
        </w:tc>
        <w:tc>
          <w:tcPr>
            <w:tcW w:w="0" w:type="dxa"/>
            <w:vAlign w:val="bottom"/>
          </w:tcPr>
          <w:p>
            <w:pPr>
              <w:spacing w:after="0"/>
              <w:rPr>
                <w:sz w:val="1"/>
                <w:szCs w:val="1"/>
                <w:color w:val="auto"/>
              </w:rPr>
            </w:pPr>
          </w:p>
        </w:tc>
      </w:tr>
      <w:tr>
        <w:trPr>
          <w:trHeight w:val="167"/>
        </w:trPr>
        <w:tc>
          <w:tcPr>
            <w:tcW w:w="4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Stock purchased</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21"/>
        </w:trPr>
        <w:tc>
          <w:tcPr>
            <w:tcW w:w="4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200" w:type="dxa"/>
            <w:vAlign w:val="bottom"/>
            <w:gridSpan w:val="2"/>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9"/>
              </w:rPr>
              <w:t>6,681,600</w:t>
            </w:r>
          </w:p>
        </w:tc>
        <w:tc>
          <w:tcPr>
            <w:tcW w:w="980" w:type="dxa"/>
            <w:vAlign w:val="bottom"/>
            <w:gridSpan w:val="2"/>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6"/>
              </w:rPr>
              <w:t>5,011,200</w:t>
            </w:r>
          </w:p>
        </w:tc>
        <w:tc>
          <w:tcPr>
            <w:tcW w:w="10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$9,421,056</w:t>
            </w:r>
          </w:p>
        </w:tc>
        <w:tc>
          <w:tcPr>
            <w:tcW w:w="0" w:type="dxa"/>
            <w:vAlign w:val="bottom"/>
          </w:tcPr>
          <w:p>
            <w:pPr>
              <w:spacing w:after="0"/>
              <w:rPr>
                <w:sz w:val="1"/>
                <w:szCs w:val="1"/>
                <w:color w:val="auto"/>
              </w:rPr>
            </w:pPr>
          </w:p>
        </w:tc>
      </w:tr>
      <w:tr>
        <w:trPr>
          <w:trHeight w:val="48"/>
        </w:trPr>
        <w:tc>
          <w:tcPr>
            <w:tcW w:w="42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 liability reclassification</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During the year ended December 31, 2022, the Company amended the terms of certain of the outstanding</w:t>
      </w:r>
    </w:p>
    <w:p>
      <w:pPr>
        <w:spacing w:after="0" w:line="2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2019 Warrants held by members of the Company's Board of Directors and remeasured the Amended 2019 Warrants as described in Note 6.</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Consulting Services</w:t>
      </w:r>
    </w:p>
    <w:p>
      <w:pPr>
        <w:spacing w:after="0" w:line="103"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The Company entered into consulting agreements with its founders to serve on its Scientific Advisory Board, effective January 1, 2020 to December 31, 2021, under which they were paid quarterly for their services. The Company incurred expenses for consulting services provided by its founders totaling $0.1 million during the year ended December 31, 2021. No expenses were incurred for the years ended December 31, 2023 and 2022.</w:t>
      </w:r>
    </w:p>
    <w:p>
      <w:pPr>
        <w:spacing w:after="0" w:line="279" w:lineRule="exact"/>
        <w:rPr>
          <w:sz w:val="20"/>
          <w:szCs w:val="20"/>
          <w:color w:val="auto"/>
        </w:rPr>
      </w:pPr>
    </w:p>
    <w:p>
      <w:pPr>
        <w:ind w:left="800" w:right="5359" w:hanging="1"/>
        <w:spacing w:after="0" w:line="388" w:lineRule="auto"/>
        <w:tabs>
          <w:tab w:leader="none" w:pos="1037"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Collaboration and License Agreements Biogen MA, Inc.</w:t>
      </w:r>
    </w:p>
    <w:p>
      <w:pPr>
        <w:spacing w:after="0" w:line="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3" w:lineRule="exact"/>
        <w:rPr>
          <w:sz w:val="20"/>
          <w:szCs w:val="20"/>
          <w:color w:val="auto"/>
        </w:rPr>
      </w:pPr>
    </w:p>
    <w:p>
      <w:pPr>
        <w:ind w:left="800" w:right="999"/>
        <w:spacing w:after="0" w:line="276" w:lineRule="auto"/>
        <w:rPr>
          <w:sz w:val="20"/>
          <w:szCs w:val="20"/>
          <w:color w:val="auto"/>
        </w:rPr>
      </w:pPr>
      <w:r>
        <w:rPr>
          <w:rFonts w:ascii="Times New Roman" w:cs="Times New Roman" w:eastAsia="Times New Roman" w:hAnsi="Times New Roman"/>
          <w:sz w:val="15"/>
          <w:szCs w:val="15"/>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2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Cancer Institute of the National Institutes of Health</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62" w:lineRule="exact"/>
        <w:rPr>
          <w:sz w:val="20"/>
          <w:szCs w:val="20"/>
          <w:color w:val="auto"/>
        </w:rPr>
      </w:pPr>
    </w:p>
    <w:p>
      <w:pPr>
        <w:ind w:left="800" w:right="1059"/>
        <w:spacing w:after="0" w:line="312" w:lineRule="auto"/>
        <w:rPr>
          <w:sz w:val="20"/>
          <w:szCs w:val="20"/>
          <w:color w:val="auto"/>
        </w:rPr>
      </w:pPr>
      <w:r>
        <w:rPr>
          <w:rFonts w:ascii="Times New Roman" w:cs="Times New Roman" w:eastAsia="Times New Roman" w:hAnsi="Times New Roman"/>
          <w:sz w:val="15"/>
          <w:szCs w:val="15"/>
          <w:color w:val="auto"/>
        </w:rPr>
        <w:t>Under the NCI Agreement, the Company was granted a license under certain NCI patents and patent applications designated in the agreement, to make, use, sell, offer and import products and processes within the scope of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27" w:name="page228"/>
    <w:bookmarkEnd w:id="2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79"/>
        <w:spacing w:after="0" w:line="262" w:lineRule="auto"/>
        <w:rPr>
          <w:sz w:val="20"/>
          <w:szCs w:val="20"/>
          <w:color w:val="auto"/>
        </w:rPr>
      </w:pPr>
      <w:r>
        <w:rPr>
          <w:rFonts w:ascii="Times New Roman" w:cs="Times New Roman" w:eastAsia="Times New Roman" w:hAnsi="Times New Roman"/>
          <w:sz w:val="16"/>
          <w:szCs w:val="16"/>
          <w:color w:val="auto"/>
        </w:rPr>
        <w:t>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62"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7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Ginkgo Bioworks Holdings,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Agreements</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70"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8" w:name="page229"/>
    <w:bookmarkEnd w:id="2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within the scope of ASC 808 as the risk and rewards are not shared by both parties. The Company will expense costs related to the Second Ginkgo Agreement as incurred until regulatory approval is received in accordance with ASC</w:t>
      </w:r>
    </w:p>
    <w:p>
      <w:pPr>
        <w:ind w:left="800" w:right="819" w:hanging="1"/>
        <w:spacing w:after="0" w:line="268" w:lineRule="auto"/>
        <w:tabs>
          <w:tab w:leader="none" w:pos="1117"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60"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June 13, 2022, the Company was notified of the achievement of the midpoint of the technical development plan under the First Ginkgo Agreement by Ginkgo. This milestone resulted in the payment of $0.5 million and issuance of 892,857 shares of the Company’s common stock then-valued at $1.0 million to Ginkgo during the year ended December 31, 2022.</w:t>
      </w:r>
    </w:p>
    <w:p>
      <w:pPr>
        <w:spacing w:after="0" w:line="67" w:lineRule="exact"/>
        <w:rPr>
          <w:sz w:val="20"/>
          <w:szCs w:val="20"/>
          <w:color w:val="auto"/>
        </w:rPr>
      </w:pPr>
    </w:p>
    <w:p>
      <w:pPr>
        <w:ind w:left="800" w:right="1059"/>
        <w:spacing w:after="0" w:line="257" w:lineRule="auto"/>
        <w:rPr>
          <w:sz w:val="20"/>
          <w:szCs w:val="20"/>
          <w:color w:val="auto"/>
        </w:rPr>
      </w:pPr>
      <w:r>
        <w:rPr>
          <w:rFonts w:ascii="Times New Roman" w:cs="Times New Roman" w:eastAsia="Times New Roman" w:hAnsi="Times New Roman"/>
          <w:sz w:val="16"/>
          <w:szCs w:val="16"/>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1,339,285 shares of the Company’s common stock then-valued at $1.5 million to Ginkgo during the year ended December 31, 2023.</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Genovis AB (publ.)</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October 21, 2021, the Company entered into the Genovis Agreement with Genovis. Under the Genovis Agreement, the Company paid to Genovis an upfront payment in exchange for an exclusive license to Genovis’ IgG Protease,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75"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In February 2023, the Company made a $4.0 million payment to Genovis as a result of the sublicense of Xork to Astellas. See Note 14 to these consolidated financial statements for further discussion on the Astellas Agreement.</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Cyrus Biotechnology,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September 7, 2021, the Company and Cyrus entered into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9" w:name="page230"/>
    <w:bookmarkEnd w:id="2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67"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On June 13, 2022, the Company and Cyrus mutually agreed that the preclinical key in-vitro success milestone had been achieved.</w:t>
      </w:r>
    </w:p>
    <w:p>
      <w:pPr>
        <w:spacing w:after="0" w:line="50" w:lineRule="exact"/>
        <w:rPr>
          <w:sz w:val="20"/>
          <w:szCs w:val="20"/>
          <w:color w:val="auto"/>
        </w:rPr>
      </w:pPr>
    </w:p>
    <w:p>
      <w:pPr>
        <w:ind w:left="800" w:right="1059"/>
        <w:spacing w:after="0" w:line="277" w:lineRule="auto"/>
        <w:rPr>
          <w:sz w:val="20"/>
          <w:szCs w:val="20"/>
          <w:color w:val="auto"/>
        </w:rPr>
      </w:pPr>
      <w:r>
        <w:rPr>
          <w:rFonts w:ascii="Times New Roman" w:cs="Times New Roman" w:eastAsia="Times New Roman" w:hAnsi="Times New Roman"/>
          <w:sz w:val="16"/>
          <w:szCs w:val="16"/>
          <w:color w:val="auto"/>
        </w:rPr>
        <w:t>In October 2023, the Company notified Cyrus of its termination of the Cyrus Agreement, effective December 29, 2023.</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Stock Purchase Agreement</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1"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As of December 31, 2023, no impairment indicators are present and therefore the carrying value of the investment in Cyrus is $2.0 million on the accompanying consolidated balance sheet. The Company’s maximum exposure to loss related to this VIE is limited to the carrying value of the investment. The Company has not provided financing to Cyrus other than the amount contractually required by the Series B Preferred Stock Purchase Agreement.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Feasibility Study and License Agreement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1"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3"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The Company and AskBio mutually agreed to the termination of the AskBio Collaboration Agreement, effective December 13, 2023.</w:t>
      </w:r>
    </w:p>
    <w:p>
      <w:pPr>
        <w:spacing w:after="0" w:line="50"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For the years ended December 31, 2023 and 2022, the Company recognized $0.1 million and $0.9 million, respectively, of collaboration expense under the AskBio Collaboration Agreement in which actual costs incurred by both parties approximate a 50% cost share.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0" w:name="page231"/>
    <w:bookmarkEnd w:id="23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Shenyang Sunshine Pharmaceutical Co., Ltd</w:t>
      </w:r>
    </w:p>
    <w:p>
      <w:pPr>
        <w:spacing w:after="0" w:line="103" w:lineRule="exact"/>
        <w:rPr>
          <w:sz w:val="20"/>
          <w:szCs w:val="20"/>
          <w:color w:val="auto"/>
        </w:rPr>
      </w:pPr>
    </w:p>
    <w:p>
      <w:pPr>
        <w:ind w:left="1140" w:right="1400"/>
        <w:spacing w:after="0" w:line="253" w:lineRule="auto"/>
        <w:rPr>
          <w:sz w:val="20"/>
          <w:szCs w:val="20"/>
          <w:color w:val="auto"/>
        </w:rPr>
      </w:pPr>
      <w:r>
        <w:rPr>
          <w:rFonts w:ascii="Times New Roman" w:cs="Times New Roman" w:eastAsia="Times New Roman" w:hAnsi="Times New Roman"/>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December 31, 2023.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17. Income Taxes</w:t>
      </w:r>
    </w:p>
    <w:p>
      <w:pPr>
        <w:spacing w:after="0" w:line="103"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On November 13, 2023, the Company acquired, in accordance with the terms of the Merger Agreement, the assets of Old Cartesian. In accordance with ASC 805-740-25-3, recognition of deferred tax assets and liabilities is required for substantially all temporary differences and acquired tax carryforwards and credits. The Company has computed estimated temporary differences and acquired tax carryforwards and credits as of the transaction date. The Company will not have tax basis in IPR&amp;D booked as part of the purchase accounting. For accounting purposes, the IPR&amp;D will not be amortized and only subject to impairment review and testing. Though the tax effects may be delayed indefinitely, ASC 740-10-55-63 states that “deferred tax liabilities may not be eliminated or reduced because a reporting entity may be able to delay the settlement of those liabilities by delaying the events that would cause taxable temporary differences to reverse.” As such, the Company can potentially only utilize indefinite-lived assets as it relates to this indefinite lived intangible deferred tax liability reversal. As such, the Company has booked a deferred tax liability for the portion of the liability that cannot be reduced based on scheduling. Additionally, a portion of this target deferred tax liability is offset with the Company's pre-Merger deferred tax assets on a combined basis, and as such the portion of deferred tax liability reduced by the Company's pre-Merger deferred tax assets has been charged to income rather than to goodwill.</w:t>
      </w:r>
    </w:p>
    <w:p>
      <w:pPr>
        <w:spacing w:after="0" w:line="72" w:lineRule="exact"/>
        <w:rPr>
          <w:sz w:val="20"/>
          <w:szCs w:val="20"/>
          <w:color w:val="auto"/>
        </w:rPr>
      </w:pPr>
    </w:p>
    <w:p>
      <w:pPr>
        <w:ind w:left="1140" w:right="1160"/>
        <w:spacing w:after="0" w:line="258"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a current tax benefit, of $19.0 million. For the year ended December 31, 2022, the Company recognized a current tax benefit for penalty abatements received of</w:t>
      </w:r>
    </w:p>
    <w:p>
      <w:pPr>
        <w:spacing w:after="0" w:line="1" w:lineRule="exact"/>
        <w:rPr>
          <w:sz w:val="20"/>
          <w:szCs w:val="20"/>
          <w:color w:val="auto"/>
        </w:rPr>
      </w:pPr>
    </w:p>
    <w:p>
      <w:pPr>
        <w:ind w:left="1140" w:right="1220"/>
        <w:spacing w:after="0" w:line="251" w:lineRule="auto"/>
        <w:rPr>
          <w:sz w:val="20"/>
          <w:szCs w:val="20"/>
          <w:color w:val="auto"/>
        </w:rPr>
      </w:pPr>
      <w:r>
        <w:rPr>
          <w:rFonts w:ascii="Times New Roman" w:cs="Times New Roman" w:eastAsia="Times New Roman" w:hAnsi="Times New Roman"/>
          <w:sz w:val="16"/>
          <w:szCs w:val="16"/>
          <w:color w:val="auto"/>
        </w:rPr>
        <w:t>$0.6 million. For the year ended December 31, 2021, the Company had recorded a tax expense of $16.0 million, inclusive of penalties and interest of $1.3 million assessed as of December 31, 2021. The following table reconciles the federal statutory income tax rate to the Company’s effective income tax rate: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7"/>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18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U.S. federal rate</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21.0 %</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State income taxes - net of federal benefit</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Permanent items</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(18.6)%</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8.3 %</w:t>
            </w: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Research tax credits</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6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156.5 %</w:t>
            </w: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 net</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14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6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tcPr>
          <w:p>
            <w:pPr>
              <w:spacing w:after="0"/>
              <w:rPr>
                <w:sz w:val="19"/>
                <w:szCs w:val="19"/>
                <w:color w:val="auto"/>
              </w:rPr>
            </w:pPr>
          </w:p>
        </w:tc>
      </w:tr>
      <w:tr>
        <w:trPr>
          <w:trHeight w:val="21"/>
        </w:trPr>
        <w:tc>
          <w:tcPr>
            <w:tcW w:w="114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6"/>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6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8"/>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80" w:type="dxa"/>
            <w:vAlign w:val="bottom"/>
            <w:gridSpan w:val="3"/>
          </w:tcPr>
          <w:p>
            <w:pPr>
              <w:jc w:val="right"/>
              <w:ind w:right="1617"/>
              <w:spacing w:after="0"/>
              <w:rPr>
                <w:sz w:val="20"/>
                <w:szCs w:val="20"/>
                <w:color w:val="auto"/>
              </w:rPr>
            </w:pPr>
            <w:r>
              <w:rPr>
                <w:rFonts w:ascii="Times New Roman" w:cs="Times New Roman" w:eastAsia="Times New Roman" w:hAnsi="Times New Roman"/>
                <w:sz w:val="16"/>
                <w:szCs w:val="16"/>
                <w:color w:val="auto"/>
              </w:rPr>
              <w:t>F-87</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9680"/>
          </w:cols>
          <w:pgMar w:left="1100" w:top="248" w:right="1119" w:bottom="1440" w:gutter="0" w:footer="0" w:header="0"/>
        </w:sectPr>
      </w:pPr>
    </w:p>
    <w:bookmarkStart w:id="231" w:name="page232"/>
    <w:bookmarkEnd w:id="2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the Company’s net deferred tax assets are as follows (in thousands):</w:t>
      </w:r>
    </w:p>
    <w:p>
      <w:pPr>
        <w:spacing w:after="0" w:line="17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6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Borders>
              <w:top w:val="single" w:sz="8" w:color="auto"/>
            </w:tcBorders>
          </w:tcPr>
          <w:p>
            <w:pPr>
              <w:spacing w:after="0"/>
              <w:rPr>
                <w:sz w:val="15"/>
                <w:szCs w:val="15"/>
                <w:color w:val="auto"/>
              </w:rPr>
            </w:pPr>
          </w:p>
        </w:tc>
      </w:tr>
      <w:tr>
        <w:trPr>
          <w:trHeight w:val="21"/>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17,015</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6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60" w:type="dxa"/>
            <w:vAlign w:val="bottom"/>
          </w:tcPr>
          <w:p>
            <w:pPr>
              <w:spacing w:after="0"/>
              <w:rPr>
                <w:sz w:val="18"/>
                <w:szCs w:val="18"/>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6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84,626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83,417</w:t>
            </w:r>
          </w:p>
        </w:tc>
        <w:tc>
          <w:tcPr>
            <w:tcW w:w="60" w:type="dxa"/>
            <w:vAlign w:val="bottom"/>
          </w:tcPr>
          <w:p>
            <w:pPr>
              <w:spacing w:after="0"/>
              <w:rPr>
                <w:sz w:val="18"/>
                <w:szCs w:val="18"/>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6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R&amp;E Capitalization</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9,588</w:t>
            </w:r>
          </w:p>
        </w:tc>
        <w:tc>
          <w:tcPr>
            <w:tcW w:w="60" w:type="dxa"/>
            <w:vAlign w:val="bottom"/>
          </w:tcPr>
          <w:p>
            <w:pPr>
              <w:spacing w:after="0"/>
              <w:rPr>
                <w:sz w:val="18"/>
                <w:szCs w:val="18"/>
                <w:color w:val="auto"/>
              </w:rPr>
            </w:pP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 and license costs</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44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152,465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131,073</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(41,144)</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(3,174)</w:t>
            </w:r>
          </w:p>
        </w:tc>
      </w:tr>
      <w:tr>
        <w:trPr>
          <w:trHeight w:val="27"/>
        </w:trPr>
        <w:tc>
          <w:tcPr>
            <w:tcW w:w="5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(44,023)</w:t>
            </w:r>
          </w:p>
        </w:tc>
        <w:tc>
          <w:tcPr>
            <w:tcW w:w="44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r>
      <w:tr>
        <w:trPr>
          <w:trHeight w:val="29"/>
        </w:trPr>
        <w:tc>
          <w:tcPr>
            <w:tcW w:w="5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 before valuation allowance</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108,442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127,818</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(124,295)</w:t>
            </w:r>
          </w:p>
        </w:tc>
        <w:tc>
          <w:tcPr>
            <w:tcW w:w="114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(127,818)</w:t>
            </w:r>
          </w:p>
        </w:tc>
      </w:tr>
      <w:tr>
        <w:trPr>
          <w:trHeight w:val="20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outside of the indefinite tax liability booked as part of the Merger. The Company believes that it is more likely than not that the net deferred tax assets will not be realized.</w:t>
      </w:r>
    </w:p>
    <w:p>
      <w:pPr>
        <w:spacing w:after="0" w:line="6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Realization of future tax benefits is dependent on many factors, including the Company’s ability to generate taxable income. The Company has evaluated the positive and negative evidence bearing upon the realizability of its deferred tax assets and concluded that it is more likely than not that the Company will not realize the benefit of its net deferred tax assets. The valuation allowance decreased by $3.5 million for the year ended December 31, 2023, primarily as a result of tax benefit booked as part of the Merger. The valuation allowance decreased by $1.5 million for the year ended December 31, 2022, primarily as a result of pre-tax income and credits. As of December 31, 2023, the Company is in the process of winding down operations in Russia and does not expect any tax liability relating to such operations.</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At December 31, 2023, the Company has federal net operating loss carryforward of $108.7 million, which can be carried forward indefinitely, subject to an 80% limitation and state net operating loss carryforward of $110.3 million, which will expire at various times through 2043. The Company has $4.9 million and $0.9 million, respectively, of federal and state research and development tax credit carryforwards, which will expire at various times through 2043. Utilization of the NOL carryforwards and research and orphan drug credit carryforwards may be subject to a substantial annual limitation under Section 382 of the Internal Revenue Code of 1986, as amended, or the Code, and similar state law due to ownership changes that could occur in the future.</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These ownership changes may limit the amount of carryforwards that can be utilized annually to offset future taxable income. If the Company experiences a change of control, as defined by Section 382 of the Code and similar state law, utilization of the NOL carryforwards or research and orphan drug credit carryforwards may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orphan drug credit carryforwards before utilization. The Company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2" w:name="page233"/>
    <w:bookmarkEnd w:id="2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performed an analysis of ownership changes through December 31, 2023. Based on this analysis, the Company does not believe that any of its tax attributes through December 31, 2023 will expire unutilized due to Section 382 limitations. To the extent the Company enters into future equity transactions, there could be a limitation on the Company’s tax attributes.</w:t>
      </w:r>
    </w:p>
    <w:p>
      <w:pPr>
        <w:spacing w:after="0" w:line="65" w:lineRule="exact"/>
        <w:rPr>
          <w:sz w:val="20"/>
          <w:szCs w:val="20"/>
          <w:color w:val="auto"/>
        </w:rPr>
      </w:pPr>
    </w:p>
    <w:p>
      <w:pPr>
        <w:ind w:left="800" w:right="839"/>
        <w:spacing w:after="0" w:line="264" w:lineRule="auto"/>
        <w:rPr>
          <w:sz w:val="20"/>
          <w:szCs w:val="20"/>
          <w:color w:val="auto"/>
        </w:rPr>
      </w:pPr>
      <w:r>
        <w:rPr>
          <w:rFonts w:ascii="Times New Roman" w:cs="Times New Roman" w:eastAsia="Times New Roman" w:hAnsi="Times New Roman"/>
          <w:sz w:val="16"/>
          <w:szCs w:val="16"/>
          <w:color w:val="auto"/>
        </w:rPr>
        <w:t xml:space="preserve">The Company applies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to uncertain tax positions. As of the adoption date on January 1, 2010 and through December 31, 2023, the Company had no unrecognized tax benefits or related interest and penalties accrued.</w:t>
      </w:r>
    </w:p>
    <w:p>
      <w:pPr>
        <w:spacing w:after="0" w:line="60"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During 2023, the Company completed a detailed study of its research and development and orphan drug credits through December 31, 2022. As a result, the Company adjusted its deferred tax asset balances and the impacts are included in the research tax credits and state income taxes - net of federal benefit lines in the effective rate reconciliation above.</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Tax Cuts and Jobs Act requires taxpayers to capitalize and amortize, rather than deduct, research and experimental, or R&amp;E, expenditures under section 174 for tax years beginning after December 31, 2021. These rules became effective for the Company during the year ended December 31, 2022. As a result, the Company has capitalized R&amp;E costs of $44.7 million and $29.3 million for the years ended December 31, 2023 and December 31, 2022, respectively. The Company will amortize these costs for tax purposes over five years if the R&amp;E was performed in the U.S. and over 15 years if the R&amp;E was performed outside the U.S.</w:t>
      </w:r>
    </w:p>
    <w:p>
      <w:pPr>
        <w:spacing w:after="0" w:line="71"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Interest and penalty charges, if any, related to unrecognized tax benefits would be classified as income tax expense in the accompanying statement of operations. As of December 31, 2023, the Company had no accrued interest related to uncertain tax positions.</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for. The Company files income tax returns in the United States and Massachusetts. There are currently no federal, state or foreign audits in progress.</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18. Defined Contribution Plan</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$0.3 million, $0.3 million, and $0.2 million during each of the years ended December 31, 2023, 2022 and 2021, respectively.</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19. Commitments and Contingencies</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was not a party to any litigation that could have a material adverse effect on the Company’s business, financial position, results of operations or cash flows.</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3" w:name="page234"/>
    <w:bookmarkEnd w:id="2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59"/>
        <w:spacing w:after="0" w:line="262" w:lineRule="auto"/>
        <w:rPr>
          <w:sz w:val="20"/>
          <w:szCs w:val="20"/>
          <w:color w:val="auto"/>
        </w:rPr>
      </w:pPr>
      <w:r>
        <w:rPr>
          <w:rFonts w:ascii="Times New Roman" w:cs="Times New Roman" w:eastAsia="Times New Roman" w:hAnsi="Times New Roman"/>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 Restructuring</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 a result of these measures, the Company implemented a restructuring plan resulting in an approximate</w:t>
      </w:r>
    </w:p>
    <w:p>
      <w:pPr>
        <w:spacing w:after="0" w:line="23" w:lineRule="exact"/>
        <w:rPr>
          <w:sz w:val="20"/>
          <w:szCs w:val="20"/>
          <w:color w:val="auto"/>
        </w:rPr>
      </w:pPr>
    </w:p>
    <w:p>
      <w:pPr>
        <w:ind w:left="800" w:right="859"/>
        <w:spacing w:after="0" w:line="269" w:lineRule="auto"/>
        <w:rPr>
          <w:sz w:val="20"/>
          <w:szCs w:val="20"/>
          <w:color w:val="auto"/>
        </w:rPr>
      </w:pPr>
      <w:r>
        <w:rPr>
          <w:rFonts w:ascii="Times New Roman" w:cs="Times New Roman" w:eastAsia="Times New Roman" w:hAnsi="Times New Roman"/>
          <w:sz w:val="15"/>
          <w:szCs w:val="15"/>
          <w:color w:val="auto"/>
        </w:rPr>
        <w:t>79% reduction of the Company's existing headcount by December 31, 2023. The Company recognized restructuring expenses consisting of one-time cash severance payments and other employee-related costs of $6.4 million during the year ended December 31, 2023. Cash payments for employee related restructuring charges of $2.5 million were paid as of December 31, 2023. The Company recorded $5.6 million and $0.8 million based on each employee's role to research and development and general and administrative operating expense categories, respectively, on its consolidated statements of operations and comprehensive income (loss) for the year ended December 31, 2023.</w:t>
      </w:r>
    </w:p>
    <w:p>
      <w:pPr>
        <w:spacing w:after="0" w:line="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accrued restructuring balance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Beginning Balance</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Ending Balance</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6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0"/>
              </w:rPr>
              <w:t>Charges</w:t>
            </w:r>
          </w:p>
        </w:tc>
        <w:tc>
          <w:tcPr>
            <w:tcW w:w="28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Payments</w:t>
            </w:r>
          </w:p>
        </w:tc>
        <w:tc>
          <w:tcPr>
            <w:tcW w:w="26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67"/>
        </w:trPr>
        <w:tc>
          <w:tcPr>
            <w:tcW w:w="3720" w:type="dxa"/>
            <w:vAlign w:val="bottom"/>
          </w:tcPr>
          <w:p>
            <w:pPr>
              <w:spacing w:after="0"/>
              <w:rPr>
                <w:sz w:val="14"/>
                <w:szCs w:val="14"/>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gridSpan w:val="2"/>
          </w:tcPr>
          <w:p>
            <w:pPr>
              <w:jc w:val="center"/>
              <w:ind w:left="20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liability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5"/>
              </w:rPr>
              <w:t>$6,431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140" w:type="dxa"/>
            <w:vAlign w:val="bottom"/>
            <w:gridSpan w:val="2"/>
            <w:shd w:val="clear" w:color="auto" w:fill="CCEEFF"/>
          </w:tcPr>
          <w:p>
            <w:pPr>
              <w:jc w:val="center"/>
              <w:ind w:left="169"/>
              <w:spacing w:after="0"/>
              <w:rPr>
                <w:sz w:val="20"/>
                <w:szCs w:val="20"/>
                <w:color w:val="auto"/>
              </w:rPr>
            </w:pPr>
            <w:r>
              <w:rPr>
                <w:rFonts w:ascii="Times New Roman" w:cs="Times New Roman" w:eastAsia="Times New Roman" w:hAnsi="Times New Roman"/>
                <w:sz w:val="16"/>
                <w:szCs w:val="16"/>
                <w:color w:val="auto"/>
                <w:w w:val="95"/>
              </w:rPr>
              <w:t>$3,896</w:t>
            </w:r>
          </w:p>
        </w:tc>
        <w:tc>
          <w:tcPr>
            <w:tcW w:w="0" w:type="dxa"/>
            <w:vAlign w:val="bottom"/>
          </w:tcPr>
          <w:p>
            <w:pPr>
              <w:spacing w:after="0"/>
              <w:rPr>
                <w:sz w:val="1"/>
                <w:szCs w:val="1"/>
                <w:color w:val="auto"/>
              </w:rPr>
            </w:pPr>
          </w:p>
        </w:tc>
      </w:tr>
      <w:tr>
        <w:trPr>
          <w:trHeight w:val="48"/>
        </w:trPr>
        <w:tc>
          <w:tcPr>
            <w:tcW w:w="37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21. Subsequent Events</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initial term of the Frederick Lease Agreement is expected to commence no later than April 1, 2024, once the Landlord has obtained legal possession of the premises free of the existing tenant and delivered full possession of the premises to the Company, or the Commencement Date. The Frederick Lease Agreement will terminate seven full lease years following the Commencement Date which, assuming a Commencement Date of April 1, 2024, will be May 31, 2031. The Company will have one option to extend the term of the Frederick Lease Agreement for a period of five years. The base rent for the initial term is $0.1 million per month.</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4" w:name="page235"/>
    <w:bookmarkEnd w:id="2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60" w:type="dxa"/>
            <w:vAlign w:val="bottom"/>
          </w:tcPr>
          <w:p>
            <w:pPr>
              <w:spacing w:after="0"/>
              <w:rPr>
                <w:sz w:val="12"/>
                <w:szCs w:val="1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r>
      <w:tr>
        <w:trPr>
          <w:trHeight w:val="21"/>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12,001</w:t>
            </w:r>
          </w:p>
        </w:tc>
        <w:tc>
          <w:tcPr>
            <w:tcW w:w="100" w:type="dxa"/>
            <w:vAlign w:val="bottom"/>
            <w:shd w:val="clear" w:color="auto" w:fill="CCEEFF"/>
          </w:tcPr>
          <w:p>
            <w:pPr>
              <w:spacing w:after="0"/>
              <w:rPr>
                <w:sz w:val="18"/>
                <w:szCs w:val="18"/>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w:t>
            </w:r>
          </w:p>
        </w:tc>
        <w:tc>
          <w:tcPr>
            <w:tcW w:w="100" w:type="dxa"/>
            <w:vAlign w:val="bottom"/>
            <w:tcBorders>
              <w:left w:val="single" w:sz="8" w:color="CCEEFF"/>
            </w:tcBorders>
            <w:shd w:val="clear" w:color="auto" w:fill="CCEEFF"/>
          </w:tcPr>
          <w:p>
            <w:pPr>
              <w:spacing w:after="0"/>
              <w:rPr>
                <w:sz w:val="20"/>
                <w:szCs w:val="20"/>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13,405</w:t>
            </w:r>
          </w:p>
        </w:tc>
        <w:tc>
          <w:tcPr>
            <w:tcW w:w="100" w:type="dxa"/>
            <w:vAlign w:val="bottom"/>
            <w:shd w:val="clear" w:color="auto" w:fill="CCEEFF"/>
          </w:tcPr>
          <w:p>
            <w:pPr>
              <w:spacing w:after="0"/>
              <w:rPr>
                <w:sz w:val="20"/>
                <w:szCs w:val="20"/>
                <w:color w:val="auto"/>
              </w:rPr>
            </w:pP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w:t>
            </w:r>
            <w:r>
              <w:rPr>
                <w:rFonts w:ascii="Times New Roman" w:cs="Times New Roman" w:eastAsia="Times New Roman" w:hAnsi="Times New Roman"/>
                <w:sz w:val="16"/>
                <w:szCs w:val="16"/>
                <w:b w:val="1"/>
                <w:bCs w:val="1"/>
                <w:color w:val="auto"/>
              </w:rPr>
              <w:t>on-current assets:</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Pr>
          <w:p>
            <w:pPr>
              <w:spacing w:after="0"/>
              <w:rPr>
                <w:sz w:val="18"/>
                <w:szCs w:val="18"/>
                <w:color w:val="auto"/>
              </w:rPr>
            </w:pPr>
          </w:p>
        </w:tc>
      </w:tr>
      <w:tr>
        <w:trPr>
          <w:trHeight w:val="21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10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deficit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228</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8"/>
                <w:szCs w:val="18"/>
                <w:color w:val="auto"/>
              </w:rPr>
            </w:pPr>
          </w:p>
        </w:tc>
      </w:tr>
      <w:tr>
        <w:trPr>
          <w:trHeight w:val="21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shd w:val="clear" w:color="auto" w:fill="CCEEFF"/>
          </w:tcPr>
          <w:p>
            <w:pPr>
              <w:spacing w:after="0"/>
              <w:rPr>
                <w:sz w:val="18"/>
                <w:szCs w:val="18"/>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1"/>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00" w:type="dxa"/>
            <w:vAlign w:val="bottom"/>
          </w:tcPr>
          <w:p>
            <w:pPr>
              <w:spacing w:after="0"/>
              <w:rPr>
                <w:sz w:val="20"/>
                <w:szCs w:val="20"/>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1,638</w:t>
            </w:r>
          </w:p>
        </w:tc>
      </w:tr>
      <w:tr>
        <w:trPr>
          <w:trHeight w:val="23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net of current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8"/>
                <w:szCs w:val="18"/>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Borders>
              <w:left w:val="single" w:sz="8" w:color="CCEEFF"/>
            </w:tcBorders>
            <w:shd w:val="clear" w:color="auto" w:fill="CCEEFF"/>
          </w:tcPr>
          <w:p>
            <w:pPr>
              <w:spacing w:after="0"/>
              <w:rPr>
                <w:sz w:val="22"/>
                <w:szCs w:val="22"/>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2,518</w:t>
            </w:r>
          </w:p>
        </w:tc>
      </w:tr>
      <w:tr>
        <w:trPr>
          <w:trHeight w:val="237"/>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$0.01 par value, 220 authorized, 219.125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00" w:type="dxa"/>
            <w:vAlign w:val="bottom"/>
            <w:shd w:val="clear" w:color="auto" w:fill="CCEEFF"/>
          </w:tcPr>
          <w:p>
            <w:pPr>
              <w:spacing w:after="0"/>
              <w:rPr>
                <w:sz w:val="18"/>
                <w:szCs w:val="18"/>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 Preferred Stock; $0.01 par value, 110 authorized, 109.267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tcPr>
          <w:p>
            <w:pPr>
              <w:spacing w:after="0"/>
              <w:rPr>
                <w:sz w:val="18"/>
                <w:szCs w:val="18"/>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B-1 Preferred Stock; $0.01 par value, 77 authorized, 65.017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shd w:val="clear" w:color="auto" w:fill="CCEEFF"/>
          </w:tcPr>
          <w:p>
            <w:pPr>
              <w:spacing w:after="0"/>
              <w:rPr>
                <w:sz w:val="18"/>
                <w:szCs w:val="18"/>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B-2 Preferred Stock; $0.01 par value, 195 authorized, 193.644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12,144</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B-2 Preferred Stock Subscription Receivable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(1,333)</w:t>
            </w: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3,200 authorized, 1,244.625 issued and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1,240.625 issued and outstanding as of</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100" w:type="dxa"/>
            <w:vAlign w:val="bottom"/>
          </w:tcPr>
          <w:p>
            <w:pPr>
              <w:spacing w:after="0"/>
              <w:rPr>
                <w:sz w:val="18"/>
                <w:szCs w:val="18"/>
                <w:color w:val="auto"/>
              </w:rPr>
            </w:pPr>
          </w:p>
        </w:tc>
      </w:tr>
      <w:tr>
        <w:trPr>
          <w:trHeight w:val="21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(33,828)</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(26,064)</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0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w w:val="95"/>
              </w:rPr>
              <w:t>$(25,843)</w:t>
            </w: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$(18,632)</w:t>
            </w:r>
          </w:p>
        </w:tc>
      </w:tr>
      <w:tr>
        <w:trPr>
          <w:trHeight w:val="29"/>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preferred stock and stockholders' deficit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tcBorders>
              <w:left w:val="single" w:sz="8" w:color="CCEEFF"/>
            </w:tcBorders>
            <w:shd w:val="clear" w:color="auto" w:fill="CCEEFF"/>
          </w:tcPr>
          <w:p>
            <w:pPr>
              <w:spacing w:after="0"/>
              <w:rPr>
                <w:sz w:val="20"/>
                <w:szCs w:val="20"/>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100" w:type="dxa"/>
            <w:vAlign w:val="bottom"/>
            <w:shd w:val="clear" w:color="auto" w:fill="CCEEFF"/>
          </w:tcPr>
          <w:p>
            <w:pPr>
              <w:spacing w:after="0"/>
              <w:rPr>
                <w:sz w:val="20"/>
                <w:szCs w:val="20"/>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5" w:name="page236"/>
    <w:bookmarkEnd w:id="2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00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8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$ 1,035</w:t>
            </w: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6,965</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w:t>
            </w: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1,286</w:t>
            </w:r>
          </w:p>
        </w:tc>
        <w:tc>
          <w:tcPr>
            <w:tcW w:w="5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241"/>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8,251</w:t>
            </w:r>
          </w:p>
        </w:tc>
        <w:tc>
          <w:tcPr>
            <w:tcW w:w="5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(5,307)</w:t>
            </w:r>
          </w:p>
        </w:tc>
      </w:tr>
      <w:tr>
        <w:trPr>
          <w:trHeight w:val="22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5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41"/>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54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3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(7,764)</w:t>
            </w:r>
          </w:p>
        </w:tc>
        <w:tc>
          <w:tcPr>
            <w:tcW w:w="10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(5,186)</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Statements of Preferred Stock and Stockholders’ Deficit</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8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800" w:type="dxa"/>
            <w:vAlign w:val="bottom"/>
            <w:gridSpan w:val="11"/>
          </w:tcPr>
          <w:p>
            <w:pPr>
              <w:jc w:val="center"/>
              <w:ind w:right="281"/>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1000" w:type="dxa"/>
            <w:vAlign w:val="bottom"/>
            <w:gridSpan w:val="12"/>
          </w:tcPr>
          <w:p>
            <w:pPr>
              <w:jc w:val="center"/>
              <w:ind w:right="185"/>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860" w:type="dxa"/>
            <w:vAlign w:val="bottom"/>
            <w:gridSpan w:val="12"/>
          </w:tcPr>
          <w:p>
            <w:pPr>
              <w:jc w:val="center"/>
              <w:ind w:right="165"/>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680" w:type="dxa"/>
            <w:vAlign w:val="bottom"/>
            <w:tcBorders>
              <w:right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1080" w:type="dxa"/>
            <w:vAlign w:val="bottom"/>
            <w:gridSpan w:val="21"/>
          </w:tcPr>
          <w:p>
            <w:pPr>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3780" w:type="dxa"/>
            <w:vAlign w:val="bottom"/>
            <w:gridSpan w:val="50"/>
          </w:tcPr>
          <w:p>
            <w:pPr>
              <w:jc w:val="center"/>
              <w:ind w:right="332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0" w:type="dxa"/>
            <w:vAlign w:val="bottom"/>
          </w:tcPr>
          <w:p>
            <w:pPr>
              <w:spacing w:after="0"/>
              <w:rPr>
                <w:sz w:val="1"/>
                <w:szCs w:val="1"/>
                <w:color w:val="auto"/>
              </w:rPr>
            </w:pPr>
          </w:p>
        </w:tc>
      </w:tr>
      <w:tr>
        <w:trPr>
          <w:trHeight w:val="119"/>
        </w:trPr>
        <w:tc>
          <w:tcPr>
            <w:tcW w:w="258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800" w:type="dxa"/>
            <w:vAlign w:val="bottom"/>
            <w:gridSpan w:val="11"/>
          </w:tcPr>
          <w:p>
            <w:pPr>
              <w:jc w:val="center"/>
              <w:ind w:right="281"/>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0" w:type="dxa"/>
            <w:vAlign w:val="bottom"/>
            <w:gridSpan w:val="12"/>
          </w:tcPr>
          <w:p>
            <w:pPr>
              <w:jc w:val="center"/>
              <w:ind w:right="205"/>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60" w:type="dxa"/>
            <w:vAlign w:val="bottom"/>
            <w:gridSpan w:val="12"/>
          </w:tcPr>
          <w:p>
            <w:pPr>
              <w:jc w:val="center"/>
              <w:ind w:right="165"/>
              <w:spacing w:after="0" w:line="119"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80" w:type="dxa"/>
            <w:vAlign w:val="bottom"/>
            <w:tcBorders>
              <w:right w:val="single" w:sz="8" w:color="auto"/>
            </w:tcBorders>
            <w:gridSpan w:val="6"/>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20" w:type="dxa"/>
            <w:vAlign w:val="bottom"/>
            <w:gridSpan w:val="20"/>
          </w:tcPr>
          <w:p>
            <w:pP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3840" w:type="dxa"/>
            <w:vAlign w:val="bottom"/>
            <w:gridSpan w:val="51"/>
          </w:tcPr>
          <w:p>
            <w:pPr>
              <w:jc w:val="center"/>
              <w:ind w:right="32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0" w:type="dxa"/>
            <w:vAlign w:val="bottom"/>
          </w:tcPr>
          <w:p>
            <w:pPr>
              <w:spacing w:after="0"/>
              <w:rPr>
                <w:sz w:val="1"/>
                <w:szCs w:val="1"/>
                <w:color w:val="auto"/>
              </w:rPr>
            </w:pPr>
          </w:p>
        </w:tc>
      </w:tr>
      <w:tr>
        <w:trPr>
          <w:trHeight w:val="119"/>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8"/>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10"/>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820" w:type="dxa"/>
            <w:vAlign w:val="bottom"/>
            <w:gridSpan w:val="10"/>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9"/>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right w:val="single" w:sz="8" w:color="auto"/>
            </w:tcBorders>
            <w:gridSpan w:val="4"/>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11"/>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11"/>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13"/>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6"/>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9"/>
        </w:trPr>
        <w:tc>
          <w:tcPr>
            <w:tcW w:w="1420" w:type="dxa"/>
            <w:vAlign w:val="bottom"/>
            <w:gridSpan w:val="2"/>
          </w:tcPr>
          <w:p>
            <w:pPr>
              <w:spacing w:after="0"/>
              <w:rPr>
                <w:sz w:val="5"/>
                <w:szCs w:val="5"/>
                <w:color w:val="auto"/>
              </w:rPr>
            </w:pPr>
          </w:p>
        </w:tc>
        <w:tc>
          <w:tcPr>
            <w:tcW w:w="880" w:type="dxa"/>
            <w:vAlign w:val="bottom"/>
            <w:tcBorders>
              <w:bottom w:val="single" w:sz="8" w:color="auto"/>
            </w:tcBorders>
            <w:gridSpan w:val="8"/>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Borders>
              <w:bottom w:val="single" w:sz="8" w:color="auto"/>
            </w:tcBorders>
            <w:gridSpan w:val="10"/>
          </w:tcPr>
          <w:p>
            <w:pPr>
              <w:spacing w:after="0"/>
              <w:rPr>
                <w:sz w:val="5"/>
                <w:szCs w:val="5"/>
                <w:color w:val="auto"/>
              </w:rPr>
            </w:pPr>
          </w:p>
        </w:tc>
        <w:tc>
          <w:tcPr>
            <w:tcW w:w="100" w:type="dxa"/>
            <w:vAlign w:val="bottom"/>
            <w:gridSpan w:val="2"/>
          </w:tcPr>
          <w:p>
            <w:pPr>
              <w:spacing w:after="0"/>
              <w:rPr>
                <w:sz w:val="5"/>
                <w:szCs w:val="5"/>
                <w:color w:val="auto"/>
              </w:rPr>
            </w:pPr>
          </w:p>
        </w:tc>
        <w:tc>
          <w:tcPr>
            <w:tcW w:w="820" w:type="dxa"/>
            <w:vAlign w:val="bottom"/>
            <w:tcBorders>
              <w:bottom w:val="single" w:sz="8" w:color="auto"/>
            </w:tcBorders>
            <w:gridSpan w:val="10"/>
          </w:tcPr>
          <w:p>
            <w:pPr>
              <w:spacing w:after="0"/>
              <w:rPr>
                <w:sz w:val="5"/>
                <w:szCs w:val="5"/>
                <w:color w:val="auto"/>
              </w:rPr>
            </w:pPr>
          </w:p>
        </w:tc>
        <w:tc>
          <w:tcPr>
            <w:tcW w:w="100" w:type="dxa"/>
            <w:vAlign w:val="bottom"/>
            <w:gridSpan w:val="2"/>
          </w:tcPr>
          <w:p>
            <w:pPr>
              <w:spacing w:after="0"/>
              <w:rPr>
                <w:sz w:val="5"/>
                <w:szCs w:val="5"/>
                <w:color w:val="auto"/>
              </w:rPr>
            </w:pPr>
          </w:p>
        </w:tc>
        <w:tc>
          <w:tcPr>
            <w:tcW w:w="880" w:type="dxa"/>
            <w:vAlign w:val="bottom"/>
            <w:tcBorders>
              <w:bottom w:val="single" w:sz="8" w:color="auto"/>
            </w:tcBorders>
            <w:gridSpan w:val="11"/>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680" w:type="dxa"/>
            <w:vAlign w:val="bottom"/>
            <w:tcBorders>
              <w:right w:val="single" w:sz="8" w:color="auto"/>
            </w:tcBorders>
            <w:gridSpan w:val="6"/>
            <w:vMerge w:val="restart"/>
          </w:tcPr>
          <w:p>
            <w:pPr>
              <w:jc w:val="center"/>
              <w:ind w:right="40"/>
              <w:spacing w:after="0" w:line="101"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20" w:type="dxa"/>
            <w:vAlign w:val="bottom"/>
          </w:tcPr>
          <w:p>
            <w:pPr>
              <w:spacing w:after="0"/>
              <w:rPr>
                <w:sz w:val="5"/>
                <w:szCs w:val="5"/>
                <w:color w:val="auto"/>
              </w:rPr>
            </w:pPr>
          </w:p>
        </w:tc>
        <w:tc>
          <w:tcPr>
            <w:tcW w:w="800" w:type="dxa"/>
            <w:vAlign w:val="bottom"/>
            <w:tcBorders>
              <w:bottom w:val="single" w:sz="8" w:color="auto"/>
            </w:tcBorders>
            <w:gridSpan w:val="15"/>
          </w:tcPr>
          <w:p>
            <w:pPr>
              <w:spacing w:after="0"/>
              <w:rPr>
                <w:sz w:val="5"/>
                <w:szCs w:val="5"/>
                <w:color w:val="auto"/>
              </w:rPr>
            </w:pPr>
          </w:p>
        </w:tc>
        <w:tc>
          <w:tcPr>
            <w:tcW w:w="100" w:type="dxa"/>
            <w:vAlign w:val="bottom"/>
            <w:gridSpan w:val="2"/>
          </w:tcPr>
          <w:p>
            <w:pPr>
              <w:spacing w:after="0"/>
              <w:rPr>
                <w:sz w:val="5"/>
                <w:szCs w:val="5"/>
                <w:color w:val="auto"/>
              </w:rPr>
            </w:pPr>
          </w:p>
        </w:tc>
        <w:tc>
          <w:tcPr>
            <w:tcW w:w="800" w:type="dxa"/>
            <w:vAlign w:val="bottom"/>
            <w:tcBorders>
              <w:bottom w:val="single" w:sz="8" w:color="auto"/>
            </w:tcBorders>
            <w:gridSpan w:val="15"/>
          </w:tcPr>
          <w:p>
            <w:pPr>
              <w:spacing w:after="0"/>
              <w:rPr>
                <w:sz w:val="5"/>
                <w:szCs w:val="5"/>
                <w:color w:val="auto"/>
              </w:rPr>
            </w:pPr>
          </w:p>
        </w:tc>
        <w:tc>
          <w:tcPr>
            <w:tcW w:w="100" w:type="dxa"/>
            <w:vAlign w:val="bottom"/>
            <w:gridSpan w:val="2"/>
          </w:tcPr>
          <w:p>
            <w:pPr>
              <w:spacing w:after="0"/>
              <w:rPr>
                <w:sz w:val="5"/>
                <w:szCs w:val="5"/>
                <w:color w:val="auto"/>
              </w:rPr>
            </w:pPr>
          </w:p>
        </w:tc>
        <w:tc>
          <w:tcPr>
            <w:tcW w:w="960" w:type="dxa"/>
            <w:vAlign w:val="bottom"/>
            <w:tcBorders>
              <w:bottom w:val="single" w:sz="8" w:color="auto"/>
            </w:tcBorders>
            <w:gridSpan w:val="13"/>
          </w:tcPr>
          <w:p>
            <w:pPr>
              <w:spacing w:after="0"/>
              <w:rPr>
                <w:sz w:val="5"/>
                <w:szCs w:val="5"/>
                <w:color w:val="auto"/>
              </w:rPr>
            </w:pPr>
          </w:p>
        </w:tc>
        <w:tc>
          <w:tcPr>
            <w:tcW w:w="6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480" w:type="dxa"/>
            <w:vAlign w:val="bottom"/>
            <w:gridSpan w:val="5"/>
            <w:vMerge w:val="restart"/>
          </w:tcPr>
          <w:p>
            <w:pPr>
              <w:jc w:val="center"/>
              <w:ind w:right="80"/>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640" w:type="dxa"/>
            <w:vAlign w:val="bottom"/>
            <w:gridSpan w:val="6"/>
            <w:vMerge w:val="restart"/>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660" w:type="dxa"/>
            <w:vAlign w:val="bottom"/>
            <w:gridSpan w:val="5"/>
            <w:vMerge w:val="restart"/>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22"/>
        </w:trPr>
        <w:tc>
          <w:tcPr>
            <w:tcW w:w="5160" w:type="dxa"/>
            <w:vAlign w:val="bottom"/>
            <w:gridSpan w:val="46"/>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80" w:type="dxa"/>
            <w:vAlign w:val="bottom"/>
            <w:tcBorders>
              <w:right w:val="single" w:sz="8" w:color="auto"/>
            </w:tcBorders>
            <w:gridSpan w:val="6"/>
            <w:vMerge w:val="continue"/>
          </w:tcPr>
          <w:p>
            <w:pPr>
              <w:spacing w:after="0" w:line="20" w:lineRule="exact"/>
              <w:rPr>
                <w:sz w:val="1"/>
                <w:szCs w:val="1"/>
                <w:color w:val="auto"/>
              </w:rPr>
            </w:pPr>
          </w:p>
        </w:tc>
        <w:tc>
          <w:tcPr>
            <w:tcW w:w="2780" w:type="dxa"/>
            <w:vAlign w:val="bottom"/>
            <w:gridSpan w:val="48"/>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80" w:type="dxa"/>
            <w:vAlign w:val="bottom"/>
            <w:gridSpan w:val="5"/>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40" w:type="dxa"/>
            <w:vAlign w:val="bottom"/>
            <w:gridSpan w:val="6"/>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2"/>
                <w:szCs w:val="12"/>
                <w:color w:val="auto"/>
              </w:rPr>
            </w:pPr>
          </w:p>
        </w:tc>
        <w:tc>
          <w:tcPr>
            <w:tcW w:w="48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2"/>
                <w:szCs w:val="12"/>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20" w:type="dxa"/>
            <w:vAlign w:val="bottom"/>
          </w:tcPr>
          <w:p>
            <w:pPr>
              <w:spacing w:after="0"/>
              <w:rPr>
                <w:sz w:val="12"/>
                <w:szCs w:val="12"/>
                <w:color w:val="auto"/>
              </w:rPr>
            </w:pPr>
          </w:p>
        </w:tc>
        <w:tc>
          <w:tcPr>
            <w:tcW w:w="32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27"/>
        </w:trPr>
        <w:tc>
          <w:tcPr>
            <w:tcW w:w="1420" w:type="dxa"/>
            <w:vAlign w:val="bottom"/>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4"/>
          </w:tcPr>
          <w:p>
            <w:pPr>
              <w:spacing w:after="0"/>
              <w:rPr>
                <w:sz w:val="2"/>
                <w:szCs w:val="2"/>
                <w:color w:val="auto"/>
              </w:rPr>
            </w:pPr>
          </w:p>
        </w:tc>
        <w:tc>
          <w:tcPr>
            <w:tcW w:w="100" w:type="dxa"/>
            <w:vAlign w:val="bottom"/>
            <w:gridSpan w:val="2"/>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6"/>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4"/>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80" w:type="dxa"/>
            <w:vAlign w:val="bottom"/>
            <w:gridSpan w:val="2"/>
          </w:tcPr>
          <w:p>
            <w:pPr>
              <w:spacing w:after="0"/>
              <w:rPr>
                <w:sz w:val="2"/>
                <w:szCs w:val="2"/>
                <w:color w:val="auto"/>
              </w:rPr>
            </w:pPr>
          </w:p>
        </w:tc>
        <w:tc>
          <w:tcPr>
            <w:tcW w:w="680" w:type="dxa"/>
            <w:vAlign w:val="bottom"/>
            <w:tcBorders>
              <w:bottom w:val="single" w:sz="8" w:color="auto"/>
              <w:right w:val="single" w:sz="8" w:color="auto"/>
            </w:tcBorders>
            <w:gridSpan w:val="6"/>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gridSpan w:val="6"/>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Borders>
              <w:bottom w:val="single" w:sz="8" w:color="auto"/>
            </w:tcBorders>
            <w:gridSpan w:val="6"/>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480" w:type="dxa"/>
            <w:vAlign w:val="bottom"/>
            <w:tcBorders>
              <w:bottom w:val="single" w:sz="8" w:color="auto"/>
            </w:tcBorders>
            <w:gridSpan w:val="4"/>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52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64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6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5920" w:type="dxa"/>
            <w:vAlign w:val="bottom"/>
            <w:tcBorders>
              <w:right w:val="single" w:sz="8" w:color="auto"/>
            </w:tcBorders>
            <w:gridSpan w:val="5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w:t>
            </w:r>
          </w:p>
        </w:tc>
        <w:tc>
          <w:tcPr>
            <w:tcW w:w="4860" w:type="dxa"/>
            <w:vAlign w:val="bottom"/>
            <w:gridSpan w:val="7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219.125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$9,623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2"/>
              </w:rPr>
              <w:t>109.267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$7,128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0"/>
              </w:rPr>
              <w:t>65.017</w:t>
            </w:r>
          </w:p>
        </w:tc>
        <w:tc>
          <w:tcPr>
            <w:tcW w:w="80" w:type="dxa"/>
            <w:vAlign w:val="bottom"/>
            <w:shd w:val="clear" w:color="auto" w:fill="CCEEFF"/>
          </w:tcPr>
          <w:p>
            <w:pPr>
              <w:spacing w:after="0"/>
              <w:rPr>
                <w:sz w:val="14"/>
                <w:szCs w:val="14"/>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193.644</w:t>
            </w:r>
          </w:p>
        </w:tc>
        <w:tc>
          <w:tcPr>
            <w:tcW w:w="5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$12,144</w:t>
            </w:r>
          </w:p>
        </w:tc>
        <w:tc>
          <w:tcPr>
            <w:tcW w:w="760" w:type="dxa"/>
            <w:vAlign w:val="bottom"/>
            <w:tcBorders>
              <w:right w:val="single" w:sz="8" w:color="auto"/>
            </w:tcBorders>
            <w:gridSpan w:val="8"/>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$(1,333)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6"/>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6"/>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1,240.625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$(26,064)</w:t>
            </w:r>
          </w:p>
        </w:tc>
        <w:tc>
          <w:tcPr>
            <w:tcW w:w="20" w:type="dxa"/>
            <w:vAlign w:val="bottom"/>
            <w:shd w:val="clear" w:color="auto" w:fill="CCEEFF"/>
          </w:tcPr>
          <w:p>
            <w:pPr>
              <w:spacing w:after="0"/>
              <w:rPr>
                <w:sz w:val="14"/>
                <w:szCs w:val="14"/>
                <w:color w:val="auto"/>
              </w:rPr>
            </w:pPr>
          </w:p>
        </w:tc>
        <w:tc>
          <w:tcPr>
            <w:tcW w:w="74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$(18,632)</w:t>
            </w:r>
          </w:p>
        </w:tc>
        <w:tc>
          <w:tcPr>
            <w:tcW w:w="0" w:type="dxa"/>
            <w:vAlign w:val="bottom"/>
          </w:tcPr>
          <w:p>
            <w:pPr>
              <w:spacing w:after="0"/>
              <w:rPr>
                <w:sz w:val="1"/>
                <w:szCs w:val="1"/>
                <w:color w:val="auto"/>
              </w:rPr>
            </w:pPr>
          </w:p>
        </w:tc>
      </w:tr>
      <w:tr>
        <w:trPr>
          <w:trHeight w:val="157"/>
        </w:trPr>
        <w:tc>
          <w:tcPr>
            <w:tcW w:w="1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Subscription Receivable</w:t>
            </w:r>
          </w:p>
        </w:tc>
        <w:tc>
          <w:tcPr>
            <w:tcW w:w="38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auto"/>
            </w:tcBorders>
            <w:gridSpan w:val="3"/>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10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220" w:type="dxa"/>
            <w:vAlign w:val="bottom"/>
            <w:tcBorders>
              <w:top w:val="single" w:sz="8" w:color="CCEEFF"/>
            </w:tcBorders>
            <w:gridSpan w:val="4"/>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180" w:type="dxa"/>
            <w:vAlign w:val="bottom"/>
            <w:tcBorders>
              <w:top w:val="single" w:sz="8" w:color="CCEEFF"/>
              <w:right w:val="single" w:sz="8" w:color="auto"/>
            </w:tcBorders>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3"/>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CCEEFF"/>
            </w:tcBorders>
            <w:gridSpan w:val="4"/>
          </w:tcPr>
          <w:p>
            <w:pPr>
              <w:spacing w:after="0"/>
              <w:rPr>
                <w:sz w:val="13"/>
                <w:szCs w:val="13"/>
                <w:color w:val="auto"/>
              </w:rPr>
            </w:pPr>
          </w:p>
        </w:tc>
        <w:tc>
          <w:tcPr>
            <w:tcW w:w="460" w:type="dxa"/>
            <w:vAlign w:val="bottom"/>
            <w:tcBorders>
              <w:top w:val="single" w:sz="8" w:color="auto"/>
            </w:tcBorders>
            <w:gridSpan w:val="3"/>
          </w:tcPr>
          <w:p>
            <w:pPr>
              <w:spacing w:after="0"/>
              <w:rPr>
                <w:sz w:val="13"/>
                <w:szCs w:val="13"/>
                <w:color w:val="auto"/>
              </w:rPr>
            </w:pPr>
          </w:p>
        </w:tc>
        <w:tc>
          <w:tcPr>
            <w:tcW w:w="220" w:type="dxa"/>
            <w:vAlign w:val="bottom"/>
            <w:tcBorders>
              <w:top w:val="single" w:sz="8" w:color="CCEEFF"/>
            </w:tcBorders>
            <w:gridSpan w:val="5"/>
          </w:tcPr>
          <w:p>
            <w:pPr>
              <w:spacing w:after="0"/>
              <w:rPr>
                <w:sz w:val="13"/>
                <w:szCs w:val="13"/>
                <w:color w:val="auto"/>
              </w:rPr>
            </w:pPr>
          </w:p>
        </w:tc>
        <w:tc>
          <w:tcPr>
            <w:tcW w:w="180" w:type="dxa"/>
            <w:vAlign w:val="bottom"/>
            <w:tcBorders>
              <w:top w:val="single" w:sz="8" w:color="auto"/>
            </w:tcBorders>
            <w:gridSpan w:val="3"/>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40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920" w:type="dxa"/>
            <w:vAlign w:val="bottom"/>
            <w:tcBorders>
              <w:right w:val="single" w:sz="8" w:color="auto"/>
            </w:tcBorders>
            <w:gridSpan w:val="54"/>
          </w:tcPr>
          <w:p>
            <w:pPr>
              <w:ind w:left="120"/>
              <w:spacing w:after="0" w:line="131" w:lineRule="exact"/>
              <w:rPr>
                <w:sz w:val="20"/>
                <w:szCs w:val="20"/>
                <w:color w:val="auto"/>
              </w:rPr>
            </w:pPr>
            <w:r>
              <w:rPr>
                <w:rFonts w:ascii="Times New Roman" w:cs="Times New Roman" w:eastAsia="Times New Roman" w:hAnsi="Times New Roman"/>
                <w:sz w:val="12"/>
                <w:szCs w:val="12"/>
                <w:color w:val="auto"/>
              </w:rPr>
              <w:t>from preferred</w:t>
            </w:r>
          </w:p>
        </w:tc>
        <w:tc>
          <w:tcPr>
            <w:tcW w:w="4860" w:type="dxa"/>
            <w:vAlign w:val="bottom"/>
            <w:gridSpan w:val="71"/>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stockholders</w:t>
            </w:r>
          </w:p>
        </w:tc>
        <w:tc>
          <w:tcPr>
            <w:tcW w:w="340" w:type="dxa"/>
            <w:vAlign w:val="bottom"/>
            <w:gridSpan w:val="5"/>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5"/>
          </w:tcPr>
          <w:p>
            <w:pPr>
              <w:jc w:val="right"/>
              <w:ind w:right="263"/>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tcPr>
          <w:p>
            <w:pPr>
              <w:jc w:val="right"/>
              <w:ind w:right="26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right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2"/>
                <w:szCs w:val="12"/>
                <w:color w:val="auto"/>
              </w:rPr>
              <w:t>1,333</w:t>
            </w:r>
          </w:p>
        </w:tc>
        <w:tc>
          <w:tcPr>
            <w:tcW w:w="54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tcPr>
          <w:p>
            <w:pPr>
              <w:jc w:val="center"/>
              <w:ind w:right="22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tcPr>
          <w:p>
            <w:pPr>
              <w:jc w:val="center"/>
              <w:ind w:right="34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7"/>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8"/>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8"/>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5920" w:type="dxa"/>
            <w:vAlign w:val="bottom"/>
            <w:tcBorders>
              <w:right w:val="single" w:sz="8" w:color="auto"/>
            </w:tcBorders>
            <w:gridSpan w:val="54"/>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4860" w:type="dxa"/>
            <w:vAlign w:val="bottom"/>
            <w:gridSpan w:val="71"/>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340" w:type="dxa"/>
            <w:vAlign w:val="bottom"/>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5"/>
            <w:shd w:val="clear" w:color="auto" w:fill="CCEEFF"/>
          </w:tcPr>
          <w:p>
            <w:pPr>
              <w:jc w:val="right"/>
              <w:ind w:right="263"/>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shd w:val="clear" w:color="auto" w:fill="CCEEFF"/>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shd w:val="clear" w:color="auto" w:fill="CCEEFF"/>
          </w:tcPr>
          <w:p>
            <w:pPr>
              <w:jc w:val="right"/>
              <w:ind w:right="2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shd w:val="clear" w:color="auto" w:fill="CCEEFF"/>
          </w:tcPr>
          <w:p>
            <w:pPr>
              <w:jc w:val="right"/>
              <w:ind w:right="38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shd w:val="clear" w:color="auto" w:fill="CCEEFF"/>
          </w:tcPr>
          <w:p>
            <w:pPr>
              <w:jc w:val="center"/>
              <w:ind w:right="22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shd w:val="clear" w:color="auto" w:fill="CCEEFF"/>
          </w:tcPr>
          <w:p>
            <w:pPr>
              <w:jc w:val="center"/>
              <w:ind w:right="34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7"/>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1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461</w:t>
            </w:r>
          </w:p>
        </w:tc>
        <w:tc>
          <w:tcPr>
            <w:tcW w:w="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461</w:t>
            </w:r>
          </w:p>
        </w:tc>
        <w:tc>
          <w:tcPr>
            <w:tcW w:w="0" w:type="dxa"/>
            <w:vAlign w:val="bottom"/>
          </w:tcPr>
          <w:p>
            <w:pPr>
              <w:spacing w:after="0"/>
              <w:rPr>
                <w:sz w:val="1"/>
                <w:szCs w:val="1"/>
                <w:color w:val="auto"/>
              </w:rPr>
            </w:pPr>
          </w:p>
        </w:tc>
      </w:tr>
      <w:tr>
        <w:trPr>
          <w:trHeight w:val="145"/>
        </w:trPr>
        <w:tc>
          <w:tcPr>
            <w:tcW w:w="5920" w:type="dxa"/>
            <w:vAlign w:val="bottom"/>
            <w:tcBorders>
              <w:right w:val="single" w:sz="8" w:color="auto"/>
            </w:tcBorders>
            <w:gridSpan w:val="54"/>
          </w:tcPr>
          <w:p>
            <w:pPr>
              <w:spacing w:after="0"/>
              <w:rPr>
                <w:sz w:val="20"/>
                <w:szCs w:val="20"/>
                <w:color w:val="auto"/>
              </w:rPr>
            </w:pPr>
            <w:r>
              <w:rPr>
                <w:rFonts w:ascii="Times New Roman" w:cs="Times New Roman" w:eastAsia="Times New Roman" w:hAnsi="Times New Roman"/>
                <w:sz w:val="12"/>
                <w:szCs w:val="12"/>
                <w:color w:val="auto"/>
              </w:rPr>
              <w:t>Exercise of options to</w:t>
            </w:r>
          </w:p>
        </w:tc>
        <w:tc>
          <w:tcPr>
            <w:tcW w:w="4860" w:type="dxa"/>
            <w:vAlign w:val="bottom"/>
            <w:gridSpan w:val="71"/>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purchase common stock</w:t>
            </w:r>
          </w:p>
        </w:tc>
        <w:tc>
          <w:tcPr>
            <w:tcW w:w="340" w:type="dxa"/>
            <w:vAlign w:val="bottom"/>
            <w:gridSpan w:val="5"/>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5"/>
          </w:tcPr>
          <w:p>
            <w:pPr>
              <w:jc w:val="right"/>
              <w:ind w:right="263"/>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tcPr>
          <w:p>
            <w:pPr>
              <w:jc w:val="right"/>
              <w:ind w:right="2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tcPr>
          <w:p>
            <w:pPr>
              <w:jc w:val="right"/>
              <w:ind w:right="38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tcPr>
          <w:p>
            <w:pPr>
              <w:jc w:val="center"/>
              <w:ind w:right="22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10"/>
          </w:tcPr>
          <w:p>
            <w:pPr>
              <w:jc w:val="right"/>
              <w:ind w:right="161"/>
              <w:spacing w:after="0"/>
              <w:rPr>
                <w:sz w:val="20"/>
                <w:szCs w:val="20"/>
                <w:color w:val="auto"/>
              </w:rPr>
            </w:pPr>
            <w:r>
              <w:rPr>
                <w:rFonts w:ascii="Times New Roman" w:cs="Times New Roman" w:eastAsia="Times New Roman" w:hAnsi="Times New Roman"/>
                <w:sz w:val="12"/>
                <w:szCs w:val="12"/>
                <w:color w:val="auto"/>
              </w:rPr>
              <w:t>4.000</w:t>
            </w:r>
          </w:p>
        </w:tc>
        <w:tc>
          <w:tcPr>
            <w:tcW w:w="28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12"/>
          </w:tcPr>
          <w:p>
            <w:pPr>
              <w:jc w:val="right"/>
              <w:ind w:right="300"/>
              <w:spacing w:after="0"/>
              <w:rPr>
                <w:sz w:val="20"/>
                <w:szCs w:val="20"/>
                <w:color w:val="auto"/>
              </w:rPr>
            </w:pPr>
            <w:r>
              <w:rPr>
                <w:rFonts w:ascii="Times New Roman" w:cs="Times New Roman" w:eastAsia="Times New Roman" w:hAnsi="Times New Roman"/>
                <w:sz w:val="12"/>
                <w:szCs w:val="12"/>
                <w:color w:val="auto"/>
              </w:rPr>
              <w:t>92</w:t>
            </w: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7"/>
          </w:tcPr>
          <w:p>
            <w:pPr>
              <w:jc w:val="right"/>
              <w:ind w:right="12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89"/>
        </w:trPr>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340" w:type="dxa"/>
            <w:vAlign w:val="bottom"/>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5"/>
            <w:shd w:val="clear" w:color="auto" w:fill="CCEEFF"/>
          </w:tcPr>
          <w:p>
            <w:pPr>
              <w:jc w:val="right"/>
              <w:ind w:right="263"/>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shd w:val="clear" w:color="auto" w:fill="CCEEFF"/>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shd w:val="clear" w:color="auto" w:fill="CCEEFF"/>
          </w:tcPr>
          <w:p>
            <w:pPr>
              <w:jc w:val="right"/>
              <w:ind w:right="2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shd w:val="clear" w:color="auto" w:fill="CCEEFF"/>
          </w:tcPr>
          <w:p>
            <w:pPr>
              <w:jc w:val="right"/>
              <w:ind w:right="38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shd w:val="clear" w:color="auto" w:fill="CCEEFF"/>
          </w:tcPr>
          <w:p>
            <w:pPr>
              <w:jc w:val="center"/>
              <w:ind w:right="22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shd w:val="clear" w:color="auto" w:fill="CCEEFF"/>
          </w:tcPr>
          <w:p>
            <w:pPr>
              <w:jc w:val="center"/>
              <w:ind w:right="34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7"/>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shd w:val="clear" w:color="auto" w:fill="CCEEFF"/>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8"/>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(7,764)</w:t>
            </w:r>
          </w:p>
        </w:tc>
        <w:tc>
          <w:tcPr>
            <w:tcW w:w="74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(7,764)</w:t>
            </w:r>
          </w:p>
        </w:tc>
        <w:tc>
          <w:tcPr>
            <w:tcW w:w="0" w:type="dxa"/>
            <w:vAlign w:val="bottom"/>
          </w:tcPr>
          <w:p>
            <w:pPr>
              <w:spacing w:after="0"/>
              <w:rPr>
                <w:sz w:val="1"/>
                <w:szCs w:val="1"/>
                <w:color w:val="auto"/>
              </w:rPr>
            </w:pPr>
          </w:p>
        </w:tc>
      </w:tr>
      <w:tr>
        <w:trPr>
          <w:trHeight w:val="155"/>
        </w:trPr>
        <w:tc>
          <w:tcPr>
            <w:tcW w:w="1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38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auto"/>
            </w:tcBorders>
            <w:gridSpan w:val="3"/>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10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220" w:type="dxa"/>
            <w:vAlign w:val="bottom"/>
            <w:tcBorders>
              <w:top w:val="single" w:sz="8" w:color="CCEEFF"/>
            </w:tcBorders>
            <w:gridSpan w:val="4"/>
          </w:tcPr>
          <w:p>
            <w:pPr>
              <w:spacing w:after="0"/>
              <w:rPr>
                <w:sz w:val="13"/>
                <w:szCs w:val="13"/>
                <w:color w:val="auto"/>
              </w:rPr>
            </w:pPr>
          </w:p>
        </w:tc>
        <w:tc>
          <w:tcPr>
            <w:tcW w:w="36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CCEEFF"/>
              <w:right w:val="single" w:sz="8" w:color="auto"/>
            </w:tcBorders>
            <w:gridSpan w:val="2"/>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7"/>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5"/>
          </w:tcPr>
          <w:p>
            <w:pPr>
              <w:spacing w:after="0"/>
              <w:rPr>
                <w:sz w:val="13"/>
                <w:szCs w:val="13"/>
                <w:color w:val="auto"/>
              </w:rPr>
            </w:pPr>
          </w:p>
        </w:tc>
        <w:tc>
          <w:tcPr>
            <w:tcW w:w="460" w:type="dxa"/>
            <w:vAlign w:val="bottom"/>
            <w:tcBorders>
              <w:top w:val="single" w:sz="8" w:color="auto"/>
            </w:tcBorders>
            <w:gridSpan w:val="3"/>
          </w:tcPr>
          <w:p>
            <w:pPr>
              <w:spacing w:after="0"/>
              <w:rPr>
                <w:sz w:val="13"/>
                <w:szCs w:val="13"/>
                <w:color w:val="auto"/>
              </w:rPr>
            </w:pPr>
          </w:p>
        </w:tc>
        <w:tc>
          <w:tcPr>
            <w:tcW w:w="220" w:type="dxa"/>
            <w:vAlign w:val="bottom"/>
            <w:tcBorders>
              <w:top w:val="single" w:sz="8" w:color="CCEEFF"/>
            </w:tcBorders>
            <w:gridSpan w:val="5"/>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7"/>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40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3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219.125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$9,623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w w:val="92"/>
              </w:rPr>
              <w:t>109.267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9"/>
          </w:tcPr>
          <w:p>
            <w:pPr>
              <w:jc w:val="right"/>
              <w:ind w:right="20"/>
              <w:spacing w:after="0"/>
              <w:rPr>
                <w:sz w:val="20"/>
                <w:szCs w:val="20"/>
                <w:color w:val="auto"/>
              </w:rPr>
            </w:pPr>
            <w:r>
              <w:rPr>
                <w:rFonts w:ascii="Times New Roman" w:cs="Times New Roman" w:eastAsia="Times New Roman" w:hAnsi="Times New Roman"/>
                <w:sz w:val="12"/>
                <w:szCs w:val="12"/>
                <w:color w:val="auto"/>
              </w:rPr>
              <w:t>$7,128  65.017</w:t>
            </w:r>
          </w:p>
        </w:tc>
        <w:tc>
          <w:tcPr>
            <w:tcW w:w="80" w:type="dxa"/>
            <w:vAlign w:val="bottom"/>
          </w:tcPr>
          <w:p>
            <w:pPr>
              <w:spacing w:after="0"/>
              <w:rPr>
                <w:sz w:val="15"/>
                <w:szCs w:val="15"/>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193.644</w:t>
            </w:r>
          </w:p>
        </w:tc>
        <w:tc>
          <w:tcPr>
            <w:tcW w:w="500" w:type="dxa"/>
            <w:vAlign w:val="bottom"/>
            <w:gridSpan w:val="7"/>
          </w:tcPr>
          <w:p>
            <w:pPr>
              <w:jc w:val="right"/>
              <w:ind w:right="20"/>
              <w:spacing w:after="0"/>
              <w:rPr>
                <w:sz w:val="20"/>
                <w:szCs w:val="20"/>
                <w:color w:val="auto"/>
              </w:rPr>
            </w:pPr>
            <w:r>
              <w:rPr>
                <w:rFonts w:ascii="Times New Roman" w:cs="Times New Roman" w:eastAsia="Times New Roman" w:hAnsi="Times New Roman"/>
                <w:sz w:val="12"/>
                <w:szCs w:val="12"/>
                <w:color w:val="auto"/>
              </w:rPr>
              <w:t>$12,144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1,244.625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6"/>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$7,985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7"/>
          </w:tcPr>
          <w:p>
            <w:pPr>
              <w:jc w:val="right"/>
              <w:ind w:right="60"/>
              <w:spacing w:after="0"/>
              <w:rPr>
                <w:sz w:val="20"/>
                <w:szCs w:val="20"/>
                <w:color w:val="auto"/>
              </w:rPr>
            </w:pPr>
            <w:r>
              <w:rPr>
                <w:rFonts w:ascii="Times New Roman" w:cs="Times New Roman" w:eastAsia="Times New Roman" w:hAnsi="Times New Roman"/>
                <w:sz w:val="12"/>
                <w:szCs w:val="12"/>
                <w:color w:val="auto"/>
              </w:rPr>
              <w:t>$(33,828)</w:t>
            </w:r>
          </w:p>
        </w:tc>
        <w:tc>
          <w:tcPr>
            <w:tcW w:w="20" w:type="dxa"/>
            <w:vAlign w:val="bottom"/>
          </w:tcPr>
          <w:p>
            <w:pPr>
              <w:spacing w:after="0"/>
              <w:rPr>
                <w:sz w:val="15"/>
                <w:szCs w:val="15"/>
                <w:color w:val="auto"/>
              </w:rPr>
            </w:pPr>
          </w:p>
        </w:tc>
        <w:tc>
          <w:tcPr>
            <w:tcW w:w="740" w:type="dxa"/>
            <w:vAlign w:val="bottom"/>
            <w:gridSpan w:val="7"/>
          </w:tcPr>
          <w:p>
            <w:pPr>
              <w:jc w:val="right"/>
              <w:ind w:right="80"/>
              <w:spacing w:after="0"/>
              <w:rPr>
                <w:sz w:val="20"/>
                <w:szCs w:val="20"/>
                <w:color w:val="auto"/>
              </w:rPr>
            </w:pPr>
            <w:r>
              <w:rPr>
                <w:rFonts w:ascii="Times New Roman" w:cs="Times New Roman" w:eastAsia="Times New Roman" w:hAnsi="Times New Roman"/>
                <w:sz w:val="12"/>
                <w:szCs w:val="12"/>
                <w:color w:val="auto"/>
              </w:rPr>
              <w:t>$(25,843)</w:t>
            </w:r>
          </w:p>
        </w:tc>
        <w:tc>
          <w:tcPr>
            <w:tcW w:w="0" w:type="dxa"/>
            <w:vAlign w:val="bottom"/>
          </w:tcPr>
          <w:p>
            <w:pPr>
              <w:spacing w:after="0"/>
              <w:rPr>
                <w:sz w:val="1"/>
                <w:szCs w:val="1"/>
                <w:color w:val="auto"/>
              </w:rPr>
            </w:pPr>
          </w:p>
        </w:tc>
      </w:tr>
      <w:tr>
        <w:trPr>
          <w:trHeight w:val="95"/>
        </w:trPr>
        <w:tc>
          <w:tcPr>
            <w:tcW w:w="1420" w:type="dxa"/>
            <w:vAlign w:val="bottom"/>
            <w:gridSpan w:val="2"/>
          </w:tcPr>
          <w:p>
            <w:pPr>
              <w:spacing w:after="0"/>
              <w:rPr>
                <w:sz w:val="8"/>
                <w:szCs w:val="8"/>
                <w:color w:val="auto"/>
              </w:rPr>
            </w:pPr>
          </w:p>
        </w:tc>
        <w:tc>
          <w:tcPr>
            <w:tcW w:w="380" w:type="dxa"/>
            <w:vAlign w:val="bottom"/>
            <w:tcBorders>
              <w:top w:val="single" w:sz="8" w:color="auto"/>
            </w:tcBorders>
            <w:gridSpan w:val="2"/>
          </w:tcPr>
          <w:p>
            <w:pPr>
              <w:spacing w:after="0"/>
              <w:rPr>
                <w:sz w:val="8"/>
                <w:szCs w:val="8"/>
                <w:color w:val="auto"/>
              </w:rPr>
            </w:pPr>
          </w:p>
        </w:tc>
        <w:tc>
          <w:tcPr>
            <w:tcW w:w="140" w:type="dxa"/>
            <w:vAlign w:val="bottom"/>
            <w:gridSpan w:val="4"/>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gridSpan w:val="2"/>
          </w:tcPr>
          <w:p>
            <w:pPr>
              <w:spacing w:after="0"/>
              <w:rPr>
                <w:sz w:val="8"/>
                <w:szCs w:val="8"/>
                <w:color w:val="auto"/>
              </w:rPr>
            </w:pPr>
          </w:p>
        </w:tc>
        <w:tc>
          <w:tcPr>
            <w:tcW w:w="380" w:type="dxa"/>
            <w:vAlign w:val="bottom"/>
            <w:tcBorders>
              <w:top w:val="single" w:sz="8" w:color="auto"/>
            </w:tcBorders>
            <w:gridSpan w:val="3"/>
          </w:tcPr>
          <w:p>
            <w:pPr>
              <w:spacing w:after="0"/>
              <w:rPr>
                <w:sz w:val="8"/>
                <w:szCs w:val="8"/>
                <w:color w:val="auto"/>
              </w:rPr>
            </w:pPr>
          </w:p>
        </w:tc>
        <w:tc>
          <w:tcPr>
            <w:tcW w:w="140" w:type="dxa"/>
            <w:vAlign w:val="bottom"/>
            <w:gridSpan w:val="4"/>
          </w:tcPr>
          <w:p>
            <w:pPr>
              <w:spacing w:after="0"/>
              <w:rPr>
                <w:sz w:val="8"/>
                <w:szCs w:val="8"/>
                <w:color w:val="auto"/>
              </w:rPr>
            </w:pPr>
          </w:p>
        </w:tc>
        <w:tc>
          <w:tcPr>
            <w:tcW w:w="340" w:type="dxa"/>
            <w:vAlign w:val="bottom"/>
            <w:tcBorders>
              <w:top w:val="single" w:sz="8" w:color="auto"/>
            </w:tcBorders>
            <w:gridSpan w:val="2"/>
          </w:tcPr>
          <w:p>
            <w:pPr>
              <w:spacing w:after="0"/>
              <w:rPr>
                <w:sz w:val="8"/>
                <w:szCs w:val="8"/>
                <w:color w:val="auto"/>
              </w:rPr>
            </w:pPr>
          </w:p>
        </w:tc>
        <w:tc>
          <w:tcPr>
            <w:tcW w:w="120" w:type="dxa"/>
            <w:vAlign w:val="bottom"/>
            <w:gridSpan w:val="3"/>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140" w:type="dxa"/>
            <w:vAlign w:val="bottom"/>
            <w:gridSpan w:val="4"/>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140" w:type="dxa"/>
            <w:vAlign w:val="bottom"/>
            <w:gridSpan w:val="4"/>
          </w:tcPr>
          <w:p>
            <w:pPr>
              <w:spacing w:after="0"/>
              <w:rPr>
                <w:sz w:val="8"/>
                <w:szCs w:val="8"/>
                <w:color w:val="auto"/>
              </w:rPr>
            </w:pPr>
          </w:p>
        </w:tc>
        <w:tc>
          <w:tcPr>
            <w:tcW w:w="380" w:type="dxa"/>
            <w:vAlign w:val="bottom"/>
            <w:tcBorders>
              <w:top w:val="single" w:sz="8" w:color="auto"/>
            </w:tcBorders>
            <w:gridSpan w:val="4"/>
          </w:tcPr>
          <w:p>
            <w:pPr>
              <w:spacing w:after="0"/>
              <w:rPr>
                <w:sz w:val="8"/>
                <w:szCs w:val="8"/>
                <w:color w:val="auto"/>
              </w:rPr>
            </w:pPr>
          </w:p>
        </w:tc>
        <w:tc>
          <w:tcPr>
            <w:tcW w:w="100" w:type="dxa"/>
            <w:vAlign w:val="bottom"/>
            <w:gridSpan w:val="2"/>
          </w:tcPr>
          <w:p>
            <w:pPr>
              <w:spacing w:after="0"/>
              <w:rPr>
                <w:sz w:val="8"/>
                <w:szCs w:val="8"/>
                <w:color w:val="auto"/>
              </w:rPr>
            </w:pPr>
          </w:p>
        </w:tc>
        <w:tc>
          <w:tcPr>
            <w:tcW w:w="380" w:type="dxa"/>
            <w:vAlign w:val="bottom"/>
            <w:tcBorders>
              <w:top w:val="single" w:sz="8" w:color="auto"/>
            </w:tcBorders>
            <w:gridSpan w:val="4"/>
          </w:tcPr>
          <w:p>
            <w:pPr>
              <w:spacing w:after="0"/>
              <w:rPr>
                <w:sz w:val="8"/>
                <w:szCs w:val="8"/>
                <w:color w:val="auto"/>
              </w:rPr>
            </w:pPr>
          </w:p>
        </w:tc>
        <w:tc>
          <w:tcPr>
            <w:tcW w:w="220" w:type="dxa"/>
            <w:vAlign w:val="bottom"/>
            <w:gridSpan w:val="4"/>
          </w:tcPr>
          <w:p>
            <w:pPr>
              <w:spacing w:after="0"/>
              <w:rPr>
                <w:sz w:val="8"/>
                <w:szCs w:val="8"/>
                <w:color w:val="auto"/>
              </w:rPr>
            </w:pPr>
          </w:p>
        </w:tc>
        <w:tc>
          <w:tcPr>
            <w:tcW w:w="360" w:type="dxa"/>
            <w:vAlign w:val="bottom"/>
            <w:tcBorders>
              <w:top w:val="single" w:sz="8" w:color="auto"/>
            </w:tcBorders>
            <w:gridSpan w:val="3"/>
          </w:tcPr>
          <w:p>
            <w:pPr>
              <w:spacing w:after="0"/>
              <w:rPr>
                <w:sz w:val="8"/>
                <w:szCs w:val="8"/>
                <w:color w:val="auto"/>
              </w:rPr>
            </w:pPr>
          </w:p>
        </w:tc>
        <w:tc>
          <w:tcPr>
            <w:tcW w:w="320" w:type="dxa"/>
            <w:vAlign w:val="bottom"/>
            <w:gridSpan w:val="5"/>
          </w:tcPr>
          <w:p>
            <w:pPr>
              <w:spacing w:after="0"/>
              <w:rPr>
                <w:sz w:val="8"/>
                <w:szCs w:val="8"/>
                <w:color w:val="auto"/>
              </w:rPr>
            </w:pPr>
          </w:p>
        </w:tc>
        <w:tc>
          <w:tcPr>
            <w:tcW w:w="120" w:type="dxa"/>
            <w:vAlign w:val="bottom"/>
            <w:tcBorders>
              <w:top w:val="single" w:sz="8" w:color="auto"/>
            </w:tcBorders>
            <w:gridSpan w:val="2"/>
          </w:tcPr>
          <w:p>
            <w:pPr>
              <w:spacing w:after="0"/>
              <w:rPr>
                <w:sz w:val="8"/>
                <w:szCs w:val="8"/>
                <w:color w:val="auto"/>
              </w:rPr>
            </w:pPr>
          </w:p>
        </w:tc>
        <w:tc>
          <w:tcPr>
            <w:tcW w:w="300" w:type="dxa"/>
            <w:vAlign w:val="bottom"/>
            <w:gridSpan w:val="6"/>
          </w:tcPr>
          <w:p>
            <w:pPr>
              <w:spacing w:after="0"/>
              <w:rPr>
                <w:sz w:val="8"/>
                <w:szCs w:val="8"/>
                <w:color w:val="auto"/>
              </w:rPr>
            </w:pPr>
          </w:p>
        </w:tc>
        <w:tc>
          <w:tcPr>
            <w:tcW w:w="180" w:type="dxa"/>
            <w:vAlign w:val="bottom"/>
            <w:tcBorders>
              <w:top w:val="single" w:sz="8" w:color="auto"/>
            </w:tcBorders>
            <w:gridSpan w:val="3"/>
          </w:tcPr>
          <w:p>
            <w:pPr>
              <w:spacing w:after="0"/>
              <w:rPr>
                <w:sz w:val="8"/>
                <w:szCs w:val="8"/>
                <w:color w:val="auto"/>
              </w:rPr>
            </w:pPr>
          </w:p>
        </w:tc>
        <w:tc>
          <w:tcPr>
            <w:tcW w:w="300" w:type="dxa"/>
            <w:vAlign w:val="bottom"/>
            <w:gridSpan w:val="6"/>
          </w:tcPr>
          <w:p>
            <w:pPr>
              <w:spacing w:after="0"/>
              <w:rPr>
                <w:sz w:val="8"/>
                <w:szCs w:val="8"/>
                <w:color w:val="auto"/>
              </w:rPr>
            </w:pPr>
          </w:p>
        </w:tc>
        <w:tc>
          <w:tcPr>
            <w:tcW w:w="120" w:type="dxa"/>
            <w:vAlign w:val="bottom"/>
            <w:tcBorders>
              <w:top w:val="single" w:sz="8" w:color="auto"/>
            </w:tcBorders>
            <w:gridSpan w:val="2"/>
          </w:tcPr>
          <w:p>
            <w:pPr>
              <w:spacing w:after="0"/>
              <w:rPr>
                <w:sz w:val="8"/>
                <w:szCs w:val="8"/>
                <w:color w:val="auto"/>
              </w:rPr>
            </w:pPr>
          </w:p>
        </w:tc>
        <w:tc>
          <w:tcPr>
            <w:tcW w:w="300" w:type="dxa"/>
            <w:vAlign w:val="bottom"/>
            <w:gridSpan w:val="6"/>
          </w:tcPr>
          <w:p>
            <w:pPr>
              <w:spacing w:after="0"/>
              <w:rPr>
                <w:sz w:val="8"/>
                <w:szCs w:val="8"/>
                <w:color w:val="auto"/>
              </w:rPr>
            </w:pPr>
          </w:p>
        </w:tc>
        <w:tc>
          <w:tcPr>
            <w:tcW w:w="180" w:type="dxa"/>
            <w:vAlign w:val="bottom"/>
            <w:tcBorders>
              <w:top w:val="single" w:sz="8" w:color="auto"/>
            </w:tcBorders>
            <w:gridSpan w:val="3"/>
          </w:tcPr>
          <w:p>
            <w:pPr>
              <w:spacing w:after="0"/>
              <w:rPr>
                <w:sz w:val="8"/>
                <w:szCs w:val="8"/>
                <w:color w:val="auto"/>
              </w:rPr>
            </w:pPr>
          </w:p>
        </w:tc>
        <w:tc>
          <w:tcPr>
            <w:tcW w:w="200" w:type="dxa"/>
            <w:vAlign w:val="bottom"/>
            <w:gridSpan w:val="4"/>
          </w:tcPr>
          <w:p>
            <w:pPr>
              <w:spacing w:after="0"/>
              <w:rPr>
                <w:sz w:val="8"/>
                <w:szCs w:val="8"/>
                <w:color w:val="auto"/>
              </w:rPr>
            </w:pPr>
          </w:p>
        </w:tc>
        <w:tc>
          <w:tcPr>
            <w:tcW w:w="460" w:type="dxa"/>
            <w:vAlign w:val="bottom"/>
            <w:tcBorders>
              <w:top w:val="single" w:sz="8" w:color="auto"/>
            </w:tcBorders>
            <w:gridSpan w:val="3"/>
          </w:tcPr>
          <w:p>
            <w:pPr>
              <w:spacing w:after="0"/>
              <w:rPr>
                <w:sz w:val="8"/>
                <w:szCs w:val="8"/>
                <w:color w:val="auto"/>
              </w:rPr>
            </w:pPr>
          </w:p>
        </w:tc>
        <w:tc>
          <w:tcPr>
            <w:tcW w:w="220" w:type="dxa"/>
            <w:vAlign w:val="bottom"/>
            <w:gridSpan w:val="5"/>
          </w:tcPr>
          <w:p>
            <w:pPr>
              <w:spacing w:after="0"/>
              <w:rPr>
                <w:sz w:val="8"/>
                <w:szCs w:val="8"/>
                <w:color w:val="auto"/>
              </w:rPr>
            </w:pPr>
          </w:p>
        </w:tc>
        <w:tc>
          <w:tcPr>
            <w:tcW w:w="180" w:type="dxa"/>
            <w:vAlign w:val="bottom"/>
            <w:tcBorders>
              <w:top w:val="single" w:sz="8" w:color="auto"/>
            </w:tcBorders>
            <w:gridSpan w:val="3"/>
          </w:tcPr>
          <w:p>
            <w:pPr>
              <w:spacing w:after="0"/>
              <w:rPr>
                <w:sz w:val="8"/>
                <w:szCs w:val="8"/>
                <w:color w:val="auto"/>
              </w:rPr>
            </w:pPr>
          </w:p>
        </w:tc>
        <w:tc>
          <w:tcPr>
            <w:tcW w:w="300" w:type="dxa"/>
            <w:vAlign w:val="bottom"/>
            <w:gridSpan w:val="6"/>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300" w:type="dxa"/>
            <w:vAlign w:val="bottom"/>
            <w:gridSpan w:val="6"/>
          </w:tcPr>
          <w:p>
            <w:pPr>
              <w:spacing w:after="0"/>
              <w:rPr>
                <w:sz w:val="8"/>
                <w:szCs w:val="8"/>
                <w:color w:val="auto"/>
              </w:rPr>
            </w:pPr>
          </w:p>
        </w:tc>
        <w:tc>
          <w:tcPr>
            <w:tcW w:w="400" w:type="dxa"/>
            <w:vAlign w:val="bottom"/>
            <w:tcBorders>
              <w:top w:val="single" w:sz="8" w:color="auto"/>
            </w:tcBorders>
            <w:gridSpan w:val="2"/>
          </w:tcPr>
          <w:p>
            <w:pPr>
              <w:spacing w:after="0"/>
              <w:rPr>
                <w:sz w:val="8"/>
                <w:szCs w:val="8"/>
                <w:color w:val="auto"/>
              </w:rPr>
            </w:pPr>
          </w:p>
        </w:tc>
        <w:tc>
          <w:tcPr>
            <w:tcW w:w="320" w:type="dxa"/>
            <w:vAlign w:val="bottom"/>
            <w:gridSpan w:val="6"/>
          </w:tcPr>
          <w:p>
            <w:pPr>
              <w:spacing w:after="0"/>
              <w:rPr>
                <w:sz w:val="8"/>
                <w:szCs w:val="8"/>
                <w:color w:val="auto"/>
              </w:rPr>
            </w:pPr>
          </w:p>
        </w:tc>
        <w:tc>
          <w:tcPr>
            <w:tcW w:w="420" w:type="dxa"/>
            <w:vAlign w:val="bottom"/>
            <w:tcBorders>
              <w:top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58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800" w:type="dxa"/>
            <w:vAlign w:val="bottom"/>
            <w:gridSpan w:val="11"/>
          </w:tcPr>
          <w:p>
            <w:pPr>
              <w:jc w:val="center"/>
              <w:ind w:right="241"/>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1000" w:type="dxa"/>
            <w:vAlign w:val="bottom"/>
            <w:gridSpan w:val="12"/>
          </w:tcPr>
          <w:p>
            <w:pPr>
              <w:jc w:val="center"/>
              <w:ind w:right="165"/>
              <w:spacing w:after="0"/>
              <w:rPr>
                <w:sz w:val="20"/>
                <w:szCs w:val="20"/>
                <w:color w:val="auto"/>
              </w:rPr>
            </w:pPr>
            <w:r>
              <w:rPr>
                <w:rFonts w:ascii="Times New Roman" w:cs="Times New Roman" w:eastAsia="Times New Roman" w:hAnsi="Times New Roman"/>
                <w:sz w:val="11"/>
                <w:szCs w:val="11"/>
                <w:b w:val="1"/>
                <w:bCs w:val="1"/>
                <w:color w:val="auto"/>
                <w:w w:val="97"/>
              </w:rPr>
              <w:t>Series B-1</w:t>
            </w:r>
          </w:p>
        </w:tc>
        <w:tc>
          <w:tcPr>
            <w:tcW w:w="800" w:type="dxa"/>
            <w:vAlign w:val="bottom"/>
            <w:gridSpan w:val="11"/>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740" w:type="dxa"/>
            <w:vAlign w:val="bottom"/>
            <w:tcBorders>
              <w:right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1020" w:type="dxa"/>
            <w:vAlign w:val="bottom"/>
            <w:gridSpan w:val="20"/>
          </w:tcPr>
          <w:p>
            <w:pPr>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3840" w:type="dxa"/>
            <w:vAlign w:val="bottom"/>
            <w:gridSpan w:val="51"/>
          </w:tcPr>
          <w:p>
            <w:pPr>
              <w:jc w:val="center"/>
              <w:ind w:right="334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0" w:type="dxa"/>
            <w:vAlign w:val="bottom"/>
          </w:tcPr>
          <w:p>
            <w:pPr>
              <w:spacing w:after="0"/>
              <w:rPr>
                <w:sz w:val="1"/>
                <w:szCs w:val="1"/>
                <w:color w:val="auto"/>
              </w:rPr>
            </w:pPr>
          </w:p>
        </w:tc>
      </w:tr>
      <w:tr>
        <w:trPr>
          <w:trHeight w:val="119"/>
        </w:trPr>
        <w:tc>
          <w:tcPr>
            <w:tcW w:w="258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800" w:type="dxa"/>
            <w:vAlign w:val="bottom"/>
            <w:gridSpan w:val="11"/>
          </w:tcPr>
          <w:p>
            <w:pPr>
              <w:jc w:val="center"/>
              <w:ind w:right="241"/>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0" w:type="dxa"/>
            <w:vAlign w:val="bottom"/>
            <w:gridSpan w:val="12"/>
          </w:tcPr>
          <w:p>
            <w:pPr>
              <w:jc w:val="center"/>
              <w:ind w:right="165"/>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60" w:type="dxa"/>
            <w:vAlign w:val="bottom"/>
            <w:gridSpan w:val="12"/>
          </w:tcPr>
          <w:p>
            <w:pPr>
              <w:jc w:val="right"/>
              <w:ind w:right="285"/>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80" w:type="dxa"/>
            <w:vAlign w:val="bottom"/>
            <w:tcBorders>
              <w:right w:val="single" w:sz="8" w:color="auto"/>
            </w:tcBorders>
            <w:gridSpan w:val="6"/>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1020" w:type="dxa"/>
            <w:vAlign w:val="bottom"/>
            <w:gridSpan w:val="20"/>
          </w:tcPr>
          <w:p>
            <w:pP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3840" w:type="dxa"/>
            <w:vAlign w:val="bottom"/>
            <w:gridSpan w:val="51"/>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0" w:type="dxa"/>
            <w:vAlign w:val="bottom"/>
          </w:tcPr>
          <w:p>
            <w:pPr>
              <w:spacing w:after="0"/>
              <w:rPr>
                <w:sz w:val="1"/>
                <w:szCs w:val="1"/>
                <w:color w:val="auto"/>
              </w:rPr>
            </w:pPr>
          </w:p>
        </w:tc>
      </w:tr>
      <w:tr>
        <w:trPr>
          <w:trHeight w:val="119"/>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8"/>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10"/>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820" w:type="dxa"/>
            <w:vAlign w:val="bottom"/>
            <w:gridSpan w:val="10"/>
          </w:tcPr>
          <w:p>
            <w:pPr>
              <w:ind w:left="28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9"/>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gridSpan w:val="6"/>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11"/>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11"/>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13"/>
          </w:tcPr>
          <w:p>
            <w:pPr>
              <w:ind w:left="8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0"/>
                <w:szCs w:val="10"/>
                <w:color w:val="auto"/>
              </w:rPr>
            </w:pPr>
          </w:p>
        </w:tc>
        <w:tc>
          <w:tcPr>
            <w:tcW w:w="560" w:type="dxa"/>
            <w:vAlign w:val="bottom"/>
            <w:gridSpan w:val="7"/>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59"/>
        </w:trPr>
        <w:tc>
          <w:tcPr>
            <w:tcW w:w="1420" w:type="dxa"/>
            <w:vAlign w:val="bottom"/>
            <w:gridSpan w:val="2"/>
          </w:tcPr>
          <w:p>
            <w:pPr>
              <w:spacing w:after="0"/>
              <w:rPr>
                <w:sz w:val="5"/>
                <w:szCs w:val="5"/>
                <w:color w:val="auto"/>
              </w:rPr>
            </w:pPr>
          </w:p>
        </w:tc>
        <w:tc>
          <w:tcPr>
            <w:tcW w:w="880" w:type="dxa"/>
            <w:vAlign w:val="bottom"/>
            <w:tcBorders>
              <w:bottom w:val="single" w:sz="8" w:color="auto"/>
            </w:tcBorders>
            <w:gridSpan w:val="8"/>
          </w:tcPr>
          <w:p>
            <w:pPr>
              <w:spacing w:after="0"/>
              <w:rPr>
                <w:sz w:val="5"/>
                <w:szCs w:val="5"/>
                <w:color w:val="auto"/>
              </w:rPr>
            </w:pPr>
          </w:p>
        </w:tc>
        <w:tc>
          <w:tcPr>
            <w:tcW w:w="100" w:type="dxa"/>
            <w:vAlign w:val="bottom"/>
            <w:gridSpan w:val="2"/>
          </w:tcPr>
          <w:p>
            <w:pPr>
              <w:spacing w:after="0"/>
              <w:rPr>
                <w:sz w:val="5"/>
                <w:szCs w:val="5"/>
                <w:color w:val="auto"/>
              </w:rPr>
            </w:pPr>
          </w:p>
        </w:tc>
        <w:tc>
          <w:tcPr>
            <w:tcW w:w="880" w:type="dxa"/>
            <w:vAlign w:val="bottom"/>
            <w:tcBorders>
              <w:bottom w:val="single" w:sz="8" w:color="auto"/>
            </w:tcBorders>
            <w:gridSpan w:val="10"/>
          </w:tcPr>
          <w:p>
            <w:pPr>
              <w:spacing w:after="0"/>
              <w:rPr>
                <w:sz w:val="5"/>
                <w:szCs w:val="5"/>
                <w:color w:val="auto"/>
              </w:rPr>
            </w:pPr>
          </w:p>
        </w:tc>
        <w:tc>
          <w:tcPr>
            <w:tcW w:w="100" w:type="dxa"/>
            <w:vAlign w:val="bottom"/>
            <w:gridSpan w:val="2"/>
          </w:tcPr>
          <w:p>
            <w:pPr>
              <w:spacing w:after="0"/>
              <w:rPr>
                <w:sz w:val="5"/>
                <w:szCs w:val="5"/>
                <w:color w:val="auto"/>
              </w:rPr>
            </w:pPr>
          </w:p>
        </w:tc>
        <w:tc>
          <w:tcPr>
            <w:tcW w:w="820" w:type="dxa"/>
            <w:vAlign w:val="bottom"/>
            <w:tcBorders>
              <w:bottom w:val="single" w:sz="8" w:color="auto"/>
            </w:tcBorders>
            <w:gridSpan w:val="10"/>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Borders>
              <w:bottom w:val="single" w:sz="8" w:color="auto"/>
            </w:tcBorders>
            <w:gridSpan w:val="9"/>
          </w:tcPr>
          <w:p>
            <w:pPr>
              <w:spacing w:after="0"/>
              <w:rPr>
                <w:sz w:val="5"/>
                <w:szCs w:val="5"/>
                <w:color w:val="auto"/>
              </w:rPr>
            </w:pPr>
          </w:p>
        </w:tc>
        <w:tc>
          <w:tcPr>
            <w:tcW w:w="60" w:type="dxa"/>
            <w:vAlign w:val="bottom"/>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tcBorders>
              <w:right w:val="single" w:sz="8" w:color="auto"/>
            </w:tcBorders>
            <w:gridSpan w:val="7"/>
            <w:vMerge w:val="restart"/>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780" w:type="dxa"/>
            <w:vAlign w:val="bottom"/>
            <w:tcBorders>
              <w:bottom w:val="single" w:sz="8" w:color="auto"/>
            </w:tcBorders>
            <w:gridSpan w:val="15"/>
          </w:tcPr>
          <w:p>
            <w:pPr>
              <w:spacing w:after="0"/>
              <w:rPr>
                <w:sz w:val="5"/>
                <w:szCs w:val="5"/>
                <w:color w:val="auto"/>
              </w:rPr>
            </w:pPr>
          </w:p>
        </w:tc>
        <w:tc>
          <w:tcPr>
            <w:tcW w:w="100" w:type="dxa"/>
            <w:vAlign w:val="bottom"/>
            <w:gridSpan w:val="2"/>
          </w:tcPr>
          <w:p>
            <w:pPr>
              <w:spacing w:after="0"/>
              <w:rPr>
                <w:sz w:val="5"/>
                <w:szCs w:val="5"/>
                <w:color w:val="auto"/>
              </w:rPr>
            </w:pPr>
          </w:p>
        </w:tc>
        <w:tc>
          <w:tcPr>
            <w:tcW w:w="800" w:type="dxa"/>
            <w:vAlign w:val="bottom"/>
            <w:tcBorders>
              <w:bottom w:val="single" w:sz="8" w:color="auto"/>
            </w:tcBorders>
            <w:gridSpan w:val="15"/>
          </w:tcPr>
          <w:p>
            <w:pPr>
              <w:spacing w:after="0"/>
              <w:rPr>
                <w:sz w:val="5"/>
                <w:szCs w:val="5"/>
                <w:color w:val="auto"/>
              </w:rPr>
            </w:pPr>
          </w:p>
        </w:tc>
        <w:tc>
          <w:tcPr>
            <w:tcW w:w="100" w:type="dxa"/>
            <w:vAlign w:val="bottom"/>
            <w:gridSpan w:val="2"/>
          </w:tcPr>
          <w:p>
            <w:pPr>
              <w:spacing w:after="0"/>
              <w:rPr>
                <w:sz w:val="5"/>
                <w:szCs w:val="5"/>
                <w:color w:val="auto"/>
              </w:rPr>
            </w:pPr>
          </w:p>
        </w:tc>
        <w:tc>
          <w:tcPr>
            <w:tcW w:w="960" w:type="dxa"/>
            <w:vAlign w:val="bottom"/>
            <w:tcBorders>
              <w:bottom w:val="single" w:sz="8" w:color="auto"/>
            </w:tcBorders>
            <w:gridSpan w:val="13"/>
          </w:tcPr>
          <w:p>
            <w:pPr>
              <w:spacing w:after="0"/>
              <w:rPr>
                <w:sz w:val="5"/>
                <w:szCs w:val="5"/>
                <w:color w:val="auto"/>
              </w:rPr>
            </w:pPr>
          </w:p>
        </w:tc>
        <w:tc>
          <w:tcPr>
            <w:tcW w:w="140" w:type="dxa"/>
            <w:vAlign w:val="bottom"/>
            <w:gridSpan w:val="3"/>
          </w:tcPr>
          <w:p>
            <w:pPr>
              <w:spacing w:after="0"/>
              <w:rPr>
                <w:sz w:val="5"/>
                <w:szCs w:val="5"/>
                <w:color w:val="auto"/>
              </w:rPr>
            </w:pPr>
          </w:p>
        </w:tc>
        <w:tc>
          <w:tcPr>
            <w:tcW w:w="520" w:type="dxa"/>
            <w:vAlign w:val="bottom"/>
            <w:gridSpan w:val="6"/>
            <w:vMerge w:val="restart"/>
          </w:tcPr>
          <w:p>
            <w:pPr>
              <w:jc w:val="center"/>
              <w:ind w:right="120"/>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vMerge w:val="restart"/>
          </w:tcPr>
          <w:p>
            <w:pPr>
              <w:spacing w:after="0"/>
              <w:rPr>
                <w:sz w:val="5"/>
                <w:szCs w:val="5"/>
                <w:color w:val="auto"/>
              </w:rPr>
            </w:pPr>
          </w:p>
        </w:tc>
        <w:tc>
          <w:tcPr>
            <w:tcW w:w="680" w:type="dxa"/>
            <w:vAlign w:val="bottom"/>
            <w:gridSpan w:val="7"/>
            <w:vMerge w:val="restart"/>
          </w:tcPr>
          <w:p>
            <w:pPr>
              <w:jc w:val="center"/>
              <w:ind w:right="20"/>
              <w:spacing w:after="0" w:line="101"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vMerge w:val="restart"/>
          </w:tcPr>
          <w:p>
            <w:pPr>
              <w:spacing w:after="0"/>
              <w:rPr>
                <w:sz w:val="5"/>
                <w:szCs w:val="5"/>
                <w:color w:val="auto"/>
              </w:rPr>
            </w:pPr>
          </w:p>
        </w:tc>
        <w:tc>
          <w:tcPr>
            <w:tcW w:w="680" w:type="dxa"/>
            <w:vAlign w:val="bottom"/>
            <w:gridSpan w:val="6"/>
            <w:vMerge w:val="restart"/>
          </w:tcPr>
          <w:p>
            <w:pPr>
              <w:jc w:val="center"/>
              <w:ind w:right="20"/>
              <w:spacing w:after="0" w:line="101"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22"/>
        </w:trPr>
        <w:tc>
          <w:tcPr>
            <w:tcW w:w="5160" w:type="dxa"/>
            <w:vAlign w:val="bottom"/>
            <w:gridSpan w:val="46"/>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40" w:type="dxa"/>
            <w:vAlign w:val="bottom"/>
            <w:tcBorders>
              <w:right w:val="single" w:sz="8" w:color="auto"/>
            </w:tcBorders>
            <w:gridSpan w:val="7"/>
            <w:vMerge w:val="continue"/>
          </w:tcPr>
          <w:p>
            <w:pPr>
              <w:spacing w:after="0" w:line="20" w:lineRule="exact"/>
              <w:rPr>
                <w:sz w:val="1"/>
                <w:szCs w:val="1"/>
                <w:color w:val="auto"/>
              </w:rPr>
            </w:pPr>
          </w:p>
        </w:tc>
        <w:tc>
          <w:tcPr>
            <w:tcW w:w="2880" w:type="dxa"/>
            <w:vAlign w:val="bottom"/>
            <w:gridSpan w:val="50"/>
          </w:tcPr>
          <w:p>
            <w:pPr>
              <w:spacing w:after="0" w:line="20" w:lineRule="exact"/>
              <w:rPr>
                <w:sz w:val="1"/>
                <w:szCs w:val="1"/>
                <w:color w:val="auto"/>
              </w:rPr>
            </w:pPr>
          </w:p>
        </w:tc>
        <w:tc>
          <w:tcPr>
            <w:tcW w:w="520" w:type="dxa"/>
            <w:vAlign w:val="bottom"/>
            <w:gridSpan w:val="6"/>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80" w:type="dxa"/>
            <w:vAlign w:val="bottom"/>
            <w:gridSpan w:val="7"/>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8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4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2"/>
                <w:szCs w:val="12"/>
                <w:color w:val="auto"/>
              </w:rPr>
            </w:pPr>
          </w:p>
        </w:tc>
        <w:tc>
          <w:tcPr>
            <w:tcW w:w="48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2"/>
                <w:szCs w:val="12"/>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40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2"/>
                <w:szCs w:val="12"/>
                <w:color w:val="auto"/>
              </w:rPr>
            </w:pPr>
          </w:p>
        </w:tc>
        <w:tc>
          <w:tcPr>
            <w:tcW w:w="38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2"/>
                <w:szCs w:val="12"/>
                <w:color w:val="auto"/>
              </w:rPr>
            </w:pPr>
          </w:p>
        </w:tc>
        <w:tc>
          <w:tcPr>
            <w:tcW w:w="460" w:type="dxa"/>
            <w:vAlign w:val="bottom"/>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 w:type="dxa"/>
            <w:vAlign w:val="bottom"/>
          </w:tcPr>
          <w:p>
            <w:pPr>
              <w:spacing w:after="0"/>
              <w:rPr>
                <w:sz w:val="12"/>
                <w:szCs w:val="12"/>
                <w:color w:val="auto"/>
              </w:rPr>
            </w:pPr>
          </w:p>
        </w:tc>
        <w:tc>
          <w:tcPr>
            <w:tcW w:w="740" w:type="dxa"/>
            <w:vAlign w:val="bottom"/>
            <w:tcBorders>
              <w:right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340" w:type="dxa"/>
            <w:vAlign w:val="bottom"/>
            <w:gridSpan w:val="7"/>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87"/>
              </w:rPr>
              <w:t>Shares</w:t>
            </w:r>
          </w:p>
        </w:tc>
        <w:tc>
          <w:tcPr>
            <w:tcW w:w="40" w:type="dxa"/>
            <w:vAlign w:val="bottom"/>
          </w:tcPr>
          <w:p>
            <w:pPr>
              <w:spacing w:after="0"/>
              <w:rPr>
                <w:sz w:val="12"/>
                <w:szCs w:val="12"/>
                <w:color w:val="auto"/>
              </w:rPr>
            </w:pPr>
          </w:p>
        </w:tc>
        <w:tc>
          <w:tcPr>
            <w:tcW w:w="44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360" w:type="dxa"/>
            <w:vAlign w:val="bottom"/>
            <w:gridSpan w:val="7"/>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40" w:type="dxa"/>
            <w:vAlign w:val="bottom"/>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4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27"/>
        </w:trPr>
        <w:tc>
          <w:tcPr>
            <w:tcW w:w="1420" w:type="dxa"/>
            <w:vAlign w:val="bottom"/>
            <w:gridSpan w:val="2"/>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6"/>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80" w:type="dxa"/>
            <w:vAlign w:val="bottom"/>
            <w:gridSpan w:val="3"/>
          </w:tcPr>
          <w:p>
            <w:pPr>
              <w:spacing w:after="0"/>
              <w:rPr>
                <w:sz w:val="2"/>
                <w:szCs w:val="2"/>
                <w:color w:val="auto"/>
              </w:rPr>
            </w:pPr>
          </w:p>
        </w:tc>
        <w:tc>
          <w:tcPr>
            <w:tcW w:w="740" w:type="dxa"/>
            <w:vAlign w:val="bottom"/>
            <w:tcBorders>
              <w:bottom w:val="single" w:sz="8" w:color="auto"/>
              <w:right w:val="single" w:sz="8" w:color="auto"/>
            </w:tcBorders>
            <w:gridSpan w:val="7"/>
          </w:tcPr>
          <w:p>
            <w:pPr>
              <w:spacing w:after="0"/>
              <w:rPr>
                <w:sz w:val="2"/>
                <w:szCs w:val="2"/>
                <w:color w:val="auto"/>
              </w:rPr>
            </w:pPr>
          </w:p>
        </w:tc>
        <w:tc>
          <w:tcPr>
            <w:tcW w:w="30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40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40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80" w:type="dxa"/>
            <w:vAlign w:val="bottom"/>
            <w:gridSpan w:val="3"/>
          </w:tcPr>
          <w:p>
            <w:pPr>
              <w:spacing w:after="0"/>
              <w:rPr>
                <w:sz w:val="2"/>
                <w:szCs w:val="2"/>
                <w:color w:val="auto"/>
              </w:rPr>
            </w:pPr>
          </w:p>
        </w:tc>
        <w:tc>
          <w:tcPr>
            <w:tcW w:w="40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52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66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6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5920" w:type="dxa"/>
            <w:vAlign w:val="bottom"/>
            <w:tcBorders>
              <w:right w:val="single" w:sz="8" w:color="auto"/>
            </w:tcBorders>
            <w:gridSpan w:val="5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w:t>
            </w:r>
          </w:p>
        </w:tc>
        <w:tc>
          <w:tcPr>
            <w:tcW w:w="4860" w:type="dxa"/>
            <w:vAlign w:val="bottom"/>
            <w:gridSpan w:val="7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80" w:type="dxa"/>
            <w:vAlign w:val="bottom"/>
            <w:gridSpan w:val="4"/>
            <w:shd w:val="clear" w:color="auto" w:fill="CCEEFF"/>
          </w:tcPr>
          <w:p>
            <w:pPr>
              <w:jc w:val="center"/>
              <w:ind w:left="21"/>
              <w:spacing w:after="0"/>
              <w:rPr>
                <w:sz w:val="20"/>
                <w:szCs w:val="20"/>
                <w:color w:val="auto"/>
              </w:rPr>
            </w:pPr>
            <w:r>
              <w:rPr>
                <w:rFonts w:ascii="Times New Roman" w:cs="Times New Roman" w:eastAsia="Times New Roman" w:hAnsi="Times New Roman"/>
                <w:sz w:val="12"/>
                <w:szCs w:val="12"/>
                <w:color w:val="auto"/>
              </w:rPr>
              <w:t>219.125</w:t>
            </w:r>
          </w:p>
        </w:tc>
        <w:tc>
          <w:tcPr>
            <w:tcW w:w="8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$9,623</w:t>
            </w:r>
          </w:p>
        </w:tc>
        <w:tc>
          <w:tcPr>
            <w:tcW w:w="80" w:type="dxa"/>
            <w:vAlign w:val="bottom"/>
            <w:shd w:val="clear" w:color="auto" w:fill="CCEEFF"/>
          </w:tcPr>
          <w:p>
            <w:pPr>
              <w:spacing w:after="0"/>
              <w:rPr>
                <w:sz w:val="15"/>
                <w:szCs w:val="15"/>
                <w:color w:val="auto"/>
              </w:rPr>
            </w:pPr>
          </w:p>
        </w:tc>
        <w:tc>
          <w:tcPr>
            <w:tcW w:w="4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109.267</w:t>
            </w:r>
          </w:p>
        </w:tc>
        <w:tc>
          <w:tcPr>
            <w:tcW w:w="80" w:type="dxa"/>
            <w:vAlign w:val="bottom"/>
            <w:shd w:val="clear" w:color="auto" w:fill="CCEEFF"/>
          </w:tcPr>
          <w:p>
            <w:pPr>
              <w:spacing w:after="0"/>
              <w:rPr>
                <w:sz w:val="15"/>
                <w:szCs w:val="15"/>
                <w:color w:val="auto"/>
              </w:rPr>
            </w:pPr>
          </w:p>
        </w:tc>
        <w:tc>
          <w:tcPr>
            <w:tcW w:w="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$7,128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0"/>
              </w:rPr>
              <w:t>65.017</w:t>
            </w:r>
          </w:p>
        </w:tc>
        <w:tc>
          <w:tcPr>
            <w:tcW w:w="80" w:type="dxa"/>
            <w:vAlign w:val="bottom"/>
            <w:shd w:val="clear" w:color="auto" w:fill="CCEEFF"/>
          </w:tcPr>
          <w:p>
            <w:pPr>
              <w:spacing w:after="0"/>
              <w:rPr>
                <w:sz w:val="15"/>
                <w:szCs w:val="15"/>
                <w:color w:val="auto"/>
              </w:rPr>
            </w:pPr>
          </w:p>
        </w:tc>
        <w:tc>
          <w:tcPr>
            <w:tcW w:w="4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right w:val="single" w:sz="8" w:color="auto"/>
            </w:tcBorders>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5"/>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1,237.625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$6,644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$(19,609)</w:t>
            </w:r>
          </w:p>
        </w:tc>
        <w:tc>
          <w:tcPr>
            <w:tcW w:w="20" w:type="dxa"/>
            <w:vAlign w:val="bottom"/>
            <w:shd w:val="clear" w:color="auto" w:fill="CCEEFF"/>
          </w:tcPr>
          <w:p>
            <w:pPr>
              <w:spacing w:after="0"/>
              <w:rPr>
                <w:sz w:val="15"/>
                <w:szCs w:val="15"/>
                <w:color w:val="auto"/>
              </w:rPr>
            </w:pPr>
          </w:p>
        </w:tc>
        <w:tc>
          <w:tcPr>
            <w:tcW w:w="74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$(12,965)</w:t>
            </w:r>
          </w:p>
        </w:tc>
        <w:tc>
          <w:tcPr>
            <w:tcW w:w="0" w:type="dxa"/>
            <w:vAlign w:val="bottom"/>
          </w:tcPr>
          <w:p>
            <w:pPr>
              <w:spacing w:after="0"/>
              <w:rPr>
                <w:sz w:val="1"/>
                <w:szCs w:val="1"/>
                <w:color w:val="auto"/>
              </w:rPr>
            </w:pPr>
          </w:p>
        </w:tc>
      </w:tr>
      <w:tr>
        <w:trPr>
          <w:trHeight w:val="155"/>
        </w:trPr>
        <w:tc>
          <w:tcPr>
            <w:tcW w:w="1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400" w:type="dxa"/>
            <w:vAlign w:val="bottom"/>
            <w:tcBorders>
              <w:top w:val="single" w:sz="8" w:color="auto"/>
            </w:tcBorders>
            <w:gridSpan w:val="3"/>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400" w:type="dxa"/>
            <w:vAlign w:val="bottom"/>
            <w:tcBorders>
              <w:top w:val="single" w:sz="8" w:color="auto"/>
            </w:tcBorders>
            <w:gridSpan w:val="4"/>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4"/>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CCEEFF"/>
            </w:tcBorders>
            <w:gridSpan w:val="5"/>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CCEEFF"/>
            </w:tcBorders>
            <w:gridSpan w:val="7"/>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CCEEFF"/>
              <w:right w:val="single" w:sz="8" w:color="auto"/>
            </w:tcBorders>
            <w:gridSpan w:val="3"/>
          </w:tcPr>
          <w:p>
            <w:pPr>
              <w:spacing w:after="0"/>
              <w:rPr>
                <w:sz w:val="13"/>
                <w:szCs w:val="13"/>
                <w:color w:val="auto"/>
              </w:rPr>
            </w:pPr>
          </w:p>
        </w:tc>
        <w:tc>
          <w:tcPr>
            <w:tcW w:w="60" w:type="dxa"/>
            <w:vAlign w:val="bottom"/>
            <w:tcBorders>
              <w:top w:val="single" w:sz="8" w:color="CCEEFF"/>
            </w:tcBorders>
            <w:gridSpan w:val="2"/>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7"/>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5"/>
          </w:tcPr>
          <w:p>
            <w:pPr>
              <w:spacing w:after="0"/>
              <w:rPr>
                <w:sz w:val="13"/>
                <w:szCs w:val="13"/>
                <w:color w:val="auto"/>
              </w:rPr>
            </w:pPr>
          </w:p>
        </w:tc>
        <w:tc>
          <w:tcPr>
            <w:tcW w:w="48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CCEEFF"/>
            </w:tcBorders>
            <w:gridSpan w:val="5"/>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7"/>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52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4"/>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7"/>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7"/>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6"/>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6"/>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gridSpan w:val="8"/>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8"/>
          </w:tcPr>
          <w:p>
            <w:pPr>
              <w:jc w:val="right"/>
              <w:ind w:right="245"/>
              <w:spacing w:after="0"/>
              <w:rPr>
                <w:sz w:val="20"/>
                <w:szCs w:val="20"/>
                <w:color w:val="auto"/>
              </w:rPr>
            </w:pPr>
            <w:r>
              <w:rPr>
                <w:rFonts w:ascii="Times New Roman" w:cs="Times New Roman" w:eastAsia="Times New Roman" w:hAnsi="Times New Roman"/>
                <w:sz w:val="12"/>
                <w:szCs w:val="12"/>
                <w:color w:val="auto"/>
                <w:w w:val="82"/>
              </w:rPr>
              <w:t>—</w:t>
            </w:r>
          </w:p>
        </w:tc>
        <w:tc>
          <w:tcPr>
            <w:tcW w:w="480" w:type="dxa"/>
            <w:vAlign w:val="bottom"/>
            <w:gridSpan w:val="9"/>
          </w:tcPr>
          <w:p>
            <w:pPr>
              <w:jc w:val="center"/>
              <w:ind w:right="261"/>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7"/>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8"/>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5"/>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820" w:type="dxa"/>
            <w:vAlign w:val="bottom"/>
            <w:gridSpan w:val="12"/>
          </w:tcPr>
          <w:p>
            <w:pPr>
              <w:jc w:val="right"/>
              <w:ind w:right="360"/>
              <w:spacing w:after="0"/>
              <w:rPr>
                <w:sz w:val="20"/>
                <w:szCs w:val="20"/>
                <w:color w:val="auto"/>
              </w:rPr>
            </w:pPr>
            <w:r>
              <w:rPr>
                <w:rFonts w:ascii="Times New Roman" w:cs="Times New Roman" w:eastAsia="Times New Roman" w:hAnsi="Times New Roman"/>
                <w:sz w:val="12"/>
                <w:szCs w:val="12"/>
                <w:color w:val="auto"/>
              </w:rPr>
              <w:t>579</w:t>
            </w:r>
          </w:p>
        </w:tc>
        <w:tc>
          <w:tcPr>
            <w:tcW w:w="520" w:type="dxa"/>
            <w:vAlign w:val="bottom"/>
            <w:gridSpan w:val="4"/>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7"/>
          </w:tcPr>
          <w:p>
            <w:pPr>
              <w:jc w:val="right"/>
              <w:ind w:right="140"/>
              <w:spacing w:after="0"/>
              <w:rPr>
                <w:sz w:val="20"/>
                <w:szCs w:val="20"/>
                <w:color w:val="auto"/>
              </w:rPr>
            </w:pPr>
            <w:r>
              <w:rPr>
                <w:rFonts w:ascii="Times New Roman" w:cs="Times New Roman" w:eastAsia="Times New Roman" w:hAnsi="Times New Roman"/>
                <w:sz w:val="12"/>
                <w:szCs w:val="12"/>
                <w:color w:val="auto"/>
              </w:rPr>
              <w:t>579</w:t>
            </w:r>
          </w:p>
        </w:tc>
        <w:tc>
          <w:tcPr>
            <w:tcW w:w="0" w:type="dxa"/>
            <w:vAlign w:val="bottom"/>
          </w:tcPr>
          <w:p>
            <w:pPr>
              <w:spacing w:after="0"/>
              <w:rPr>
                <w:sz w:val="1"/>
                <w:szCs w:val="1"/>
                <w:color w:val="auto"/>
              </w:rPr>
            </w:pPr>
          </w:p>
        </w:tc>
      </w:tr>
      <w:tr>
        <w:trPr>
          <w:trHeight w:val="176"/>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52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6"/>
            <w:shd w:val="clear" w:color="auto" w:fill="CCEEFF"/>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6"/>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gridSpan w:val="8"/>
            <w:shd w:val="clear" w:color="auto" w:fill="CCEEFF"/>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auto"/>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8"/>
            <w:shd w:val="clear" w:color="auto" w:fill="CCEEFF"/>
          </w:tcPr>
          <w:p>
            <w:pPr>
              <w:jc w:val="right"/>
              <w:ind w:right="245"/>
              <w:spacing w:after="0"/>
              <w:rPr>
                <w:sz w:val="20"/>
                <w:szCs w:val="20"/>
                <w:color w:val="auto"/>
              </w:rPr>
            </w:pPr>
            <w:r>
              <w:rPr>
                <w:rFonts w:ascii="Times New Roman" w:cs="Times New Roman" w:eastAsia="Times New Roman" w:hAnsi="Times New Roman"/>
                <w:sz w:val="12"/>
                <w:szCs w:val="12"/>
                <w:color w:val="auto"/>
                <w:w w:val="82"/>
              </w:rPr>
              <w:t>—</w:t>
            </w:r>
          </w:p>
        </w:tc>
        <w:tc>
          <w:tcPr>
            <w:tcW w:w="480" w:type="dxa"/>
            <w:vAlign w:val="bottom"/>
            <w:gridSpan w:val="9"/>
            <w:shd w:val="clear" w:color="auto" w:fill="CCEEFF"/>
          </w:tcPr>
          <w:p>
            <w:pPr>
              <w:jc w:val="center"/>
              <w:ind w:right="261"/>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7"/>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shd w:val="clear" w:color="auto" w:fill="CCEEFF"/>
          </w:tcPr>
          <w:p>
            <w:pPr>
              <w:jc w:val="right"/>
              <w:ind w:right="305"/>
              <w:spacing w:after="0"/>
              <w:rPr>
                <w:sz w:val="20"/>
                <w:szCs w:val="20"/>
                <w:color w:val="auto"/>
              </w:rPr>
            </w:pPr>
            <w:r>
              <w:rPr>
                <w:rFonts w:ascii="Times New Roman" w:cs="Times New Roman" w:eastAsia="Times New Roman" w:hAnsi="Times New Roman"/>
                <w:sz w:val="12"/>
                <w:szCs w:val="12"/>
                <w:color w:val="auto"/>
                <w:w w:val="82"/>
              </w:rPr>
              <w:t>—</w:t>
            </w:r>
          </w:p>
        </w:tc>
        <w:tc>
          <w:tcPr>
            <w:tcW w:w="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(5,186)</w:t>
            </w:r>
          </w:p>
        </w:tc>
        <w:tc>
          <w:tcPr>
            <w:tcW w:w="74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(5,186)</w:t>
            </w:r>
          </w:p>
        </w:tc>
        <w:tc>
          <w:tcPr>
            <w:tcW w:w="0" w:type="dxa"/>
            <w:vAlign w:val="bottom"/>
          </w:tcPr>
          <w:p>
            <w:pPr>
              <w:spacing w:after="0"/>
              <w:rPr>
                <w:sz w:val="1"/>
                <w:szCs w:val="1"/>
                <w:color w:val="auto"/>
              </w:rPr>
            </w:pPr>
          </w:p>
        </w:tc>
      </w:tr>
      <w:tr>
        <w:trPr>
          <w:trHeight w:val="151"/>
        </w:trPr>
        <w:tc>
          <w:tcPr>
            <w:tcW w:w="1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gridSpan w:val="5"/>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gridSpan w:val="6"/>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4"/>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CCEEFF"/>
            </w:tcBorders>
            <w:gridSpan w:val="5"/>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CCEEFF"/>
            </w:tcBorders>
            <w:gridSpan w:val="7"/>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CCEEFF"/>
              <w:right w:val="single" w:sz="8" w:color="auto"/>
            </w:tcBorders>
            <w:gridSpan w:val="3"/>
          </w:tcPr>
          <w:p>
            <w:pPr>
              <w:spacing w:after="0"/>
              <w:rPr>
                <w:sz w:val="13"/>
                <w:szCs w:val="13"/>
                <w:color w:val="auto"/>
              </w:rPr>
            </w:pPr>
          </w:p>
        </w:tc>
        <w:tc>
          <w:tcPr>
            <w:tcW w:w="60" w:type="dxa"/>
            <w:vAlign w:val="bottom"/>
            <w:tcBorders>
              <w:top w:val="single" w:sz="8" w:color="CCEEFF"/>
            </w:tcBorders>
            <w:gridSpan w:val="2"/>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7"/>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5"/>
          </w:tcPr>
          <w:p>
            <w:pPr>
              <w:spacing w:after="0"/>
              <w:rPr>
                <w:sz w:val="13"/>
                <w:szCs w:val="13"/>
                <w:color w:val="auto"/>
              </w:rPr>
            </w:pPr>
          </w:p>
        </w:tc>
        <w:tc>
          <w:tcPr>
            <w:tcW w:w="260" w:type="dxa"/>
            <w:vAlign w:val="bottom"/>
            <w:tcBorders>
              <w:top w:val="single" w:sz="8" w:color="auto"/>
            </w:tcBorders>
            <w:gridSpan w:val="2"/>
          </w:tcPr>
          <w:p>
            <w:pPr>
              <w:spacing w:after="0"/>
              <w:rPr>
                <w:sz w:val="13"/>
                <w:szCs w:val="13"/>
                <w:color w:val="auto"/>
              </w:rPr>
            </w:pPr>
          </w:p>
        </w:tc>
        <w:tc>
          <w:tcPr>
            <w:tcW w:w="4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7"/>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gridSpan w:val="4"/>
          </w:tcPr>
          <w:p>
            <w:pPr>
              <w:jc w:val="center"/>
              <w:ind w:left="21"/>
              <w:spacing w:after="0"/>
              <w:rPr>
                <w:sz w:val="20"/>
                <w:szCs w:val="20"/>
                <w:color w:val="auto"/>
              </w:rPr>
            </w:pPr>
            <w:r>
              <w:rPr>
                <w:rFonts w:ascii="Times New Roman" w:cs="Times New Roman" w:eastAsia="Times New Roman" w:hAnsi="Times New Roman"/>
                <w:sz w:val="12"/>
                <w:szCs w:val="12"/>
                <w:color w:val="auto"/>
              </w:rPr>
              <w:t>219.125</w:t>
            </w:r>
          </w:p>
        </w:tc>
        <w:tc>
          <w:tcPr>
            <w:tcW w:w="80" w:type="dxa"/>
            <w:vAlign w:val="bottom"/>
          </w:tcPr>
          <w:p>
            <w:pPr>
              <w:spacing w:after="0"/>
              <w:rPr>
                <w:sz w:val="14"/>
                <w:szCs w:val="14"/>
                <w:color w:val="auto"/>
              </w:rPr>
            </w:pPr>
          </w:p>
        </w:tc>
        <w:tc>
          <w:tcPr>
            <w:tcW w:w="4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$9,623</w:t>
            </w:r>
          </w:p>
        </w:tc>
        <w:tc>
          <w:tcPr>
            <w:tcW w:w="80" w:type="dxa"/>
            <w:vAlign w:val="bottom"/>
          </w:tcPr>
          <w:p>
            <w:pPr>
              <w:spacing w:after="0"/>
              <w:rPr>
                <w:sz w:val="14"/>
                <w:szCs w:val="14"/>
                <w:color w:val="auto"/>
              </w:rPr>
            </w:pPr>
          </w:p>
        </w:tc>
        <w:tc>
          <w:tcPr>
            <w:tcW w:w="420" w:type="dxa"/>
            <w:vAlign w:val="bottom"/>
            <w:gridSpan w:val="5"/>
          </w:tcPr>
          <w:p>
            <w:pPr>
              <w:jc w:val="center"/>
              <w:spacing w:after="0"/>
              <w:rPr>
                <w:sz w:val="20"/>
                <w:szCs w:val="20"/>
                <w:color w:val="auto"/>
              </w:rPr>
            </w:pPr>
            <w:r>
              <w:rPr>
                <w:rFonts w:ascii="Times New Roman" w:cs="Times New Roman" w:eastAsia="Times New Roman" w:hAnsi="Times New Roman"/>
                <w:sz w:val="12"/>
                <w:szCs w:val="12"/>
                <w:color w:val="auto"/>
                <w:w w:val="97"/>
              </w:rPr>
              <w:t>109.267</w:t>
            </w:r>
          </w:p>
        </w:tc>
        <w:tc>
          <w:tcPr>
            <w:tcW w:w="80" w:type="dxa"/>
            <w:vAlign w:val="bottom"/>
          </w:tcPr>
          <w:p>
            <w:pPr>
              <w:spacing w:after="0"/>
              <w:rPr>
                <w:sz w:val="14"/>
                <w:szCs w:val="14"/>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$7,128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w w:val="90"/>
              </w:rPr>
              <w:t>65.017</w:t>
            </w:r>
          </w:p>
        </w:tc>
        <w:tc>
          <w:tcPr>
            <w:tcW w:w="80" w:type="dxa"/>
            <w:vAlign w:val="bottom"/>
          </w:tcPr>
          <w:p>
            <w:pPr>
              <w:spacing w:after="0"/>
              <w:rPr>
                <w:sz w:val="14"/>
                <w:szCs w:val="14"/>
                <w:color w:val="auto"/>
              </w:rPr>
            </w:pPr>
          </w:p>
        </w:tc>
        <w:tc>
          <w:tcPr>
            <w:tcW w:w="400" w:type="dxa"/>
            <w:vAlign w:val="bottom"/>
            <w:gridSpan w:val="6"/>
          </w:tcPr>
          <w:p>
            <w:pPr>
              <w:jc w:val="right"/>
              <w:ind w:right="20"/>
              <w:spacing w:after="0"/>
              <w:rPr>
                <w:sz w:val="20"/>
                <w:szCs w:val="20"/>
                <w:color w:val="auto"/>
              </w:rPr>
            </w:pPr>
            <w:r>
              <w:rPr>
                <w:rFonts w:ascii="Times New Roman" w:cs="Times New Roman" w:eastAsia="Times New Roman" w:hAnsi="Times New Roman"/>
                <w:sz w:val="12"/>
                <w:szCs w:val="12"/>
                <w:color w:val="auto"/>
              </w:rPr>
              <w:t>$3,162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5"/>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right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5"/>
          </w:tcPr>
          <w:p>
            <w:pPr>
              <w:jc w:val="center"/>
              <w:ind w:right="14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7"/>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7"/>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2"/>
                <w:szCs w:val="12"/>
                <w:color w:val="auto"/>
                <w:w w:val="99"/>
              </w:rPr>
              <w:t>1,237.625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7"/>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6"/>
          </w:tcPr>
          <w:p>
            <w:pPr>
              <w:jc w:val="right"/>
              <w:ind w:right="60"/>
              <w:spacing w:after="0"/>
              <w:rPr>
                <w:sz w:val="20"/>
                <w:szCs w:val="20"/>
                <w:color w:val="auto"/>
              </w:rPr>
            </w:pPr>
            <w:r>
              <w:rPr>
                <w:rFonts w:ascii="Times New Roman" w:cs="Times New Roman" w:eastAsia="Times New Roman" w:hAnsi="Times New Roman"/>
                <w:sz w:val="12"/>
                <w:szCs w:val="12"/>
                <w:color w:val="auto"/>
              </w:rPr>
              <w:t>$7,223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7"/>
          </w:tcPr>
          <w:p>
            <w:pPr>
              <w:jc w:val="right"/>
              <w:ind w:right="80"/>
              <w:spacing w:after="0"/>
              <w:rPr>
                <w:sz w:val="20"/>
                <w:szCs w:val="20"/>
                <w:color w:val="auto"/>
              </w:rPr>
            </w:pPr>
            <w:r>
              <w:rPr>
                <w:rFonts w:ascii="Times New Roman" w:cs="Times New Roman" w:eastAsia="Times New Roman" w:hAnsi="Times New Roman"/>
                <w:sz w:val="12"/>
                <w:szCs w:val="12"/>
                <w:color w:val="auto"/>
              </w:rPr>
              <w:t>$(24,795)</w:t>
            </w:r>
          </w:p>
        </w:tc>
        <w:tc>
          <w:tcPr>
            <w:tcW w:w="20" w:type="dxa"/>
            <w:vAlign w:val="bottom"/>
          </w:tcPr>
          <w:p>
            <w:pPr>
              <w:spacing w:after="0"/>
              <w:rPr>
                <w:sz w:val="14"/>
                <w:szCs w:val="14"/>
                <w:color w:val="auto"/>
              </w:rPr>
            </w:pPr>
          </w:p>
        </w:tc>
        <w:tc>
          <w:tcPr>
            <w:tcW w:w="740" w:type="dxa"/>
            <w:vAlign w:val="bottom"/>
            <w:gridSpan w:val="7"/>
          </w:tcPr>
          <w:p>
            <w:pPr>
              <w:jc w:val="right"/>
              <w:ind w:right="100"/>
              <w:spacing w:after="0"/>
              <w:rPr>
                <w:sz w:val="20"/>
                <w:szCs w:val="20"/>
                <w:color w:val="auto"/>
              </w:rPr>
            </w:pPr>
            <w:r>
              <w:rPr>
                <w:rFonts w:ascii="Times New Roman" w:cs="Times New Roman" w:eastAsia="Times New Roman" w:hAnsi="Times New Roman"/>
                <w:sz w:val="12"/>
                <w:szCs w:val="12"/>
                <w:color w:val="auto"/>
              </w:rPr>
              <w:t>$(17,572)</w:t>
            </w:r>
          </w:p>
        </w:tc>
        <w:tc>
          <w:tcPr>
            <w:tcW w:w="0" w:type="dxa"/>
            <w:vAlign w:val="bottom"/>
          </w:tcPr>
          <w:p>
            <w:pPr>
              <w:spacing w:after="0"/>
              <w:rPr>
                <w:sz w:val="1"/>
                <w:szCs w:val="1"/>
                <w:color w:val="auto"/>
              </w:rPr>
            </w:pPr>
          </w:p>
        </w:tc>
      </w:tr>
      <w:tr>
        <w:trPr>
          <w:trHeight w:val="21"/>
        </w:trPr>
        <w:tc>
          <w:tcPr>
            <w:tcW w:w="1420" w:type="dxa"/>
            <w:vAlign w:val="bottom"/>
            <w:gridSpan w:val="2"/>
          </w:tcPr>
          <w:p>
            <w:pPr>
              <w:spacing w:after="0" w:line="20" w:lineRule="exact"/>
              <w:rPr>
                <w:sz w:val="1"/>
                <w:szCs w:val="1"/>
                <w:color w:val="auto"/>
              </w:rPr>
            </w:pPr>
          </w:p>
        </w:tc>
        <w:tc>
          <w:tcPr>
            <w:tcW w:w="400" w:type="dxa"/>
            <w:vAlign w:val="bottom"/>
            <w:tcBorders>
              <w:top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Borders>
              <w:top w:val="single" w:sz="8" w:color="auto"/>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tcBorders>
              <w:top w:val="single" w:sz="8" w:color="auto"/>
            </w:tcBorders>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tcBorders>
              <w:top w:val="single" w:sz="8" w:color="auto"/>
            </w:tcBorders>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right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80" w:type="dxa"/>
            <w:vAlign w:val="bottom"/>
            <w:tcBorders>
              <w:top w:val="single" w:sz="8" w:color="auto"/>
            </w:tcBorders>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80" w:type="dxa"/>
            <w:vAlign w:val="bottom"/>
            <w:tcBorders>
              <w:top w:val="single" w:sz="8" w:color="auto"/>
            </w:tcBorders>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80" w:type="dxa"/>
            <w:vAlign w:val="bottom"/>
            <w:tcBorders>
              <w:top w:val="single" w:sz="8" w:color="auto"/>
            </w:tcBorders>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tcBorders>
              <w:top w:val="single" w:sz="8" w:color="auto"/>
            </w:tcBorders>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320" w:type="dxa"/>
            <w:vAlign w:val="bottom"/>
            <w:tcBorders>
              <w:top w:val="single" w:sz="8" w:color="auto"/>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20" w:type="dxa"/>
            <w:vAlign w:val="bottom"/>
            <w:tcBorders>
              <w:top w:val="single" w:sz="8" w:color="auto"/>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20" w:type="dxa"/>
            <w:vAlign w:val="bottom"/>
            <w:tcBorders>
              <w:top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112395</wp:posOffset>
            </wp:positionV>
            <wp:extent cx="6153150"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10780"/>
          </w:cols>
          <w:pgMar w:left="600" w:top="248" w:right="519" w:bottom="1440" w:gutter="0" w:footer="0" w:header="0"/>
        </w:sectPr>
      </w:pPr>
    </w:p>
    <w:bookmarkStart w:id="237" w:name="page238"/>
    <w:bookmarkEnd w:id="2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7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r>
      <w:tr>
        <w:trPr>
          <w:trHeight w:val="21"/>
        </w:trPr>
        <w:tc>
          <w:tcPr>
            <w:tcW w:w="5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(7,764)</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(5,186)</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157</w:t>
            </w: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579</w:t>
            </w: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2,377</w:t>
            </w: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NIH liability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240</w:t>
            </w:r>
          </w:p>
        </w:tc>
      </w:tr>
      <w:tr>
        <w:trPr>
          <w:trHeight w:val="27"/>
        </w:trPr>
        <w:tc>
          <w:tcPr>
            <w:tcW w:w="5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41"/>
        </w:trPr>
        <w:tc>
          <w:tcPr>
            <w:tcW w:w="5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activites</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(6,501)</w:t>
            </w:r>
          </w:p>
        </w:tc>
        <w:tc>
          <w:tcPr>
            <w:tcW w:w="116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(1,856)</w:t>
            </w:r>
          </w:p>
        </w:tc>
      </w:tr>
      <w:tr>
        <w:trPr>
          <w:trHeight w:val="226"/>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27"/>
        </w:trPr>
        <w:tc>
          <w:tcPr>
            <w:tcW w:w="57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r>
      <w:tr>
        <w:trPr>
          <w:trHeight w:val="241"/>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23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580" w:type="dxa"/>
            <w:vAlign w:val="bottom"/>
            <w:tcBorders>
              <w:lef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Series B-2 Preferred Stock</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57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32"/>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9"/>
        </w:trPr>
        <w:tc>
          <w:tcPr>
            <w:tcW w:w="5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(5,126)</w:t>
            </w:r>
          </w:p>
        </w:tc>
        <w:tc>
          <w:tcPr>
            <w:tcW w:w="116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(2,007)</w:t>
            </w:r>
          </w:p>
        </w:tc>
      </w:tr>
      <w:tr>
        <w:trPr>
          <w:trHeight w:val="21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100" w:type="dxa"/>
            <w:vAlign w:val="bottom"/>
          </w:tcPr>
          <w:p>
            <w:pPr>
              <w:spacing w:after="0"/>
              <w:rPr>
                <w:sz w:val="18"/>
                <w:szCs w:val="18"/>
                <w:color w:val="auto"/>
              </w:rPr>
            </w:pPr>
          </w:p>
        </w:tc>
      </w:tr>
      <w:tr>
        <w:trPr>
          <w:trHeight w:val="25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6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Borders>
              <w:left w:val="single" w:sz="8" w:color="CCEEFF"/>
            </w:tcBorders>
            <w:shd w:val="clear" w:color="auto" w:fill="CCEEFF"/>
          </w:tcPr>
          <w:p>
            <w:pPr>
              <w:spacing w:after="0"/>
              <w:rPr>
                <w:sz w:val="22"/>
                <w:szCs w:val="22"/>
                <w:color w:val="auto"/>
              </w:rPr>
            </w:pPr>
          </w:p>
        </w:tc>
      </w:tr>
      <w:tr>
        <w:trPr>
          <w:trHeight w:val="237"/>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1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equipment not yet 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5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580" w:type="dxa"/>
            <w:vAlign w:val="bottom"/>
            <w:tcBorders>
              <w:lef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8" w:name="page239"/>
    <w:bookmarkEnd w:id="2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Financial Statements</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0"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accompanying unaudited financial statements for the nine months ended September 30,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financial statements should be read in conjunction with the Company’s audited financial statements and the notes thereto for the year ended December 31, 2022. The unaudited interim financial statements have been prepared on the same basis as the audited financial statements. In the opinion of management, the accompanying unaudited interim financial statements contain all adjustments that are necessary for a fair statement of the Company’s financial position as of September 30, 2023 and December 31, 2022, the results of operations for the nine months ended September 30, 2023 and 2022, and cash flows for the nine months ended September 30, 2023 and 2022. Such adjustments are of a normal and recurring nature. The results of operations for the nine months ended September 30, 2023 are not necessarily indicative of the results of operations that may be expected for the year ending December 31, 2023.</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67"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As of September 30, 2023, the Company’s cash and cash equivalents were $6.9 million. On November 13, 2023, the Company merged with Selecta Biosciences, Inc. (Selecta). See Note 12 for further details.</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Company disclosed its significant accounting policies in Note 2 – Summary of Significant Accounting Policies included in the Company’s annual financial statements for the year ended December 31, 2022 included elsewhere in this filing. There have been no material changes to the Company’s significant accounting policies during the nine months ended September 30, 2023, with the exception of the matters discussed in recent accounting pronouncements.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9" w:name="page240"/>
    <w:bookmarkEnd w:id="2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800" w:right="1079"/>
        <w:spacing w:after="0" w:line="25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3" w:lineRule="exact"/>
        <w:rPr>
          <w:sz w:val="20"/>
          <w:szCs w:val="20"/>
          <w:color w:val="auto"/>
        </w:rPr>
      </w:pPr>
    </w:p>
    <w:p>
      <w:pPr>
        <w:ind w:left="800" w:right="899"/>
        <w:spacing w:after="0" w:line="249"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Fair Value Measurements</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(in thousands):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100" w:type="dxa"/>
            <w:vAlign w:val="bottom"/>
          </w:tcPr>
          <w:p>
            <w:pPr>
              <w:spacing w:after="0"/>
              <w:rPr>
                <w:sz w:val="13"/>
                <w:szCs w:val="13"/>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100" w:type="dxa"/>
            <w:vAlign w:val="bottom"/>
          </w:tcPr>
          <w:p>
            <w:pPr>
              <w:spacing w:after="0"/>
              <w:rPr>
                <w:sz w:val="18"/>
                <w:szCs w:val="18"/>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6,531</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6,531</w:t>
            </w:r>
          </w:p>
        </w:tc>
        <w:tc>
          <w:tcPr>
            <w:tcW w:w="100" w:type="dxa"/>
            <w:vAlign w:val="bottom"/>
            <w:tcBorders>
              <w:left w:val="single" w:sz="8" w:color="CCEEFF"/>
            </w:tcBorders>
            <w:shd w:val="clear" w:color="auto" w:fill="CCEEFF"/>
          </w:tcPr>
          <w:p>
            <w:pPr>
              <w:spacing w:after="0"/>
              <w:rPr>
                <w:sz w:val="23"/>
                <w:szCs w:val="23"/>
                <w:color w:val="auto"/>
              </w:rPr>
            </w:pP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3"/>
              </w:rPr>
              <w:t>$569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100" w:type="dxa"/>
            <w:vAlign w:val="bottom"/>
          </w:tcPr>
          <w:p>
            <w:pPr>
              <w:spacing w:after="0"/>
              <w:rPr>
                <w:sz w:val="13"/>
                <w:szCs w:val="13"/>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c>
          <w:tcPr>
            <w:tcW w:w="0" w:type="dxa"/>
            <w:vAlign w:val="bottom"/>
          </w:tcPr>
          <w:p>
            <w:pPr>
              <w:spacing w:after="0"/>
              <w:rPr>
                <w:sz w:val="1"/>
                <w:szCs w:val="1"/>
                <w:color w:val="auto"/>
              </w:rPr>
            </w:pPr>
          </w:p>
        </w:tc>
      </w:tr>
      <w:tr>
        <w:trPr>
          <w:trHeight w:val="21"/>
        </w:trPr>
        <w:tc>
          <w:tcPr>
            <w:tcW w:w="5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18"/>
                <w:szCs w:val="18"/>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Certificates of deposits (included in cash equivalents)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100" w:type="dxa"/>
            <w:vAlign w:val="bottom"/>
          </w:tcPr>
          <w:p>
            <w:pPr>
              <w:spacing w:after="0"/>
              <w:rPr>
                <w:sz w:val="19"/>
                <w:szCs w:val="19"/>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5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3"/>
              </w:rPr>
              <w:t>$461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The following table provides a reconciliation of all assets and liabilities measured at fair value using Level 3 significant unobservable inputs which were settled during the period from December 31, 2022 to September 30, 2023 (in thousands):</w:t>
      </w:r>
    </w:p>
    <w:p>
      <w:pPr>
        <w:spacing w:after="0" w:line="188"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21"/>
        </w:trPr>
        <w:tc>
          <w:tcPr>
            <w:tcW w:w="6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1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60" w:type="dxa"/>
            <w:vAlign w:val="bottom"/>
            <w:gridSpan w:val="3"/>
            <w:shd w:val="clear" w:color="auto" w:fill="CCEEFF"/>
          </w:tcPr>
          <w:p>
            <w:pPr>
              <w:jc w:val="center"/>
              <w:ind w:left="541"/>
              <w:spacing w:after="0"/>
              <w:rPr>
                <w:sz w:val="20"/>
                <w:szCs w:val="20"/>
                <w:color w:val="auto"/>
              </w:rPr>
            </w:pPr>
            <w:r>
              <w:rPr>
                <w:rFonts w:ascii="Times New Roman" w:cs="Times New Roman" w:eastAsia="Times New Roman" w:hAnsi="Times New Roman"/>
                <w:sz w:val="16"/>
                <w:szCs w:val="16"/>
                <w:color w:val="auto"/>
                <w:w w:val="94"/>
              </w:rPr>
              <w:t>$ 461</w:t>
            </w:r>
          </w:p>
        </w:tc>
      </w:tr>
      <w:tr>
        <w:trPr>
          <w:trHeight w:val="218"/>
        </w:trPr>
        <w:tc>
          <w:tcPr>
            <w:tcW w:w="6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620" w:type="dxa"/>
            <w:vAlign w:val="bottom"/>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40" w:type="dxa"/>
            <w:vAlign w:val="bottom"/>
          </w:tcPr>
          <w:p>
            <w:pPr>
              <w:spacing w:after="0"/>
              <w:rPr>
                <w:sz w:val="18"/>
                <w:szCs w:val="18"/>
                <w:color w:val="auto"/>
              </w:rPr>
            </w:pPr>
          </w:p>
        </w:tc>
      </w:tr>
      <w:tr>
        <w:trPr>
          <w:trHeight w:val="23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960" w:type="dxa"/>
            <w:vAlign w:val="bottom"/>
            <w:gridSpan w:val="3"/>
            <w:shd w:val="clear" w:color="auto" w:fill="CCEEFF"/>
          </w:tcPr>
          <w:p>
            <w:pPr>
              <w:jc w:val="center"/>
              <w:ind w:left="541"/>
              <w:spacing w:after="0"/>
              <w:rPr>
                <w:sz w:val="20"/>
                <w:szCs w:val="20"/>
                <w:color w:val="auto"/>
              </w:rPr>
            </w:pPr>
            <w:r>
              <w:rPr>
                <w:rFonts w:ascii="Times New Roman" w:cs="Times New Roman" w:eastAsia="Times New Roman" w:hAnsi="Times New Roman"/>
                <w:sz w:val="16"/>
                <w:szCs w:val="16"/>
                <w:color w:val="auto"/>
                <w:w w:val="94"/>
              </w:rPr>
              <w:t>$ 569</w:t>
            </w:r>
          </w:p>
        </w:tc>
      </w:tr>
      <w:tr>
        <w:trPr>
          <w:trHeight w:val="22"/>
        </w:trPr>
        <w:tc>
          <w:tcPr>
            <w:tcW w:w="6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jc w:val="both"/>
        <w:ind w:left="800" w:right="819"/>
        <w:spacing w:after="0" w:line="277" w:lineRule="auto"/>
        <w:rPr>
          <w:sz w:val="20"/>
          <w:szCs w:val="20"/>
          <w:color w:val="auto"/>
        </w:rPr>
      </w:pPr>
      <w:r>
        <w:rPr>
          <w:rFonts w:ascii="Times New Roman" w:cs="Times New Roman" w:eastAsia="Times New Roman" w:hAnsi="Times New Roman"/>
          <w:sz w:val="16"/>
          <w:szCs w:val="16"/>
          <w:color w:val="auto"/>
        </w:rPr>
        <w:t>There were no transfers within the fair value hierarchy during the nine months ended September 30, 2023 or the year ended December 31, 2022.</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0" w:name="page241"/>
    <w:bookmarkEnd w:id="24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Property and Equipment</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Property and equipment consist of the following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September 30,</w:t>
            </w:r>
          </w:p>
        </w:tc>
        <w:tc>
          <w:tcPr>
            <w:tcW w:w="260" w:type="dxa"/>
            <w:vAlign w:val="bottom"/>
          </w:tcPr>
          <w:p>
            <w:pPr>
              <w:spacing w:after="0"/>
              <w:rPr>
                <w:sz w:val="12"/>
                <w:szCs w:val="1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7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9"/>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760" w:type="dxa"/>
            <w:vAlign w:val="bottom"/>
            <w:tcBorders>
              <w:top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$ 879</w:t>
            </w:r>
          </w:p>
        </w:tc>
        <w:tc>
          <w:tcPr>
            <w:tcW w:w="260" w:type="dxa"/>
            <w:vAlign w:val="bottom"/>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$ 779</w:t>
            </w:r>
          </w:p>
        </w:tc>
        <w:tc>
          <w:tcPr>
            <w:tcW w:w="180" w:type="dxa"/>
            <w:vAlign w:val="bottom"/>
            <w:tcBorders>
              <w:top w:val="single" w:sz="8" w:color="auto"/>
            </w:tcBorders>
            <w:shd w:val="clear" w:color="auto" w:fill="CCEEFF"/>
          </w:tcPr>
          <w:p>
            <w:pPr>
              <w:spacing w:after="0"/>
              <w:rPr>
                <w:sz w:val="17"/>
                <w:szCs w:val="17"/>
                <w:color w:val="auto"/>
              </w:rPr>
            </w:pPr>
          </w:p>
        </w:tc>
      </w:tr>
      <w:tr>
        <w:trPr>
          <w:trHeight w:val="210"/>
        </w:trPr>
        <w:tc>
          <w:tcPr>
            <w:tcW w:w="5620" w:type="dxa"/>
            <w:vAlign w:val="bottom"/>
            <w:gridSpan w:val="2"/>
          </w:tcPr>
          <w:p>
            <w:pPr>
              <w:jc w:val="right"/>
              <w:ind w:right="3660"/>
              <w:spacing w:after="0"/>
              <w:rPr>
                <w:sz w:val="20"/>
                <w:szCs w:val="20"/>
                <w:color w:val="auto"/>
              </w:rPr>
            </w:pPr>
            <w:r>
              <w:rPr>
                <w:rFonts w:ascii="Times New Roman" w:cs="Times New Roman" w:eastAsia="Times New Roman" w:hAnsi="Times New Roman"/>
                <w:sz w:val="16"/>
                <w:szCs w:val="16"/>
                <w:color w:val="auto"/>
                <w:w w:val="98"/>
              </w:rPr>
              <w:t>Less accumulated depreciation</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(651)</w:t>
            </w:r>
          </w:p>
        </w:tc>
        <w:tc>
          <w:tcPr>
            <w:tcW w:w="102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(582)</w:t>
            </w:r>
          </w:p>
        </w:tc>
      </w:tr>
      <w:tr>
        <w:trPr>
          <w:trHeight w:val="237"/>
        </w:trPr>
        <w:tc>
          <w:tcPr>
            <w:tcW w:w="5360" w:type="dxa"/>
            <w:vAlign w:val="bottom"/>
            <w:tcBorders>
              <w:top w:val="single" w:sz="8" w:color="CCEEFF"/>
              <w:bottom w:val="single" w:sz="8" w:color="CCEEFF"/>
            </w:tcBorders>
            <w:shd w:val="clear" w:color="auto" w:fill="CCEEFF"/>
          </w:tcPr>
          <w:p>
            <w:pPr>
              <w:jc w:val="right"/>
              <w:ind w:right="3321"/>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$ 228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$ 197</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78" w:lineRule="exact"/>
        <w:rPr>
          <w:sz w:val="20"/>
          <w:szCs w:val="20"/>
          <w:color w:val="auto"/>
        </w:rPr>
      </w:pPr>
    </w:p>
    <w:p>
      <w:pPr>
        <w:ind w:left="1140" w:right="1320"/>
        <w:spacing w:after="0" w:line="277" w:lineRule="auto"/>
        <w:rPr>
          <w:sz w:val="20"/>
          <w:szCs w:val="20"/>
          <w:color w:val="auto"/>
        </w:rPr>
      </w:pPr>
      <w:r>
        <w:rPr>
          <w:rFonts w:ascii="Times New Roman" w:cs="Times New Roman" w:eastAsia="Times New Roman" w:hAnsi="Times New Roman"/>
          <w:sz w:val="16"/>
          <w:szCs w:val="16"/>
          <w:color w:val="auto"/>
        </w:rPr>
        <w:t>Depreciation expense was approximately $69,000 and $88,000 for the nine months ended September 30,2023 and 2022, respectively.</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3"/>
              </w:rPr>
              <w:t>September 30,</w:t>
            </w:r>
          </w:p>
        </w:tc>
        <w:tc>
          <w:tcPr>
            <w:tcW w:w="26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72"/>
        </w:trPr>
        <w:tc>
          <w:tcPr>
            <w:tcW w:w="5620" w:type="dxa"/>
            <w:vAlign w:val="bottom"/>
          </w:tcPr>
          <w:p>
            <w:pPr>
              <w:spacing w:after="0"/>
              <w:rPr>
                <w:sz w:val="14"/>
                <w:szCs w:val="14"/>
                <w:color w:val="auto"/>
              </w:rPr>
            </w:pPr>
          </w:p>
        </w:tc>
        <w:tc>
          <w:tcPr>
            <w:tcW w:w="600" w:type="dxa"/>
            <w:vAlign w:val="bottom"/>
            <w:gridSpan w:val="3"/>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r>
      <w:tr>
        <w:trPr>
          <w:trHeight w:val="19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20" w:type="dxa"/>
            <w:vAlign w:val="bottom"/>
            <w:tcBorders>
              <w:top w:val="single" w:sz="8" w:color="auto"/>
            </w:tcBorders>
            <w:shd w:val="clear" w:color="auto" w:fill="CCEEFF"/>
          </w:tcPr>
          <w:p>
            <w:pPr>
              <w:spacing w:after="0"/>
              <w:rPr>
                <w:sz w:val="17"/>
                <w:szCs w:val="17"/>
                <w:color w:val="auto"/>
              </w:rPr>
            </w:pPr>
          </w:p>
        </w:tc>
      </w:tr>
      <w:tr>
        <w:trPr>
          <w:trHeight w:val="19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spacing w:after="0"/>
              <w:rPr>
                <w:sz w:val="16"/>
                <w:szCs w:val="16"/>
                <w:color w:val="auto"/>
              </w:rPr>
            </w:pPr>
          </w:p>
        </w:tc>
      </w:tr>
      <w:tr>
        <w:trPr>
          <w:trHeight w:val="1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shd w:val="clear" w:color="auto" w:fill="CCEEFF"/>
          </w:tcPr>
          <w:p>
            <w:pPr>
              <w:spacing w:after="0"/>
              <w:rPr>
                <w:sz w:val="16"/>
                <w:szCs w:val="16"/>
                <w:color w:val="auto"/>
              </w:rPr>
            </w:pPr>
          </w:p>
        </w:tc>
      </w:tr>
      <w:tr>
        <w:trPr>
          <w:trHeight w:val="19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equipment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1,513</w:t>
            </w:r>
          </w:p>
        </w:tc>
        <w:tc>
          <w:tcPr>
            <w:tcW w:w="1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949</w:t>
            </w:r>
          </w:p>
        </w:tc>
        <w:tc>
          <w:tcPr>
            <w:tcW w:w="22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103"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 September 2023, the Company entered into an operating lease for a piece of lab equipment.</w:t>
      </w:r>
    </w:p>
    <w:p>
      <w:pPr>
        <w:spacing w:after="0" w:line="101" w:lineRule="exact"/>
        <w:rPr>
          <w:sz w:val="20"/>
          <w:szCs w:val="20"/>
          <w:color w:val="auto"/>
        </w:rPr>
      </w:pPr>
    </w:p>
    <w:p>
      <w:pPr>
        <w:ind w:left="1140" w:right="1980"/>
        <w:spacing w:after="0" w:line="277" w:lineRule="auto"/>
        <w:rPr>
          <w:sz w:val="20"/>
          <w:szCs w:val="20"/>
          <w:color w:val="auto"/>
        </w:rPr>
      </w:pPr>
      <w:r>
        <w:rPr>
          <w:rFonts w:ascii="Times New Roman" w:cs="Times New Roman" w:eastAsia="Times New Roman" w:hAnsi="Times New Roman"/>
          <w:sz w:val="16"/>
          <w:szCs w:val="16"/>
          <w:color w:val="auto"/>
        </w:rPr>
        <w:t>For the nine month ended September 30, 2023 and 2022, the components of lease costs were as follows (in thousands):</w:t>
      </w:r>
    </w:p>
    <w:p>
      <w:pPr>
        <w:spacing w:after="0" w:line="16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40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94"/>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Borders>
              <w:top w:val="single" w:sz="8" w:color="auto"/>
            </w:tcBorders>
            <w:shd w:val="clear" w:color="auto" w:fill="CCEEFF"/>
          </w:tcPr>
          <w:p>
            <w:pPr>
              <w:spacing w:after="0"/>
              <w:rPr>
                <w:sz w:val="16"/>
                <w:szCs w:val="16"/>
                <w:color w:val="auto"/>
              </w:rPr>
            </w:pPr>
          </w:p>
        </w:tc>
      </w:tr>
      <w:tr>
        <w:trPr>
          <w:trHeight w:val="210"/>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r>
      <w:tr>
        <w:trPr>
          <w:trHeight w:val="237"/>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87"/>
              </w:rPr>
              <w:t>$</w:t>
            </w:r>
            <w:r>
              <w:rPr>
                <w:rFonts w:ascii="Times New Roman" w:cs="Times New Roman" w:eastAsia="Times New Roman" w:hAnsi="Times New Roman"/>
                <w:sz w:val="16"/>
                <w:szCs w:val="16"/>
                <w:color w:val="auto"/>
                <w:w w:val="87"/>
              </w:rPr>
              <w:t>370</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337</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September 30, 2023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140" w:type="dxa"/>
            <w:vAlign w:val="bottom"/>
          </w:tcPr>
          <w:p>
            <w:pPr>
              <w:spacing w:after="0"/>
              <w:rPr>
                <w:sz w:val="12"/>
                <w:szCs w:val="12"/>
                <w:color w:val="auto"/>
              </w:rPr>
            </w:pPr>
          </w:p>
        </w:tc>
      </w:tr>
      <w:tr>
        <w:trPr>
          <w:trHeight w:val="172"/>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r>
      <w:tr>
        <w:trPr>
          <w:trHeight w:val="199"/>
        </w:trPr>
        <w:tc>
          <w:tcPr>
            <w:tcW w:w="114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5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02"/>
        </w:trPr>
        <w:tc>
          <w:tcPr>
            <w:tcW w:w="114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6"/>
        </w:trPr>
        <w:tc>
          <w:tcPr>
            <w:tcW w:w="1140" w:type="dxa"/>
            <w:vAlign w:val="bottom"/>
          </w:tcPr>
          <w:p>
            <w:pPr>
              <w:spacing w:after="0"/>
              <w:rPr>
                <w:sz w:val="21"/>
                <w:szCs w:val="21"/>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3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1,016</w:t>
            </w:r>
          </w:p>
        </w:tc>
        <w:tc>
          <w:tcPr>
            <w:tcW w:w="1140" w:type="dxa"/>
            <w:vAlign w:val="bottom"/>
          </w:tcPr>
          <w:p>
            <w:pPr>
              <w:spacing w:after="0"/>
              <w:rPr>
                <w:sz w:val="21"/>
                <w:szCs w:val="21"/>
                <w:color w:val="auto"/>
              </w:rPr>
            </w:pPr>
          </w:p>
        </w:tc>
      </w:tr>
      <w:tr>
        <w:trPr>
          <w:trHeight w:val="368"/>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F-97</w:t>
            </w: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41" w:name="page242"/>
    <w:bookmarkEnd w:id="2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17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19"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040" w:type="dxa"/>
            <w:vAlign w:val="bottom"/>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$227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48"/>
        </w:trPr>
        <w:tc>
          <w:tcPr>
            <w:tcW w:w="60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Other than the initial recording of the right-of-use asset and lease liability, which were non-cash, the changes in the Company’s right-of-use asset and lease liability for the nine months ended September 30, 2023 and 2022 are reflected in the non-cash lease expense and accrued expenses and other liabilities, respectively, in the consolidated statements of cash flows.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680" w:type="dxa"/>
            <w:vAlign w:val="bottom"/>
            <w:gridSpan w:val="3"/>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21"/>
        </w:trPr>
        <w:tc>
          <w:tcPr>
            <w:tcW w:w="5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1"/>
        </w:trPr>
        <w:tc>
          <w:tcPr>
            <w:tcW w:w="5720" w:type="dxa"/>
            <w:vAlign w:val="bottom"/>
          </w:tcPr>
          <w:p>
            <w:pPr>
              <w:spacing w:after="0"/>
              <w:rPr>
                <w:sz w:val="13"/>
                <w:szCs w:val="13"/>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3"/>
                <w:szCs w:val="13"/>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8"/>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3.03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4.33 years</w:t>
            </w:r>
          </w:p>
        </w:tc>
      </w:tr>
      <w:tr>
        <w:trPr>
          <w:trHeight w:val="207"/>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7.09 %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7.34 %</w:t>
            </w:r>
          </w:p>
        </w:tc>
      </w:tr>
    </w:tbl>
    <w:p>
      <w:pPr>
        <w:spacing w:after="0" w:line="3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7. Stock-Based Compensation Expense</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1" w:lineRule="exact"/>
        <w:rPr>
          <w:sz w:val="20"/>
          <w:szCs w:val="20"/>
          <w:color w:val="auto"/>
        </w:rPr>
      </w:pPr>
    </w:p>
    <w:p>
      <w:pPr>
        <w:ind w:left="800" w:right="1799"/>
        <w:spacing w:after="0" w:line="27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statements of operations and comprehensive income (loss) was as follows (in thousands):</w:t>
      </w:r>
    </w:p>
    <w:p>
      <w:pPr>
        <w:spacing w:after="0" w:line="16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06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r>
      <w:tr>
        <w:trPr>
          <w:trHeight w:val="21"/>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00" w:type="dxa"/>
            <w:vAlign w:val="bottom"/>
            <w:tcBorders>
              <w:left w:val="single" w:sz="8" w:color="CCEEFF"/>
            </w:tcBorders>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21"/>
                <w:szCs w:val="21"/>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were calculated using the Black-Scholes option pricing model, based on the following range of assumptions: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1800" w:type="dxa"/>
            <w:vAlign w:val="bottom"/>
            <w:gridSpan w:val="3"/>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67"/>
        </w:trPr>
        <w:tc>
          <w:tcPr>
            <w:tcW w:w="5600" w:type="dxa"/>
            <w:vAlign w:val="bottom"/>
          </w:tcPr>
          <w:p>
            <w:pPr>
              <w:spacing w:after="0"/>
              <w:rPr>
                <w:sz w:val="14"/>
                <w:szCs w:val="14"/>
                <w:color w:val="auto"/>
              </w:rPr>
            </w:pPr>
          </w:p>
        </w:tc>
        <w:tc>
          <w:tcPr>
            <w:tcW w:w="1800" w:type="dxa"/>
            <w:vAlign w:val="bottom"/>
            <w:gridSpan w:val="3"/>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21"/>
        </w:trPr>
        <w:tc>
          <w:tcPr>
            <w:tcW w:w="5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1"/>
        </w:trPr>
        <w:tc>
          <w:tcPr>
            <w:tcW w:w="5600" w:type="dxa"/>
            <w:vAlign w:val="bottom"/>
          </w:tcPr>
          <w:p>
            <w:pPr>
              <w:spacing w:after="0"/>
              <w:rPr>
                <w:sz w:val="13"/>
                <w:szCs w:val="13"/>
                <w:color w:val="auto"/>
              </w:rPr>
            </w:pPr>
          </w:p>
        </w:tc>
        <w:tc>
          <w:tcPr>
            <w:tcW w:w="700" w:type="dxa"/>
            <w:vAlign w:val="bottom"/>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84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3.6 – 4.0%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 – 2.0%</w:t>
            </w:r>
          </w:p>
        </w:tc>
      </w:tr>
      <w:tr>
        <w:trPr>
          <w:trHeight w:val="20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6.20 - 6.25</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5.0 - 6.25</w:t>
            </w:r>
          </w:p>
        </w:tc>
      </w:tr>
      <w:tr>
        <w:trPr>
          <w:trHeight w:val="20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$18,505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w:t>
            </w:r>
          </w:p>
        </w:tc>
      </w:tr>
      <w:tr>
        <w:trPr>
          <w:trHeight w:val="48"/>
        </w:trPr>
        <w:tc>
          <w:tcPr>
            <w:tcW w:w="56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1019"/>
        <w:spacing w:after="0" w:line="280" w:lineRule="auto"/>
        <w:rPr>
          <w:sz w:val="20"/>
          <w:szCs w:val="20"/>
          <w:color w:val="auto"/>
        </w:rPr>
      </w:pPr>
      <w:r>
        <w:rPr>
          <w:rFonts w:ascii="Times New Roman" w:cs="Times New Roman" w:eastAsia="Times New Roman" w:hAnsi="Times New Roman"/>
          <w:sz w:val="15"/>
          <w:szCs w:val="15"/>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0"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nine months ended September 30, 2023 and 2022 was $14,159.28 and $16,862.94, respectively.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2" w:name="page243"/>
    <w:bookmarkEnd w:id="2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As of September 30, 2023, total unrecognized compensation expense related to unvested employee stock options was $0.9 million, which is expected to be recognized over a weighted average period of 2.18 years.</w:t>
      </w:r>
    </w:p>
    <w:p>
      <w:pPr>
        <w:spacing w:after="0" w:line="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14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$18,727</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6.90</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spacing w:after="0"/>
              <w:rPr>
                <w:sz w:val="18"/>
                <w:szCs w:val="18"/>
                <w:color w:val="auto"/>
              </w:rPr>
            </w:pP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September 30, 2023</w:t>
            </w:r>
          </w:p>
        </w:tc>
        <w:tc>
          <w:tcPr>
            <w:tcW w:w="1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173</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$19,246</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6.60</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35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gridSpan w:val="2"/>
          </w:tcPr>
          <w:p>
            <w:pPr>
              <w:spacing w:after="0"/>
              <w:rPr>
                <w:sz w:val="21"/>
                <w:szCs w:val="21"/>
                <w:color w:val="auto"/>
              </w:rPr>
            </w:pPr>
          </w:p>
        </w:tc>
        <w:tc>
          <w:tcPr>
            <w:tcW w:w="1140" w:type="dxa"/>
            <w:vAlign w:val="bottom"/>
            <w:tcBorders>
              <w:top w:val="single" w:sz="8" w:color="CCEEFF"/>
            </w:tcBorders>
            <w:gridSpan w:val="2"/>
          </w:tcPr>
          <w:p>
            <w:pPr>
              <w:spacing w:after="0"/>
              <w:rPr>
                <w:sz w:val="21"/>
                <w:szCs w:val="21"/>
                <w:color w:val="auto"/>
              </w:rPr>
            </w:pPr>
          </w:p>
        </w:tc>
        <w:tc>
          <w:tcPr>
            <w:tcW w:w="920" w:type="dxa"/>
            <w:vAlign w:val="bottom"/>
            <w:tcBorders>
              <w:top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September 30, 2023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$17,541</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5.72</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September 30, 2023</w:t>
            </w: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173</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$19,246</w:t>
            </w:r>
          </w:p>
        </w:tc>
        <w:tc>
          <w:tcPr>
            <w:tcW w:w="11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6.60</w:t>
            </w:r>
          </w:p>
        </w:tc>
        <w:tc>
          <w:tcPr>
            <w:tcW w:w="92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Income Taxes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as the Company believes that it is more likely than not that the deferred tax assets will not be realized.</w:t>
      </w:r>
    </w:p>
    <w:p>
      <w:pPr>
        <w:spacing w:after="0" w:line="50" w:lineRule="exact"/>
        <w:rPr>
          <w:sz w:val="20"/>
          <w:szCs w:val="20"/>
          <w:color w:val="auto"/>
        </w:rPr>
      </w:pPr>
    </w:p>
    <w:p>
      <w:pPr>
        <w:jc w:val="both"/>
        <w:ind w:left="800" w:right="1039"/>
        <w:spacing w:after="0" w:line="262" w:lineRule="auto"/>
        <w:rPr>
          <w:sz w:val="20"/>
          <w:szCs w:val="20"/>
          <w:color w:val="auto"/>
        </w:rPr>
      </w:pPr>
      <w:r>
        <w:rPr>
          <w:rFonts w:ascii="Times New Roman" w:cs="Times New Roman" w:eastAsia="Times New Roman" w:hAnsi="Times New Roman"/>
          <w:sz w:val="16"/>
          <w:szCs w:val="16"/>
          <w:color w:val="auto"/>
        </w:rPr>
        <w:t>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Defined Contribution Plan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the nine months ended September 30, 2023 and 2022, respectively.</w:t>
      </w:r>
    </w:p>
    <w:p>
      <w:pPr>
        <w:spacing w:after="0" w:line="2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Commitments and Contingencies</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As of September 30, 2023, the Company was not a party to any litigation that could have a material adverse effect on the Company’s business, financial position, results of operations or cash flows.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License Agreements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multiple myeloma</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73" w:lineRule="exact"/>
        <w:rPr>
          <w:sz w:val="20"/>
          <w:szCs w:val="20"/>
          <w:color w:val="auto"/>
        </w:rPr>
      </w:pPr>
    </w:p>
    <w:p>
      <w:pPr>
        <w:ind w:left="800" w:right="1219"/>
        <w:spacing w:after="0" w:line="312" w:lineRule="auto"/>
        <w:rPr>
          <w:sz w:val="20"/>
          <w:szCs w:val="20"/>
          <w:color w:val="auto"/>
        </w:rPr>
      </w:pPr>
      <w:r>
        <w:rPr>
          <w:rFonts w:ascii="Times New Roman" w:cs="Times New Roman" w:eastAsia="Times New Roman" w:hAnsi="Times New Roman"/>
          <w:sz w:val="15"/>
          <w:szCs w:val="15"/>
          <w:color w:val="auto"/>
        </w:rPr>
        <w:t>Additionally, the Company agreed to a non-refundable license royalty of either i) three-quarters of one percent (0.75%) of the Company’s fair market value at the time of its first Liquidity Event; or ii) $579,000 upon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3" w:name="page244"/>
    <w:bookmarkEnd w:id="2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reaching forty million dollars ($40,000,000) in cumulative investor financing. The Company concluded the contingent payment met the definition of a derivative liability under ASC 815. As such, the Company recorded a liability on its balance sheet of $569,194 and 460,758 as of September 30, 2023 and December 31, 2022, respectively. The associated expense was recorded as research and development expense in the respective periods. The Company estimated the liability at each balance sheet date as the present value of the probability weighted continent payment amounts. In November 2023, the Company entered into a merger agreement with Selecta (see Subsequent Event note below), whereby the Company elected to pay $579,000 to the NIH in full satisfaction of the royalty provision. Payment was made in December 2023.</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autoimmune diseases</w:t>
      </w:r>
    </w:p>
    <w:p>
      <w:pPr>
        <w:spacing w:after="0" w:line="103"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2"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Biogen MA, Inc,- Multiple Myeloma</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Subsequent Events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Company has evaluated subsequent events through the date on which the consolidated financial statements were issued. The Company has concluded that no subsequent events have occurred that require disclosure, except as disclosed within these financial statements.</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4" w:name="page245"/>
    <w:bookmarkEnd w:id="24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FINANCIAL INFORMATION</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November 13, 2023, Selecta Biosciences, Inc., a Delaware corporation (“Selecta”), acquired Cartesian Therapeutics, Inc., a Delaware corporation (“Old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Old Cartesian. Pursuant to the Merger Agreement, First Merger Sub merged with and into Old Cartesian, pursuant to which Old Cartesian was the surviving corporation and became a wholly owned subsidiary of Selecta (the “First Merger”). Immediately following the First Merger, Old Cartesian merged with and into Second Merger Sub, pursuant to which Second Merger Sub was the surviving entity (the “Second Merger” and, together with the First Merger, the “Merger”). In connection with the Second Merger, Old Cartesian changed its name to Cartesian Bio, LLC.</w:t>
      </w:r>
    </w:p>
    <w:p>
      <w:pPr>
        <w:spacing w:after="0" w:line="77"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is intended to qualify as a tax-free reorganization for U.S. federal income tax purposes. As a result of the Merger, Selecta changed its corporate name to Cartesian Therapeutics, Inc. (“Cartesian” or the “Company”) and commenced trading under the symbol “RNAC” beginning on November 14, 2023.</w:t>
      </w:r>
    </w:p>
    <w:p>
      <w:pPr>
        <w:spacing w:after="0" w:line="62" w:lineRule="exact"/>
        <w:rPr>
          <w:sz w:val="20"/>
          <w:szCs w:val="20"/>
          <w:color w:val="auto"/>
        </w:rPr>
      </w:pPr>
    </w:p>
    <w:p>
      <w:pPr>
        <w:ind w:left="800" w:right="1239"/>
        <w:spacing w:after="0" w:line="262" w:lineRule="auto"/>
        <w:rPr>
          <w:sz w:val="20"/>
          <w:szCs w:val="20"/>
          <w:color w:val="auto"/>
        </w:rPr>
      </w:pPr>
      <w:r>
        <w:rPr>
          <w:rFonts w:ascii="Times New Roman" w:cs="Times New Roman" w:eastAsia="Times New Roman" w:hAnsi="Times New Roman"/>
          <w:sz w:val="16"/>
          <w:szCs w:val="16"/>
          <w:color w:val="auto"/>
        </w:rPr>
        <w:t>The Board of Directors of Selecta (the “Board”) unanimously approved the Merger Agreement and the related transactions. The Merger has been consummated substantially concurrently with the entry into the Merger Agreement and was not subject to approval of Selecta stockholders.</w:t>
      </w:r>
    </w:p>
    <w:p>
      <w:pPr>
        <w:spacing w:after="0" w:line="62"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Under the terms of the Merger Agreement, following the consummation of the Merger (the “Closing”), in exchange for the outstanding shares of capital stock of Old Cartesian immediately prior to the effective time of the First Merger, the Company agreed to issue to the stockholders of Old Cartesian (A) 6,723,639 shares of common stock of the Company, par value $0.0001 per share (the “Common Stock”), and (B) 384,930.724 shares of Series A Non-Voting Convertible Preferred Stock, par value $0.0001 per share (the “Series A Preferred Stock”), each share of which is convertible into 1,000 shares of Common Stock, subject to certain conditions. The issuance of the shares of Common Stock and Series A Preferred Stock occurred after the December 4, 2023 record date for the distribution of contingent value rights discussed below. The Old Cartesian stockholders did not have rights as holders of Common Stock or holders of Series A Preferred Stock until such issuance. Additionally, the Company assumed all outstanding stock options of Old Cartesian, subject to an exercise blackout period that ended December 8, 2023.</w:t>
      </w:r>
    </w:p>
    <w:p>
      <w:pPr>
        <w:spacing w:after="0" w:line="62" w:lineRule="exact"/>
        <w:rPr>
          <w:sz w:val="20"/>
          <w:szCs w:val="20"/>
          <w:color w:val="auto"/>
        </w:rPr>
      </w:pPr>
    </w:p>
    <w:p>
      <w:pPr>
        <w:ind w:left="800" w:right="879"/>
        <w:spacing w:after="0" w:line="271" w:lineRule="auto"/>
        <w:rPr>
          <w:sz w:val="20"/>
          <w:szCs w:val="20"/>
          <w:color w:val="auto"/>
        </w:rPr>
      </w:pPr>
      <w:r>
        <w:rPr>
          <w:rFonts w:ascii="Times New Roman" w:cs="Times New Roman" w:eastAsia="Times New Roman" w:hAnsi="Times New Roman"/>
          <w:sz w:val="15"/>
          <w:szCs w:val="15"/>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(the “Conversion Proposal”), and (ii) either or both of (A) the approval of an amendment to the Company’s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57"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an affiliate of Dr. Springer, or any of its affiliates.</w:t>
      </w:r>
    </w:p>
    <w:p>
      <w:pPr>
        <w:spacing w:after="0" w:line="70"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5" w:name="page246"/>
    <w:bookmarkEnd w:id="2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December 6, 2023, as contemplated in the Merger Agreement, the Company entered into a contingent value rights agreement (the “CVR Agreement”) pursuant to which each holder of Common Stock as of December 4, 2023 was entitled to one contractual contingent value right (each, a “CVR”) issued by the Company for each share of Common Stock held by such holder as of December 4, 2023, which CVRs were distributed to such holders on December 13, 2023. Holders of the warrants to purchase Common Stock of the Company outstanding as of such date (each, a “Selecta Warrant”) will be entitled to receive, upon exercise of such Selecta Warrant and in accordance with the terms thereof, one CVR per each such share of Common Stock underlying such Selecta Warrant, assuming the same had been exercised on December 4, 2023; except that the holders of the warrants issued by Selecta on April 11, 2022 (the “Selecta Warrants”), as required by the terms of such Selecta Warrants, received such CVRs on December 13, 2023, together with the distribution of CVRs made to the holders of Common Stock, even if such Selecta Warrants were not exercised.</w:t>
      </w:r>
    </w:p>
    <w:p>
      <w:pPr>
        <w:spacing w:after="0" w:line="77" w:lineRule="exact"/>
        <w:rPr>
          <w:sz w:val="20"/>
          <w:szCs w:val="20"/>
          <w:color w:val="auto"/>
        </w:rPr>
      </w:pPr>
    </w:p>
    <w:p>
      <w:pPr>
        <w:ind w:left="800" w:right="919"/>
        <w:spacing w:after="0" w:line="288"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Company’s License and Development Agreement, as amended, with Swedish Orphan Biovitrum AB (publ.) (the “Sobi License”)) ends (the “Termination Date”):</w:t>
      </w:r>
    </w:p>
    <w:p>
      <w:pPr>
        <w:spacing w:after="0" w:line="44" w:lineRule="exact"/>
        <w:rPr>
          <w:sz w:val="20"/>
          <w:szCs w:val="20"/>
          <w:color w:val="auto"/>
        </w:rPr>
      </w:pPr>
    </w:p>
    <w:p>
      <w:pPr>
        <w:ind w:left="1420" w:right="999" w:hanging="305"/>
        <w:spacing w:after="0" w:line="257" w:lineRule="auto"/>
        <w:tabs>
          <w:tab w:leader="none" w:pos="14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3" w:lineRule="auto"/>
        <w:tabs>
          <w:tab w:leader="none" w:pos="14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$750,000 for general and administrative overhead, (iv) payments made and remaining obligations on lease liabilities of Selecta immediately prior to the Merger and (v) amounts paid and remaining obligations with regard to Selecta’s Xork product candidate. Each of the deductions described in (iv) and (v) will be made only if certain milestone payments under the Sobi License are made, and are also subject to certain adjustments as contemplated in the CVR Agreement.</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 Financing</w:t>
      </w:r>
    </w:p>
    <w:p>
      <w:pPr>
        <w:spacing w:after="0" w:line="103" w:lineRule="exact"/>
        <w:rPr>
          <w:sz w:val="20"/>
          <w:szCs w:val="20"/>
          <w:color w:val="auto"/>
        </w:rPr>
      </w:pPr>
    </w:p>
    <w:p>
      <w:pPr>
        <w:ind w:left="800" w:right="1259"/>
        <w:spacing w:after="0" w:line="276" w:lineRule="auto"/>
        <w:rPr>
          <w:sz w:val="20"/>
          <w:szCs w:val="20"/>
          <w:color w:val="auto"/>
        </w:rPr>
      </w:pPr>
      <w:r>
        <w:rPr>
          <w:rFonts w:ascii="Times New Roman" w:cs="Times New Roman" w:eastAsia="Times New Roman" w:hAnsi="Times New Roman"/>
          <w:sz w:val="15"/>
          <w:szCs w:val="15"/>
          <w:color w:val="auto"/>
        </w:rPr>
        <w:t>On November 13, 2023, the Company entered into a Securities Purchase Agreement (the “Securities Purchase Agreement”) with (i) Timothy A. Springer, a member of the Company’s Board; (ii) TAS Partners, LLC, and</w:t>
      </w:r>
    </w:p>
    <w:p>
      <w:pPr>
        <w:ind w:left="800" w:right="979" w:hanging="1"/>
        <w:spacing w:after="0" w:line="249" w:lineRule="auto"/>
        <w:tabs>
          <w:tab w:leader="none" w:pos="107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Seven One Eight Three Four Irrevocable Trust, a trust associated with Dr. Murat Kalayoglu, a co-founder and the former chief executive officer of Old Cartesian, who joined the Board effective immediately after the effective time of the Merger (the “Investors”). Pursuant to the Securities Purchase Agreement, the Company agreed to issue and sell an aggregate of 149,330.115 shares of Series A Preferred Stock for an aggregate purchase price of $60.25 million (collectively, the “Financing”). Each share of Series A Preferred Stock is convertible into 1,000 shares of Common Stock.</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the Financing, each of TAS Partners, LLC and Dr. Springer agreed to settle its purchases in three approximately equal tranches of shares of Series A Preferred Stock, each for a purchase price of approximately $20.0 million, with the three tranches settling 30, 60, and 90 days, respectively, following the Closing. The first and second tranches were settled on December 13, 2023 and January 12, 2024, respectively, under which (i) 24,785.081 shares of Series A Preferred Stock were issued to each of TAS Partners, LLC and Dr. Springer in the first tranche, and (ii) 49,570.163 shares of Series A Preferred Stock were issued to Dr. Springer in the second tranche. The third tranche is expected to settle on February 11, 2024.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6" w:name="page247"/>
    <w:bookmarkEnd w:id="2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Settlement of Selecta Equity Awards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Upon consummation of the First Merger, the equity compensation awards of Selecta were settled as follows:</w:t>
      </w:r>
    </w:p>
    <w:p>
      <w:pPr>
        <w:spacing w:after="0" w:line="101" w:lineRule="exact"/>
        <w:rPr>
          <w:sz w:val="20"/>
          <w:szCs w:val="20"/>
          <w:color w:val="auto"/>
        </w:rPr>
      </w:pPr>
    </w:p>
    <w:p>
      <w:pPr>
        <w:ind w:left="1420" w:right="839" w:hanging="305"/>
        <w:spacing w:after="0" w:line="262" w:lineRule="auto"/>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and each restricted stock unit award with respect to shares of Common Stock, in each case that was outstanding and unvested immediately prior to the Merger, was accelerated and vested in full at the effective time of the First Merger;</w:t>
      </w:r>
    </w:p>
    <w:p>
      <w:pPr>
        <w:spacing w:after="0" w:line="62" w:lineRule="exact"/>
        <w:rPr>
          <w:rFonts w:ascii="Times New Roman" w:cs="Times New Roman" w:eastAsia="Times New Roman" w:hAnsi="Times New Roman"/>
          <w:sz w:val="16"/>
          <w:szCs w:val="16"/>
          <w:color w:val="auto"/>
        </w:rPr>
      </w:pPr>
    </w:p>
    <w:p>
      <w:pPr>
        <w:ind w:left="1420" w:right="999" w:hanging="305"/>
        <w:spacing w:after="0" w:line="255" w:lineRule="auto"/>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was canceled and in exchange therefor, former holders became entitled to receive an amount in cash equal to the product of (A) the total number of shares of Common Stock subject to the unexercised portion the stock option (determined after giving effect to the accelerated vesting) multiplied by (B) the excess, if any, of $2.06 (the “Cash-out Amount”) over the applicable exercise price per share of Common Stock under such stock option; and</w:t>
      </w:r>
    </w:p>
    <w:p>
      <w:pPr>
        <w:spacing w:after="0" w:line="67"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w:t>
      </w:r>
    </w:p>
    <w:p>
      <w:pPr>
        <w:spacing w:after="0" w:line="3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 Forma Presentation</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was prepared in accordance with Article 11 of Regulation S-X. The Selecta and Old Cartesian unaudited pro forma condensed combined balance sheet data assume that the Merger took place on September 30, 2023, and combines the Selecta and Old Cartesian historical balance sheets at September 30, 2023. The Selecta and Old Cartesian unaudited pro forma condensed combined statements of operations data assume that the Merger took place as of January 1, 2022, and combine the historical results of Selecta and Old Cartesian for the year ended December 31, 2022, and for the nine months ended September 30, 2023. The historical financial statements of Selecta and Old Cartesian have been adjusted to give pro forma effect to events that are (i) directly attributable to the Merger, (ii) factually supportable, and (iii) with respect to the statements of operations, expected to have a continuing impact on the combined results.</w:t>
      </w:r>
    </w:p>
    <w:p>
      <w:pPr>
        <w:spacing w:after="0" w:line="73" w:lineRule="exact"/>
        <w:rPr>
          <w:sz w:val="20"/>
          <w:szCs w:val="20"/>
          <w:color w:val="auto"/>
        </w:rPr>
      </w:pPr>
    </w:p>
    <w:p>
      <w:pPr>
        <w:jc w:val="both"/>
        <w:ind w:left="800" w:right="999"/>
        <w:spacing w:after="0" w:line="255"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are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The final determination of these estimated fair values will be based on the actual net tangible assets of Old Cartesian that existed as of the date of completion of the Merger.</w:t>
      </w:r>
    </w:p>
    <w:p>
      <w:pPr>
        <w:spacing w:after="0" w:line="68"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do not give effect to the potential impact of current financial conditions, regulatory matters, operating efficiencies or other savings or expenses that may be associated with the Merger. The unaudited pro forma condensed combined financial statements have been prepared for illustrative purposes only and are not necessarily indicative of the financial position or results of operations in future periods or the results that actually would have been realized had Selecta and Old Cartesian been a combined company during the specified period. The unaudited pro forma condensed combined financial statements, including the notes thereto, should be read in conjunction with the separate historical audited financial statements of Selecta and Old Cartesian.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7" w:name="page248"/>
    <w:bookmarkEnd w:id="247"/>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Balance Sheet</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As of September 30, 2023</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8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Selecta</w:t>
            </w: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90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5"/>
            <w:vMerge w:val="restart"/>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80" w:type="dxa"/>
            <w:vAlign w:val="bottom"/>
            <w:gridSpan w:val="6"/>
            <w:vMerge w:val="continue"/>
          </w:tcPr>
          <w:p>
            <w:pPr>
              <w:spacing w:after="0"/>
              <w:rPr>
                <w:sz w:val="11"/>
                <w:szCs w:val="11"/>
                <w:color w:val="auto"/>
              </w:rPr>
            </w:pPr>
          </w:p>
        </w:tc>
        <w:tc>
          <w:tcPr>
            <w:tcW w:w="1200" w:type="dxa"/>
            <w:vAlign w:val="bottom"/>
            <w:gridSpan w:val="6"/>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900" w:type="dxa"/>
            <w:vAlign w:val="bottom"/>
            <w:gridSpan w:val="5"/>
            <w:vMerge w:val="continue"/>
          </w:tcPr>
          <w:p>
            <w:pPr>
              <w:spacing w:after="0"/>
              <w:rPr>
                <w:sz w:val="11"/>
                <w:szCs w:val="11"/>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0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4"/>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w w:val="89"/>
              </w:rPr>
              <w:t>Combined</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$79,603</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$6,875</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$(9,423)</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60,250</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G</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4,898</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1,875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40" w:type="dxa"/>
            <w:vAlign w:val="bottom"/>
            <w:gridSpan w:val="3"/>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3,493</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17"/>
                <w:szCs w:val="17"/>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1"/>
              </w:rPr>
              <w:t>299</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89,869</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8,168</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50,827</w:t>
            </w:r>
          </w:p>
        </w:tc>
        <w:tc>
          <w:tcPr>
            <w:tcW w:w="300" w:type="dxa"/>
            <w:vAlign w:val="bottom"/>
          </w:tcPr>
          <w:p>
            <w:pPr>
              <w:spacing w:after="0"/>
              <w:rPr>
                <w:sz w:val="16"/>
                <w:szCs w:val="16"/>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148,864</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2,421</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10,339</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2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48,062</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540" w:type="dxa"/>
            <w:vAlign w:val="bottom"/>
            <w:gridSpan w:val="3"/>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4"/>
              </w:rPr>
              <w:t>3,405</w:t>
            </w:r>
          </w:p>
        </w:tc>
        <w:tc>
          <w:tcPr>
            <w:tcW w:w="180" w:type="dxa"/>
            <w:vAlign w:val="bottom"/>
          </w:tcPr>
          <w:p>
            <w:pPr>
              <w:spacing w:after="0"/>
              <w:rPr>
                <w:sz w:val="17"/>
                <w:szCs w:val="17"/>
                <w:color w:val="auto"/>
              </w:rPr>
            </w:pP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30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106,034</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spacing w:after="0"/>
              <w:rPr>
                <w:sz w:val="17"/>
                <w:szCs w:val="17"/>
                <w:color w:val="auto"/>
              </w:rPr>
            </w:pPr>
          </w:p>
        </w:tc>
        <w:tc>
          <w:tcPr>
            <w:tcW w:w="640" w:type="dxa"/>
            <w:vAlign w:val="bottom"/>
            <w:gridSpan w:val="4"/>
            <w:shd w:val="clear" w:color="auto" w:fill="CCEEFF"/>
          </w:tcPr>
          <w:p>
            <w:pPr>
              <w:jc w:val="right"/>
              <w:ind w:right="200"/>
              <w:spacing w:after="0" w:line="182" w:lineRule="exact"/>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9,312</w:t>
            </w:r>
          </w:p>
        </w:tc>
        <w:tc>
          <w:tcPr>
            <w:tcW w:w="900" w:type="dxa"/>
            <w:vAlign w:val="bottom"/>
            <w:gridSpan w:val="5"/>
            <w:shd w:val="clear" w:color="auto" w:fill="CCEEFF"/>
          </w:tcPr>
          <w:p>
            <w:pPr>
              <w:jc w:val="right"/>
              <w:ind w:right="200"/>
              <w:spacing w:after="0" w:line="182" w:lineRule="exact"/>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249,589</w:t>
            </w:r>
          </w:p>
        </w:tc>
        <w:tc>
          <w:tcPr>
            <w:tcW w:w="30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364,935</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gridSpan w:val="2"/>
          </w:tcPr>
          <w:p>
            <w:pPr>
              <w:ind w:left="1140"/>
              <w:spacing w:after="0" w:line="183" w:lineRule="exact"/>
              <w:rPr>
                <w:sz w:val="20"/>
                <w:szCs w:val="20"/>
                <w:color w:val="auto"/>
              </w:rPr>
            </w:pPr>
            <w:r>
              <w:rPr>
                <w:rFonts w:ascii="Times New Roman" w:cs="Times New Roman" w:eastAsia="Times New Roman" w:hAnsi="Times New Roman"/>
                <w:sz w:val="16"/>
                <w:szCs w:val="16"/>
                <w:b w:val="1"/>
                <w:bCs w:val="1"/>
                <w:color w:val="auto"/>
              </w:rPr>
              <w:t>LIABILITIES, PREFERRED STOCK</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AND STOCKHOLDERS’ EQUITY</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$14,012</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$2,082</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$4,895</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$20,989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1,787</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540" w:type="dxa"/>
            <w:vAlign w:val="bottom"/>
            <w:gridSpan w:val="3"/>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4"/>
              </w:rPr>
              <w:t>4,140</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19,939</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2,355</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8,694</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3,981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13,091</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34,853</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15,854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(18,999)</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obligation</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340,300</w:t>
            </w:r>
          </w:p>
        </w:tc>
        <w:tc>
          <w:tcPr>
            <w:tcW w:w="20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H</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340,300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45,705</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3.098</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361,049</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409,852</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32,057</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60,250</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G</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(32,057)</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 I</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501,919</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7,985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2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182,372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619</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13,157</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(340,300)</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H</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(7,985)</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(436,989)</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(33,828)</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(4,895)</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(438,246)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(16,400)</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(619)</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35,486</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18,999</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(4,616)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(4,616)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460" w:type="dxa"/>
            <w:vAlign w:val="bottom"/>
            <w:tcBorders>
              <w:right w:val="single" w:sz="8" w:color="CCEEFF"/>
            </w:tcBorders>
            <w:gridSpan w:val="2"/>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60,329</w:t>
            </w:r>
          </w:p>
        </w:tc>
        <w:tc>
          <w:tcPr>
            <w:tcW w:w="180" w:type="dxa"/>
            <w:vAlign w:val="bottom"/>
            <w:shd w:val="clear" w:color="auto" w:fill="CCEEFF"/>
          </w:tcPr>
          <w:p>
            <w:pPr>
              <w:spacing w:after="0"/>
              <w:rPr>
                <w:sz w:val="17"/>
                <w:szCs w:val="17"/>
                <w:color w:val="auto"/>
              </w:rPr>
            </w:pP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(25,843)</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(294,961)</w:t>
            </w:r>
          </w:p>
        </w:tc>
        <w:tc>
          <w:tcPr>
            <w:tcW w:w="30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(260,475)</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3080" w:type="dxa"/>
            <w:vAlign w:val="bottom"/>
            <w:tcBorders>
              <w:top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LIABILITIES, PREFERRED</w:t>
            </w: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STOCK AND STOCKHOLDERS’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30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106,034</w:t>
            </w:r>
          </w:p>
        </w:tc>
        <w:tc>
          <w:tcPr>
            <w:tcW w:w="1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6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9,312</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249,589</w:t>
            </w:r>
          </w:p>
        </w:tc>
        <w:tc>
          <w:tcPr>
            <w:tcW w:w="300" w:type="dxa"/>
            <w:vAlign w:val="bottom"/>
          </w:tcPr>
          <w:p>
            <w:pPr>
              <w:spacing w:after="0"/>
              <w:rPr>
                <w:sz w:val="17"/>
                <w:szCs w:val="17"/>
                <w:color w:val="auto"/>
              </w:rPr>
            </w:pPr>
          </w:p>
        </w:tc>
        <w:tc>
          <w:tcPr>
            <w:tcW w:w="19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364,935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F-104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248" w:name="page249"/>
    <w:bookmarkEnd w:id="248"/>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Selecta</w:t>
            </w:r>
          </w:p>
        </w:tc>
        <w:tc>
          <w:tcPr>
            <w:tcW w:w="110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78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vMerge w:val="restart"/>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80" w:type="dxa"/>
            <w:vAlign w:val="bottom"/>
            <w:gridSpan w:val="6"/>
            <w:vMerge w:val="continue"/>
          </w:tcPr>
          <w:p>
            <w:pPr>
              <w:spacing w:after="0"/>
              <w:rPr>
                <w:sz w:val="11"/>
                <w:szCs w:val="11"/>
                <w:color w:val="auto"/>
              </w:rPr>
            </w:pPr>
          </w:p>
        </w:tc>
        <w:tc>
          <w:tcPr>
            <w:tcW w:w="1100" w:type="dxa"/>
            <w:vAlign w:val="bottom"/>
            <w:gridSpan w:val="6"/>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780" w:type="dxa"/>
            <w:vAlign w:val="bottom"/>
            <w:gridSpan w:val="6"/>
            <w:vMerge w:val="continue"/>
          </w:tcPr>
          <w:p>
            <w:pPr>
              <w:spacing w:after="0"/>
              <w:rPr>
                <w:sz w:val="11"/>
                <w:szCs w:val="11"/>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9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Biosciences, Inc.</w:t>
            </w:r>
          </w:p>
        </w:tc>
        <w:tc>
          <w:tcPr>
            <w:tcW w:w="110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7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00" w:type="dxa"/>
            <w:vAlign w:val="bottom"/>
            <w:gridSpan w:val="2"/>
            <w:vMerge w:val="continue"/>
          </w:tcPr>
          <w:p>
            <w:pPr>
              <w:spacing w:after="0"/>
              <w:rPr>
                <w:sz w:val="14"/>
                <w:szCs w:val="14"/>
                <w:color w:val="auto"/>
              </w:rPr>
            </w:pPr>
          </w:p>
        </w:tc>
        <w:tc>
          <w:tcPr>
            <w:tcW w:w="1960" w:type="dxa"/>
            <w:vAlign w:val="bottom"/>
            <w:gridSpan w:val="5"/>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$110,777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w w:val="91"/>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$110,777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 revenue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revenue</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110,777</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1,449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color w:val="auto"/>
              </w:rPr>
              <w:t>112,226</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72,377</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6,841</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7,462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88,488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619</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1,189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23,862</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1,244</w:t>
            </w: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4,895</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8,938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96,239</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8,085</w:t>
            </w: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23,103</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127,427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income (loss)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14,538</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(6,636)</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(23,103)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color w:val="auto"/>
              </w:rPr>
              <w:t>(15,201)</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2,073</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(3,031)</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20,882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20,882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330</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w:t>
            </w: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(108)</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34,770</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(6,455)</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(23,211)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color w:val="auto"/>
              </w:rPr>
              <w:t>5,104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609</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18,999</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35,379</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(6,455)</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(4,212)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color w:val="auto"/>
              </w:rPr>
              <w:t>24,712</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35,387</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(6,455)</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24,720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$0.24</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K</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K</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K  </w:t>
            </w:r>
            <w:r>
              <w:rPr>
                <w:rFonts w:ascii="Times New Roman" w:cs="Times New Roman" w:eastAsia="Times New Roman" w:hAnsi="Times New Roman"/>
                <w:sz w:val="16"/>
                <w:szCs w:val="16"/>
                <w:color w:val="auto"/>
              </w:rPr>
              <w:t>151,482,194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K  </w:t>
            </w:r>
            <w:r>
              <w:rPr>
                <w:rFonts w:ascii="Times New Roman" w:cs="Times New Roman" w:eastAsia="Times New Roman" w:hAnsi="Times New Roman"/>
                <w:sz w:val="16"/>
                <w:szCs w:val="16"/>
                <w:color w:val="auto"/>
              </w:rPr>
              <w:t>152,282,286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80" w:type="dxa"/>
            <w:vAlign w:val="bottom"/>
            <w:gridSpan w:val="6"/>
          </w:tcPr>
          <w:p>
            <w:pPr>
              <w:ind w:left="200"/>
              <w:spacing w:after="0"/>
              <w:rPr>
                <w:sz w:val="20"/>
                <w:szCs w:val="20"/>
                <w:color w:val="auto"/>
              </w:rPr>
            </w:pPr>
            <w:r>
              <w:rPr>
                <w:rFonts w:ascii="Times New Roman" w:cs="Times New Roman" w:eastAsia="Times New Roman" w:hAnsi="Times New Roman"/>
                <w:sz w:val="16"/>
                <w:szCs w:val="16"/>
                <w:color w:val="auto"/>
              </w:rPr>
              <w:t>F-105</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9" w:right="1119" w:bottom="1440" w:gutter="0" w:footer="0" w:header="0"/>
        </w:sectPr>
      </w:pPr>
    </w:p>
    <w:bookmarkStart w:id="249" w:name="page250"/>
    <w:bookmarkEnd w:id="24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Statements of Operations</w:t>
      </w:r>
    </w:p>
    <w:p>
      <w:pPr>
        <w:spacing w:after="0" w:line="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For the period ended September 30, 2023</w:t>
      </w:r>
    </w:p>
    <w:p>
      <w:pPr>
        <w:spacing w:after="0" w:line="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4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Selecta</w:t>
            </w:r>
          </w:p>
        </w:tc>
        <w:tc>
          <w:tcPr>
            <w:tcW w:w="114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84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6"/>
            <w:vMerge w:val="restart"/>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40" w:type="dxa"/>
            <w:vAlign w:val="bottom"/>
            <w:gridSpan w:val="6"/>
            <w:vMerge w:val="continue"/>
          </w:tcPr>
          <w:p>
            <w:pPr>
              <w:spacing w:after="0"/>
              <w:rPr>
                <w:sz w:val="11"/>
                <w:szCs w:val="11"/>
                <w:color w:val="auto"/>
              </w:rPr>
            </w:pPr>
          </w:p>
        </w:tc>
        <w:tc>
          <w:tcPr>
            <w:tcW w:w="1140" w:type="dxa"/>
            <w:vAlign w:val="bottom"/>
            <w:gridSpan w:val="6"/>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840" w:type="dxa"/>
            <w:vAlign w:val="bottom"/>
            <w:gridSpan w:val="5"/>
            <w:vMerge w:val="continue"/>
          </w:tcPr>
          <w:p>
            <w:pPr>
              <w:spacing w:after="0"/>
              <w:rPr>
                <w:sz w:val="11"/>
                <w:szCs w:val="11"/>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40" w:type="dxa"/>
            <w:vAlign w:val="bottom"/>
          </w:tcPr>
          <w:p>
            <w:pPr>
              <w:spacing w:after="0"/>
              <w:rPr>
                <w:sz w:val="11"/>
                <w:szCs w:val="11"/>
                <w:color w:val="auto"/>
              </w:rPr>
            </w:pPr>
          </w:p>
        </w:tc>
        <w:tc>
          <w:tcPr>
            <w:tcW w:w="1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14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$17,738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1"/>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1"/>
              </w:rPr>
              <w:t>$—</w:t>
            </w:r>
          </w:p>
        </w:tc>
        <w:tc>
          <w:tcPr>
            <w:tcW w:w="3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49,408</w:t>
            </w:r>
          </w:p>
        </w:tc>
        <w:tc>
          <w:tcPr>
            <w:tcW w:w="11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6,965</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60" w:type="dxa"/>
            <w:vAlign w:val="bottom"/>
            <w:gridSpan w:val="2"/>
          </w:tcPr>
          <w:p>
            <w:pPr>
              <w:spacing w:after="0"/>
              <w:rPr>
                <w:sz w:val="18"/>
                <w:szCs w:val="18"/>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w w:val="95"/>
              </w:rPr>
              <w:t>18,414</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1,286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19,700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60" w:type="dxa"/>
            <w:vAlign w:val="bottom"/>
            <w:gridSpan w:val="2"/>
            <w:shd w:val="clear" w:color="auto" w:fill="CCEEFF"/>
          </w:tcPr>
          <w:p>
            <w:pPr>
              <w:spacing w:after="0"/>
              <w:rPr>
                <w:sz w:val="20"/>
                <w:szCs w:val="20"/>
                <w:color w:val="auto"/>
              </w:rPr>
            </w:pPr>
          </w:p>
        </w:tc>
        <w:tc>
          <w:tcPr>
            <w:tcW w:w="5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5"/>
              </w:rPr>
              <w:t>67,822</w:t>
            </w:r>
          </w:p>
        </w:tc>
        <w:tc>
          <w:tcPr>
            <w:tcW w:w="11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8,251</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shd w:val="clear" w:color="auto" w:fill="CCEEFF"/>
          </w:tcPr>
          <w:p>
            <w:pPr>
              <w:spacing w:after="0"/>
              <w:rPr>
                <w:sz w:val="20"/>
                <w:szCs w:val="20"/>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loss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(50,084)</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(8,251)</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tcPr>
          <w:p>
            <w:pPr>
              <w:spacing w:after="0"/>
              <w:rPr>
                <w:sz w:val="19"/>
                <w:szCs w:val="19"/>
                <w:color w:val="auto"/>
              </w:rPr>
            </w:pPr>
          </w:p>
        </w:tc>
        <w:tc>
          <w:tcPr>
            <w:tcW w:w="210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(59,019)</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4,024</w:t>
            </w:r>
          </w:p>
        </w:tc>
        <w:tc>
          <w:tcPr>
            <w:tcW w:w="11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(2,833)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6,049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660" w:type="dxa"/>
            <w:vAlign w:val="bottom"/>
            <w:gridSpan w:val="3"/>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1"/>
              </w:rPr>
              <w:t>753</w:t>
            </w:r>
          </w:p>
        </w:tc>
        <w:tc>
          <w:tcPr>
            <w:tcW w:w="11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176</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108</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(42,052)</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(576)</w:t>
            </w:r>
          </w:p>
        </w:tc>
        <w:tc>
          <w:tcPr>
            <w:tcW w:w="320" w:type="dxa"/>
            <w:vAlign w:val="bottom"/>
          </w:tcPr>
          <w:p>
            <w:pPr>
              <w:spacing w:after="0"/>
              <w:rPr>
                <w:sz w:val="19"/>
                <w:szCs w:val="19"/>
                <w:color w:val="auto"/>
              </w:rPr>
            </w:pPr>
          </w:p>
        </w:tc>
        <w:tc>
          <w:tcPr>
            <w:tcW w:w="210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(50,392)</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(42,052)</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(576)</w:t>
            </w:r>
          </w:p>
        </w:tc>
        <w:tc>
          <w:tcPr>
            <w:tcW w:w="320" w:type="dxa"/>
            <w:vAlign w:val="bottom"/>
          </w:tcPr>
          <w:p>
            <w:pPr>
              <w:spacing w:after="0"/>
              <w:rPr>
                <w:sz w:val="19"/>
                <w:szCs w:val="19"/>
                <w:color w:val="auto"/>
              </w:rPr>
            </w:pPr>
          </w:p>
        </w:tc>
        <w:tc>
          <w:tcPr>
            <w:tcW w:w="210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(50,392)</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(69)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740" w:type="dxa"/>
            <w:vAlign w:val="bottom"/>
            <w:gridSpan w:val="4"/>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(42,110)</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(576)</w:t>
            </w:r>
          </w:p>
        </w:tc>
        <w:tc>
          <w:tcPr>
            <w:tcW w:w="320" w:type="dxa"/>
            <w:vAlign w:val="bottom"/>
          </w:tcPr>
          <w:p>
            <w:pPr>
              <w:spacing w:after="0"/>
              <w:rPr>
                <w:sz w:val="18"/>
                <w:szCs w:val="18"/>
                <w:color w:val="auto"/>
              </w:rPr>
            </w:pPr>
          </w:p>
        </w:tc>
        <w:tc>
          <w:tcPr>
            <w:tcW w:w="210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(50,450)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$(0.27)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153,870,912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 K</w:t>
            </w: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160,594,551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153,870,912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 K</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160,594,551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F-106</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250" w:name="page251"/>
    <w:bookmarkEnd w:id="2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NOTES TO UNAUDITED PRO FORMA CONDENSED COMBINED FINANCIAL INFORMATION</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Transaction</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 Transaction</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Merger occurred on November 13, 2023, as a result of which Selecta acquired all of the equity of Old Cartesian. Selecta, as the surviving corporation, was renamed “Cartesian Therapeutics, Inc.” and is trading under the symbol “RNAC” on the Nasdaq Global Market as of November 14, 2023.</w:t>
      </w:r>
    </w:p>
    <w:p>
      <w:pPr>
        <w:spacing w:after="0" w:line="62"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In exchange for the outstanding shares of capital stock of Old Cartesian immediately prior to the effective time of the First Merger, the Company issued to the stockholders of Old Cartesian (A) 6,723,639 shares of Common Stock and (B) 384,930.724 shares of Series A Preferred Stock, each share of which is convertible into 1,000 shares of Common Stock, subject to certain conditions.</w:t>
      </w:r>
    </w:p>
    <w:p>
      <w:pPr>
        <w:spacing w:after="0" w:line="67" w:lineRule="exact"/>
        <w:rPr>
          <w:sz w:val="20"/>
          <w:szCs w:val="20"/>
          <w:color w:val="auto"/>
        </w:rPr>
      </w:pPr>
    </w:p>
    <w:p>
      <w:pPr>
        <w:jc w:val="both"/>
        <w:ind w:left="800" w:right="939"/>
        <w:spacing w:after="0" w:line="272" w:lineRule="auto"/>
        <w:rPr>
          <w:sz w:val="20"/>
          <w:szCs w:val="20"/>
          <w:color w:val="auto"/>
        </w:rPr>
      </w:pPr>
      <w:r>
        <w:rPr>
          <w:rFonts w:ascii="Times New Roman" w:cs="Times New Roman" w:eastAsia="Times New Roman" w:hAnsi="Times New Roman"/>
          <w:sz w:val="15"/>
          <w:szCs w:val="15"/>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and (ii) either or both of</w:t>
      </w:r>
    </w:p>
    <w:p>
      <w:pPr>
        <w:spacing w:after="0" w:line="1" w:lineRule="exact"/>
        <w:rPr>
          <w:sz w:val="20"/>
          <w:szCs w:val="20"/>
          <w:color w:val="auto"/>
        </w:rPr>
      </w:pPr>
    </w:p>
    <w:p>
      <w:pPr>
        <w:ind w:left="800" w:right="979" w:hanging="1"/>
        <w:spacing w:after="0" w:line="249" w:lineRule="auto"/>
        <w:tabs>
          <w:tab w:leader="none" w:pos="105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an amendment to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74"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6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outstanding stock option awards of Old Cartesian were assumed by the Company in connection with the Merger. As a result, the Company issued (i) stock options in respect of 23,306,661 shares of Common Stock and (ii) stock options in respect of 14,112.299 shares of Series A Preferred Stock.</w:t>
      </w:r>
    </w:p>
    <w:p>
      <w:pPr>
        <w:spacing w:after="0" w:line="62" w:lineRule="exact"/>
        <w:rPr>
          <w:sz w:val="20"/>
          <w:szCs w:val="20"/>
          <w:color w:val="auto"/>
        </w:rPr>
      </w:pPr>
    </w:p>
    <w:p>
      <w:pPr>
        <w:ind w:left="800" w:right="859"/>
        <w:spacing w:after="0" w:line="276" w:lineRule="auto"/>
        <w:rPr>
          <w:sz w:val="20"/>
          <w:szCs w:val="20"/>
          <w:color w:val="auto"/>
        </w:rPr>
      </w:pPr>
      <w:r>
        <w:rPr>
          <w:rFonts w:ascii="Times New Roman" w:cs="Times New Roman" w:eastAsia="Times New Roman" w:hAnsi="Times New Roman"/>
          <w:sz w:val="15"/>
          <w:szCs w:val="15"/>
          <w:color w:val="auto"/>
        </w:rPr>
        <w:t>Additionally, Selecta accelerated the vesting of unvested equity compensation awards and settled such awards as follows: (i) each Selecta stock option was canceled and its holder received an amount in cash equal to the product of</w:t>
      </w:r>
    </w:p>
    <w:p>
      <w:pPr>
        <w:ind w:left="800" w:right="879" w:hanging="1"/>
        <w:spacing w:after="0" w:line="249" w:lineRule="auto"/>
        <w:tabs>
          <w:tab w:leader="none" w:pos="1059"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shares of Common Stock subject to the unexercised portion the stock option (determined after giving effect to the accelerated vesting) multiplied by (B) the excess, if any, of the Cash-out Amount over the applicable exercise price per share of Common Stock under such stock option; and (ii) each Selecta restricted stock unit award was cancelled and its holder received an amount in cash equal to the product of (A) the total number of shares of Common Stock deliverable under such restricted stock unit multiplied by (B) the Cash-out Amount. Stock options with an exercise price in excess of the Cash-out Amount received no cash payment. The total cash payment to cancel such equity compensation awards amounted to $9.4 million.</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On November 13, 2023, certain investors entered into the Securities Purchase Agreement with the Company, pursuant to which such investors committed to purchasing Series A Preferred Stock for an aggregate purchase price of $60.25 million.</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Rights Agreement</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On December 6, 2023, as contemplated in the Merger Agreement, the Company entered into the CVR Agreement, pursuant to which each holder of Common Stock as of December 4, 2023 was entitled to one CVR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1" w:name="page252"/>
    <w:bookmarkEnd w:id="2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issued by the Company for each share of Common Stock held by such holder as of December 4, 2023, which CVRs were distributed to such holders on December 13, 2023. Holders of the Selecta Warrants will be entitled to receive, upon exercise of such Selecta Warrant and in accordance with the terms thereof, one CVR per each such share of Common Stock underlying such Selecta Warrant, assuming the same had been exercised on December 4, 2023; except that the holders of the Selecta Warrants issued on April 11, 2022, as required by the terms of such Selecta Warrants, received such CVRs on December 13, 2023, together with the distribution of CVRs made to the holders of Common Stock, even if such Selecta Warrants were not exercised.</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Each CVR represents the contractual right to receive contingent cash payments upon the receipt by the Company of</w:t>
      </w:r>
    </w:p>
    <w:p>
      <w:pPr>
        <w:spacing w:after="0" w:line="35" w:lineRule="exact"/>
        <w:rPr>
          <w:sz w:val="20"/>
          <w:szCs w:val="20"/>
          <w:color w:val="auto"/>
        </w:rPr>
      </w:pPr>
    </w:p>
    <w:p>
      <w:pPr>
        <w:ind w:left="800" w:right="879" w:hanging="1"/>
        <w:spacing w:after="0" w:line="267" w:lineRule="auto"/>
        <w:tabs>
          <w:tab w:leader="none" w:pos="989"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payable by Sobi, if any, pursuant to the Sobi License, upon the achievement by Sobi of certain milestones or on the account of royalties, in each due as set forth in the Sobi License, and (ii) the proceeds from any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 The distributions in respect of the CVRs are subject to certain deductions, including for specified expenses, taxes and obligations of Selecta as of prior to the Merger or in connection with performance of the Company’s obligations under the CVR Agreement. The CVRs do not have any voting or dividend rights and do not represent any equity or ownership interest in the Company.</w:t>
      </w:r>
    </w:p>
    <w:p>
      <w:pPr>
        <w:spacing w:after="0" w:line="6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CVR will be recognized as a distribution to the Selecta stockholders and warrant holders upon the record date for its distribution, which was December 4, 2023, in an amount equal to the fair value of the right conveyed under the CVR.</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Basis for Presentation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unaudited pro forma condensed combined balance sheet as of September 30, 2023, is presented as if the Merger had been completed on September 30, 2023. The unaudited pro forma condensed combined statements of operations for the years ended December 31, 2022, and the nine months ended September 30, 2023, assumes that the Merger occurred on January 1, 2022, and combines the historical results of Selecta and Old Cartesian.</w:t>
      </w:r>
    </w:p>
    <w:p>
      <w:pPr>
        <w:spacing w:after="0" w:line="67"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Merger is accounted for as a business combination under U.S. GAAP because Selecta has obtained control of Old Cartesian as a result of the Merger. As such, for financial reporting purposes, Selecta has been determined to be the accounting acquirer as Old Cartesian is deemed to be a variable interest entity to which Selecta is the primary beneficiary as Selecta has (i) the power to direct the activities that most significantly impact the economic performance of Old Cartesian and (ii) the obligation to absorb losses or the right to receive benefits of Old Cartesian. Under the terms of the Merger: (A) the pre-Merger stockholders of Selecta continue to control the combined company, as the Series A Preferred Stock issued in connection with the Merger and Financing are non-voting shares, unless and until there is a stockholder vote which approves the Conversion Proposal, (B) Selecta holds the majority of Board seats of the combined company, and (C) Selecta’s management holds all key positions in the management of the combined company.</w:t>
      </w:r>
    </w:p>
    <w:p>
      <w:pPr>
        <w:spacing w:after="0" w:line="71" w:lineRule="exact"/>
        <w:rPr>
          <w:sz w:val="20"/>
          <w:szCs w:val="20"/>
          <w:color w:val="auto"/>
        </w:rPr>
      </w:pPr>
    </w:p>
    <w:p>
      <w:pPr>
        <w:jc w:val="both"/>
        <w:ind w:left="800" w:right="1079"/>
        <w:spacing w:after="0" w:line="262" w:lineRule="auto"/>
        <w:rPr>
          <w:sz w:val="20"/>
          <w:szCs w:val="20"/>
          <w:color w:val="auto"/>
        </w:rPr>
      </w:pPr>
      <w:r>
        <w:rPr>
          <w:rFonts w:ascii="Times New Roman" w:cs="Times New Roman" w:eastAsia="Times New Roman" w:hAnsi="Times New Roman"/>
          <w:sz w:val="16"/>
          <w:szCs w:val="16"/>
          <w:color w:val="auto"/>
        </w:rPr>
        <w:t>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2" w:name="page253"/>
    <w:bookmarkEnd w:id="2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Purchase Price Allocation</w:t>
      </w:r>
    </w:p>
    <w:p>
      <w:pPr>
        <w:spacing w:after="0" w:line="103"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The net purchase price of Old Cartesian was approximately $168.5 million and was funded by the issuance of Common Stock, Series A Preferred Stock and the exchange of stock options of Old Cartesian for stock options of the Company. The total purchase price has been allocated to Old Cartesian’s tangible assets, identifiable intangible assets and assumed liabilities based on their estimated fair values as of November 13, 2023. The excess of the purchase price over the tangible assets, identifiable intangible assets and assumed liabilities will be recorded as goodwill. The Company’s estimates and assumptions in determining the estimated fair values of certain assets and liabilities are preliminary and are subject to change. The total estimated purchase price was allocated as follows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0"/>
              </w:rPr>
              <w:t>Amounts</w:t>
            </w:r>
          </w:p>
        </w:tc>
      </w:tr>
      <w:tr>
        <w:trPr>
          <w:trHeight w:val="21"/>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60" w:type="dxa"/>
            <w:vAlign w:val="bottom"/>
          </w:tcPr>
          <w:p>
            <w:pPr>
              <w:spacing w:after="0"/>
              <w:rPr>
                <w:sz w:val="18"/>
                <w:szCs w:val="18"/>
                <w:color w:val="auto"/>
              </w:rPr>
            </w:pPr>
          </w:p>
        </w:tc>
      </w:tr>
      <w:tr>
        <w:trPr>
          <w:trHeight w:val="217"/>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Series A Preferred Stock</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60" w:type="dxa"/>
            <w:vAlign w:val="bottom"/>
            <w:shd w:val="clear" w:color="auto" w:fill="CCEEFF"/>
          </w:tcPr>
          <w:p>
            <w:pPr>
              <w:spacing w:after="0"/>
              <w:rPr>
                <w:sz w:val="18"/>
                <w:szCs w:val="18"/>
                <w:color w:val="auto"/>
              </w:rPr>
            </w:pPr>
          </w:p>
        </w:tc>
      </w:tr>
      <w:tr>
        <w:trPr>
          <w:trHeight w:val="218"/>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Assumption of Cartesian stock options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60" w:type="dxa"/>
            <w:vAlign w:val="bottom"/>
          </w:tcPr>
          <w:p>
            <w:pPr>
              <w:spacing w:after="0"/>
              <w:rPr>
                <w:sz w:val="18"/>
                <w:szCs w:val="18"/>
                <w:color w:val="auto"/>
              </w:rPr>
            </w:pPr>
          </w:p>
        </w:tc>
      </w:tr>
      <w:tr>
        <w:trPr>
          <w:trHeight w:val="26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purchase price</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1"/>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Allocation of the purchase consideration</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Tangible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60" w:type="dxa"/>
            <w:vAlign w:val="bottom"/>
            <w:shd w:val="clear" w:color="auto" w:fill="CCEEFF"/>
          </w:tcPr>
          <w:p>
            <w:pPr>
              <w:spacing w:after="0"/>
              <w:rPr>
                <w:sz w:val="19"/>
                <w:szCs w:val="19"/>
                <w:color w:val="auto"/>
              </w:rPr>
            </w:pPr>
          </w:p>
        </w:tc>
      </w:tr>
      <w:tr>
        <w:trPr>
          <w:trHeight w:val="21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Liabilities assumed</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(3,444)</w:t>
            </w:r>
          </w:p>
        </w:tc>
      </w:tr>
      <w:tr>
        <w:trPr>
          <w:trHeight w:val="217"/>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60" w:type="dxa"/>
            <w:vAlign w:val="bottom"/>
            <w:shd w:val="clear" w:color="auto" w:fill="CCEEFF"/>
          </w:tcPr>
          <w:p>
            <w:pPr>
              <w:spacing w:after="0"/>
              <w:rPr>
                <w:sz w:val="18"/>
                <w:szCs w:val="18"/>
                <w:color w:val="auto"/>
              </w:rPr>
            </w:pPr>
          </w:p>
        </w:tc>
      </w:tr>
      <w:tr>
        <w:trPr>
          <w:trHeight w:val="21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(34,853)</w:t>
            </w:r>
          </w:p>
        </w:tc>
      </w:tr>
      <w:tr>
        <w:trPr>
          <w:trHeight w:val="221"/>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c>
          <w:tcPr>
            <w:tcW w:w="6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preliminary fair value of the intangible assets has been estimated using the income approach in which the after-tax cash flows are discounted to present value. The cash flows are based on estimates used to price the transaction, and the discount rates applied were benchmarked with reference to the implied rate of return from the transaction model as well as the weighted average cost of capital. Based on the preliminary valuation, the acquired intangible assets are comprised of in-process research and development associated with Descartes-08 for myasthenia gravis and Descartes-08 for systemic lupus erythematosus development programs. These preliminary estimates of fair value may vary materially from the final acquisition accounting, and the difference could have a material impact on the accompanying unaudited pro forma condensed combined financial statements.</w:t>
      </w:r>
    </w:p>
    <w:p>
      <w:pPr>
        <w:spacing w:after="0" w:line="7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After allocation of the preliminary purchase price to the estimated fair values of acquired assets and liabilities as of November 13, 2023, goodwill is approximately $48.1 million. The factors contributing to the recognition of the amount of goodwill are primarily attributable to the value of the assembled workforce and deferred tax liabilities associated with the transaction.</w:t>
      </w:r>
    </w:p>
    <w:p>
      <w:pPr>
        <w:spacing w:after="0" w:line="1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4. Pro Forma Adjustments</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pro forma adjustments were based on the preliminary information available at the time of the preparation of the unaudited pro forma condensed combined financial information. The unaudited pro forma condensed combined financial information, including the notes thereto, are qualified in their entirety by reference to, and should be read in conjunction with, the separate historical audited financial statements of Selecta and Old Cartesian for the years ended December 31, 2022, and 2021 and for the nine months ended September 30, 2023.</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 Transaction Adjustments</w:t>
      </w:r>
    </w:p>
    <w:p>
      <w:pPr>
        <w:spacing w:after="0" w:line="103" w:lineRule="exact"/>
        <w:rPr>
          <w:sz w:val="20"/>
          <w:szCs w:val="20"/>
          <w:color w:val="auto"/>
        </w:rPr>
      </w:pPr>
    </w:p>
    <w:p>
      <w:pPr>
        <w:ind w:left="1100" w:hanging="301"/>
        <w:spacing w:after="0"/>
        <w:tabs>
          <w:tab w:leader="none" w:pos="11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accrue additional $4.9 million of transaction costs incurred by Selecta subsequent to September 30, 2023.</w:t>
      </w:r>
    </w:p>
    <w:p>
      <w:pPr>
        <w:spacing w:after="0" w:line="101" w:lineRule="exact"/>
        <w:rPr>
          <w:sz w:val="20"/>
          <w:szCs w:val="20"/>
          <w:color w:val="auto"/>
        </w:rPr>
      </w:pPr>
    </w:p>
    <w:p>
      <w:pPr>
        <w:ind w:left="1100" w:hanging="301"/>
        <w:spacing w:after="0"/>
        <w:tabs>
          <w:tab w:leader="none" w:pos="11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total research and development expense of $7.5 million and general and administrative expense of</w:t>
      </w:r>
    </w:p>
    <w:p>
      <w:pPr>
        <w:spacing w:after="0" w:line="23" w:lineRule="exact"/>
        <w:rPr>
          <w:rFonts w:ascii="Times New Roman" w:cs="Times New Roman" w:eastAsia="Times New Roman" w:hAnsi="Times New Roman"/>
          <w:sz w:val="16"/>
          <w:szCs w:val="16"/>
          <w:color w:val="auto"/>
        </w:rPr>
      </w:pPr>
    </w:p>
    <w:p>
      <w:pPr>
        <w:ind w:left="1100" w:right="819"/>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$8.9 million associated with the modification of Selecta stock options and restricted stock units to accelerate the vesting of all awards upon the Merger and the cash settlement of certain awards.</w:t>
      </w:r>
    </w:p>
    <w:p>
      <w:pPr>
        <w:spacing w:after="0" w:line="67" w:lineRule="exact"/>
        <w:rPr>
          <w:rFonts w:ascii="Times New Roman" w:cs="Times New Roman" w:eastAsia="Times New Roman" w:hAnsi="Times New Roman"/>
          <w:sz w:val="16"/>
          <w:szCs w:val="16"/>
          <w:color w:val="auto"/>
        </w:rPr>
      </w:pPr>
    </w:p>
    <w:p>
      <w:pPr>
        <w:ind w:left="1120" w:right="1439"/>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modification resulted in full recognition of unrecognized compensation of $13.1 million of which $5.9 million and $7.2 million was classified as research and development expense and general and administrative expense, respectively.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3" w:name="page254"/>
    <w:bookmarkEnd w:id="253"/>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60" w:right="1160"/>
        <w:spacing w:after="0" w:line="252" w:lineRule="auto"/>
        <w:rPr>
          <w:sz w:val="20"/>
          <w:szCs w:val="20"/>
          <w:color w:val="auto"/>
        </w:rPr>
      </w:pPr>
      <w:r>
        <w:rPr>
          <w:rFonts w:ascii="Times New Roman" w:cs="Times New Roman" w:eastAsia="Times New Roman" w:hAnsi="Times New Roman"/>
          <w:sz w:val="16"/>
          <w:szCs w:val="16"/>
          <w:color w:val="auto"/>
        </w:rPr>
        <w:t>In addition, with the exception of any options with an exercise price greater than $2.06 per share, all awards were settled in cash for an amount equal to $2.06 less any exercise price associated with the awards. The total cash payment made to the holders of stock options and restricted stock units was $9.4 million. The fair value of the awards prior to the settlement was recorded to additional paid in capital in an amount of $6.2 million and the amount in excess of fair value was recognized as additional compensation expense in an amount of</w:t>
      </w:r>
    </w:p>
    <w:p>
      <w:pPr>
        <w:spacing w:after="0" w:line="1" w:lineRule="exact"/>
        <w:rPr>
          <w:sz w:val="20"/>
          <w:szCs w:val="20"/>
          <w:color w:val="auto"/>
        </w:rPr>
      </w:pPr>
    </w:p>
    <w:p>
      <w:pPr>
        <w:ind w:left="1460" w:right="1320"/>
        <w:spacing w:after="0" w:line="255" w:lineRule="auto"/>
        <w:rPr>
          <w:sz w:val="20"/>
          <w:szCs w:val="20"/>
          <w:color w:val="auto"/>
        </w:rPr>
      </w:pPr>
      <w:r>
        <w:rPr>
          <w:rFonts w:ascii="Times New Roman" w:cs="Times New Roman" w:eastAsia="Times New Roman" w:hAnsi="Times New Roman"/>
          <w:sz w:val="16"/>
          <w:szCs w:val="16"/>
          <w:color w:val="auto"/>
        </w:rPr>
        <w:t>$3.3 million, of which $1.6 million and $1.7 million was classified as research and development expense and general and administrative expense, respectively.</w:t>
      </w:r>
    </w:p>
    <w:p>
      <w:pPr>
        <w:spacing w:after="0" w:line="67" w:lineRule="exact"/>
        <w:rPr>
          <w:sz w:val="20"/>
          <w:szCs w:val="20"/>
          <w:color w:val="auto"/>
        </w:rPr>
      </w:pPr>
    </w:p>
    <w:p>
      <w:pPr>
        <w:ind w:left="1440" w:right="1200" w:hanging="301"/>
        <w:spacing w:after="0" w:line="252" w:lineRule="auto"/>
        <w:tabs>
          <w:tab w:leader="none" w:pos="14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in-license agreement held by Old Cartesian included a payment to the licensor that is contingent upon certain corporate transactions. In connection with the Merger, a payment in the amount of $0.6 million was due to the licensor and fully accrued as of September 30, 2023. The Company accounted for the obligation as a derivative which was remeasured at fair value at the end of each reporting period. The expense related to the remeasurement of the contingent liability which is recorded in other income, net for the nine months ended September 30, 2023 ($0.1 million) was removed. The expense has been reflected in the year ended December 31, 2022, as the Merger is assumed to have occurred on January 1, 2022, for pro forma purposes.</w:t>
      </w:r>
    </w:p>
    <w:p>
      <w:pPr>
        <w:spacing w:after="0" w:line="73" w:lineRule="exact"/>
        <w:rPr>
          <w:sz w:val="20"/>
          <w:szCs w:val="20"/>
          <w:color w:val="auto"/>
        </w:rPr>
      </w:pPr>
    </w:p>
    <w:p>
      <w:pPr>
        <w:ind w:left="1440" w:right="1260" w:hanging="301"/>
        <w:spacing w:after="0" w:line="255" w:lineRule="auto"/>
        <w:tabs>
          <w:tab w:leader="none" w:pos="144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Merger, one Old Cartesian employee had a pre-existing provision in the employee’s stock option agreement, which provided for an acceleration of vesting upon a change in control, which was triggered as a result of the Merger. The additional expense of $0.6 million will be included in Old Cartesian’s pre-acquisition net loss, upon the Merger. This amount is included as a pro forma adjustment as the expense is not included in the historical financial statements presented.</w:t>
      </w:r>
    </w:p>
    <w:p>
      <w:pPr>
        <w:spacing w:after="0" w:line="68" w:lineRule="exact"/>
        <w:rPr>
          <w:sz w:val="20"/>
          <w:szCs w:val="20"/>
          <w:color w:val="auto"/>
        </w:rPr>
      </w:pPr>
    </w:p>
    <w:p>
      <w:pPr>
        <w:ind w:left="1440" w:right="1140" w:hanging="301"/>
        <w:spacing w:after="0" w:line="255" w:lineRule="auto"/>
        <w:tabs>
          <w:tab w:leader="none" w:pos="144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record stock compensation expense for the assumed unvested stock option awards (valued at approximately $2.6 million) that is to be recorded prospectively over the remaining service period of the awards. Total expense of $1.2 million and $0.7 million was classified as research and development expense during the year ended December 31, 2022 and the nine months ended September 30, 2023, respectively. There are no awards related to general and administrative activities.</w:t>
      </w:r>
    </w:p>
    <w:p>
      <w:pPr>
        <w:spacing w:after="0" w:line="68" w:lineRule="exact"/>
        <w:rPr>
          <w:sz w:val="20"/>
          <w:szCs w:val="20"/>
          <w:color w:val="auto"/>
        </w:rPr>
      </w:pPr>
    </w:p>
    <w:p>
      <w:pPr>
        <w:ind w:left="1440" w:hanging="301"/>
        <w:spacing w:after="0"/>
        <w:tabs>
          <w:tab w:leader="none" w:pos="14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record purchase consideration and acquired intangible assets, goodwill and deferred tax liabilities.</w:t>
      </w:r>
    </w:p>
    <w:p>
      <w:pPr>
        <w:spacing w:after="0" w:line="101" w:lineRule="exact"/>
        <w:rPr>
          <w:sz w:val="20"/>
          <w:szCs w:val="20"/>
          <w:color w:val="auto"/>
        </w:rPr>
      </w:pPr>
    </w:p>
    <w:p>
      <w:pPr>
        <w:ind w:left="1440" w:right="1520" w:hanging="301"/>
        <w:spacing w:after="0" w:line="277" w:lineRule="auto"/>
        <w:tabs>
          <w:tab w:leader="none" w:pos="144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the $60.25 million Financing associated with the issuance of Series A Preferred Stock under the Securities Purchase Agreement.</w:t>
      </w:r>
    </w:p>
    <w:p>
      <w:pPr>
        <w:spacing w:after="0" w:line="50" w:lineRule="exact"/>
        <w:rPr>
          <w:sz w:val="20"/>
          <w:szCs w:val="20"/>
          <w:color w:val="auto"/>
        </w:rPr>
      </w:pPr>
    </w:p>
    <w:p>
      <w:pPr>
        <w:ind w:left="1440" w:right="1180" w:hanging="301"/>
        <w:spacing w:after="0" w:line="251" w:lineRule="auto"/>
        <w:tabs>
          <w:tab w:leader="none" w:pos="14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Merger, the Company entered into the CVR Agreement to distribute the rights to future cash flows associated with certain licensed products and other assets to its stockholders. One CVR was distributed with respect to each share of Common Stock outstanding as of December 4, 2023 and each share of Common Stock underlying the Selecta Warrants issued on April 11, 2022. Further, one CVR will be distributed in respect of each share of Common Stock underlying the other Selecta Warrants, in each case if and to the extent each such Selecta Warrant is exercised in the future in accordance with its own terms. Each CVR was valued at $1.83 per Common Stock equivalent. The aggregate fair value of the CVR obligation on November 13, 2023 (the date that the CVR dividend was declared) was $340.3 million, which is recognized as a liability with the dividend recognized to additional paid in capital.</w:t>
      </w:r>
    </w:p>
    <w:p>
      <w:pPr>
        <w:spacing w:after="0" w:line="73" w:lineRule="exact"/>
        <w:rPr>
          <w:sz w:val="20"/>
          <w:szCs w:val="20"/>
          <w:color w:val="auto"/>
        </w:rPr>
      </w:pPr>
    </w:p>
    <w:p>
      <w:pPr>
        <w:ind w:left="1440" w:hanging="301"/>
        <w:spacing w:after="0"/>
        <w:tabs>
          <w:tab w:leader="none" w:pos="14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eliminate the historical equity of Cartesian Therapeutics, Inc. (Old Cartesian).</w:t>
      </w:r>
    </w:p>
    <w:p>
      <w:pPr>
        <w:spacing w:after="0" w:line="101" w:lineRule="exact"/>
        <w:rPr>
          <w:sz w:val="20"/>
          <w:szCs w:val="20"/>
          <w:color w:val="auto"/>
        </w:rPr>
      </w:pPr>
    </w:p>
    <w:p>
      <w:pPr>
        <w:ind w:left="1440" w:right="1480" w:hanging="301"/>
        <w:spacing w:after="0" w:line="277" w:lineRule="auto"/>
        <w:tabs>
          <w:tab w:leader="none" w:pos="144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recognize the tax benefit associated with the deferred tax liability recorded as part of the purchase price allocation.</w:t>
      </w:r>
    </w:p>
    <w:p>
      <w:pPr>
        <w:spacing w:after="0" w:line="50" w:lineRule="exact"/>
        <w:rPr>
          <w:sz w:val="20"/>
          <w:szCs w:val="20"/>
          <w:color w:val="auto"/>
        </w:rPr>
      </w:pPr>
    </w:p>
    <w:p>
      <w:pPr>
        <w:ind w:left="1440" w:right="1140" w:hanging="301"/>
        <w:spacing w:after="0" w:line="253" w:lineRule="auto"/>
        <w:tabs>
          <w:tab w:leader="none" w:pos="14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A Preferred Stock and the Selecta Warrants issued on April 11, 2022 are considered participating securities and therefore the Company follows the two-class method when computing pro forma net loss (income) per share. During periods of net loss, there is no allocation of undistributed earnings required under the two-class method since the participating securities do not have a contractual obligation to fund the losses of the Company. The following represents the pro forma calculation of basic EPS for the year ended December 31,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460" w:type="dxa"/>
            <w:vAlign w:val="bottom"/>
          </w:tcPr>
          <w:p>
            <w:pPr>
              <w:spacing w:after="0"/>
              <w:rPr>
                <w:sz w:val="24"/>
                <w:szCs w:val="2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24,712</w:t>
            </w:r>
          </w:p>
        </w:tc>
        <w:tc>
          <w:tcPr>
            <w:tcW w:w="120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Less: CVR distribution to participating securities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46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allocable to shares of common stock, basic</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10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Net loss per share, basic</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60" w:type="dxa"/>
            <w:vAlign w:val="bottom"/>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151,482,194</w:t>
            </w:r>
          </w:p>
        </w:tc>
        <w:tc>
          <w:tcPr>
            <w:tcW w:w="120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1460" w:type="dxa"/>
            <w:vAlign w:val="bottom"/>
          </w:tcPr>
          <w:p>
            <w:pPr>
              <w:spacing w:after="0"/>
              <w:rPr>
                <w:sz w:val="24"/>
                <w:szCs w:val="24"/>
                <w:color w:val="auto"/>
              </w:rPr>
            </w:pPr>
          </w:p>
        </w:tc>
        <w:tc>
          <w:tcPr>
            <w:tcW w:w="5640" w:type="dxa"/>
            <w:vAlign w:val="bottom"/>
            <w:tcBorders>
              <w:top w:val="single" w:sz="8" w:color="CCEEFF"/>
            </w:tcBorders>
          </w:tcPr>
          <w:p>
            <w:pPr>
              <w:ind w:left="3200"/>
              <w:spacing w:after="0"/>
              <w:rPr>
                <w:sz w:val="20"/>
                <w:szCs w:val="20"/>
                <w:color w:val="auto"/>
              </w:rPr>
            </w:pPr>
            <w:r>
              <w:rPr>
                <w:rFonts w:ascii="Times New Roman" w:cs="Times New Roman" w:eastAsia="Times New Roman" w:hAnsi="Times New Roman"/>
                <w:sz w:val="16"/>
                <w:szCs w:val="16"/>
                <w:color w:val="auto"/>
              </w:rPr>
              <w:t>F-110</w:t>
            </w: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6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254" w:name="page255"/>
    <w:bookmarkEnd w:id="25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60" w:right="1320"/>
        <w:spacing w:after="0" w:line="280" w:lineRule="auto"/>
        <w:rPr>
          <w:sz w:val="20"/>
          <w:szCs w:val="20"/>
          <w:color w:val="auto"/>
        </w:rPr>
      </w:pPr>
      <w:r>
        <w:rPr>
          <w:rFonts w:ascii="Times New Roman" w:cs="Times New Roman" w:eastAsia="Times New Roman" w:hAnsi="Times New Roman"/>
          <w:sz w:val="15"/>
          <w:szCs w:val="15"/>
          <w:color w:val="auto"/>
        </w:rPr>
        <w:t>The CVR distribution to participating securities represents the amount of the CVR distribution attributable to the Selecta Warrants issued on April 11, 2022 which participated in that distribution. The Series A Preferred Stock did not participate in the CVR distribution. During the nine months ended September 30, 2023, there were no adjustments to net loss to determine net loss allocable to shares of Common Stock, basic.</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following represents the pro forma calculation of diluted earnings per share for the year ended</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6" w:lineRule="exact"/>
        <w:rPr>
          <w:sz w:val="20"/>
          <w:szCs w:val="20"/>
          <w:color w:val="auto"/>
        </w:rPr>
      </w:pPr>
    </w:p>
    <w:tbl>
      <w:tblPr>
        <w:tblLayout w:type="fixed"/>
        <w:tblInd w:w="1460" w:type="dxa"/>
        <w:tblCellMar>
          <w:top w:w="0" w:type="dxa"/>
          <w:left w:w="0" w:type="dxa"/>
          <w:bottom w:w="0" w:type="dxa"/>
          <w:right w:w="0" w:type="dxa"/>
        </w:tblCellMar>
      </w:tblPr>
      <w:tr>
        <w:trPr>
          <w:trHeight w:val="29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allocable to shares of common stock, basic</w:t>
            </w: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Less: change in fair value of dilutive warrants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(21,029)</w:t>
            </w:r>
          </w:p>
        </w:tc>
      </w:tr>
      <w:tr>
        <w:trPr>
          <w:trHeight w:val="27"/>
        </w:trPr>
        <w:tc>
          <w:tcPr>
            <w:tcW w:w="5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allocable to shares of common stock, diluted</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(33,867)</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diluted</w:t>
            </w: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5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of common stock outstanding, diluted</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152,282,286</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78" w:lineRule="exact"/>
        <w:rPr>
          <w:sz w:val="20"/>
          <w:szCs w:val="20"/>
          <w:color w:val="auto"/>
        </w:rPr>
      </w:pPr>
    </w:p>
    <w:p>
      <w:pPr>
        <w:ind w:left="1460" w:right="1220"/>
        <w:spacing w:after="0" w:line="277" w:lineRule="auto"/>
        <w:rPr>
          <w:sz w:val="20"/>
          <w:szCs w:val="20"/>
          <w:color w:val="auto"/>
        </w:rPr>
      </w:pPr>
      <w:r>
        <w:rPr>
          <w:rFonts w:ascii="Times New Roman" w:cs="Times New Roman" w:eastAsia="Times New Roman" w:hAnsi="Times New Roman"/>
          <w:sz w:val="16"/>
          <w:szCs w:val="16"/>
          <w:color w:val="auto"/>
        </w:rPr>
        <w:t>During the nine months ended September 30, 2023, there were no adjustments to net loss to determine net loss allocable to shares of Common Stock, diluted.</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Potentially dilutive Common Stock equivalents excluded from the computation of diluted net loss per share at</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September 30, 2023 and December 31, 2022, as the effect would have been anti-dilutive,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0" w:type="dxa"/>
            <w:vAlign w:val="bottom"/>
            <w:gridSpan w:val="2"/>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80" w:type="dxa"/>
            <w:vAlign w:val="bottom"/>
            <w:gridSpan w:val="2"/>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31,224,703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22,807,755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issued to Cartesian stockholders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384,930,724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384,930,724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6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issued in Financing</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149,330,115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149,330,115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options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options</w:t>
            </w:r>
          </w:p>
        </w:tc>
        <w:tc>
          <w:tcPr>
            <w:tcW w:w="8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6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602,904,502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594,487,554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0" w:type="dxa"/>
            <w:vAlign w:val="bottom"/>
            <w:vMerge w:val="restart"/>
          </w:tcPr>
          <w:p>
            <w:pPr>
              <w:ind w:left="3200"/>
              <w:spacing w:after="0"/>
              <w:rPr>
                <w:sz w:val="20"/>
                <w:szCs w:val="20"/>
                <w:color w:val="auto"/>
              </w:rPr>
            </w:pPr>
            <w:r>
              <w:rPr>
                <w:rFonts w:ascii="Times New Roman" w:cs="Times New Roman" w:eastAsia="Times New Roman" w:hAnsi="Times New Roman"/>
                <w:sz w:val="16"/>
                <w:szCs w:val="16"/>
                <w:color w:val="auto"/>
              </w:rPr>
              <w:t>F-111</w:t>
            </w:r>
          </w:p>
        </w:tc>
        <w:tc>
          <w:tcPr>
            <w:tcW w:w="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4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60" w:type="dxa"/>
            <w:vAlign w:val="bottom"/>
            <w:tcBorders>
              <w:bottom w:val="single" w:sz="8" w:color="auto"/>
            </w:tcBorders>
          </w:tcPr>
          <w:p>
            <w:pPr>
              <w:spacing w:after="0"/>
              <w:rPr>
                <w:sz w:val="13"/>
                <w:szCs w:val="13"/>
                <w:color w:val="auto"/>
              </w:rPr>
            </w:pPr>
          </w:p>
        </w:tc>
        <w:tc>
          <w:tcPr>
            <w:tcW w:w="4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255" w:name="page256"/>
    <w:bookmarkEnd w:id="2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Board of Directors</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Cartesian Therapeutics, Inc.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704 Quince Orchard Road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Gaithersburg, MD 20878</w:t>
      </w:r>
    </w:p>
    <w:p>
      <w:pPr>
        <w:spacing w:after="0" w:line="3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Opinion</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We have audited the financial statements of Cartesian Therapeutics, Inc. (the Company), which comprise the balance sheets as of December 31, 2022 and 2021, and the related statements of operations and comprehensive loss, preferred stock and stockholders’ deficit, and cash flows for the years then ended, and the related notes to the financial statements.</w:t>
      </w:r>
    </w:p>
    <w:p>
      <w:pPr>
        <w:spacing w:after="0" w:line="67"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In our opinion, the accompanying financial statements present fairly, in all material respects, the financial position of the Company as of December 31, 2022 and 2021, and the results of its operations and its cash flows for the years then ended in accordance with accounting principles generally accepted in the United States of America.</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Responsibilities of Management for the Financial Statements</w:t>
      </w:r>
    </w:p>
    <w:p>
      <w:pPr>
        <w:spacing w:after="0" w:line="105" w:lineRule="exact"/>
        <w:rPr>
          <w:sz w:val="20"/>
          <w:szCs w:val="20"/>
          <w:color w:val="auto"/>
        </w:rPr>
      </w:pPr>
    </w:p>
    <w:p>
      <w:pPr>
        <w:jc w:val="both"/>
        <w:ind w:left="800" w:right="919"/>
        <w:spacing w:after="0" w:line="257" w:lineRule="auto"/>
        <w:rPr>
          <w:sz w:val="20"/>
          <w:szCs w:val="20"/>
          <w:color w:val="auto"/>
        </w:rPr>
      </w:pPr>
      <w:r>
        <w:rPr>
          <w:rFonts w:ascii="Times New Roman" w:cs="Times New Roman" w:eastAsia="Times New Roman" w:hAnsi="Times New Roman"/>
          <w:sz w:val="16"/>
          <w:szCs w:val="16"/>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6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2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Auditor’s Responsibilities for the Audit of the Financial Statements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56" w:name="page257"/>
    <w:bookmarkEnd w:id="25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performing an audit in accordance with GAAS, we:</w:t>
      </w:r>
    </w:p>
    <w:p>
      <w:pPr>
        <w:spacing w:after="0" w:line="101" w:lineRule="exact"/>
        <w:rPr>
          <w:sz w:val="20"/>
          <w:szCs w:val="20"/>
          <w:color w:val="auto"/>
        </w:rPr>
      </w:pPr>
    </w:p>
    <w:p>
      <w:pPr>
        <w:ind w:left="1420" w:hanging="305"/>
        <w:spacing w:after="0"/>
        <w:tabs>
          <w:tab w:leader="none" w:pos="14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professional judgment and maintain professional skepticism throughout the audit.</w:t>
      </w:r>
    </w:p>
    <w:p>
      <w:pPr>
        <w:spacing w:after="0" w:line="101" w:lineRule="exact"/>
        <w:rPr>
          <w:rFonts w:ascii="Times New Roman" w:cs="Times New Roman" w:eastAsia="Times New Roman" w:hAnsi="Times New Roman"/>
          <w:sz w:val="16"/>
          <w:szCs w:val="16"/>
          <w:color w:val="auto"/>
        </w:rPr>
      </w:pPr>
    </w:p>
    <w:p>
      <w:pPr>
        <w:ind w:left="1420" w:right="959" w:hanging="305"/>
        <w:spacing w:after="0" w:line="262" w:lineRule="auto"/>
        <w:tabs>
          <w:tab w:leader="none" w:pos="14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62" w:lineRule="exact"/>
        <w:rPr>
          <w:rFonts w:ascii="Times New Roman" w:cs="Times New Roman" w:eastAsia="Times New Roman" w:hAnsi="Times New Roman"/>
          <w:sz w:val="16"/>
          <w:szCs w:val="16"/>
          <w:color w:val="auto"/>
        </w:rPr>
      </w:pPr>
    </w:p>
    <w:p>
      <w:pPr>
        <w:ind w:left="1420" w:right="899" w:hanging="305"/>
        <w:spacing w:after="0" w:line="262" w:lineRule="auto"/>
        <w:tabs>
          <w:tab w:leader="none" w:pos="14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2" w:lineRule="exact"/>
        <w:rPr>
          <w:rFonts w:ascii="Times New Roman" w:cs="Times New Roman" w:eastAsia="Times New Roman" w:hAnsi="Times New Roman"/>
          <w:sz w:val="16"/>
          <w:szCs w:val="16"/>
          <w:color w:val="auto"/>
        </w:rPr>
      </w:pPr>
    </w:p>
    <w:p>
      <w:pPr>
        <w:ind w:left="1420" w:right="899" w:hanging="305"/>
        <w:spacing w:after="0" w:line="312" w:lineRule="auto"/>
        <w:tabs>
          <w:tab w:leader="none" w:pos="142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appropriateness of accounting policies used and the reasonableness of significant accounting estimates made by management, as well as evaluate the overall presentation of the financial statements.</w:t>
      </w:r>
    </w:p>
    <w:p>
      <w:pPr>
        <w:spacing w:after="0" w:line="26" w:lineRule="exact"/>
        <w:rPr>
          <w:rFonts w:ascii="Times New Roman" w:cs="Times New Roman" w:eastAsia="Times New Roman" w:hAnsi="Times New Roman"/>
          <w:sz w:val="15"/>
          <w:szCs w:val="15"/>
          <w:color w:val="auto"/>
        </w:rPr>
      </w:pPr>
    </w:p>
    <w:p>
      <w:pPr>
        <w:ind w:left="1420" w:right="939" w:hanging="305"/>
        <w:spacing w:after="0" w:line="262" w:lineRule="auto"/>
        <w:tabs>
          <w:tab w:leader="none" w:pos="14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Conclude whether, in our judgment, there are conditions or events, considered in the aggregate, that raise substantial doubt about the Company’s ability to continue as a going concern for a reasonable period of time</w:t>
      </w:r>
    </w:p>
    <w:p>
      <w:pPr>
        <w:spacing w:after="0" w:line="62"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BDO USA, P.C.</w:t>
      </w:r>
    </w:p>
    <w:p>
      <w:pPr>
        <w:spacing w:after="0" w:line="1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Potomac, Maryland</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January 23,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7" w:name="page258"/>
    <w:bookmarkEnd w:id="2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w:t>
            </w:r>
          </w:p>
        </w:tc>
        <w:tc>
          <w:tcPr>
            <w:tcW w:w="280" w:type="dxa"/>
            <w:vAlign w:val="bottom"/>
          </w:tcPr>
          <w:p>
            <w:pPr>
              <w:spacing w:after="0"/>
              <w:rPr>
                <w:sz w:val="12"/>
                <w:szCs w:val="12"/>
                <w:color w:val="auto"/>
              </w:rPr>
            </w:pP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142"/>
              <w:spacing w:after="0" w:line="131" w:lineRule="exact"/>
              <w:rPr>
                <w:sz w:val="20"/>
                <w:szCs w:val="20"/>
                <w:color w:val="auto"/>
              </w:rPr>
            </w:pPr>
            <w:r>
              <w:rPr>
                <w:rFonts w:ascii="Times New Roman" w:cs="Times New Roman" w:eastAsia="Times New Roman" w:hAnsi="Times New Roman"/>
                <w:sz w:val="13"/>
                <w:szCs w:val="13"/>
                <w:b w:val="1"/>
                <w:bCs w:val="1"/>
                <w:color w:val="auto"/>
              </w:rPr>
              <w:t>31,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12,001</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13,405</w:t>
            </w: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8,139</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9,668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deficit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1,638</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net of current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2,518</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2,720</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$0.01 par value, 220 authorized, 219.125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 Preferred Stock; $0.01 par value, 110 authorized, 109.267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B-1 Preferred Stock; $0.01 par value, 77 authorized, 65.017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B-2 Preferred Stock; $0.01 par value, 195 authorized, 193.644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none authorized,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12,144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B-2 Preferred Stock Subscription Receivable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3,200 authorized, 1,240.625 issued and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1,237.625 issued and outstanding as of</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(26,064)</w:t>
            </w:r>
          </w:p>
        </w:tc>
        <w:tc>
          <w:tcPr>
            <w:tcW w:w="10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(19,609)</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$(18,632)</w:t>
            </w:r>
          </w:p>
        </w:tc>
        <w:tc>
          <w:tcPr>
            <w:tcW w:w="10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$(12,965)</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preferred stock and stockholders' deficit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9,668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8" w:name="page259"/>
    <w:bookmarkEnd w:id="2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r>
      <w:tr>
        <w:trPr>
          <w:trHeight w:val="21"/>
        </w:trPr>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$ 1,449</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$ 3,337</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100" w:type="dxa"/>
            <w:vAlign w:val="bottom"/>
            <w:tcBorders>
              <w:left w:val="single" w:sz="8" w:color="CCEEFF"/>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00" w:type="dxa"/>
            <w:vAlign w:val="bottom"/>
            <w:tcBorders>
              <w:left w:val="single" w:sz="8" w:color="CCEEFF"/>
            </w:tcBorders>
            <w:shd w:val="clear" w:color="auto" w:fill="CCEEFF"/>
          </w:tcPr>
          <w:p>
            <w:pPr>
              <w:spacing w:after="0"/>
              <w:rPr>
                <w:sz w:val="19"/>
                <w:szCs w:val="19"/>
                <w:color w:val="auto"/>
              </w:rPr>
            </w:pPr>
          </w:p>
        </w:tc>
      </w:tr>
      <w:tr>
        <w:trPr>
          <w:trHeight w:val="218"/>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8"/>
                <w:szCs w:val="18"/>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2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(6,636)</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(3,759)</w:t>
            </w: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left w:val="single" w:sz="8" w:color="CCEEFF"/>
            </w:tcBorders>
            <w:shd w:val="clear" w:color="auto" w:fill="CCEEFF"/>
          </w:tcPr>
          <w:p>
            <w:pPr>
              <w:spacing w:after="0"/>
              <w:rPr>
                <w:sz w:val="18"/>
                <w:szCs w:val="18"/>
                <w:color w:val="auto"/>
              </w:rPr>
            </w:pPr>
          </w:p>
        </w:tc>
      </w:tr>
      <w:tr>
        <w:trPr>
          <w:trHeight w:val="27"/>
        </w:trPr>
        <w:tc>
          <w:tcPr>
            <w:tcW w:w="5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32"/>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5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20"/>
                <w:szCs w:val="20"/>
                <w:color w:val="auto"/>
              </w:rPr>
            </w:pPr>
          </w:p>
        </w:tc>
      </w:tr>
      <w:tr>
        <w:trPr>
          <w:trHeight w:val="29"/>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(6,455)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(3,640)</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Preferred Stock and Stockholders’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160" w:type="dxa"/>
            <w:vAlign w:val="bottom"/>
          </w:tcPr>
          <w:p>
            <w:pPr>
              <w:spacing w:after="0"/>
              <w:rPr>
                <w:sz w:val="18"/>
                <w:szCs w:val="18"/>
                <w:color w:val="auto"/>
              </w:rPr>
            </w:pPr>
          </w:p>
        </w:tc>
        <w:tc>
          <w:tcPr>
            <w:tcW w:w="740" w:type="dxa"/>
            <w:vAlign w:val="bottom"/>
            <w:gridSpan w:val="3"/>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18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Series B-1</w:t>
            </w:r>
          </w:p>
        </w:tc>
        <w:tc>
          <w:tcPr>
            <w:tcW w:w="14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140" w:type="dxa"/>
            <w:vAlign w:val="bottom"/>
          </w:tcPr>
          <w:p>
            <w:pPr>
              <w:spacing w:after="0"/>
              <w:rPr>
                <w:sz w:val="18"/>
                <w:szCs w:val="18"/>
                <w:color w:val="auto"/>
              </w:rPr>
            </w:pPr>
          </w:p>
        </w:tc>
        <w:tc>
          <w:tcPr>
            <w:tcW w:w="6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880" w:type="dxa"/>
            <w:vAlign w:val="bottom"/>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100" w:type="dxa"/>
            <w:vAlign w:val="bottom"/>
          </w:tcPr>
          <w:p>
            <w:pPr>
              <w:spacing w:after="0"/>
              <w:rPr>
                <w:sz w:val="18"/>
                <w:szCs w:val="18"/>
                <w:color w:val="auto"/>
              </w:rPr>
            </w:pPr>
          </w:p>
        </w:tc>
        <w:tc>
          <w:tcPr>
            <w:tcW w:w="880" w:type="dxa"/>
            <w:vAlign w:val="bottom"/>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60" w:type="dxa"/>
            <w:vAlign w:val="bottom"/>
          </w:tcPr>
          <w:p>
            <w:pPr>
              <w:spacing w:after="0"/>
              <w:rPr>
                <w:sz w:val="10"/>
                <w:szCs w:val="10"/>
                <w:color w:val="auto"/>
              </w:rPr>
            </w:pPr>
          </w:p>
        </w:tc>
        <w:tc>
          <w:tcPr>
            <w:tcW w:w="740" w:type="dxa"/>
            <w:vAlign w:val="bottom"/>
            <w:gridSpan w:val="3"/>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80" w:type="dxa"/>
            <w:vAlign w:val="bottom"/>
          </w:tcPr>
          <w:p>
            <w:pPr>
              <w:spacing w:after="0"/>
              <w:rPr>
                <w:sz w:val="10"/>
                <w:szCs w:val="10"/>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40" w:type="dxa"/>
            <w:vAlign w:val="bottom"/>
          </w:tcPr>
          <w:p>
            <w:pPr>
              <w:spacing w:after="0"/>
              <w:rPr>
                <w:sz w:val="10"/>
                <w:szCs w:val="10"/>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40" w:type="dxa"/>
            <w:vAlign w:val="bottom"/>
          </w:tcPr>
          <w:p>
            <w:pPr>
              <w:spacing w:after="0"/>
              <w:rPr>
                <w:sz w:val="10"/>
                <w:szCs w:val="10"/>
                <w:color w:val="auto"/>
              </w:rPr>
            </w:pPr>
          </w:p>
        </w:tc>
        <w:tc>
          <w:tcPr>
            <w:tcW w:w="6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00" w:type="dxa"/>
            <w:vAlign w:val="bottom"/>
          </w:tcPr>
          <w:p>
            <w:pPr>
              <w:spacing w:after="0"/>
              <w:rPr>
                <w:sz w:val="10"/>
                <w:szCs w:val="10"/>
                <w:color w:val="auto"/>
              </w:rPr>
            </w:pPr>
          </w:p>
        </w:tc>
        <w:tc>
          <w:tcPr>
            <w:tcW w:w="880" w:type="dxa"/>
            <w:vAlign w:val="bottom"/>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80" w:type="dxa"/>
            <w:vAlign w:val="bottom"/>
          </w:tcPr>
          <w:p>
            <w:pPr>
              <w:spacing w:after="0"/>
              <w:rPr>
                <w:sz w:val="10"/>
                <w:szCs w:val="10"/>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60" w:type="dxa"/>
            <w:vAlign w:val="bottom"/>
          </w:tcPr>
          <w:p>
            <w:pPr>
              <w:spacing w:after="0"/>
              <w:rPr>
                <w:sz w:val="10"/>
                <w:szCs w:val="10"/>
                <w:color w:val="auto"/>
              </w:rPr>
            </w:pPr>
          </w:p>
        </w:tc>
        <w:tc>
          <w:tcPr>
            <w:tcW w:w="740" w:type="dxa"/>
            <w:vAlign w:val="bottom"/>
            <w:gridSpan w:val="3"/>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80" w:type="dxa"/>
            <w:vAlign w:val="bottom"/>
          </w:tcPr>
          <w:p>
            <w:pPr>
              <w:spacing w:after="0"/>
              <w:rPr>
                <w:sz w:val="10"/>
                <w:szCs w:val="10"/>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0"/>
                <w:szCs w:val="10"/>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10"/>
                <w:szCs w:val="10"/>
                <w:color w:val="auto"/>
              </w:rPr>
            </w:pP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 w:type="dxa"/>
            <w:vAlign w:val="bottom"/>
          </w:tcPr>
          <w:p>
            <w:pPr>
              <w:spacing w:after="0"/>
              <w:rPr>
                <w:sz w:val="10"/>
                <w:szCs w:val="10"/>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8"/>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59"/>
        </w:trPr>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vMerge w:val="restart"/>
          </w:tcPr>
          <w:p>
            <w:pPr>
              <w:spacing w:after="0"/>
              <w:rPr>
                <w:sz w:val="5"/>
                <w:szCs w:val="5"/>
                <w:color w:val="auto"/>
              </w:rPr>
            </w:pPr>
          </w:p>
        </w:tc>
        <w:tc>
          <w:tcPr>
            <w:tcW w:w="680" w:type="dxa"/>
            <w:vAlign w:val="bottom"/>
            <w:tcBorders>
              <w:right w:val="single" w:sz="8" w:color="auto"/>
            </w:tcBorders>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rPr>
              <w:t>Subscription</w:t>
            </w: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380" w:type="dxa"/>
            <w:vAlign w:val="bottom"/>
            <w:gridSpan w:val="2"/>
            <w:vMerge w:val="restart"/>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vMerge w:val="restart"/>
          </w:tcPr>
          <w:p>
            <w:pPr>
              <w:spacing w:after="0"/>
              <w:rPr>
                <w:sz w:val="5"/>
                <w:szCs w:val="5"/>
                <w:color w:val="auto"/>
              </w:rPr>
            </w:pPr>
          </w:p>
        </w:tc>
        <w:tc>
          <w:tcPr>
            <w:tcW w:w="600" w:type="dxa"/>
            <w:vAlign w:val="bottom"/>
            <w:gridSpan w:val="3"/>
            <w:vMerge w:val="restart"/>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vMerge w:val="restart"/>
          </w:tcPr>
          <w:p>
            <w:pPr>
              <w:spacing w:after="0"/>
              <w:rPr>
                <w:sz w:val="5"/>
                <w:szCs w:val="5"/>
                <w:color w:val="auto"/>
              </w:rPr>
            </w:pPr>
          </w:p>
        </w:tc>
        <w:tc>
          <w:tcPr>
            <w:tcW w:w="600" w:type="dxa"/>
            <w:vAlign w:val="bottom"/>
            <w:gridSpan w:val="3"/>
            <w:vMerge w:val="restart"/>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31"/>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81"/>
              </w:rPr>
              <w:t>Shares</w:t>
            </w:r>
          </w:p>
        </w:tc>
        <w:tc>
          <w:tcPr>
            <w:tcW w:w="220" w:type="dxa"/>
            <w:vAlign w:val="bottom"/>
          </w:tcPr>
          <w:p>
            <w:pPr>
              <w:spacing w:after="0"/>
              <w:rPr>
                <w:sz w:val="2"/>
                <w:szCs w:val="2"/>
                <w:color w:val="auto"/>
              </w:rPr>
            </w:pPr>
          </w:p>
        </w:tc>
        <w:tc>
          <w:tcPr>
            <w:tcW w:w="294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  Shares  Amount  Shares  Amount  Shares  Amount</w:t>
            </w:r>
          </w:p>
        </w:tc>
        <w:tc>
          <w:tcPr>
            <w:tcW w:w="140" w:type="dxa"/>
            <w:vAlign w:val="bottom"/>
            <w:vMerge w:val="continue"/>
          </w:tcPr>
          <w:p>
            <w:pPr>
              <w:spacing w:after="0"/>
              <w:rPr>
                <w:sz w:val="2"/>
                <w:szCs w:val="2"/>
                <w:color w:val="auto"/>
              </w:rPr>
            </w:pPr>
          </w:p>
        </w:tc>
        <w:tc>
          <w:tcPr>
            <w:tcW w:w="680" w:type="dxa"/>
            <w:vAlign w:val="bottom"/>
            <w:tcBorders>
              <w:right w:val="single" w:sz="8" w:color="auto"/>
            </w:tcBorders>
            <w:gridSpan w:val="3"/>
            <w:vMerge w:val="continue"/>
          </w:tcPr>
          <w:p>
            <w:pPr>
              <w:spacing w:after="0"/>
              <w:rPr>
                <w:sz w:val="2"/>
                <w:szCs w:val="2"/>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81"/>
              </w:rPr>
              <w:t>Shares</w:t>
            </w:r>
          </w:p>
        </w:tc>
        <w:tc>
          <w:tcPr>
            <w:tcW w:w="140" w:type="dxa"/>
            <w:vAlign w:val="bottom"/>
          </w:tcPr>
          <w:p>
            <w:pPr>
              <w:spacing w:after="0"/>
              <w:rPr>
                <w:sz w:val="2"/>
                <w:szCs w:val="2"/>
                <w:color w:val="auto"/>
              </w:rPr>
            </w:pPr>
          </w:p>
        </w:tc>
        <w:tc>
          <w:tcPr>
            <w:tcW w:w="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2"/>
                <w:szCs w:val="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2"/>
                <w:szCs w:val="2"/>
                <w:color w:val="auto"/>
              </w:rPr>
            </w:pPr>
          </w:p>
        </w:tc>
        <w:tc>
          <w:tcPr>
            <w:tcW w:w="4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2"/>
                <w:szCs w:val="2"/>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w w:val="87"/>
              </w:rPr>
              <w:t>Shares</w:t>
            </w:r>
          </w:p>
        </w:tc>
        <w:tc>
          <w:tcPr>
            <w:tcW w:w="160" w:type="dxa"/>
            <w:vAlign w:val="bottom"/>
          </w:tcPr>
          <w:p>
            <w:pPr>
              <w:spacing w:after="0"/>
              <w:rPr>
                <w:sz w:val="2"/>
                <w:szCs w:val="2"/>
                <w:color w:val="auto"/>
              </w:rPr>
            </w:pPr>
          </w:p>
        </w:tc>
        <w:tc>
          <w:tcPr>
            <w:tcW w:w="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940" w:type="dxa"/>
            <w:vAlign w:val="bottom"/>
            <w:gridSpan w:val="13"/>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Receivable</w:t>
            </w:r>
          </w:p>
        </w:tc>
        <w:tc>
          <w:tcPr>
            <w:tcW w:w="3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6"/>
              </w:rPr>
              <w:t>169.125</w:t>
            </w:r>
          </w:p>
        </w:tc>
        <w:tc>
          <w:tcPr>
            <w:tcW w:w="140" w:type="dxa"/>
            <w:vAlign w:val="bottom"/>
            <w:tcBorders>
              <w:left w:val="single" w:sz="8" w:color="CCEEFF"/>
            </w:tcBorders>
            <w:shd w:val="clear" w:color="auto" w:fill="CCEEFF"/>
          </w:tcPr>
          <w:p>
            <w:pPr>
              <w:spacing w:after="0"/>
              <w:rPr>
                <w:sz w:val="14"/>
                <w:szCs w:val="14"/>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40" w:type="dxa"/>
            <w:vAlign w:val="bottom"/>
            <w:tcBorders>
              <w:left w:val="single" w:sz="8" w:color="CCEEFF"/>
            </w:tcBorders>
            <w:shd w:val="clear" w:color="auto" w:fill="CCEEFF"/>
          </w:tcPr>
          <w:p>
            <w:pPr>
              <w:spacing w:after="0"/>
              <w:rPr>
                <w:sz w:val="14"/>
                <w:szCs w:val="14"/>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1,287.625</w:t>
            </w:r>
          </w:p>
        </w:tc>
        <w:tc>
          <w:tcPr>
            <w:tcW w:w="160" w:type="dxa"/>
            <w:vAlign w:val="bottom"/>
            <w:tcBorders>
              <w:left w:val="single" w:sz="8" w:color="CCEEFF"/>
            </w:tcBorders>
            <w:shd w:val="clear" w:color="auto" w:fill="CCEEFF"/>
          </w:tcPr>
          <w:p>
            <w:pPr>
              <w:spacing w:after="0"/>
              <w:rPr>
                <w:sz w:val="14"/>
                <w:szCs w:val="14"/>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
                <w:szCs w:val="1"/>
                <w:color w:val="auto"/>
                <w:w w:val="4294967286"/>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20,909</w:t>
            </w: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center"/>
              <w:ind w:left="91"/>
              <w:spacing w:after="0"/>
              <w:rPr>
                <w:sz w:val="20"/>
                <w:szCs w:val="20"/>
                <w:color w:val="auto"/>
              </w:rPr>
            </w:pPr>
            <w:r>
              <w:rPr>
                <w:rFonts w:ascii="Times New Roman" w:cs="Times New Roman" w:eastAsia="Times New Roman" w:hAnsi="Times New Roman"/>
                <w:sz w:val="10"/>
                <w:szCs w:val="10"/>
                <w:color w:val="auto"/>
              </w:rPr>
              <w:t>$ (15,319)</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5,590</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0"/>
                <w:szCs w:val="10"/>
                <w:color w:val="auto"/>
              </w:rPr>
              <w:t>Issuance of Series B-1 Preferred Stock,</w:t>
            </w: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CCEEFF"/>
              <w:right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$16 of issuance costs</w:t>
            </w: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65.017</w:t>
            </w:r>
          </w:p>
        </w:tc>
        <w:tc>
          <w:tcPr>
            <w:tcW w:w="2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4,207</w:t>
            </w: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Exchange of Common Stock to</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tcBorders>
              <w:left w:val="single" w:sz="8" w:color="CCEEFF"/>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tcBorders>
              <w:left w:val="single" w:sz="8" w:color="CCEEFF"/>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tcBorders>
              <w:left w:val="single" w:sz="8" w:color="CCEEFF"/>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tcBorders>
              <w:left w:val="single" w:sz="8" w:color="CCEEFF"/>
              <w:right w:val="single" w:sz="8" w:color="CCEEFF"/>
            </w:tcBorders>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tcBorders>
              <w:left w:val="single" w:sz="8" w:color="CCEEFF"/>
              <w:right w:val="single" w:sz="8" w:color="auto"/>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Series A Preferred Stock</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2,196</w:t>
            </w:r>
          </w:p>
        </w:tc>
        <w:tc>
          <w:tcPr>
            <w:tcW w:w="16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(1,045)</w:t>
            </w:r>
          </w:p>
        </w:tc>
        <w:tc>
          <w:tcPr>
            <w:tcW w:w="14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(500)</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(650)</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(1,150)</w:t>
            </w:r>
          </w:p>
        </w:tc>
        <w:tc>
          <w:tcPr>
            <w:tcW w:w="0" w:type="dxa"/>
            <w:vAlign w:val="bottom"/>
          </w:tcPr>
          <w:p>
            <w:pPr>
              <w:spacing w:after="0"/>
              <w:rPr>
                <w:sz w:val="1"/>
                <w:szCs w:val="1"/>
                <w:color w:val="auto"/>
              </w:rPr>
            </w:pPr>
          </w:p>
        </w:tc>
      </w:tr>
      <w:tr>
        <w:trPr>
          <w:trHeight w:val="116"/>
        </w:trPr>
        <w:tc>
          <w:tcPr>
            <w:tcW w:w="1600" w:type="dxa"/>
            <w:vAlign w:val="bottom"/>
          </w:tcPr>
          <w:p>
            <w:pPr>
              <w:spacing w:after="0"/>
              <w:rPr>
                <w:sz w:val="20"/>
                <w:szCs w:val="20"/>
                <w:color w:val="auto"/>
              </w:rPr>
            </w:pPr>
            <w:r>
              <w:rPr>
                <w:rFonts w:ascii="Times New Roman" w:cs="Times New Roman" w:eastAsia="Times New Roman" w:hAnsi="Times New Roman"/>
                <w:sz w:val="10"/>
                <w:szCs w:val="10"/>
                <w:color w:val="auto"/>
              </w:rPr>
              <w:t>Reclassification of Series A and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Series B Preferred Stock</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169.125</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8"/>
              </w:rPr>
              <w:t>7,427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8"/>
              </w:rPr>
              <w:t>7,128</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1"/>
              </w:rPr>
              <w:t>(169.125)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3"/>
              </w:rPr>
              <w:t>(14,555)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87"/>
              </w:rPr>
              <w:t>(14,555)</w:t>
            </w:r>
          </w:p>
        </w:tc>
        <w:tc>
          <w:tcPr>
            <w:tcW w:w="0" w:type="dxa"/>
            <w:vAlign w:val="bottom"/>
          </w:tcPr>
          <w:p>
            <w:pPr>
              <w:spacing w:after="0"/>
              <w:rPr>
                <w:sz w:val="1"/>
                <w:szCs w:val="1"/>
                <w:color w:val="auto"/>
              </w:rPr>
            </w:pPr>
          </w:p>
        </w:tc>
      </w:tr>
      <w:tr>
        <w:trPr>
          <w:trHeight w:val="163"/>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790</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color w:val="auto"/>
              </w:rPr>
              <w:t>(3,640)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(3,640)</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219.125</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9,623</w:t>
            </w: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7,128</w:t>
            </w:r>
          </w:p>
        </w:tc>
        <w:tc>
          <w:tcPr>
            <w:tcW w:w="4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65.017</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3,162</w:t>
            </w:r>
          </w:p>
        </w:tc>
        <w:tc>
          <w:tcPr>
            <w:tcW w:w="1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1,237.625</w:t>
            </w:r>
          </w:p>
        </w:tc>
        <w:tc>
          <w:tcPr>
            <w:tcW w:w="160" w:type="dxa"/>
            <w:vAlign w:val="bottom"/>
            <w:tcBorders>
              <w:left w:val="single" w:sz="8" w:color="CCEEFF"/>
            </w:tcBorders>
            <w:shd w:val="clear" w:color="auto" w:fill="CCEEFF"/>
          </w:tcPr>
          <w:p>
            <w:pPr>
              <w:spacing w:after="0"/>
              <w:rPr>
                <w:sz w:val="16"/>
                <w:szCs w:val="16"/>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
                <w:szCs w:val="1"/>
                <w:color w:val="auto"/>
                <w:w w:val="4294967286"/>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6,644</w:t>
            </w:r>
          </w:p>
        </w:tc>
        <w:tc>
          <w:tcPr>
            <w:tcW w:w="8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center"/>
              <w:ind w:left="91"/>
              <w:spacing w:after="0"/>
              <w:rPr>
                <w:sz w:val="20"/>
                <w:szCs w:val="20"/>
                <w:color w:val="auto"/>
              </w:rPr>
            </w:pPr>
            <w:r>
              <w:rPr>
                <w:rFonts w:ascii="Times New Roman" w:cs="Times New Roman" w:eastAsia="Times New Roman" w:hAnsi="Times New Roman"/>
                <w:sz w:val="10"/>
                <w:szCs w:val="10"/>
                <w:color w:val="auto"/>
              </w:rPr>
              <w:t>$ (19,609)</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9"/>
              </w:rPr>
              <w:t>(12,965)</w:t>
            </w:r>
          </w:p>
        </w:tc>
        <w:tc>
          <w:tcPr>
            <w:tcW w:w="0" w:type="dxa"/>
            <w:vAlign w:val="bottom"/>
          </w:tcPr>
          <w:p>
            <w:pPr>
              <w:spacing w:after="0"/>
              <w:rPr>
                <w:sz w:val="1"/>
                <w:szCs w:val="1"/>
                <w:color w:val="auto"/>
              </w:rPr>
            </w:pPr>
          </w:p>
        </w:tc>
      </w:tr>
      <w:tr>
        <w:trPr>
          <w:trHeight w:val="140"/>
        </w:trPr>
        <w:tc>
          <w:tcPr>
            <w:tcW w:w="1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0"/>
                <w:szCs w:val="10"/>
                <w:color w:val="auto"/>
              </w:rPr>
              <w:t>Issuance of Series B-2 Preferred Stock,</w:t>
            </w: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CCEEFF"/>
              <w:right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$24 of issuance costs</w:t>
            </w: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193.644</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7"/>
              </w:rPr>
              <w:t>12,144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0"/>
                <w:szCs w:val="10"/>
                <w:color w:val="auto"/>
                <w:w w:val="88"/>
              </w:rPr>
              <w:t>(1,333)</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3"/>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719</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600" w:type="dxa"/>
            <w:vAlign w:val="bottom"/>
          </w:tcPr>
          <w:p>
            <w:pPr>
              <w:spacing w:after="0"/>
              <w:rPr>
                <w:sz w:val="20"/>
                <w:szCs w:val="20"/>
                <w:color w:val="auto"/>
              </w:rPr>
            </w:pPr>
            <w:r>
              <w:rPr>
                <w:rFonts w:ascii="Times New Roman" w:cs="Times New Roman" w:eastAsia="Times New Roman" w:hAnsi="Times New Roman"/>
                <w:sz w:val="10"/>
                <w:szCs w:val="10"/>
                <w:color w:val="auto"/>
              </w:rPr>
              <w:t>Exercise of options to purchase</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common stock</w:t>
            </w: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right w:val="single" w:sz="8" w:color="CCEEFF"/>
            </w:tcBorders>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(6,455)</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(6,455)</w:t>
            </w:r>
          </w:p>
        </w:tc>
        <w:tc>
          <w:tcPr>
            <w:tcW w:w="0" w:type="dxa"/>
            <w:vAlign w:val="bottom"/>
          </w:tcPr>
          <w:p>
            <w:pPr>
              <w:spacing w:after="0"/>
              <w:rPr>
                <w:sz w:val="1"/>
                <w:szCs w:val="1"/>
                <w:color w:val="auto"/>
              </w:rPr>
            </w:pPr>
          </w:p>
        </w:tc>
      </w:tr>
      <w:tr>
        <w:trPr>
          <w:trHeight w:val="33"/>
        </w:trPr>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219.125</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9,623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7,128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65.017</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3,162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193.644</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(1,333)</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1,240.625</w:t>
            </w:r>
          </w:p>
        </w:tc>
        <w:tc>
          <w:tcPr>
            <w:tcW w:w="160" w:type="dxa"/>
            <w:vAlign w:val="bottom"/>
          </w:tcPr>
          <w:p>
            <w:pPr>
              <w:spacing w:after="0"/>
              <w:rPr>
                <w:sz w:val="14"/>
                <w:szCs w:val="14"/>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67286"/>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7,432</w:t>
            </w:r>
          </w:p>
        </w:tc>
        <w:tc>
          <w:tcPr>
            <w:tcW w:w="80" w:type="dxa"/>
            <w:vAlign w:val="bottom"/>
          </w:tcPr>
          <w:p>
            <w:pPr>
              <w:spacing w:after="0"/>
              <w:rPr>
                <w:sz w:val="14"/>
                <w:szCs w:val="14"/>
                <w:color w:val="auto"/>
              </w:rPr>
            </w:pPr>
          </w:p>
        </w:tc>
        <w:tc>
          <w:tcPr>
            <w:tcW w:w="680" w:type="dxa"/>
            <w:vAlign w:val="bottom"/>
            <w:gridSpan w:val="4"/>
          </w:tcPr>
          <w:p>
            <w:pPr>
              <w:jc w:val="center"/>
              <w:ind w:left="91"/>
              <w:spacing w:after="0"/>
              <w:rPr>
                <w:sz w:val="20"/>
                <w:szCs w:val="20"/>
                <w:color w:val="auto"/>
              </w:rPr>
            </w:pPr>
            <w:r>
              <w:rPr>
                <w:rFonts w:ascii="Times New Roman" w:cs="Times New Roman" w:eastAsia="Times New Roman" w:hAnsi="Times New Roman"/>
                <w:sz w:val="10"/>
                <w:szCs w:val="10"/>
                <w:color w:val="auto"/>
              </w:rPr>
              <w:t>$ (26,064)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9"/>
              </w:rPr>
              <w:t>(18,632)</w:t>
            </w: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112395</wp:posOffset>
            </wp:positionV>
            <wp:extent cx="615315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10780"/>
          </w:cols>
          <w:pgMar w:left="600" w:top="248" w:right="519" w:bottom="1440" w:gutter="0" w:footer="0" w:header="0"/>
        </w:sectPr>
      </w:pPr>
    </w:p>
    <w:bookmarkStart w:id="260" w:name="page261"/>
    <w:bookmarkEnd w:id="2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5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60" w:type="dxa"/>
            <w:vAlign w:val="bottom"/>
          </w:tcPr>
          <w:p>
            <w:pPr>
              <w:spacing w:after="0"/>
              <w:rPr>
                <w:sz w:val="13"/>
                <w:szCs w:val="13"/>
                <w:color w:val="auto"/>
              </w:rPr>
            </w:pPr>
          </w:p>
        </w:tc>
      </w:tr>
      <w:tr>
        <w:trPr>
          <w:trHeight w:val="21"/>
        </w:trPr>
        <w:tc>
          <w:tcPr>
            <w:tcW w:w="5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(6,455)</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$(3,640)</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r>
      <w:tr>
        <w:trPr>
          <w:trHeight w:val="217"/>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790</w:t>
            </w:r>
          </w:p>
        </w:tc>
      </w:tr>
      <w:tr>
        <w:trPr>
          <w:trHeight w:val="217"/>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(2,135)</w:t>
            </w:r>
          </w:p>
        </w:tc>
      </w:tr>
      <w:tr>
        <w:trPr>
          <w:trHeight w:val="217"/>
        </w:trPr>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7"/>
        </w:trPr>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18"/>
                <w:szCs w:val="18"/>
                <w:color w:val="auto"/>
              </w:rPr>
            </w:pPr>
          </w:p>
        </w:tc>
      </w:tr>
      <w:tr>
        <w:trPr>
          <w:trHeight w:val="217"/>
        </w:trPr>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NIH liability</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shd w:val="clear" w:color="auto" w:fill="CCEEFF"/>
          </w:tcPr>
          <w:p>
            <w:pPr>
              <w:spacing w:after="0"/>
              <w:rPr>
                <w:sz w:val="18"/>
                <w:szCs w:val="18"/>
                <w:color w:val="auto"/>
              </w:rPr>
            </w:pP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1"/>
        </w:trPr>
        <w:tc>
          <w:tcPr>
            <w:tcW w:w="5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activites</w:t>
            </w: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(3,463)</w:t>
            </w:r>
          </w:p>
        </w:tc>
        <w:tc>
          <w:tcPr>
            <w:tcW w:w="112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w:t>
            </w:r>
          </w:p>
        </w:tc>
      </w:tr>
      <w:tr>
        <w:trPr>
          <w:trHeight w:val="226"/>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2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5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57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Borders>
              <w:right w:val="single" w:sz="8" w:color="CCEEFF"/>
            </w:tcBorders>
            <w:shd w:val="clear" w:color="auto" w:fill="000000"/>
          </w:tcPr>
          <w:p>
            <w:pPr>
              <w:spacing w:after="0"/>
              <w:rPr>
                <w:sz w:val="2"/>
                <w:szCs w:val="2"/>
                <w:color w:val="auto"/>
              </w:rPr>
            </w:pPr>
          </w:p>
        </w:tc>
        <w:tc>
          <w:tcPr>
            <w:tcW w:w="5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41"/>
        </w:trPr>
        <w:tc>
          <w:tcPr>
            <w:tcW w:w="5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right w:val="single" w:sz="8" w:color="CCEEFF"/>
            </w:tcBorders>
            <w:shd w:val="clear" w:color="auto" w:fill="CCEEFF"/>
          </w:tcPr>
          <w:p>
            <w:pPr>
              <w:spacing w:after="0"/>
              <w:rPr>
                <w:sz w:val="20"/>
                <w:szCs w:val="20"/>
                <w:color w:val="auto"/>
              </w:rPr>
            </w:pPr>
          </w:p>
        </w:tc>
        <w:tc>
          <w:tcPr>
            <w:tcW w:w="580" w:type="dxa"/>
            <w:vAlign w:val="bottom"/>
            <w:tcBorders>
              <w:lef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Series B-1 Preferred Stock</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4,207</w:t>
            </w:r>
          </w:p>
        </w:tc>
        <w:tc>
          <w:tcPr>
            <w:tcW w:w="60" w:type="dxa"/>
            <w:vAlign w:val="bottom"/>
          </w:tcPr>
          <w:p>
            <w:pPr>
              <w:spacing w:after="0"/>
              <w:rPr>
                <w:sz w:val="18"/>
                <w:szCs w:val="18"/>
                <w:color w:val="auto"/>
              </w:rPr>
            </w:pP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issuance of Series B-2 Preferred Stock</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10,811</w:t>
            </w:r>
          </w:p>
        </w:tc>
        <w:tc>
          <w:tcPr>
            <w:tcW w:w="5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5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580" w:type="dxa"/>
            <w:vAlign w:val="bottom"/>
            <w:tcBorders>
              <w:left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4,207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2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58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5,329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12,001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4,735</w:t>
            </w:r>
          </w:p>
        </w:tc>
        <w:tc>
          <w:tcPr>
            <w:tcW w:w="6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5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B-2 Preferred Stock subscription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equipment not yet 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Increase in right-of-use asset due to lease modification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tcPr>
          <w:p>
            <w:pPr>
              <w:spacing w:after="0"/>
              <w:rPr>
                <w:sz w:val="18"/>
                <w:szCs w:val="18"/>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lease liability due to lease modification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shd w:val="clear" w:color="auto" w:fill="CCEEFF"/>
          </w:tcPr>
          <w:p>
            <w:pPr>
              <w:spacing w:after="0"/>
              <w:rPr>
                <w:sz w:val="18"/>
                <w:szCs w:val="18"/>
                <w:color w:val="auto"/>
              </w:rPr>
            </w:pPr>
          </w:p>
        </w:tc>
      </w:tr>
      <w:tr>
        <w:trPr>
          <w:trHeight w:val="48"/>
        </w:trPr>
        <w:tc>
          <w:tcPr>
            <w:tcW w:w="5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580" w:type="dxa"/>
            <w:vAlign w:val="bottom"/>
            <w:tcBorders>
              <w:lef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1" w:name="page262"/>
    <w:bookmarkEnd w:id="2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Financial Statements</w:t>
      </w:r>
    </w:p>
    <w:p>
      <w:pPr>
        <w:spacing w:after="0" w:line="2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0"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67"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As of December 31, 2022, the Company’s cash and cash equivalents were $12.0 million. On November 13, 2023, the Company merged with Selecta Biosciences, Inc. (Selecta). See Note 14 for further details.</w:t>
      </w:r>
    </w:p>
    <w:p>
      <w:pPr>
        <w:spacing w:after="0" w:line="274" w:lineRule="exact"/>
        <w:rPr>
          <w:sz w:val="20"/>
          <w:szCs w:val="20"/>
          <w:color w:val="auto"/>
        </w:rPr>
      </w:pPr>
    </w:p>
    <w:p>
      <w:pPr>
        <w:ind w:left="800" w:right="5099" w:hanging="1"/>
        <w:spacing w:after="0" w:line="380" w:lineRule="auto"/>
        <w:tabs>
          <w:tab w:leader="none" w:pos="958"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w:t>
      </w:r>
    </w:p>
    <w:p>
      <w:pPr>
        <w:spacing w:after="0" w:line="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financial statements are prepared in accordance with U.S. generally accepted accounting principles (GAAP) and pursuant to the applicable rules and regulations of the Securities and Exchange Commission (SEC).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03"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the Company’s management to make estimates and assumptions that affect the reported amounts of assets and liabilities, the disclosure of contingent assets and liabilities as of the date of the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financial statements, management used significant estimates in the following areas, among others: the valuation of the Company’s common stock and estimating accrued research and development expenses. The Company assesses the above estimates on an ongoing basis; however, actual results could materially differ from those estimates.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2" w:name="page263"/>
    <w:bookmarkEnd w:id="2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Equivalents</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Cash equivalents include all highly liquid investments maturing within 90 days from the date of purchase. As of December 31, 2022 and 2021, the Company’s cash held in money market funds and certificate of deposits were classified as cash and cash equivalents on the accompanying balance sheets.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Concentrations of Credit Risk and Off-Balance Sheet Risk</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Company’s financial instruments consist mainly of cash and cash equivalents, accounts receivable, and accounts payable. The carrying amounts of cash and cash equivalents, prepaid assets, accounts receivable, and accounts payable approximate their estimated fair value due to their short-term maturities.</w:t>
      </w:r>
    </w:p>
    <w:p>
      <w:pPr>
        <w:spacing w:after="0" w:line="62"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69" w:lineRule="exact"/>
        <w:rPr>
          <w:sz w:val="20"/>
          <w:szCs w:val="20"/>
          <w:color w:val="auto"/>
        </w:rPr>
      </w:pPr>
    </w:p>
    <w:p>
      <w:pPr>
        <w:ind w:left="1120" w:right="999"/>
        <w:spacing w:after="0" w:line="280" w:lineRule="auto"/>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—Level 1 inputs are quoted prices in active markets for identical assets or liabilities that the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has the ability to access at the measurement date.</w:t>
      </w:r>
    </w:p>
    <w:p>
      <w:pPr>
        <w:spacing w:after="0" w:line="46" w:lineRule="exact"/>
        <w:rPr>
          <w:sz w:val="20"/>
          <w:szCs w:val="20"/>
          <w:color w:val="auto"/>
        </w:rPr>
      </w:pPr>
    </w:p>
    <w:p>
      <w:pPr>
        <w:jc w:val="both"/>
        <w:ind w:left="1120" w:right="839"/>
        <w:spacing w:after="0" w:line="264"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—Level 2 inputs are inputs other than quoted prices included within Level 1 that are observable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or liability, either directly or indirectly. If the asset or liability has a specified (contractual) term, a Level 2 input must be observable for substantially the full term of the asset or liability.</w:t>
      </w:r>
    </w:p>
    <w:p>
      <w:pPr>
        <w:spacing w:after="0" w:line="58"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—Level 3 inputs are unobservable inputs for the asset or liability in which there is little, if any,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for the asset or liability at the measurement date.</w:t>
      </w:r>
    </w:p>
    <w:p>
      <w:pPr>
        <w:spacing w:after="0" w:line="48" w:lineRule="exact"/>
        <w:rPr>
          <w:sz w:val="20"/>
          <w:szCs w:val="20"/>
          <w:color w:val="auto"/>
        </w:rPr>
      </w:pPr>
    </w:p>
    <w:p>
      <w:pPr>
        <w:jc w:val="both"/>
        <w:ind w:left="800" w:right="839"/>
        <w:spacing w:after="0" w:line="280" w:lineRule="auto"/>
        <w:rPr>
          <w:sz w:val="20"/>
          <w:szCs w:val="20"/>
          <w:color w:val="auto"/>
        </w:rPr>
      </w:pPr>
      <w:r>
        <w:rPr>
          <w:rFonts w:ascii="Times New Roman" w:cs="Times New Roman" w:eastAsia="Times New Roman" w:hAnsi="Times New Roman"/>
          <w:sz w:val="15"/>
          <w:szCs w:val="15"/>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50"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03"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The Company has accounts receivable due from contracts from government sponsored organizations. Amounts payable to the Company are recorded in accounts receivable when the Company’s right to consideration is unconditional. There is no allowance for doubtful accounts at December 31, 2022 or 2021. No account receivable balances were written off during the years ended December 31, 2022 or 2021.</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Property and equipment are recorded at cost and depreciated using the straight-line method over the estimated useful lives of the respective assets, which is generally five years for laboratory equipment. Maintenance and repairs, which do not improve or extend the life of the respective assets, are charged to operations as incurred.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63" w:name="page264"/>
    <w:bookmarkEnd w:id="26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No impairment loss has been recorded during the years ended December 31, 2022 or 2021.</w:t>
      </w:r>
    </w:p>
    <w:p>
      <w:pPr>
        <w:spacing w:after="0" w:line="2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The Company has contracts with the Department of Health and Human Services National Institute of Health (NIH) and other government-sponsored organizations for research and development related activities that provide for payments for reimbursed costs, which may include overhead and general and administrative costs as well as a related profit margin. The Company recognizes grant revenue from these contracts as it performs services under these arrangements when the funding is committed. Associated expenses are recognized when incurred as research and development expense. Grant revenue and related expenses are presented gross in the statements of operations as we have determined we are the primary obligor under the arrangements relative to the research and development services we perform as lead technical expert. Prefunded grant amounts are recorded as deferred revenue on the Company’s balance sheets. Amounts incurred that are subject to reimbursement from the sponsor are recorded as accounts receivable on the Company’s balance sheets.</w:t>
      </w:r>
    </w:p>
    <w:p>
      <w:pPr>
        <w:spacing w:after="0" w:line="2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Costs related to research, design and development of cellular therapies are charged to research and development expense as incurred unless there is an alternative future use in other research and development projects. Research and development costs include, but are not limited to, payroll and personnel expenses, including stock-based compensation, for personnel contributing to research and development activities, laboratory supplies, outside services, and licenses and patent costs acquired to be used in research and development. Payments made prior to the receipt of goods or services to be used in research and development are deferred and recognized as expense in the period in which the related goods are received or services are rendered. License costs are expensed as research and development upon execution of the license agreement unless there is an alternative future use.</w:t>
      </w: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Clinical trial expenses are a significant component of research and development expenses, and the Company outsources a significant portion of these costs to third parties. Third party clinical trial expenses include patient costs and costs for management of the trial.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accrued liabilities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2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Payroll Tax Credits</w:t>
      </w:r>
    </w:p>
    <w:p>
      <w:pPr>
        <w:spacing w:after="0" w:line="103" w:lineRule="exact"/>
        <w:rPr>
          <w:sz w:val="20"/>
          <w:szCs w:val="20"/>
          <w:color w:val="auto"/>
        </w:rPr>
      </w:pPr>
    </w:p>
    <w:p>
      <w:pPr>
        <w:jc w:val="both"/>
        <w:ind w:left="800" w:right="1259"/>
        <w:spacing w:after="0" w:line="288" w:lineRule="auto"/>
        <w:rPr>
          <w:sz w:val="20"/>
          <w:szCs w:val="20"/>
          <w:color w:val="auto"/>
        </w:rPr>
      </w:pPr>
      <w:r>
        <w:rPr>
          <w:rFonts w:ascii="Times New Roman" w:cs="Times New Roman" w:eastAsia="Times New Roman" w:hAnsi="Times New Roman"/>
          <w:sz w:val="15"/>
          <w:szCs w:val="15"/>
          <w:color w:val="auto"/>
        </w:rPr>
        <w:t>The Company has generated research and development payroll tax credits under the provisions of the Internal Revenue Code. The Company adopted a policy to account for such government assistance as income when all conditions imposed by the government to be entitled to receive the funding have been substantially met.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4" w:name="page265"/>
    <w:bookmarkEnd w:id="2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Therefore, the Company recognizes, as income, payroll tax credits in the period it incurs payroll taxes for which the credit is earned. Amounts recognized that have not been collected from the government are recorded as a receivable on the Company’s balance sheets. The Company recognized income of $126,160 and $114,797 during the years ended December 31, 2022 and 2021, respectively. As of December 31, 2022 and 2021, the Company has a receivable balance of $351,116 and $224,956, respectively.</w:t>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68"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3" w:lineRule="exact"/>
        <w:rPr>
          <w:sz w:val="20"/>
          <w:szCs w:val="20"/>
          <w:color w:val="auto"/>
        </w:rPr>
      </w:pPr>
    </w:p>
    <w:p>
      <w:pPr>
        <w:ind w:left="800" w:right="959"/>
        <w:spacing w:after="0" w:line="280" w:lineRule="auto"/>
        <w:rPr>
          <w:sz w:val="20"/>
          <w:szCs w:val="20"/>
          <w:color w:val="auto"/>
        </w:rPr>
      </w:pPr>
      <w:r>
        <w:rPr>
          <w:rFonts w:ascii="Times New Roman" w:cs="Times New Roman" w:eastAsia="Times New Roman" w:hAnsi="Times New Roman"/>
          <w:sz w:val="15"/>
          <w:szCs w:val="15"/>
          <w:color w:val="auto"/>
        </w:rPr>
        <w:t>The Company records all preferred stock at their respective fair values on the dates of issuance less issuance costs. The Company classifies its preferred stock outside of stockholders’ deficit when the redemption of such shares is outside the Company’s control. The Company does not adjust the carrying values of the preferred stock to the liquidation preferences of such stock until such time as a deemed liquidation event is probable of occurring.</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 Issuance Costs</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Stock issuance costs, consisting primarily of legal expenses, are capitalized until stock is issued, at which time the costs are recorded in stockholders' equity as a reduction of additional paid-in-capital generated as a result of the issuance.</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The Company has elected to account for forfeitures as they occur. Stock-based compensation expense recognized in the financial statements is based on awards that ultimately vest.</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calculates the fair value of its common stock by considering independent valuations by a third-party valuation specialist and considers factors it believes are material to the valuation process, including but not limited to, the price at which recent equity was issued by the Company to independent third parties or transacted between third parties, actual and projected financial results, risks, prospects, economic and market conditions, and estimates of weighted average cost of capital. The Company believes the combination of these factors provides an appropriate estimate of the expected fair value of the Company and reflects the best estimate of the fair value of the Company’s common stock at each grant date.</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03"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The Company accounts for its leases in accordance with ASC Topic 842, Leases (ASC 842), and determines whether the arrangement is or contains a lease based on the unique facts and circumstances present.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(ROU) assets and their corresponding lease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5" w:name="page266"/>
    <w:bookmarkEnd w:id="265"/>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67" w:lineRule="exact"/>
        <w:rPr>
          <w:sz w:val="20"/>
          <w:szCs w:val="20"/>
          <w:color w:val="auto"/>
        </w:rPr>
      </w:pPr>
    </w:p>
    <w:p>
      <w:pPr>
        <w:ind w:left="1140" w:right="1180"/>
        <w:spacing w:after="0" w:line="251" w:lineRule="auto"/>
        <w:rPr>
          <w:sz w:val="20"/>
          <w:szCs w:val="20"/>
          <w:color w:val="auto"/>
        </w:rPr>
      </w:pPr>
      <w:r>
        <w:rPr>
          <w:rFonts w:ascii="Times New Roman" w:cs="Times New Roman" w:eastAsia="Times New Roman" w:hAnsi="Times New Roman"/>
          <w:sz w:val="16"/>
          <w:szCs w:val="16"/>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3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1140" w:right="1180"/>
        <w:spacing w:after="0" w:line="254" w:lineRule="auto"/>
        <w:rPr>
          <w:sz w:val="20"/>
          <w:szCs w:val="20"/>
          <w:color w:val="auto"/>
        </w:rPr>
      </w:pPr>
      <w:r>
        <w:rPr>
          <w:rFonts w:ascii="Times New Roman" w:cs="Times New Roman" w:eastAsia="Times New Roman" w:hAnsi="Times New Roman"/>
          <w:sz w:val="16"/>
          <w:szCs w:val="16"/>
          <w:color w:val="auto"/>
        </w:rPr>
        <w:t xml:space="preserve">In August 2020, the FASB issued ASU 2020-06, </w:t>
      </w:r>
      <w:r>
        <w:rPr>
          <w:rFonts w:ascii="Times New Roman" w:cs="Times New Roman" w:eastAsia="Times New Roman" w:hAnsi="Times New Roman"/>
          <w:sz w:val="16"/>
          <w:szCs w:val="16"/>
          <w:i w:val="1"/>
          <w:iCs w:val="1"/>
          <w:color w:val="auto"/>
        </w:rPr>
        <w:t>Debt—Debt with Conversion and Other Options (Subtopic 470-20)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Derivatives and Hedging—Contracts in Entity’s Own Equity (Subtopic 815-40)</w:t>
      </w:r>
      <w:r>
        <w:rPr>
          <w:rFonts w:ascii="Times New Roman" w:cs="Times New Roman" w:eastAsia="Times New Roman" w:hAnsi="Times New Roman"/>
          <w:sz w:val="16"/>
          <w:szCs w:val="16"/>
          <w:color w:val="auto"/>
        </w:rPr>
        <w:t>. ASU 2020-06 simplifies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for certain financial instruments with characteristics of liabilities and equity, including convertible instruments and contracts on an entity’s own equity. The Company has adopted ASU 2020-06 as of January 1, 2021 using the full retrospective method. The adoption of ASU 2020-06 had no impact on the Company's financial statements and disclosures.</w:t>
      </w:r>
    </w:p>
    <w:p>
      <w:pPr>
        <w:spacing w:after="0" w:line="2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1140" w:right="1400"/>
        <w:spacing w:after="0" w:line="25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3" w:lineRule="exact"/>
        <w:rPr>
          <w:sz w:val="20"/>
          <w:szCs w:val="20"/>
          <w:color w:val="auto"/>
        </w:rPr>
      </w:pPr>
    </w:p>
    <w:p>
      <w:pPr>
        <w:ind w:left="1140" w:right="1180"/>
        <w:spacing w:after="0" w:line="250"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2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3. Fair Value Measurements</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December 31, 2022 and 2021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3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3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Level 2</w:t>
            </w:r>
          </w:p>
        </w:tc>
        <w:tc>
          <w:tcPr>
            <w:tcW w:w="40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0"/>
              </w:rPr>
              <w:t>Level 3</w:t>
            </w:r>
          </w:p>
        </w:tc>
        <w:tc>
          <w:tcPr>
            <w:tcW w:w="120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120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8"/>
              </w:rPr>
              <w:t>Certificates of deposit (included in cash equivalents)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left w:val="single" w:sz="8" w:color="CCEEFF"/>
            </w:tcBorders>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c>
          <w:tcPr>
            <w:tcW w:w="400" w:type="dxa"/>
            <w:vAlign w:val="bottom"/>
            <w:tcBorders>
              <w:left w:val="single" w:sz="8" w:color="CCEEFF"/>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tcBorders>
              <w:left w:val="single" w:sz="8" w:color="CCEEFF"/>
            </w:tcBorders>
          </w:tcPr>
          <w:p>
            <w:pPr>
              <w:spacing w:after="0"/>
              <w:rPr>
                <w:sz w:val="2"/>
                <w:szCs w:val="2"/>
                <w:color w:val="auto"/>
              </w:rPr>
            </w:pPr>
          </w:p>
        </w:tc>
      </w:tr>
      <w:tr>
        <w:trPr>
          <w:trHeight w:val="226"/>
        </w:trPr>
        <w:tc>
          <w:tcPr>
            <w:tcW w:w="46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assets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1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left w:val="single" w:sz="8" w:color="CCEEFF"/>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tcBorders>
              <w:left w:val="single" w:sz="8" w:color="CCEEFF"/>
            </w:tcBorders>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1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4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r>
      <w:tr>
        <w:trPr>
          <w:trHeight w:val="266"/>
        </w:trPr>
        <w:tc>
          <w:tcPr>
            <w:tcW w:w="1140" w:type="dxa"/>
            <w:vAlign w:val="bottom"/>
          </w:tcPr>
          <w:p>
            <w:pPr>
              <w:spacing w:after="0"/>
              <w:rPr>
                <w:sz w:val="23"/>
                <w:szCs w:val="23"/>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4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CEEFF"/>
            </w:tcBorders>
            <w:shd w:val="clear" w:color="auto" w:fill="CCEEFF"/>
          </w:tcPr>
          <w:p>
            <w:pPr>
              <w:spacing w:after="0"/>
              <w:rPr>
                <w:sz w:val="23"/>
                <w:szCs w:val="23"/>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200" w:type="dxa"/>
            <w:vAlign w:val="bottom"/>
            <w:tcBorders>
              <w:left w:val="single" w:sz="8" w:color="CCEEFF"/>
            </w:tcBorders>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F-122</w:t>
            </w: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66" w:name="page267"/>
    <w:bookmarkEnd w:id="266"/>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4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48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52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r>
      <w:tr>
        <w:trPr>
          <w:trHeight w:val="21"/>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$4,502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4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r>
      <w:tr>
        <w:trPr>
          <w:trHeight w:val="220"/>
        </w:trPr>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Certificates of deposits (included in cash equivalents)</w:t>
            </w:r>
          </w:p>
        </w:tc>
        <w:tc>
          <w:tcPr>
            <w:tcW w:w="8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8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spacing w:after="0"/>
              <w:rPr>
                <w:sz w:val="19"/>
                <w:szCs w:val="19"/>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136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6"/>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4,527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4,527</w:t>
            </w:r>
          </w:p>
        </w:tc>
        <w:tc>
          <w:tcPr>
            <w:tcW w:w="48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r>
      <w:tr>
        <w:trPr>
          <w:trHeight w:val="20"/>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$345</w:t>
            </w:r>
          </w:p>
        </w:tc>
      </w:tr>
      <w:tr>
        <w:trPr>
          <w:trHeight w:val="21"/>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CCEEFF"/>
            </w:tcBorders>
            <w:shd w:val="clear" w:color="auto" w:fill="CCEEFF"/>
          </w:tcPr>
          <w:p>
            <w:pPr>
              <w:spacing w:after="0"/>
              <w:rPr>
                <w:sz w:val="21"/>
                <w:szCs w:val="21"/>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345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fair value of the payment to NIH that is contingent upon certain liquidity or financing events (See Note 13) was based on significant inputs not observable in the market, including estimates regarding the probability of certain future events and outcomes and estimates regarding timing of those events and outcomes, with an applied discount representative of time value, that represents a Level 3 measurement within the fair value hierarchy. The following table summarizes the change in the fair value of the Company’s contingent payment to NIH, which is classified within the Level 3 fair value hierarchy (in thousands):</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21"/>
        </w:trPr>
        <w:tc>
          <w:tcPr>
            <w:tcW w:w="5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r>
      <w:tr>
        <w:trPr>
          <w:trHeight w:val="210"/>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r>
      <w:tr>
        <w:trPr>
          <w:trHeight w:val="27"/>
        </w:trPr>
        <w:tc>
          <w:tcPr>
            <w:tcW w:w="5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23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$ 345</w:t>
            </w:r>
          </w:p>
        </w:tc>
      </w:tr>
      <w:tr>
        <w:trPr>
          <w:trHeight w:val="210"/>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r>
      <w:tr>
        <w:trPr>
          <w:trHeight w:val="27"/>
        </w:trPr>
        <w:tc>
          <w:tcPr>
            <w:tcW w:w="5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25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w:t>
            </w:r>
          </w:p>
        </w:tc>
      </w:tr>
      <w:tr>
        <w:trPr>
          <w:trHeight w:val="286"/>
        </w:trPr>
        <w:tc>
          <w:tcPr>
            <w:tcW w:w="68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There were no transfers within the fair value hierarchy during the years ended December 31, 2022 or 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 Property and Equipment</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 of the following (in thousands):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0"/>
        </w:trPr>
        <w:tc>
          <w:tcPr>
            <w:tcW w:w="5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21"/>
        </w:trPr>
        <w:tc>
          <w:tcPr>
            <w:tcW w:w="5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22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r>
      <w:tr>
        <w:trPr>
          <w:trHeight w:val="21"/>
        </w:trPr>
        <w:tc>
          <w:tcPr>
            <w:tcW w:w="5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60" w:type="dxa"/>
            <w:vAlign w:val="bottom"/>
            <w:tcBorders>
              <w:left w:val="single" w:sz="8" w:color="CCEEFF"/>
            </w:tcBorders>
            <w:shd w:val="clear" w:color="auto" w:fill="CCEEFF"/>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6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56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7"/>
        </w:trPr>
        <w:tc>
          <w:tcPr>
            <w:tcW w:w="5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$ 197</w:t>
            </w: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$ 309</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r>
    </w:tbl>
    <w:p>
      <w:pPr>
        <w:spacing w:after="0" w:line="7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Depreciation expense was approximately $112,000 and $123,000 for the years ended December 31, 2022 and 2021, respectively.</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21"/>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61"/>
        </w:trPr>
        <w:tc>
          <w:tcPr>
            <w:tcW w:w="60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$758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0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2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Accrued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24"/>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949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978</w:t>
            </w:r>
          </w:p>
        </w:tc>
      </w:tr>
      <w:tr>
        <w:trPr>
          <w:trHeight w:val="20"/>
        </w:trPr>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103"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The Company entered into an office lease in May 2018 for 4,762 square feet of space in an office building in Gaithersburg, Maryland. In 2021, the Company amended its lease for an additional 3,147 square feet of space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67" w:name="page268"/>
    <w:bookmarkEnd w:id="26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same building and to extend the lease term for its current leased space. The lease ends for both leased spaces in December 2027. The lease does not contain any renewal rights. The Company paid the landlord a security deposit of $25,000 which is included in long term assets on the Company’s balance sheets.</w:t>
      </w:r>
    </w:p>
    <w:p>
      <w:pPr>
        <w:spacing w:after="0" w:line="1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For the years ended December 31, 2022 and 2021, the components of lease costs were as follows (in thousands):</w:t>
      </w:r>
    </w:p>
    <w:p>
      <w:pPr>
        <w:spacing w:after="0" w:line="2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24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$299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52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4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446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248</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r>
    </w:tbl>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December 31, 2022 were as follows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60" w:type="dxa"/>
            <w:vAlign w:val="bottom"/>
          </w:tcPr>
          <w:p>
            <w:pPr>
              <w:spacing w:after="0"/>
              <w:rPr>
                <w:sz w:val="14"/>
                <w:szCs w:val="14"/>
                <w:color w:val="auto"/>
              </w:rPr>
            </w:pPr>
          </w:p>
        </w:tc>
      </w:tr>
      <w:tr>
        <w:trPr>
          <w:trHeight w:val="21"/>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8"/>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Borders>
              <w:left w:val="single" w:sz="8" w:color="CCEEFF"/>
            </w:tcBorders>
            <w:shd w:val="clear" w:color="auto" w:fill="CCEEFF"/>
          </w:tcPr>
          <w:p>
            <w:pPr>
              <w:spacing w:after="0"/>
              <w:rPr>
                <w:sz w:val="18"/>
                <w:szCs w:val="18"/>
                <w:color w:val="auto"/>
              </w:rPr>
            </w:pPr>
          </w:p>
        </w:tc>
      </w:tr>
      <w:tr>
        <w:trPr>
          <w:trHeight w:val="207"/>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60" w:type="dxa"/>
            <w:vAlign w:val="bottom"/>
          </w:tcPr>
          <w:p>
            <w:pPr>
              <w:spacing w:after="0"/>
              <w:rPr>
                <w:sz w:val="18"/>
                <w:szCs w:val="18"/>
                <w:color w:val="auto"/>
              </w:rPr>
            </w:pPr>
          </w:p>
        </w:tc>
      </w:tr>
      <w:tr>
        <w:trPr>
          <w:trHeight w:val="22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60" w:type="dxa"/>
            <w:vAlign w:val="bottom"/>
            <w:tcBorders>
              <w:left w:val="single" w:sz="8" w:color="CCEEFF"/>
            </w:tcBorders>
            <w:shd w:val="clear" w:color="auto" w:fill="CCEEFF"/>
          </w:tcPr>
          <w:p>
            <w:pPr>
              <w:spacing w:after="0"/>
              <w:rPr>
                <w:sz w:val="19"/>
                <w:szCs w:val="19"/>
                <w:color w:val="auto"/>
              </w:rPr>
            </w:pPr>
          </w:p>
        </w:tc>
      </w:tr>
      <w:tr>
        <w:trPr>
          <w:trHeight w:val="207"/>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tcPr>
          <w:p>
            <w:pPr>
              <w:spacing w:after="0"/>
              <w:rPr>
                <w:sz w:val="18"/>
                <w:szCs w:val="18"/>
                <w:color w:val="auto"/>
              </w:rPr>
            </w:pPr>
          </w:p>
        </w:tc>
      </w:tr>
      <w:tr>
        <w:trPr>
          <w:trHeight w:val="22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Borders>
              <w:left w:val="single" w:sz="8" w:color="CCEEFF"/>
            </w:tcBorders>
            <w:shd w:val="clear" w:color="auto" w:fill="CCEEFF"/>
          </w:tcPr>
          <w:p>
            <w:pPr>
              <w:spacing w:after="0"/>
              <w:rPr>
                <w:sz w:val="19"/>
                <w:szCs w:val="19"/>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8"/>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60" w:type="dxa"/>
            <w:vAlign w:val="bottom"/>
            <w:tcBorders>
              <w:left w:val="single" w:sz="8" w:color="CCEEFF"/>
            </w:tcBorders>
            <w:shd w:val="clear" w:color="auto" w:fill="CCEEFF"/>
          </w:tcPr>
          <w:p>
            <w:pPr>
              <w:spacing w:after="0"/>
              <w:rPr>
                <w:sz w:val="20"/>
                <w:szCs w:val="20"/>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(175)</w:t>
            </w: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r>
      <w:tr>
        <w:trPr>
          <w:trHeight w:val="246"/>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1,108</w:t>
            </w:r>
          </w:p>
        </w:tc>
        <w:tc>
          <w:tcPr>
            <w:tcW w:w="160" w:type="dxa"/>
            <w:vAlign w:val="bottom"/>
            <w:tcBorders>
              <w:left w:val="single" w:sz="8" w:color="CCEEFF"/>
            </w:tcBorders>
            <w:shd w:val="clear" w:color="auto" w:fill="CCEEFF"/>
          </w:tcPr>
          <w:p>
            <w:pPr>
              <w:spacing w:after="0"/>
              <w:rPr>
                <w:sz w:val="21"/>
                <w:szCs w:val="21"/>
                <w:color w:val="auto"/>
              </w:rPr>
            </w:pPr>
          </w:p>
        </w:tc>
      </w:tr>
      <w:tr>
        <w:trPr>
          <w:trHeight w:val="20"/>
        </w:trPr>
        <w:tc>
          <w:tcPr>
            <w:tcW w:w="6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17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19"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48"/>
        </w:trPr>
        <w:tc>
          <w:tcPr>
            <w:tcW w:w="62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Other than the initial recording of the right-of-use asset and lease liability, which were non-cash, the changes in the Company’s right-of-use asset and lease liability for the years ended December 31, 2022 and 2021 are reflected in the non-cash lease expense and accrued expenses and other liabilities, respectively, in the statements of cash flows.</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1"/>
        </w:trPr>
        <w:tc>
          <w:tcPr>
            <w:tcW w:w="5740" w:type="dxa"/>
            <w:vAlign w:val="bottom"/>
          </w:tcPr>
          <w:p>
            <w:pPr>
              <w:spacing w:after="0"/>
              <w:rPr>
                <w:sz w:val="13"/>
                <w:szCs w:val="13"/>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Pr>
          <w:p>
            <w:pPr>
              <w:spacing w:after="0"/>
              <w:rPr>
                <w:sz w:val="13"/>
                <w:szCs w:val="13"/>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6"/>
              </w:rPr>
              <w:t>4.1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5.08 years</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7.3 %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r>
    </w:tbl>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7. Preferred Stock</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On January 26, 2021, the Company amended its Restated Certificate of Incorporation, to increase its authorized shares to 407 shares of preferred stock, $0.01 par value per share. In 2021, the Company issued 65.017 shares of Series B-1 preferred stock, with a par value of $0.01, at a price of $64,961.92 per share for consideration totaling $4,223,778. Upon the issuance of the Series B-1 Preferred Stock in January 2021, the Company reclassified its Series A and Series B Preferred Stock to temporary equity because such stock is redeemable upon the occurrence of certain events that are not solely within the control of the issuer. The reclassification to temporary equity of Series A and Series B Preferred Stock was recorded at the fair value.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8" w:name="page269"/>
    <w:bookmarkEnd w:id="26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Contemporaneous with the Series B-1 Preferred Stock offering, one of the Company's investors converted 50 shares of common stock into 50 shares of Series A Preferred Stock. The Company recorded the Series A Preferred Stock at fair value. The difference between the fair value of the Series A Preferred Stock and the fair value of the common stock at the date of the exchange was recorded as a Series B-1 Preferred Stock issuance cost. The difference between the original issuance price and the fair value of the common stock at the date of the exchange was recorded as an adjustment to retained earnings.</w:t>
      </w:r>
    </w:p>
    <w:p>
      <w:pPr>
        <w:spacing w:after="0" w:line="71"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On December 12, 2022, the Company amended its Restated Certificate of Incorporation to increase its authorized shares to 602 shares of Preferred Stock. In December 2022, the Company issued 193.644 shares of Series B-2 preferred stock, with a par value of $0.01, at a price of $62,833.19 per share for consideration totaling $12,167,170. Cash consideration received in December 2022 was $10,834,164. The remaining $1,333,006 is included in stock subscription receivable on the accompanying December 31, 2022 balance sheet. The stock subscription receivable was collected in January 2023.</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Company’s preferred stock has the following characteristics:</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Conversion Features</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Preferred stockholders may voluntarily convert any or all of their preferred shares into common shares at any time at a price determined by dividing the original issue price by the conversion price for each series of preferred stock. There are provisions which require adjustment to this conversion price in the event of certain dilution events. However, In the event of a liquidation, dissolution or winding up of the Company or a deemed liquidation event, the conversion rights shall terminate.</w:t>
      </w:r>
    </w:p>
    <w:p>
      <w:pPr>
        <w:spacing w:after="0" w:line="68"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Upon either (a) the closing of the sale of shares of common stock to the public at a price of at least $62,833.19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(net of underwriting discount and commissions) to the Company or (b) the date and time, or the occurrence of an event, specified by vote or written consent of at least seventy- five percent (51%) of the outstanding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Voting Rights</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On any matter presented to the stockholders of the Company for their action or consideration at any meeting of stockholders of the Company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w:t>
      </w:r>
    </w:p>
    <w:p>
      <w:pPr>
        <w:spacing w:after="0" w:line="68"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holders of record of the shares of preferred stock, exclusively and as a separate class, are entitled to elect one (1) director of the Company and the holders of record of common stock, exclusively and as a separate class, are entitled to elect one (1) director of the Company. The holders of record of common stock and preferred stock, exclusively and voting together as a single class, are entitled to elect the balance of the total number of directors of the Company.</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Dividends may be paid at the Board of Directors' discretion. However, the preferred stockholders are entitled to receive dividends prior to payment of dividends to common stockholders.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Liquidation Preference</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Upon liquidation of the Company (whether voluntary or not), each preferred stockholder shall be entitled to be paid prior to common stockholders.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103" w:lineRule="exact"/>
        <w:rPr>
          <w:sz w:val="20"/>
          <w:szCs w:val="20"/>
          <w:color w:val="auto"/>
        </w:rPr>
      </w:pPr>
    </w:p>
    <w:p>
      <w:pPr>
        <w:ind w:left="800" w:right="1259"/>
        <w:spacing w:after="0" w:line="277" w:lineRule="auto"/>
        <w:rPr>
          <w:sz w:val="20"/>
          <w:szCs w:val="20"/>
          <w:color w:val="auto"/>
        </w:rPr>
      </w:pPr>
      <w:r>
        <w:rPr>
          <w:rFonts w:ascii="Times New Roman" w:cs="Times New Roman" w:eastAsia="Times New Roman" w:hAnsi="Times New Roman"/>
          <w:sz w:val="16"/>
          <w:szCs w:val="16"/>
          <w:color w:val="auto"/>
        </w:rPr>
        <w:t>The preferred stock is not redeemable at the option of the holder or the Company, except in accordance with a deemed liquidation event.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9" w:name="page270"/>
    <w:bookmarkEnd w:id="26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8. Common Stock</w:t>
      </w:r>
    </w:p>
    <w:p>
      <w:pPr>
        <w:spacing w:after="0" w:line="103" w:lineRule="exact"/>
        <w:rPr>
          <w:sz w:val="20"/>
          <w:szCs w:val="20"/>
          <w:color w:val="auto"/>
        </w:rPr>
      </w:pPr>
    </w:p>
    <w:p>
      <w:pPr>
        <w:ind w:left="1140" w:right="1480"/>
        <w:spacing w:after="0" w:line="277" w:lineRule="auto"/>
        <w:rPr>
          <w:sz w:val="20"/>
          <w:szCs w:val="20"/>
          <w:color w:val="auto"/>
        </w:rPr>
      </w:pPr>
      <w:r>
        <w:rPr>
          <w:rFonts w:ascii="Times New Roman" w:cs="Times New Roman" w:eastAsia="Times New Roman" w:hAnsi="Times New Roman"/>
          <w:sz w:val="16"/>
          <w:szCs w:val="16"/>
          <w:color w:val="auto"/>
        </w:rPr>
        <w:t>On January 26, 2021, the Company amended its Restated Certificate of Incorporation, to increase its authorized shares to 3,200 shares of Common Stock, par value $0.01 per share.</w:t>
      </w:r>
    </w:p>
    <w:p>
      <w:pPr>
        <w:spacing w:after="0" w:line="50" w:lineRule="exact"/>
        <w:rPr>
          <w:sz w:val="20"/>
          <w:szCs w:val="20"/>
          <w:color w:val="auto"/>
        </w:rPr>
      </w:pPr>
    </w:p>
    <w:p>
      <w:pPr>
        <w:ind w:left="1140" w:right="1360"/>
        <w:spacing w:after="0" w:line="277" w:lineRule="auto"/>
        <w:rPr>
          <w:sz w:val="20"/>
          <w:szCs w:val="20"/>
          <w:color w:val="auto"/>
        </w:rPr>
      </w:pPr>
      <w:r>
        <w:rPr>
          <w:rFonts w:ascii="Times New Roman" w:cs="Times New Roman" w:eastAsia="Times New Roman" w:hAnsi="Times New Roman"/>
          <w:sz w:val="16"/>
          <w:szCs w:val="16"/>
          <w:color w:val="auto"/>
        </w:rPr>
        <w:t>The voting, dividend and liquidation rights of the common stockholders are subject to and qualified by the rights, powers and preferences of the preferred stock. The common stock has the following characteristics:</w:t>
      </w: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1140" w:right="1320"/>
        <w:spacing w:after="0" w:line="277" w:lineRule="auto"/>
        <w:rPr>
          <w:sz w:val="20"/>
          <w:szCs w:val="20"/>
          <w:color w:val="auto"/>
        </w:rPr>
      </w:pPr>
      <w:r>
        <w:rPr>
          <w:rFonts w:ascii="Times New Roman" w:cs="Times New Roman" w:eastAsia="Times New Roman" w:hAnsi="Times New Roman"/>
          <w:sz w:val="16"/>
          <w:szCs w:val="16"/>
          <w:color w:val="auto"/>
        </w:rPr>
        <w:t>The common stockholders are entitled to one vote for each share of common stock held with respect to all matters voted on by the stockholders of the Company.</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common stockholders are entitled to receive dividends, if and when declared by the Board of Directors.</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Through December 31, 2022, no dividends have been declared or paid on common stock.</w:t>
      </w:r>
    </w:p>
    <w:p>
      <w:pPr>
        <w:spacing w:after="0" w:line="3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1140" w:right="1640"/>
        <w:spacing w:after="0" w:line="277" w:lineRule="auto"/>
        <w:rPr>
          <w:sz w:val="20"/>
          <w:szCs w:val="20"/>
          <w:color w:val="auto"/>
        </w:rPr>
      </w:pPr>
      <w:r>
        <w:rPr>
          <w:rFonts w:ascii="Times New Roman" w:cs="Times New Roman" w:eastAsia="Times New Roman" w:hAnsi="Times New Roman"/>
          <w:sz w:val="16"/>
          <w:szCs w:val="16"/>
          <w:color w:val="auto"/>
        </w:rPr>
        <w:t>Upon liquidation of the Company, the common stockholders are entitled to receive all assets of the Company available for distribution to such stockholders.</w:t>
      </w: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9. Stock-Based Compensation Expense</w:t>
      </w:r>
    </w:p>
    <w:p>
      <w:pPr>
        <w:spacing w:after="0" w:line="103" w:lineRule="exact"/>
        <w:rPr>
          <w:sz w:val="20"/>
          <w:szCs w:val="20"/>
          <w:color w:val="auto"/>
        </w:rPr>
      </w:pPr>
    </w:p>
    <w:p>
      <w:pPr>
        <w:ind w:left="1140" w:right="1160"/>
        <w:spacing w:after="0" w:line="253" w:lineRule="auto"/>
        <w:rPr>
          <w:sz w:val="20"/>
          <w:szCs w:val="20"/>
          <w:color w:val="auto"/>
        </w:rPr>
      </w:pPr>
      <w:r>
        <w:rPr>
          <w:rFonts w:ascii="Times New Roman" w:cs="Times New Roman" w:eastAsia="Times New Roman" w:hAnsi="Times New Roman"/>
          <w:sz w:val="16"/>
          <w:szCs w:val="16"/>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1" w:lineRule="exact"/>
        <w:rPr>
          <w:sz w:val="20"/>
          <w:szCs w:val="20"/>
          <w:color w:val="auto"/>
        </w:rPr>
      </w:pPr>
    </w:p>
    <w:p>
      <w:pPr>
        <w:ind w:left="1140" w:right="1200"/>
        <w:spacing w:after="0" w:line="251" w:lineRule="auto"/>
        <w:rPr>
          <w:sz w:val="20"/>
          <w:szCs w:val="20"/>
          <w:color w:val="auto"/>
        </w:rPr>
      </w:pPr>
      <w:r>
        <w:rPr>
          <w:rFonts w:ascii="Times New Roman" w:cs="Times New Roman" w:eastAsia="Times New Roman" w:hAnsi="Times New Roman"/>
          <w:sz w:val="16"/>
          <w:szCs w:val="16"/>
          <w:color w:val="auto"/>
        </w:rPr>
        <w:t>In April 2021, the Company repriced and reissued all its prior stock option awards with an exercise price above $23,005 per share to an exercise price of $23,005 per share (the 2021 Repricing). The Company accounted for the 2021 repricing as a modification for accounting purposes. For options vested at the modification date, the Company immediately recognized the difference between the fair value of the modification award and its original grant date value. For unvested awards at the modification date, the Company recognized the sum of the unrecognized compensation cost of the shares plus the incremental fair value of the modified award over the remaining service period. Additionally, in October 2022, the Company modified a stock option held by an option holder upon termination of their employment by the Company. The stock option was modified to accelerate vesting. The aggregate amount of expense recognized in connection with these modifications was approximately $8,000 and $305,000 for the years ended December 31, 2022 and 2021, respectively.</w:t>
      </w:r>
    </w:p>
    <w:p>
      <w:pPr>
        <w:spacing w:after="0" w:line="71" w:lineRule="exact"/>
        <w:rPr>
          <w:sz w:val="20"/>
          <w:szCs w:val="20"/>
          <w:color w:val="auto"/>
        </w:rPr>
      </w:pPr>
    </w:p>
    <w:p>
      <w:pPr>
        <w:ind w:left="1140" w:right="2120"/>
        <w:spacing w:after="0" w:line="27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statements of operations and comprehensive income (loss) was as follows (in thousands):</w:t>
      </w:r>
    </w:p>
    <w:p>
      <w:pPr>
        <w:spacing w:after="0" w:line="1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60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Borders>
              <w:top w:val="single" w:sz="8" w:color="auto"/>
            </w:tcBorders>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6"/>
        </w:trPr>
        <w:tc>
          <w:tcPr>
            <w:tcW w:w="1140" w:type="dxa"/>
            <w:vAlign w:val="bottom"/>
          </w:tcPr>
          <w:p>
            <w:pPr>
              <w:spacing w:after="0"/>
              <w:rPr>
                <w:sz w:val="23"/>
                <w:szCs w:val="23"/>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719</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790</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F-126</w:t>
            </w:r>
          </w:p>
        </w:tc>
        <w:tc>
          <w:tcPr>
            <w:tcW w:w="320" w:type="dxa"/>
            <w:vAlign w:val="bottom"/>
            <w:tcBorders>
              <w:top w:val="single" w:sz="8" w:color="auto"/>
            </w:tcBorders>
            <w:gridSpan w:val="2"/>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9680"/>
          </w:cols>
          <w:pgMar w:left="1100" w:top="248" w:right="1119" w:bottom="1440" w:gutter="0" w:footer="0" w:header="0"/>
        </w:sectPr>
      </w:pPr>
    </w:p>
    <w:bookmarkStart w:id="270" w:name="page271"/>
    <w:bookmarkEnd w:id="27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00"/>
        <w:spacing w:after="0" w:line="277"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were calculated using the Black-Scholes option pricing model, based on the following range of assumptions: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2280" w:type="dxa"/>
            <w:vAlign w:val="bottom"/>
            <w:gridSpan w:val="3"/>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1"/>
        </w:trPr>
        <w:tc>
          <w:tcPr>
            <w:tcW w:w="5120" w:type="dxa"/>
            <w:vAlign w:val="bottom"/>
          </w:tcPr>
          <w:p>
            <w:pPr>
              <w:spacing w:after="0"/>
              <w:rPr>
                <w:sz w:val="13"/>
                <w:szCs w:val="13"/>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3"/>
                <w:szCs w:val="13"/>
                <w:color w:val="auto"/>
              </w:rPr>
            </w:pPr>
          </w:p>
        </w:tc>
        <w:tc>
          <w:tcPr>
            <w:tcW w:w="110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1.13% - 1.96%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 - 1.45%</w:t>
            </w:r>
          </w:p>
        </w:tc>
      </w:tr>
      <w:tr>
        <w:trPr>
          <w:trHeight w:val="20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1.0 - 7.0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5.0 - 7.0</w:t>
            </w:r>
          </w:p>
        </w:tc>
      </w:tr>
      <w:tr>
        <w:trPr>
          <w:trHeight w:val="20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$23,005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$23,005 - 64,962</w:t>
            </w:r>
          </w:p>
        </w:tc>
      </w:tr>
      <w:tr>
        <w:trPr>
          <w:trHeight w:val="48"/>
        </w:trPr>
        <w:tc>
          <w:tcPr>
            <w:tcW w:w="5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1140" w:right="1340"/>
        <w:spacing w:after="0" w:line="280" w:lineRule="auto"/>
        <w:rPr>
          <w:sz w:val="20"/>
          <w:szCs w:val="20"/>
          <w:color w:val="auto"/>
        </w:rPr>
      </w:pPr>
      <w:r>
        <w:rPr>
          <w:rFonts w:ascii="Times New Roman" w:cs="Times New Roman" w:eastAsia="Times New Roman" w:hAnsi="Times New Roman"/>
          <w:sz w:val="15"/>
          <w:szCs w:val="15"/>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0" w:lineRule="exact"/>
        <w:rPr>
          <w:sz w:val="20"/>
          <w:szCs w:val="20"/>
          <w:color w:val="auto"/>
        </w:rPr>
      </w:pPr>
    </w:p>
    <w:p>
      <w:pPr>
        <w:ind w:left="1140" w:right="1920"/>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years ended December 31, 2022 and 2021 was $16,862 and $27,881, respectively.</w:t>
      </w:r>
    </w:p>
    <w:p>
      <w:pPr>
        <w:spacing w:after="0" w:line="50" w:lineRule="exact"/>
        <w:rPr>
          <w:sz w:val="20"/>
          <w:szCs w:val="20"/>
          <w:color w:val="auto"/>
        </w:rPr>
      </w:pPr>
    </w:p>
    <w:p>
      <w:pPr>
        <w:ind w:left="1140" w:right="1140"/>
        <w:spacing w:after="0" w:line="277" w:lineRule="auto"/>
        <w:rPr>
          <w:sz w:val="20"/>
          <w:szCs w:val="20"/>
          <w:color w:val="auto"/>
        </w:rPr>
      </w:pPr>
      <w:r>
        <w:rPr>
          <w:rFonts w:ascii="Times New Roman" w:cs="Times New Roman" w:eastAsia="Times New Roman" w:hAnsi="Times New Roman"/>
          <w:sz w:val="16"/>
          <w:szCs w:val="16"/>
          <w:color w:val="auto"/>
        </w:rPr>
        <w:t>As of December 31, 2022, total unrecognized compensation expense related to unvested employee stock options was approximately $969,000, which is expected to be recognized over a weighted average period of 2.13 years.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 and includes the effect to the 2021</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Repricing:</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14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153</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$18,755</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7.88</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$650</w:t>
            </w:r>
          </w:p>
        </w:tc>
        <w:tc>
          <w:tcPr>
            <w:tcW w:w="0" w:type="dxa"/>
            <w:vAlign w:val="bottom"/>
          </w:tcPr>
          <w:p>
            <w:pPr>
              <w:spacing w:after="0"/>
              <w:rPr>
                <w:sz w:val="1"/>
                <w:szCs w:val="1"/>
                <w:color w:val="auto"/>
              </w:rPr>
            </w:pPr>
          </w:p>
        </w:tc>
      </w:tr>
      <w:tr>
        <w:trPr>
          <w:trHeight w:val="210"/>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8"/>
                <w:szCs w:val="18"/>
                <w:color w:val="auto"/>
              </w:rPr>
            </w:pP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152</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$18,727</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6.90</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Vested at December 31, 2022</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110</w:t>
            </w:r>
          </w:p>
        </w:tc>
        <w:tc>
          <w:tcPr>
            <w:tcW w:w="18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$17,094</w:t>
            </w:r>
          </w:p>
        </w:tc>
        <w:tc>
          <w:tcPr>
            <w:tcW w:w="1140" w:type="dxa"/>
            <w:vAlign w:val="bottom"/>
            <w:tcBorders>
              <w:top w:val="single" w:sz="8" w:color="CCEEFF"/>
            </w:tcBorders>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6.25</w:t>
            </w:r>
          </w:p>
        </w:tc>
        <w:tc>
          <w:tcPr>
            <w:tcW w:w="920" w:type="dxa"/>
            <w:vAlign w:val="bottom"/>
            <w:tcBorders>
              <w:top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2022</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$18,727</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6.90</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48"/>
        </w:trPr>
        <w:tc>
          <w:tcPr>
            <w:tcW w:w="3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10. Income Taxes</w:t>
      </w:r>
    </w:p>
    <w:p>
      <w:pPr>
        <w:spacing w:after="0" w:line="103"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1140" w:right="1500"/>
        <w:spacing w:after="0" w:line="277" w:lineRule="auto"/>
        <w:rPr>
          <w:sz w:val="20"/>
          <w:szCs w:val="20"/>
          <w:color w:val="auto"/>
        </w:rPr>
      </w:pPr>
      <w:r>
        <w:rPr>
          <w:rFonts w:ascii="Times New Roman" w:cs="Times New Roman" w:eastAsia="Times New Roman" w:hAnsi="Times New Roman"/>
          <w:sz w:val="16"/>
          <w:szCs w:val="16"/>
          <w:color w:val="auto"/>
        </w:rPr>
        <w:t>The income tax provision shown on the statements of income for the years ended December 31, 2022 and 2021 consists of the following (in thousands):</w:t>
      </w:r>
    </w:p>
    <w:p>
      <w:pPr>
        <w:spacing w:after="0" w:line="17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5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top w:val="single" w:sz="8" w:color="auto"/>
            </w:tcBorders>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14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Federal</w:t>
            </w:r>
          </w:p>
        </w:tc>
        <w:tc>
          <w:tcPr>
            <w:tcW w:w="39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5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Federal</w:t>
            </w:r>
          </w:p>
        </w:tc>
        <w:tc>
          <w:tcPr>
            <w:tcW w:w="3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6"/>
        </w:trPr>
        <w:tc>
          <w:tcPr>
            <w:tcW w:w="1140" w:type="dxa"/>
            <w:vAlign w:val="bottom"/>
          </w:tcPr>
          <w:p>
            <w:pPr>
              <w:spacing w:after="0"/>
              <w:rPr>
                <w:sz w:val="23"/>
                <w:szCs w:val="23"/>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3"/>
                <w:szCs w:val="23"/>
                <w:color w:val="auto"/>
              </w:rPr>
            </w:pPr>
          </w:p>
        </w:tc>
        <w:tc>
          <w:tcPr>
            <w:tcW w:w="3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gridSpan w:val="2"/>
          </w:tcPr>
          <w:p>
            <w:pPr>
              <w:ind w:left="1200"/>
              <w:spacing w:after="0"/>
              <w:rPr>
                <w:sz w:val="20"/>
                <w:szCs w:val="20"/>
                <w:color w:val="auto"/>
              </w:rPr>
            </w:pPr>
            <w:r>
              <w:rPr>
                <w:rFonts w:ascii="Times New Roman" w:cs="Times New Roman" w:eastAsia="Times New Roman" w:hAnsi="Times New Roman"/>
                <w:sz w:val="16"/>
                <w:szCs w:val="16"/>
                <w:color w:val="auto"/>
              </w:rPr>
              <w:t>F-127</w:t>
            </w: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71" w:name="page272"/>
    <w:bookmarkEnd w:id="2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The following table provides a summary of difference between income tax benefit for the year ended December 31, 2022 and 2021, computed by applying the statutory federal income tax rate to earnings before taxes:</w:t>
      </w:r>
    </w:p>
    <w:p>
      <w:pPr>
        <w:spacing w:after="0" w:line="17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r>
      <w:tr>
        <w:trPr>
          <w:trHeight w:val="21"/>
        </w:trPr>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(6,455)</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(3,640)</w:t>
            </w: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Tax provision (benefit) at federal statutory rate</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(1,356)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(764)</w:t>
            </w: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w:t>
            </w: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items and other permanent differences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Deferred Adjustments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tcBorders>
              <w:left w:val="single" w:sz="8" w:color="CCEEFF"/>
            </w:tcBorders>
            <w:shd w:val="clear" w:color="auto" w:fill="CCEEFF"/>
          </w:tcPr>
          <w:p>
            <w:pPr>
              <w:spacing w:after="0"/>
              <w:rPr>
                <w:sz w:val="19"/>
                <w:szCs w:val="19"/>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Tax Provision</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Company’s effective tax rate for the years ended December 31, 2022 and 2021 was 0.0%, primarily due to the full valuation allowance.</w:t>
      </w:r>
    </w:p>
    <w:p>
      <w:pPr>
        <w:spacing w:after="0" w:line="50"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the Company’s net deferred tax assets are as follows (in thousands):</w:t>
      </w:r>
    </w:p>
    <w:p>
      <w:pPr>
        <w:spacing w:after="0" w:line="17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02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Borders>
              <w:top w:val="single" w:sz="8" w:color="auto"/>
            </w:tcBorders>
          </w:tcPr>
          <w:p>
            <w:pPr>
              <w:spacing w:after="0"/>
              <w:rPr>
                <w:sz w:val="15"/>
                <w:szCs w:val="15"/>
                <w:color w:val="auto"/>
              </w:rPr>
            </w:pPr>
          </w:p>
        </w:tc>
      </w:tr>
      <w:tr>
        <w:trPr>
          <w:trHeight w:val="21"/>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4,711</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5,012</w:t>
            </w:r>
          </w:p>
        </w:tc>
        <w:tc>
          <w:tcPr>
            <w:tcW w:w="60" w:type="dxa"/>
            <w:vAlign w:val="bottom"/>
          </w:tcPr>
          <w:p>
            <w:pPr>
              <w:spacing w:after="0"/>
              <w:rPr>
                <w:sz w:val="18"/>
                <w:szCs w:val="18"/>
                <w:color w:val="auto"/>
              </w:rPr>
            </w:pP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352</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1,293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Charitable contribution carryforward</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Accrual to cash</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 carryforward</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8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268</w:t>
            </w:r>
          </w:p>
        </w:tc>
      </w:tr>
      <w:tr>
        <w:trPr>
          <w:trHeight w:val="214"/>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7,218</w:t>
            </w: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5,724</w:t>
            </w:r>
          </w:p>
        </w:tc>
        <w:tc>
          <w:tcPr>
            <w:tcW w:w="6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 to cash</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7"/>
        </w:trPr>
        <w:tc>
          <w:tcPr>
            <w:tcW w:w="5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3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9"/>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9"/>
        </w:trPr>
        <w:tc>
          <w:tcPr>
            <w:tcW w:w="5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 before valuation allowance</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6,894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4,798</w:t>
            </w:r>
          </w:p>
        </w:tc>
        <w:tc>
          <w:tcPr>
            <w:tcW w:w="60" w:type="dxa"/>
            <w:vAlign w:val="bottom"/>
          </w:tcPr>
          <w:p>
            <w:pPr>
              <w:spacing w:after="0"/>
              <w:rPr>
                <w:sz w:val="19"/>
                <w:szCs w:val="19"/>
                <w:color w:val="auto"/>
              </w:rPr>
            </w:pPr>
          </w:p>
        </w:tc>
      </w:tr>
      <w:tr>
        <w:trPr>
          <w:trHeight w:val="22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(6,894)</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w:t>
            </w:r>
          </w:p>
        </w:tc>
      </w:tr>
      <w:tr>
        <w:trPr>
          <w:trHeight w:val="27"/>
        </w:trPr>
        <w:tc>
          <w:tcPr>
            <w:tcW w:w="5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as the Company believes that it is more likely than not that the deferred tax assets will not be realized. As of December 31, 2022, the Company has a net operating loss carryforward totaling $17.2 million (gross) that may be offset against future taxable income, of which $17.0 million can be carried forward indefinitely but will be subject to an 80% limitation. The Company has $0.5 million and $0.0 million, respectively, of federal and state research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2" w:name="page273"/>
    <w:bookmarkEnd w:id="2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development tax credit carryforwards, which will expire at various times through 2038. Utilization of the NOL carryforwards and research credit carryforwards may be subject to a substantial annual limitation under Section 382 of the Internal Revenue Code of 1986, as amended (the Code), and similar state law due to ownership changes that could occur in the future.</w:t>
      </w:r>
    </w:p>
    <w:p>
      <w:pPr>
        <w:spacing w:after="0" w:line="65"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color w:val="auto"/>
        </w:rPr>
        <w:t xml:space="preserve">The Company applies ASC 740, </w:t>
      </w:r>
      <w:r>
        <w:rPr>
          <w:rFonts w:ascii="Times New Roman" w:cs="Times New Roman" w:eastAsia="Times New Roman" w:hAnsi="Times New Roman"/>
          <w:sz w:val="16"/>
          <w:szCs w:val="16"/>
          <w:i w:val="1"/>
          <w:iCs w:val="1"/>
          <w:color w:val="auto"/>
        </w:rPr>
        <w:t>Income Taxe</w:t>
      </w:r>
      <w:r>
        <w:rPr>
          <w:rFonts w:ascii="Times New Roman" w:cs="Times New Roman" w:eastAsia="Times New Roman" w:hAnsi="Times New Roman"/>
          <w:sz w:val="16"/>
          <w:szCs w:val="16"/>
          <w:color w:val="auto"/>
        </w:rPr>
        <w:t>s to uncertain tax positions. As of the adoption date and through December 31, 2022, the Company had no unrecognized tax benefits or related interest and penalties accrued. 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Commitments and Contingencies</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As of December 31, 2022, the Company was not a party to any litigation that could have a material effect on the Company’s business, financial position, results of operations or cash flows. The Company is a party in various other contractual disputes and potential claims arising from the ordinary course of business. The Company does not believe that the resolution of these matters will have a material adverse effect on the Company’s business, financial position, results of operations or cash flows.</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Defined Contribution Plan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each of the years ended December 31, 2022 and 2021, respectively.</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License Agreements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multiple myeloma</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$460,758 and $345,322 as of December 31, 2022 and 2021, respectively. The associated expense was recorded as research and development expense in the respective periods. The Company estimated the liability at each balance sheet date as the present value of the probability weighted contingent payment amounts. In November 2023, the Company entered into a merger agreement with Selecta (see Subsequent Events note below), whereby the Company elected to pay $579,000 to the NIH in full satisfaction of the royalty provision. Payment was made in December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autoimmune diseases</w:t>
      </w:r>
    </w:p>
    <w:p>
      <w:pPr>
        <w:spacing w:after="0" w:line="103"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2"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3" w:name="page274"/>
    <w:bookmarkEnd w:id="2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14. Subsequent Events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7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4" w:name="page275"/>
    <w:bookmarkEnd w:id="274"/>
    <w:p>
      <w:pPr>
        <w:ind w:left="9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85090</wp:posOffset>
            </wp:positionV>
            <wp:extent cx="458470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84700" cy="1524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145415</wp:posOffset>
            </wp:positionV>
            <wp:extent cx="458470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584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6,501,150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Cartesian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October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139065</wp:posOffset>
            </wp:positionV>
            <wp:extent cx="458470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584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191770</wp:posOffset>
            </wp:positionV>
            <wp:extent cx="458470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84700" cy="15240"/>
                    </a:xfrm>
                    <a:prstGeom prst="rect">
                      <a:avLst/>
                    </a:prstGeom>
                    <a:noFill/>
                  </pic:spPr>
                </pic:pic>
              </a:graphicData>
            </a:graphic>
          </wp:anchor>
        </w:drawing>
      </w:r>
    </w:p>
    <w:sectPr>
      <w:pgSz w:w="11900" w:h="16838" w:orient="portrait"/>
      <w:cols w:equalWidth="0" w:num="1">
        <w:col w:w="9019"/>
      </w:cols>
      <w:pgMar w:left="1440" w:top="2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1:"/>
      <w:numFmt w:val="upperLetter"/>
      <w:start w:val="5"/>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1)"/>
      <w:numFmt w:val="decimal"/>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1)"/>
      <w:numFmt w:val="decimal"/>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1)"/>
      <w:numFmt w:val="decimal"/>
      <w:start w:val="1"/>
    </w:lvl>
  </w:abstractNum>
  <w:abstractNum w:abstractNumId="38">
    <w:nsid w:val="540A471C"/>
    <w:multiLevelType w:val="hybridMultilevel"/>
    <w:lvl w:ilvl="0">
      <w:lvlJc w:val="left"/>
      <w:lvlText w:val="(%1)"/>
      <w:numFmt w:val="decimal"/>
      <w:start w:val="1"/>
    </w:lvl>
  </w:abstractNum>
  <w:abstractNum w:abstractNumId="39">
    <w:nsid w:val="7BD3EE7B"/>
    <w:multiLevelType w:val="hybridMultilevel"/>
    <w:lvl w:ilvl="0">
      <w:lvlJc w:val="left"/>
      <w:lvlText w:val="(%1)"/>
      <w:numFmt w:val="decimal"/>
      <w:start w:val="3"/>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1)"/>
      <w:numFmt w:val="decimal"/>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lowerRoman"/>
      <w:start w:val="3"/>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decimal"/>
      <w:start w:val="1"/>
    </w:lvl>
  </w:abstractNum>
  <w:abstractNum w:abstractNumId="52">
    <w:nsid w:val="6A5EE64"/>
    <w:multiLevelType w:val="hybridMultilevel"/>
    <w:lvl w:ilvl="0">
      <w:lvlJc w:val="left"/>
      <w:lvlText w:val="(%1)"/>
      <w:numFmt w:val="lowerRoman"/>
      <w:start w:val="1"/>
    </w:lvl>
  </w:abstractNum>
  <w:abstractNum w:abstractNumId="53">
    <w:nsid w:val="14330624"/>
    <w:multiLevelType w:val="hybridMultilevel"/>
    <w:lvl w:ilvl="0">
      <w:lvlJc w:val="left"/>
      <w:lvlText w:val="(%1)"/>
      <w:numFmt w:val="decimal"/>
      <w:start w:val="1"/>
    </w:lvl>
  </w:abstractNum>
  <w:abstractNum w:abstractNumId="54">
    <w:nsid w:val="7FFFCA11"/>
    <w:multiLevelType w:val="hybridMultilevel"/>
    <w:lvl w:ilvl="0">
      <w:lvlJc w:val="left"/>
      <w:lvlText w:val="(%1)"/>
      <w:numFmt w:val="decimal"/>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1)"/>
      <w:numFmt w:val="decimal"/>
      <w:start w:val="1"/>
    </w:lvl>
  </w:abstractNum>
  <w:abstractNum w:abstractNumId="57">
    <w:nsid w:val="100F59DC"/>
    <w:multiLevelType w:val="hybridMultilevel"/>
    <w:lvl w:ilvl="0">
      <w:lvlJc w:val="left"/>
      <w:lvlText w:val="(%1)"/>
      <w:numFmt w:val="decimal"/>
      <w:start w:val="6"/>
    </w:lvl>
  </w:abstractNum>
  <w:abstractNum w:abstractNumId="58">
    <w:nsid w:val="7FB7E0AA"/>
    <w:multiLevelType w:val="hybridMultilevel"/>
    <w:lvl w:ilvl="0">
      <w:lvlJc w:val="left"/>
      <w:lvlText w:val="(%1)"/>
      <w:numFmt w:val="decimal"/>
      <w:start w:val="1"/>
    </w:lvl>
  </w:abstractNum>
  <w:abstractNum w:abstractNumId="59">
    <w:nsid w:val="6EB5BD4"/>
    <w:multiLevelType w:val="hybridMultilevel"/>
    <w:lvl w:ilvl="0">
      <w:lvlJc w:val="left"/>
      <w:lvlText w:val="(%1)"/>
      <w:numFmt w:val="lowerRoman"/>
      <w:start w:val="2"/>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decimal"/>
      <w:start w:val="4"/>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decimal"/>
      <w:start w:val="17"/>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1)"/>
      <w:numFmt w:val="decimal"/>
      <w:start w:val="4"/>
    </w:lvl>
  </w:abstractNum>
  <w:abstractNum w:abstractNumId="73">
    <w:nsid w:val="39EE015C"/>
    <w:multiLevelType w:val="hybridMultilevel"/>
    <w:lvl w:ilvl="0">
      <w:lvlJc w:val="left"/>
      <w:lvlText w:val="(%1)"/>
      <w:numFmt w:val="decimal"/>
      <w:start w:val="11"/>
    </w:lvl>
  </w:abstractNum>
  <w:abstractNum w:abstractNumId="74">
    <w:nsid w:val="57FC4FBB"/>
    <w:multiLevelType w:val="hybridMultilevel"/>
    <w:lvl w:ilvl="0">
      <w:lvlJc w:val="left"/>
      <w:lvlText w:val="(%1)"/>
      <w:numFmt w:val="decimal"/>
      <w:start w:val="20"/>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1)"/>
      <w:numFmt w:val="lowerLetter"/>
      <w:start w:val="4"/>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1)"/>
      <w:numFmt w:val="lowerRoman"/>
      <w:start w:val="1"/>
    </w:lvl>
  </w:abstractNum>
  <w:abstractNum w:abstractNumId="81">
    <w:nsid w:val="7055A5F5"/>
    <w:multiLevelType w:val="hybridMultilevel"/>
    <w:lvl w:ilvl="0">
      <w:lvlJc w:val="left"/>
      <w:lvlText w:val="(%1)"/>
      <w:numFmt w:val="decimal"/>
      <w:start w:val="4"/>
    </w:lvl>
  </w:abstractNum>
  <w:abstractNum w:abstractNumId="82">
    <w:nsid w:val="5FB8370B"/>
    <w:multiLevelType w:val="hybridMultilevel"/>
    <w:lvl w:ilvl="0">
      <w:lvlJc w:val="left"/>
      <w:lvlText w:val="%1."/>
      <w:numFmt w:val="decimal"/>
      <w:start w:val="15"/>
    </w:lvl>
  </w:abstractNum>
  <w:abstractNum w:abstractNumId="83">
    <w:nsid w:val="50801EE1"/>
    <w:multiLevelType w:val="hybridMultilevel"/>
    <w:lvl w:ilvl="0">
      <w:lvlJc w:val="left"/>
      <w:lvlText w:val="%1."/>
      <w:numFmt w:val="decimal"/>
      <w:start w:val="2"/>
    </w:lvl>
  </w:abstractNum>
  <w:abstractNum w:abstractNumId="84">
    <w:nsid w:val="488AC1A"/>
    <w:multiLevelType w:val="hybridMultilevel"/>
    <w:lvl w:ilvl="0">
      <w:lvlJc w:val="left"/>
      <w:lvlText w:val="(%1)"/>
      <w:numFmt w:val="lowerRoman"/>
      <w:start w:val="2"/>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1)"/>
      <w:numFmt w:val="lowerRoman"/>
      <w:start w:val="1"/>
    </w:lvl>
  </w:abstractNum>
  <w:abstractNum w:abstractNumId="87">
    <w:nsid w:val="7672BD23"/>
    <w:multiLevelType w:val="hybridMultilevel"/>
    <w:lvl w:ilvl="0">
      <w:lvlJc w:val="left"/>
      <w:lvlText w:val="(%1)"/>
      <w:numFmt w:val="lowerLetter"/>
      <w:start w:val="3"/>
    </w:lvl>
  </w:abstractNum>
  <w:abstractNum w:abstractNumId="88">
    <w:nsid w:val="6FC75AF8"/>
    <w:multiLevelType w:val="hybridMultilevel"/>
    <w:lvl w:ilvl="0">
      <w:lvlJc w:val="left"/>
      <w:lvlText w:val="%1."/>
      <w:numFmt w:val="decimal"/>
      <w:start w:val="14"/>
    </w:lvl>
  </w:abstractNum>
  <w:abstractNum w:abstractNumId="89">
    <w:nsid w:val="6A5F7029"/>
    <w:multiLevelType w:val="hybridMultilevel"/>
    <w:lvl w:ilvl="0">
      <w:lvlJc w:val="left"/>
      <w:lvlText w:val="%1."/>
      <w:numFmt w:val="decimal"/>
      <w:start w:val="16"/>
    </w:lvl>
  </w:abstractNum>
  <w:abstractNum w:abstractNumId="90">
    <w:nsid w:val="7D5E18F8"/>
    <w:multiLevelType w:val="hybridMultilevel"/>
    <w:lvl w:ilvl="0">
      <w:lvlJc w:val="left"/>
      <w:lvlText w:val="%1."/>
      <w:numFmt w:val="decimal"/>
      <w:start w:val="730"/>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1)"/>
      <w:numFmt w:val="lowerRoman"/>
      <w:start w:val="3"/>
    </w:lvl>
  </w:abstractNum>
  <w:abstractNum w:abstractNumId="93">
    <w:nsid w:val="7DE67713"/>
    <w:multiLevelType w:val="hybridMultilevel"/>
    <w:lvl w:ilvl="0">
      <w:lvlJc w:val="left"/>
      <w:lvlText w:val="•"/>
      <w:numFmt w:val="bullet"/>
      <w:start w:val="1"/>
    </w:lvl>
  </w:abstractNum>
  <w:abstractNum w:abstractNumId="94">
    <w:nsid w:val="555C55B5"/>
    <w:multiLevelType w:val="hybridMultilevel"/>
    <w:lvl w:ilvl="0">
      <w:lvlJc w:val="left"/>
      <w:lvlText w:val="(%1)"/>
      <w:numFmt w:val="upperLetter"/>
      <w:start w:val="1"/>
    </w:lvl>
  </w:abstractNum>
  <w:abstractNum w:abstractNumId="95">
    <w:nsid w:val="3FA62ACA"/>
    <w:multiLevelType w:val="hybridMultilevel"/>
    <w:lvl w:ilvl="0">
      <w:lvlJc w:val="left"/>
      <w:lvlText w:val="(%1)"/>
      <w:numFmt w:val="upperLetter"/>
      <w:start w:val="1"/>
    </w:lvl>
  </w:abstractNum>
  <w:abstractNum w:abstractNumId="96">
    <w:nsid w:val="14FCE74E"/>
    <w:multiLevelType w:val="hybridMultilevel"/>
    <w:lvl w:ilvl="0">
      <w:lvlJc w:val="left"/>
      <w:lvlText w:val="(%1)"/>
      <w:numFmt w:val="lowerRoman"/>
      <w:start w:val="1"/>
    </w:lvl>
  </w:abstractNum>
  <w:abstractNum w:abstractNumId="97">
    <w:nsid w:val="6A3DD3E8"/>
    <w:multiLevelType w:val="hybridMultilevel"/>
    <w:lvl w:ilvl="0">
      <w:lvlJc w:val="left"/>
      <w:lvlText w:val="A"/>
      <w:numFmt w:val="bullet"/>
      <w:start w:val="1"/>
    </w:lvl>
  </w:abstractNum>
  <w:abstractNum w:abstractNumId="98">
    <w:nsid w:val="71C91298"/>
    <w:multiLevelType w:val="hybridMultilevel"/>
    <w:lvl w:ilvl="0">
      <w:lvlJc w:val="left"/>
      <w:lvlText w:val="B"/>
      <w:numFmt w:val="bullet"/>
      <w:start w:val="1"/>
    </w:lvl>
  </w:abstractNum>
  <w:abstractNum w:abstractNumId="99">
    <w:nsid w:val="9DAF632"/>
    <w:multiLevelType w:val="hybridMultilevel"/>
    <w:lvl w:ilvl="0">
      <w:lvlJc w:val="left"/>
      <w:lvlText w:val="C"/>
      <w:numFmt w:val="bullet"/>
      <w:start w:val="1"/>
    </w:lvl>
  </w:abstractNum>
  <w:abstractNum w:abstractNumId="100">
    <w:nsid w:val="53299938"/>
    <w:multiLevelType w:val="hybridMultilevel"/>
    <w:lvl w:ilvl="0">
      <w:lvlJc w:val="left"/>
      <w:lvlText w:val="D"/>
      <w:numFmt w:val="bullet"/>
      <w:start w:val="1"/>
    </w:lvl>
  </w:abstractNum>
  <w:abstractNum w:abstractNumId="101">
    <w:nsid w:val="1FBFE8E0"/>
    <w:multiLevelType w:val="hybridMultilevel"/>
    <w:lvl w:ilvl="0">
      <w:lvlJc w:val="left"/>
      <w:lvlText w:val="E"/>
      <w:numFmt w:val="bullet"/>
      <w:start w:val="1"/>
    </w:lvl>
  </w:abstractNum>
  <w:abstractNum w:abstractNumId="102">
    <w:nsid w:val="5092CA79"/>
    <w:multiLevelType w:val="hybridMultilevel"/>
    <w:lvl w:ilvl="0">
      <w:lvlJc w:val="left"/>
      <w:lvlText w:val="F"/>
      <w:numFmt w:val="bullet"/>
      <w:start w:val="1"/>
    </w:lvl>
  </w:abstractNum>
  <w:abstractNum w:abstractNumId="103">
    <w:nsid w:val="1D545C4D"/>
    <w:multiLevelType w:val="hybridMultilevel"/>
    <w:lvl w:ilvl="0">
      <w:lvlJc w:val="left"/>
      <w:lvlText w:val="G"/>
      <w:numFmt w:val="bullet"/>
      <w:start w:val="1"/>
    </w:lvl>
  </w:abstractNum>
  <w:abstractNum w:abstractNumId="104">
    <w:nsid w:val="59ADEA3D"/>
    <w:multiLevelType w:val="hybridMultilevel"/>
    <w:lvl w:ilvl="0">
      <w:lvlJc w:val="left"/>
      <w:lvlText w:val="H"/>
      <w:numFmt w:val="bullet"/>
      <w:start w:val="1"/>
    </w:lvl>
  </w:abstractNum>
  <w:abstractNum w:abstractNumId="105">
    <w:nsid w:val="288F1A34"/>
    <w:multiLevelType w:val="hybridMultilevel"/>
    <w:lvl w:ilvl="0">
      <w:lvlJc w:val="left"/>
      <w:lvlText w:val="I"/>
      <w:numFmt w:val="bullet"/>
      <w:start w:val="1"/>
    </w:lvl>
  </w:abstractNum>
  <w:abstractNum w:abstractNumId="106">
    <w:nsid w:val="2A155DBC"/>
    <w:multiLevelType w:val="hybridMultilevel"/>
    <w:lvl w:ilvl="0">
      <w:lvlJc w:val="left"/>
      <w:lvlText w:val="J"/>
      <w:numFmt w:val="bullet"/>
      <w:start w:val="1"/>
    </w:lvl>
  </w:abstractNum>
  <w:abstractNum w:abstractNumId="107">
    <w:nsid w:val="1D9F6E5F"/>
    <w:multiLevelType w:val="hybridMultilevel"/>
    <w:lvl w:ilvl="0">
      <w:lvlJc w:val="left"/>
      <w:lvlText w:val="K"/>
      <w:numFmt w:val="bullet"/>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2024-10-01T15:50:59Z</dcterms:created>
  <dcterms:modified xsi:type="dcterms:W3CDTF">2024-10-01T15:50:59Z</dcterms:modified>
</cp:coreProperties>
</file>