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40"/>
          </w:cols>
          <w:pgMar w:left="240" w:top="544"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001-37798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26-1622110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2960" w:space="720"/>
            <w:col w:w="2320"/>
          </w:cols>
          <w:pgMar w:left="240" w:top="544" w:right="419" w:bottom="0" w:gutter="0" w:footer="0" w:header="0"/>
          <w:type w:val="continuous"/>
        </w:sectPr>
      </w:pPr>
    </w:p>
    <w:p>
      <w:pPr>
        <w:spacing w:after="0" w:line="1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480 Arsenal Street, Building One</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40"/>
          </w:cols>
          <w:pgMar w:left="240" w:top="544" w:right="4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660"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300" w:hanging="662"/>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300" w:hanging="662"/>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300" w:hanging="662"/>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300" w:hanging="662"/>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340" w:firstLine="648"/>
        <w:spacing w:after="0" w:line="308" w:lineRule="auto"/>
        <w:rPr>
          <w:sz w:val="20"/>
          <w:szCs w:val="20"/>
          <w:color w:val="auto"/>
        </w:rPr>
      </w:pPr>
      <w:r>
        <w:rPr>
          <w:rFonts w:ascii="Arial" w:cs="Arial" w:eastAsia="Arial" w:hAnsi="Arial"/>
          <w:sz w:val="17"/>
          <w:szCs w:val="17"/>
          <w:color w:val="auto"/>
        </w:rPr>
        <w:t>On July 29, 2016, the Board of Directors (the “Board”) of Selecta Biosciences, Inc. (the “Company”) elected Timothy C. Barabe as a Class III director of the Company. Mr. Barabe has been appointed to serve on the Audit Committee of the Board (the “Audit Committee”).</w:t>
      </w:r>
    </w:p>
    <w:p>
      <w:pPr>
        <w:spacing w:after="0" w:line="147"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Mr. Barabe will participate in the Company’s standard compensation program for non-employee directors, including an annual retainer of $35,000, an additional annual retainer of $7,500 for Mr. Barabe’s service on the Audit Committee, and an initial award of options to purchase 12,820 shares of the Company’s common stock (the “Initial Award”). The Initial Award has an exercise price equal to $10.99, the fair market value of a share of the Company’s common stock on the date of grant, and will vest and become exercisable in substantially equal monthly installments over three years following the date of grant, subject to Mr. Barabe’s continued service on the Board through each such vesting date. Mr. Barabe has also entered into the Company’s standard indemnification agreement for directors and officers.</w:t>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544" w:right="41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1, 2016</w:t>
            </w:r>
          </w:p>
        </w:tc>
        <w:tc>
          <w:tcPr>
            <w:tcW w:w="7820" w:type="dxa"/>
            <w:vAlign w:val="bottom"/>
            <w:gridSpan w:val="2"/>
          </w:tcPr>
          <w:p>
            <w:pPr>
              <w:ind w:left="2120"/>
              <w:spacing w:after="0"/>
              <w:rPr>
                <w:sz w:val="20"/>
                <w:szCs w:val="20"/>
                <w:color w:val="auto"/>
              </w:rPr>
            </w:pPr>
            <w:r>
              <w:rPr>
                <w:rFonts w:ascii="Arial" w:cs="Arial" w:eastAsia="Arial" w:hAnsi="Arial"/>
                <w:sz w:val="18"/>
                <w:szCs w:val="18"/>
                <w:color w:val="auto"/>
              </w:rPr>
              <w:t>By:   /s/ Werner Cautreels, Ph.D.</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Werner Cautreels, Ph.D.</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2019-12-08T19:02:47Z</dcterms:created>
  <dcterms:modified xsi:type="dcterms:W3CDTF">2019-12-08T19:02:47Z</dcterms:modified>
</cp:coreProperties>
</file>