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220" w:right="10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RUSNANO</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Russian Federation</w:t>
      </w:r>
    </w:p>
    <w:p>
      <w:pPr>
        <w:spacing w:after="0" w:line="24" w:lineRule="exact"/>
        <w:rPr>
          <w:sz w:val="20"/>
          <w:szCs w:val="20"/>
          <w:color w:val="auto"/>
        </w:rPr>
      </w:pPr>
    </w:p>
    <w:p>
      <w:pPr>
        <w:ind w:left="1240"/>
        <w:spacing w:after="0"/>
        <w:tabs>
          <w:tab w:leader="none" w:pos="15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7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3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1,118,368*</w:t>
            </w:r>
          </w:p>
        </w:tc>
        <w:tc>
          <w:tcPr>
            <w:tcW w:w="0" w:type="dxa"/>
            <w:vAlign w:val="bottom"/>
          </w:tcPr>
          <w:p>
            <w:pPr>
              <w:spacing w:after="0"/>
              <w:rPr>
                <w:sz w:val="1"/>
                <w:szCs w:val="1"/>
                <w:color w:val="auto"/>
              </w:rPr>
            </w:pPr>
          </w:p>
        </w:tc>
      </w:tr>
      <w:tr>
        <w:trPr>
          <w:trHeight w:val="48"/>
        </w:trPr>
        <w:tc>
          <w:tcPr>
            <w:tcW w:w="920" w:type="dxa"/>
            <w:vAlign w:val="bottom"/>
            <w:vMerge w:val="continue"/>
          </w:tcPr>
          <w:p>
            <w:pPr>
              <w:spacing w:after="0"/>
              <w:rPr>
                <w:sz w:val="4"/>
                <w:szCs w:val="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vMerge w:val="continue"/>
          </w:tcPr>
          <w:p>
            <w:pPr>
              <w:spacing w:after="0"/>
              <w:rPr>
                <w:sz w:val="15"/>
                <w:szCs w:val="15"/>
                <w:color w:val="auto"/>
              </w:rPr>
            </w:pPr>
          </w:p>
        </w:tc>
        <w:tc>
          <w:tcPr>
            <w:tcW w:w="9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9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34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21"/>
                <w:szCs w:val="21"/>
                <w:color w:val="auto"/>
              </w:rPr>
            </w:pPr>
          </w:p>
        </w:tc>
        <w:tc>
          <w:tcPr>
            <w:tcW w:w="9980" w:type="dxa"/>
            <w:vAlign w:val="bottom"/>
          </w:tcPr>
          <w:p>
            <w:pPr>
              <w:ind w:left="80"/>
              <w:spacing w:after="0" w:line="244" w:lineRule="exact"/>
              <w:rPr>
                <w:sz w:val="20"/>
                <w:szCs w:val="20"/>
                <w:color w:val="auto"/>
              </w:rPr>
            </w:pPr>
            <w:r>
              <w:rPr>
                <w:rFonts w:ascii="Arial" w:cs="Arial" w:eastAsia="Arial" w:hAnsi="Arial"/>
                <w:sz w:val="22"/>
                <w:szCs w:val="22"/>
                <w:color w:val="auto"/>
              </w:rPr>
              <w:t>1,118,368*</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1,118,368*</w:t>
      </w:r>
    </w:p>
    <w:p>
      <w:pPr>
        <w:spacing w:after="0" w:line="24" w:lineRule="exact"/>
        <w:rPr>
          <w:sz w:val="20"/>
          <w:szCs w:val="20"/>
          <w:color w:val="auto"/>
        </w:rPr>
      </w:pPr>
    </w:p>
    <w:p>
      <w:pPr>
        <w:ind w:left="540" w:hanging="37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79" w:lineRule="exact"/>
        <w:rPr>
          <w:rFonts w:ascii="Arial" w:cs="Arial" w:eastAsia="Arial" w:hAnsi="Arial"/>
          <w:sz w:val="18"/>
          <w:szCs w:val="18"/>
          <w:color w:val="auto"/>
        </w:rPr>
      </w:pPr>
    </w:p>
    <w:p>
      <w:pPr>
        <w:ind w:left="540" w:hanging="37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5.0%**</w:t>
      </w:r>
    </w:p>
    <w:p>
      <w:pPr>
        <w:spacing w:after="0" w:line="2" w:lineRule="exact"/>
        <w:rPr>
          <w:sz w:val="20"/>
          <w:szCs w:val="20"/>
          <w:color w:val="auto"/>
        </w:rPr>
      </w:pPr>
    </w:p>
    <w:p>
      <w:pPr>
        <w:ind w:left="540" w:hanging="375"/>
        <w:spacing w:after="0"/>
        <w:tabs>
          <w:tab w:leader="none" w:pos="540" w:val="left"/>
        </w:tabs>
        <w:numPr>
          <w:ilvl w:val="0"/>
          <w:numId w:val="7"/>
        </w:numPr>
        <w:rPr>
          <w:rFonts w:ascii="Arial" w:cs="Arial" w:eastAsia="Arial" w:hAnsi="Arial"/>
          <w:sz w:val="22"/>
          <w:szCs w:val="22"/>
          <w:color w:val="auto"/>
        </w:rPr>
      </w:pPr>
      <w:r>
        <w:rPr>
          <w:rFonts w:ascii="Arial" w:cs="Arial" w:eastAsia="Arial" w:hAnsi="Arial"/>
          <w:sz w:val="18"/>
          <w:szCs w:val="18"/>
          <w:color w:val="auto"/>
        </w:rPr>
        <w:t>Type of Reporting Person</w:t>
      </w:r>
    </w:p>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13,103 shares which may be acquired by RUSNANO pursuant to an outstanding warrant exercisable within 60 days December 31, 2017.</w:t>
      </w:r>
    </w:p>
    <w:p>
      <w:pPr>
        <w:spacing w:after="0" w:line="3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Based on 22,336,576 outstanding shares of Common Stock of the Issuer on November 3, 2017 as listed in the Issuer’s 10Q filed on November 7, 2017.</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(a)</w:t>
      </w:r>
      <w:r>
        <w:rPr>
          <w:sz w:val="20"/>
          <w:szCs w:val="20"/>
          <w:color w:val="auto"/>
        </w:rPr>
        <w:tab/>
      </w:r>
      <w:r>
        <w:rPr>
          <w:rFonts w:ascii="Arial" w:cs="Arial" w:eastAsia="Arial" w:hAnsi="Arial"/>
          <w:sz w:val="16"/>
          <w:szCs w:val="16"/>
          <w:color w:val="auto"/>
        </w:rPr>
        <w:t>Name of Issuer: Selecta Biosciences, Inc.</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color w:val="auto"/>
        </w:rPr>
        <w:t>Address of Issuer’s Principal Executive Offices: 480 Arsenal Way, Watertown, MA 02472</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color w:val="auto"/>
        </w:rPr>
        <w:t>Name of Person Filing: RUSNANO</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6"/>
          <w:szCs w:val="16"/>
          <w:color w:val="auto"/>
        </w:rPr>
        <w:t>Address of Principal Business Office or, if none, Residence: 10A prospect 60-letiya Oktyabrya, 117036 Moscow, Russian Federation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color w:val="auto"/>
        </w:rPr>
        <w:t>Citizenship: Russian Federation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color w:val="auto"/>
        </w:rPr>
        <w:t>Title of Class of Securities: Common Stock, $0.0001 par value per share</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6"/>
          <w:szCs w:val="16"/>
          <w:color w:val="auto"/>
        </w:rPr>
        <w:t>CUSIP Number: 816212104</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88" w:lineRule="exact"/>
        <w:rPr>
          <w:sz w:val="20"/>
          <w:szCs w:val="20"/>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60" w:hanging="593"/>
        <w:spacing w:after="0" w:line="239" w:lineRule="exact"/>
        <w:tabs>
          <w:tab w:leader="none" w:pos="79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800" w:hanging="333"/>
        <w:spacing w:after="0" w:line="207" w:lineRule="exact"/>
        <w:tabs>
          <w:tab w:leader="none" w:pos="8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117" w:lineRule="exact"/>
        <w:rPr>
          <w:rFonts w:ascii="Arial" w:cs="Arial" w:eastAsia="Arial" w:hAnsi="Arial"/>
          <w:sz w:val="18"/>
          <w:szCs w:val="18"/>
          <w:color w:val="auto"/>
        </w:rPr>
      </w:pPr>
    </w:p>
    <w:p>
      <w:pPr>
        <w:ind w:left="80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this statement is filed pursuant to Rule 13d-1(c), check this box.</w:t>
      </w:r>
    </w:p>
    <w:p>
      <w:pPr>
        <w:spacing w:after="0" w:line="200" w:lineRule="exact"/>
        <w:rPr>
          <w:sz w:val="20"/>
          <w:szCs w:val="20"/>
          <w:color w:val="auto"/>
        </w:rPr>
      </w:pP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1,118,368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1,118,368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1,118,368 shares*</w:t>
      </w:r>
    </w:p>
    <w:p>
      <w:pPr>
        <w:sectPr>
          <w:pgSz w:w="11900" w:h="16838" w:orient="portrait"/>
          <w:cols w:equalWidth="0" w:num="1">
            <w:col w:w="11200"/>
          </w:cols>
          <w:pgMar w:left="240" w:top="270" w:right="459" w:bottom="1440" w:gutter="0" w:footer="0" w:header="0"/>
        </w:sectPr>
      </w:pPr>
    </w:p>
    <w:bookmarkStart w:id="3" w:name="page4"/>
    <w:bookmarkEnd w:id="3"/>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power to dispose or to direct the disposition of: 0 shares</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Includes 13,103 shares which may be acquired by RUSNANO pursuant to an outstanding warrant exercisable within 60 days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400"/>
          </w:cols>
          <w:pgMar w:left="240" w:top="274"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Yury Udaltsov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Yury Udaltsov, Deputy Chairman of the Management Board of</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Management Company RUSNANO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
      <w:numFmt w:val="bullet"/>
      <w:start w:val="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2019-12-07T15:10:47Z</dcterms:created>
  <dcterms:modified xsi:type="dcterms:W3CDTF">2019-12-07T15:10:47Z</dcterms:modified>
</cp:coreProperties>
</file>