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0001453687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MASSACHUSETTS</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480 ARSENAL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WATERTOWN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BUILDING ONE</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02472</w:t>
      </w:r>
      <w:r>
        <w:rPr>
          <w:sz w:val="20"/>
          <w:szCs w:val="20"/>
          <w:color w:val="auto"/>
        </w:rPr>
        <w:tab/>
      </w:r>
      <w:r>
        <w:rPr>
          <w:rFonts w:ascii="Arial" w:cs="Arial" w:eastAsia="Arial" w:hAnsi="Arial"/>
          <w:sz w:val="22"/>
          <w:szCs w:val="22"/>
          <w:color w:val="auto"/>
        </w:rPr>
        <w:t>6179231400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Cautreels</w:t>
            </w:r>
          </w:p>
        </w:tc>
        <w:tc>
          <w:tcPr>
            <w:tcW w:w="1220" w:type="dxa"/>
            <w:vAlign w:val="bottom"/>
          </w:tcPr>
          <w:p>
            <w:pPr>
              <w:ind w:left="500"/>
              <w:spacing w:after="0"/>
              <w:rPr>
                <w:sz w:val="20"/>
                <w:szCs w:val="20"/>
                <w:color w:val="auto"/>
              </w:rPr>
            </w:pPr>
            <w:r>
              <w:rPr>
                <w:rFonts w:ascii="Arial" w:cs="Arial" w:eastAsia="Arial" w:hAnsi="Arial"/>
                <w:sz w:val="22"/>
                <w:szCs w:val="22"/>
                <w:color w:val="auto"/>
                <w:w w:val="96"/>
              </w:rPr>
              <w:t>Werner</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Farokhzad</w:t>
            </w:r>
          </w:p>
        </w:tc>
        <w:tc>
          <w:tcPr>
            <w:tcW w:w="1220" w:type="dxa"/>
            <w:vAlign w:val="bottom"/>
          </w:tcPr>
          <w:p>
            <w:pPr>
              <w:ind w:left="500"/>
              <w:spacing w:after="0"/>
              <w:rPr>
                <w:sz w:val="20"/>
                <w:szCs w:val="20"/>
                <w:color w:val="auto"/>
              </w:rPr>
            </w:pPr>
            <w:r>
              <w:rPr>
                <w:rFonts w:ascii="Arial" w:cs="Arial" w:eastAsia="Arial" w:hAnsi="Arial"/>
                <w:sz w:val="22"/>
                <w:szCs w:val="22"/>
                <w:color w:val="auto"/>
              </w:rPr>
              <w:t>Omid</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Gordon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Carl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Hutt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Barton</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Kania, Jr.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3"/>
              </w:rPr>
              <w:t>Edwin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Langer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Nashat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Amir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Sallin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Aymeric</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Siber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George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02472</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Udaltsov</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Yuriy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02472</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Abraham</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02472</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Siewers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02472</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200" w:type="dxa"/>
            <w:vAlign w:val="bottom"/>
            <w:gridSpan w:val="2"/>
          </w:tcPr>
          <w:p>
            <w:pPr>
              <w:ind w:left="78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vMerge w:val="restart"/>
          </w:tcPr>
          <w:p>
            <w:pPr>
              <w:jc w:val="center"/>
              <w:ind w:right="32"/>
              <w:spacing w:after="0"/>
              <w:rPr>
                <w:sz w:val="20"/>
                <w:szCs w:val="20"/>
                <w:color w:val="auto"/>
              </w:rPr>
            </w:pPr>
            <w:r>
              <w:rPr>
                <w:rFonts w:ascii="Arial" w:cs="Arial" w:eastAsia="Arial" w:hAnsi="Arial"/>
                <w:sz w:val="22"/>
                <w:szCs w:val="22"/>
                <w:color w:val="auto"/>
                <w:w w:val="90"/>
              </w:rPr>
              <w:t>Hospitals &amp; Physicians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0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Pharmaceuticals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Investment Banking</w:t>
            </w:r>
          </w:p>
        </w:tc>
        <w:tc>
          <w:tcPr>
            <w:tcW w:w="8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Pooled Investment Fund</w:t>
            </w:r>
          </w:p>
        </w:tc>
        <w:tc>
          <w:tcPr>
            <w:tcW w:w="840" w:type="dxa"/>
            <w:vAlign w:val="bottom"/>
          </w:tcPr>
          <w:p>
            <w:pPr>
              <w:spacing w:after="0"/>
              <w:rPr>
                <w:sz w:val="24"/>
                <w:szCs w:val="24"/>
                <w:color w:val="auto"/>
              </w:rPr>
            </w:pPr>
          </w:p>
        </w:tc>
        <w:tc>
          <w:tcPr>
            <w:tcW w:w="2360" w:type="dxa"/>
            <w:vAlign w:val="bottom"/>
          </w:tcPr>
          <w:p>
            <w:pPr>
              <w:ind w:left="100"/>
              <w:spacing w:after="0"/>
              <w:rPr>
                <w:sz w:val="20"/>
                <w:szCs w:val="20"/>
                <w:color w:val="auto"/>
              </w:rPr>
            </w:pPr>
            <w:r>
              <w:rPr>
                <w:rFonts w:ascii="Arial" w:cs="Arial" w:eastAsia="Arial" w:hAnsi="Arial"/>
                <w:sz w:val="22"/>
                <w:szCs w:val="22"/>
                <w:color w:val="auto"/>
              </w:rPr>
              <w:t>Other Health Care</w:t>
            </w:r>
          </w:p>
        </w:tc>
        <w:tc>
          <w:tcPr>
            <w:tcW w:w="5020" w:type="dxa"/>
            <w:vAlign w:val="bottom"/>
          </w:tcPr>
          <w:p>
            <w:pPr>
              <w:ind w:left="3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293"/>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Is the issuer registered as</w:t>
            </w: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Manufacturing</w:t>
            </w:r>
          </w:p>
        </w:tc>
        <w:tc>
          <w:tcPr>
            <w:tcW w:w="5020" w:type="dxa"/>
            <w:vAlign w:val="bottom"/>
          </w:tcPr>
          <w:p>
            <w:pPr>
              <w:ind w:left="1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83"/>
        </w:trPr>
        <w:tc>
          <w:tcPr>
            <w:tcW w:w="3200" w:type="dxa"/>
            <w:vAlign w:val="bottom"/>
            <w:gridSpan w:val="2"/>
          </w:tcPr>
          <w:p>
            <w:pPr>
              <w:ind w:left="460"/>
              <w:spacing w:after="0"/>
              <w:rPr>
                <w:sz w:val="20"/>
                <w:szCs w:val="20"/>
                <w:color w:val="auto"/>
              </w:rPr>
            </w:pPr>
            <w:r>
              <w:rPr>
                <w:rFonts w:ascii="Arial" w:cs="Arial" w:eastAsia="Arial" w:hAnsi="Arial"/>
                <w:sz w:val="22"/>
                <w:szCs w:val="22"/>
                <w:color w:val="auto"/>
                <w:w w:val="92"/>
              </w:rPr>
              <w:t>an investment company under</w:t>
            </w: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Real Estate</w:t>
            </w:r>
          </w:p>
        </w:tc>
        <w:tc>
          <w:tcPr>
            <w:tcW w:w="5020" w:type="dxa"/>
            <w:vAlign w:val="bottom"/>
          </w:tcPr>
          <w:p>
            <w:pPr>
              <w:ind w:left="3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-9751695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-9751695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-7882255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-7882255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-6012815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-6012815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-4143375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-4143375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-2273935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-2273935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3860" w:type="dxa"/>
            <w:vAlign w:val="bottom"/>
            <w:gridSpan w:val="2"/>
          </w:tcPr>
          <w:p>
            <w:pPr>
              <w:ind w:left="460"/>
              <w:spacing w:after="0"/>
              <w:rPr>
                <w:sz w:val="20"/>
                <w:szCs w:val="20"/>
                <w:color w:val="auto"/>
              </w:rPr>
            </w:pPr>
            <w:r>
              <w:rPr>
                <w:rFonts w:ascii="Arial" w:cs="Arial" w:eastAsia="Arial" w:hAnsi="Arial"/>
                <w:sz w:val="22"/>
                <w:szCs w:val="22"/>
                <w:color w:val="auto"/>
              </w:rPr>
              <w:t>the Investment Company</w:t>
            </w:r>
          </w:p>
        </w:tc>
        <w:tc>
          <w:tcPr>
            <w:tcW w:w="2240" w:type="dxa"/>
            <w:vAlign w:val="bottom"/>
          </w:tcPr>
          <w:p>
            <w:pPr>
              <w:ind w:left="280"/>
              <w:spacing w:after="0"/>
              <w:rPr>
                <w:sz w:val="20"/>
                <w:szCs w:val="20"/>
                <w:color w:val="auto"/>
              </w:rPr>
            </w:pPr>
            <w:r>
              <w:rPr>
                <w:rFonts w:ascii="Arial" w:cs="Arial" w:eastAsia="Arial" w:hAnsi="Arial"/>
                <w:sz w:val="22"/>
                <w:szCs w:val="22"/>
                <w:color w:val="auto"/>
              </w:rPr>
              <w:t>Commercial</w:t>
            </w:r>
          </w:p>
        </w:tc>
        <w:tc>
          <w:tcPr>
            <w:tcW w:w="3200" w:type="dxa"/>
            <w:vAlign w:val="bottom"/>
          </w:tcPr>
          <w:p>
            <w:pPr>
              <w:ind w:left="6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275"/>
        </w:trPr>
        <w:tc>
          <w:tcPr>
            <w:tcW w:w="2560" w:type="dxa"/>
            <w:vAlign w:val="bottom"/>
          </w:tcPr>
          <w:p>
            <w:pPr>
              <w:ind w:left="460"/>
              <w:spacing w:after="0"/>
              <w:rPr>
                <w:sz w:val="20"/>
                <w:szCs w:val="20"/>
                <w:color w:val="auto"/>
              </w:rPr>
            </w:pPr>
            <w:r>
              <w:rPr>
                <w:rFonts w:ascii="Arial" w:cs="Arial" w:eastAsia="Arial" w:hAnsi="Arial"/>
                <w:sz w:val="22"/>
                <w:szCs w:val="22"/>
                <w:color w:val="auto"/>
              </w:rPr>
              <w:t>Act of 1940?</w:t>
            </w:r>
          </w:p>
        </w:tc>
        <w:tc>
          <w:tcPr>
            <w:tcW w:w="1300" w:type="dxa"/>
            <w:vAlign w:val="bottom"/>
          </w:tcPr>
          <w:p>
            <w:pPr>
              <w:spacing w:after="0"/>
              <w:rPr>
                <w:sz w:val="23"/>
                <w:szCs w:val="23"/>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Construction</w:t>
            </w:r>
          </w:p>
        </w:tc>
        <w:tc>
          <w:tcPr>
            <w:tcW w:w="3200" w:type="dxa"/>
            <w:vAlign w:val="bottom"/>
            <w:vMerge w:val="restart"/>
          </w:tcPr>
          <w:p>
            <w:pPr>
              <w:ind w:left="680"/>
              <w:spacing w:after="0"/>
              <w:rPr>
                <w:sz w:val="20"/>
                <w:szCs w:val="20"/>
                <w:color w:val="auto"/>
              </w:rPr>
            </w:pPr>
            <w:r>
              <w:rPr>
                <w:rFonts w:ascii="Arial" w:cs="Arial" w:eastAsia="Arial" w:hAnsi="Arial"/>
                <w:sz w:val="22"/>
                <w:szCs w:val="22"/>
                <w:color w:val="auto"/>
                <w:w w:val="96"/>
              </w:rPr>
              <w:t>Tourism &amp; Travel Services</w:t>
            </w:r>
          </w:p>
        </w:tc>
        <w:tc>
          <w:tcPr>
            <w:tcW w:w="0" w:type="dxa"/>
            <w:vAlign w:val="bottom"/>
          </w:tcPr>
          <w:p>
            <w:pPr>
              <w:spacing w:after="0"/>
              <w:rPr>
                <w:sz w:val="1"/>
                <w:szCs w:val="1"/>
                <w:color w:val="auto"/>
              </w:rPr>
            </w:pPr>
          </w:p>
        </w:tc>
      </w:tr>
      <w:tr>
        <w:trPr>
          <w:trHeight w:val="135"/>
        </w:trPr>
        <w:tc>
          <w:tcPr>
            <w:tcW w:w="2560" w:type="dxa"/>
            <w:vAlign w:val="bottom"/>
            <w:vMerge w:val="restart"/>
          </w:tcPr>
          <w:p>
            <w:pPr>
              <w:ind w:left="960"/>
              <w:spacing w:after="0"/>
              <w:rPr>
                <w:sz w:val="20"/>
                <w:szCs w:val="20"/>
                <w:color w:val="auto"/>
              </w:rPr>
            </w:pPr>
            <w:r>
              <w:rPr>
                <w:rFonts w:ascii="Arial" w:cs="Arial" w:eastAsia="Arial" w:hAnsi="Arial"/>
                <w:sz w:val="22"/>
                <w:szCs w:val="22"/>
                <w:color w:val="auto"/>
              </w:rPr>
              <w:t>Yes</w:t>
            </w:r>
          </w:p>
        </w:tc>
        <w:tc>
          <w:tcPr>
            <w:tcW w:w="1300" w:type="dxa"/>
            <w:vAlign w:val="bottom"/>
            <w:vMerge w:val="restart"/>
          </w:tcPr>
          <w:p>
            <w:pPr>
              <w:ind w:left="40"/>
              <w:spacing w:after="0"/>
              <w:rPr>
                <w:sz w:val="20"/>
                <w:szCs w:val="20"/>
                <w:color w:val="auto"/>
              </w:rPr>
            </w:pPr>
            <w:r>
              <w:rPr>
                <w:rFonts w:ascii="Arial" w:cs="Arial" w:eastAsia="Arial" w:hAnsi="Arial"/>
                <w:sz w:val="22"/>
                <w:szCs w:val="22"/>
                <w:color w:val="auto"/>
              </w:rPr>
              <w:t>No</w:t>
            </w:r>
          </w:p>
        </w:tc>
        <w:tc>
          <w:tcPr>
            <w:tcW w:w="2240" w:type="dxa"/>
            <w:vAlign w:val="bottom"/>
            <w:vMerge w:val="continue"/>
          </w:tcPr>
          <w:p>
            <w:pPr>
              <w:spacing w:after="0"/>
              <w:rPr>
                <w:sz w:val="11"/>
                <w:szCs w:val="11"/>
                <w:color w:val="auto"/>
              </w:rPr>
            </w:pP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REITS &amp; Finance</w:t>
            </w:r>
          </w:p>
        </w:tc>
        <w:tc>
          <w:tcPr>
            <w:tcW w:w="3200" w:type="dxa"/>
            <w:vAlign w:val="bottom"/>
            <w:vMerge w:val="restart"/>
          </w:tcPr>
          <w:p>
            <w:pPr>
              <w:ind w:left="6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176"/>
        </w:trPr>
        <w:tc>
          <w:tcPr>
            <w:tcW w:w="3860" w:type="dxa"/>
            <w:vAlign w:val="bottom"/>
            <w:gridSpan w:val="2"/>
            <w:vMerge w:val="restart"/>
          </w:tcPr>
          <w:p>
            <w:pPr>
              <w:ind w:left="460"/>
              <w:spacing w:after="0"/>
              <w:rPr>
                <w:sz w:val="20"/>
                <w:szCs w:val="20"/>
                <w:color w:val="auto"/>
              </w:rPr>
            </w:pPr>
            <w:r>
              <w:rPr>
                <w:rFonts w:ascii="Arial" w:cs="Arial" w:eastAsia="Arial" w:hAnsi="Arial"/>
                <w:sz w:val="22"/>
                <w:szCs w:val="22"/>
                <w:color w:val="auto"/>
                <w:w w:val="97"/>
              </w:rPr>
              <w:t>Other Banking &amp; Financial Services</w:t>
            </w:r>
          </w:p>
        </w:tc>
        <w:tc>
          <w:tcPr>
            <w:tcW w:w="2240" w:type="dxa"/>
            <w:vAlign w:val="bottom"/>
            <w:vMerge w:val="continue"/>
          </w:tcPr>
          <w:p>
            <w:pPr>
              <w:spacing w:after="0"/>
              <w:rPr>
                <w:sz w:val="15"/>
                <w:szCs w:val="15"/>
                <w:color w:val="auto"/>
              </w:rPr>
            </w:pPr>
          </w:p>
        </w:tc>
        <w:tc>
          <w:tcPr>
            <w:tcW w:w="3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60" w:type="dxa"/>
            <w:vAlign w:val="bottom"/>
            <w:gridSpan w:val="2"/>
            <w:vMerge w:val="continue"/>
          </w:tcPr>
          <w:p>
            <w:pPr>
              <w:spacing w:after="0"/>
              <w:rPr>
                <w:sz w:val="14"/>
                <w:szCs w:val="14"/>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Residential</w:t>
            </w:r>
          </w:p>
        </w:tc>
        <w:tc>
          <w:tcPr>
            <w:tcW w:w="3200" w:type="dxa"/>
            <w:vAlign w:val="bottom"/>
            <w:vMerge w:val="restart"/>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Business Services</w:t>
            </w:r>
          </w:p>
        </w:tc>
        <w:tc>
          <w:tcPr>
            <w:tcW w:w="130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3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Energy</w:t>
            </w:r>
          </w:p>
        </w:tc>
        <w:tc>
          <w:tcPr>
            <w:tcW w:w="13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460"/>
              <w:spacing w:after="0"/>
              <w:rPr>
                <w:sz w:val="20"/>
                <w:szCs w:val="20"/>
                <w:color w:val="auto"/>
              </w:rPr>
            </w:pPr>
            <w:r>
              <w:rPr>
                <w:rFonts w:ascii="Arial" w:cs="Arial" w:eastAsia="Arial" w:hAnsi="Arial"/>
                <w:sz w:val="22"/>
                <w:szCs w:val="22"/>
                <w:color w:val="auto"/>
              </w:rPr>
              <w:t>Coal Mining</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w w:val="89"/>
              </w:rPr>
              <w:t>Environmental Services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560" w:type="dxa"/>
            <w:vAlign w:val="bottom"/>
          </w:tcPr>
          <w:p>
            <w:pPr>
              <w:spacing w:after="0"/>
              <w:rPr>
                <w:sz w:val="20"/>
                <w:szCs w:val="20"/>
                <w:color w:val="auto"/>
              </w:rPr>
            </w:pPr>
            <w:r>
              <w:rPr>
                <w:rFonts w:ascii="Arial" w:cs="Arial" w:eastAsia="Arial" w:hAnsi="Arial"/>
                <w:sz w:val="22"/>
                <w:szCs w:val="22"/>
                <w:color w:val="auto"/>
              </w:rPr>
              <w:t>5. Issuer Size</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right"/>
              <w:ind w:right="492"/>
              <w:spacing w:after="0"/>
              <w:rPr>
                <w:sz w:val="20"/>
                <w:szCs w:val="20"/>
                <w:color w:val="auto"/>
              </w:rPr>
            </w:pPr>
            <w:r>
              <w:rPr>
                <w:rFonts w:ascii="Arial" w:cs="Arial" w:eastAsia="Arial" w:hAnsi="Arial"/>
                <w:sz w:val="22"/>
                <w:szCs w:val="22"/>
                <w:b w:val="1"/>
                <w:bCs w:val="1"/>
                <w:color w:val="auto"/>
              </w:rPr>
              <w:t>Revenue Range</w:t>
            </w:r>
          </w:p>
        </w:tc>
        <w:tc>
          <w:tcPr>
            <w:tcW w:w="1300" w:type="dxa"/>
            <w:vAlign w:val="bottom"/>
          </w:tcPr>
          <w:p>
            <w:pPr>
              <w:ind w:left="560"/>
              <w:spacing w:after="0"/>
              <w:rPr>
                <w:sz w:val="20"/>
                <w:szCs w:val="20"/>
                <w:color w:val="auto"/>
              </w:rPr>
            </w:pPr>
            <w:r>
              <w:rPr>
                <w:rFonts w:ascii="Arial" w:cs="Arial" w:eastAsia="Arial" w:hAnsi="Arial"/>
                <w:sz w:val="22"/>
                <w:szCs w:val="22"/>
                <w:b w:val="1"/>
                <w:bCs w:val="1"/>
                <w:color w:val="auto"/>
              </w:rPr>
              <w:t>OR</w:t>
            </w:r>
          </w:p>
        </w:tc>
        <w:tc>
          <w:tcPr>
            <w:tcW w:w="224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300" w:type="dxa"/>
            <w:vAlign w:val="bottom"/>
          </w:tcPr>
          <w:p>
            <w:pPr>
              <w:spacing w:after="0"/>
              <w:rPr>
                <w:sz w:val="24"/>
                <w:szCs w:val="24"/>
                <w:color w:val="auto"/>
              </w:rPr>
            </w:pPr>
          </w:p>
        </w:tc>
        <w:tc>
          <w:tcPr>
            <w:tcW w:w="5440" w:type="dxa"/>
            <w:vAlign w:val="bottom"/>
            <w:gridSpan w:val="2"/>
          </w:tcPr>
          <w:p>
            <w:pPr>
              <w:ind w:left="44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w w:val="95"/>
              </w:rPr>
              <w:t>$1,000,001 - $5,000,000</w:t>
            </w:r>
          </w:p>
        </w:tc>
        <w:tc>
          <w:tcPr>
            <w:tcW w:w="1300" w:type="dxa"/>
            <w:vAlign w:val="bottom"/>
          </w:tcPr>
          <w:p>
            <w:pPr>
              <w:spacing w:after="0"/>
              <w:rPr>
                <w:sz w:val="24"/>
                <w:szCs w:val="24"/>
                <w:color w:val="auto"/>
              </w:rPr>
            </w:pPr>
          </w:p>
        </w:tc>
        <w:tc>
          <w:tcPr>
            <w:tcW w:w="5440" w:type="dxa"/>
            <w:vAlign w:val="bottom"/>
            <w:gridSpan w:val="2"/>
          </w:tcPr>
          <w:p>
            <w:pPr>
              <w:ind w:left="44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300" w:type="dxa"/>
            <w:vAlign w:val="bottom"/>
          </w:tcPr>
          <w:p>
            <w:pPr>
              <w:spacing w:after="0"/>
              <w:rPr>
                <w:sz w:val="23"/>
                <w:szCs w:val="23"/>
                <w:color w:val="auto"/>
              </w:rPr>
            </w:pPr>
          </w:p>
        </w:tc>
        <w:tc>
          <w:tcPr>
            <w:tcW w:w="5440" w:type="dxa"/>
            <w:vAlign w:val="bottom"/>
            <w:gridSpan w:val="2"/>
            <w:vMerge w:val="restart"/>
          </w:tcPr>
          <w:p>
            <w:pPr>
              <w:ind w:left="44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30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300" w:type="dxa"/>
            <w:vAlign w:val="bottom"/>
          </w:tcPr>
          <w:p>
            <w:pPr>
              <w:spacing w:after="0"/>
              <w:rPr>
                <w:sz w:val="23"/>
                <w:szCs w:val="23"/>
                <w:color w:val="auto"/>
              </w:rPr>
            </w:pPr>
          </w:p>
        </w:tc>
        <w:tc>
          <w:tcPr>
            <w:tcW w:w="5440" w:type="dxa"/>
            <w:vAlign w:val="bottom"/>
            <w:gridSpan w:val="2"/>
            <w:vMerge w:val="restart"/>
          </w:tcPr>
          <w:p>
            <w:pPr>
              <w:ind w:left="44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30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right"/>
              <w:ind w:right="492"/>
              <w:spacing w:after="0"/>
              <w:rPr>
                <w:sz w:val="20"/>
                <w:szCs w:val="20"/>
                <w:color w:val="auto"/>
              </w:rPr>
            </w:pPr>
            <w:r>
              <w:rPr>
                <w:rFonts w:ascii="Arial" w:cs="Arial" w:eastAsia="Arial" w:hAnsi="Arial"/>
                <w:sz w:val="22"/>
                <w:szCs w:val="22"/>
                <w:color w:val="auto"/>
                <w:w w:val="93"/>
              </w:rPr>
              <w:t>X Decline to Disclose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0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08" w:right="1440" w:bottom="0"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2014-08-14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08" w:right="1440" w:bottom="0" w:gutter="0" w:footer="0" w:header="0"/>
          <w:type w:val="continuous"/>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Other (describe)</w:t>
      </w:r>
    </w:p>
    <w:p>
      <w:pPr>
        <w:sectPr>
          <w:pgSz w:w="11900" w:h="16838" w:orient="portrait"/>
          <w:cols w:equalWidth="0" w:num="2">
            <w:col w:w="5580" w:space="340"/>
            <w:col w:w="4299"/>
          </w:cols>
          <w:pgMar w:left="240" w:top="108"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3480" w:type="dxa"/>
            <w:vAlign w:val="bottom"/>
            <w:gridSpan w:val="2"/>
          </w:tcPr>
          <w:p>
            <w:pPr>
              <w:spacing w:after="0"/>
              <w:rPr>
                <w:sz w:val="20"/>
                <w:szCs w:val="20"/>
                <w:color w:val="auto"/>
              </w:rPr>
            </w:pPr>
            <w:r>
              <w:rPr>
                <w:rFonts w:ascii="Arial" w:cs="Arial" w:eastAsia="Arial" w:hAnsi="Arial"/>
                <w:sz w:val="22"/>
                <w:szCs w:val="22"/>
                <w:color w:val="auto"/>
                <w:w w:val="91"/>
              </w:rPr>
              <w:t>10. Business Combination Transaction</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3"/>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5"/>
          </w:tcPr>
          <w:p>
            <w:pPr>
              <w:ind w:left="40"/>
              <w:spacing w:after="0"/>
              <w:rPr>
                <w:sz w:val="20"/>
                <w:szCs w:val="20"/>
                <w:color w:val="auto"/>
              </w:rPr>
            </w:pPr>
            <w:r>
              <w:rPr>
                <w:rFonts w:ascii="Arial" w:cs="Arial" w:eastAsia="Arial" w:hAnsi="Arial"/>
                <w:sz w:val="22"/>
                <w:szCs w:val="22"/>
                <w:color w:val="auto"/>
              </w:rPr>
              <w:t>Minimum investment accepted from any outside investor $100,000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80" w:type="dxa"/>
            <w:vAlign w:val="bottom"/>
            <w:gridSpan w:val="2"/>
          </w:tcPr>
          <w:p>
            <w:pPr>
              <w:ind w:left="80"/>
              <w:spacing w:after="0"/>
              <w:rPr>
                <w:sz w:val="20"/>
                <w:szCs w:val="20"/>
                <w:color w:val="auto"/>
              </w:rPr>
            </w:pPr>
            <w:r>
              <w:rPr>
                <w:rFonts w:ascii="Arial" w:cs="Arial" w:eastAsia="Arial" w:hAnsi="Arial"/>
                <w:sz w:val="22"/>
                <w:szCs w:val="22"/>
                <w:color w:val="auto"/>
                <w:w w:val="91"/>
              </w:rPr>
              <w:t>(Associated) Broker or Dealer X None</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gridSpan w:val="2"/>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2"/>
              </w:rPr>
              <w:t>Street Address 1</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gridSpan w:val="2"/>
          </w:tcPr>
          <w:p>
            <w:pPr>
              <w:ind w:left="25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3"/>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3"/>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$4,450,000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8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$4,450,000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8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43"/>
              <w:spacing w:after="0" w:line="179" w:lineRule="exact"/>
              <w:rPr>
                <w:sz w:val="20"/>
                <w:szCs w:val="20"/>
                <w:color w:val="auto"/>
              </w:rPr>
            </w:pPr>
            <w:r>
              <w:rPr>
                <w:rFonts w:ascii="Arial" w:cs="Arial" w:eastAsia="Arial" w:hAnsi="Arial"/>
                <w:sz w:val="19"/>
                <w:szCs w:val="19"/>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93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29337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ectPr>
          <w:pgSz w:w="11900" w:h="16838" w:orient="portrait"/>
          <w:cols w:equalWidth="0" w:num="1">
            <w:col w:w="11380"/>
          </w:cols>
          <w:pgMar w:left="240" w:top="118" w:right="279" w:bottom="0" w:gutter="0" w:footer="0" w:header="0"/>
          <w:type w:val="continuous"/>
        </w:sectPr>
      </w:pPr>
    </w:p>
    <w:bookmarkStart w:id="5" w:name="page6"/>
    <w:bookmarkEnd w:id="5"/>
    <w:p>
      <w:pPr>
        <w:ind w:left="580" w:right="320"/>
        <w:spacing w:after="0" w:line="329"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598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2598420"/>
                    </a:xfrm>
                    <a:prstGeom prst="rect">
                      <a:avLst/>
                    </a:prstGeom>
                    <a:noFill/>
                  </pic:spPr>
                </pic:pic>
              </a:graphicData>
            </a:graphic>
          </wp:anchor>
        </w:drawing>
      </w:r>
    </w:p>
    <w:p>
      <w:pPr>
        <w:spacing w:after="0" w:line="84"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080" w:type="dxa"/>
            <w:vAlign w:val="bottom"/>
            <w:tcBorders>
              <w:top w:val="single" w:sz="8" w:color="2C2C2C"/>
              <w:bottom w:val="single" w:sz="8" w:color="808080"/>
            </w:tcBorders>
          </w:tcPr>
          <w:p>
            <w:pPr>
              <w:ind w:left="17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124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SELECTA BIOSCIENCES INC</w:t>
            </w:r>
          </w:p>
        </w:tc>
        <w:tc>
          <w:tcPr>
            <w:tcW w:w="40" w:type="dxa"/>
            <w:vAlign w:val="bottom"/>
          </w:tcPr>
          <w:p>
            <w:pPr>
              <w:spacing w:after="0"/>
              <w:rPr>
                <w:sz w:val="22"/>
                <w:szCs w:val="22"/>
                <w:color w:val="auto"/>
              </w:rPr>
            </w:pPr>
          </w:p>
        </w:tc>
        <w:tc>
          <w:tcPr>
            <w:tcW w:w="2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David Siewers</w:t>
            </w:r>
          </w:p>
        </w:tc>
        <w:tc>
          <w:tcPr>
            <w:tcW w:w="2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David Siewers</w:t>
            </w:r>
          </w:p>
        </w:tc>
        <w:tc>
          <w:tcPr>
            <w:tcW w:w="40" w:type="dxa"/>
            <w:vAlign w:val="bottom"/>
          </w:tcPr>
          <w:p>
            <w:pPr>
              <w:spacing w:after="0"/>
              <w:rPr>
                <w:sz w:val="22"/>
                <w:szCs w:val="22"/>
                <w:color w:val="auto"/>
              </w:rPr>
            </w:pPr>
          </w:p>
        </w:tc>
        <w:tc>
          <w:tcPr>
            <w:tcW w:w="1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Treasurer</w:t>
            </w:r>
          </w:p>
        </w:tc>
        <w:tc>
          <w:tcPr>
            <w:tcW w:w="2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90"/>
              </w:rPr>
              <w:t>2014-08-28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2019-12-07T20:29:03Z</dcterms:created>
  <dcterms:modified xsi:type="dcterms:W3CDTF">2019-12-07T20:29:03Z</dcterms:modified>
</cp:coreProperties>
</file>