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4"/>
          <w:szCs w:val="34"/>
          <w:b w:val="1"/>
          <w:bCs w:val="1"/>
          <w:color w:val="auto"/>
        </w:rPr>
        <w:t>UNITED STATES</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CURRENT REPORT</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Pursuant to Section 13 or 15(d) of</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 March 15, 2019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SELECTA BIOSCIENCES,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1980"/>
          </w:cols>
          <w:pgMar w:left="120" w:top="82" w:right="140" w:bottom="1440" w:gutter="0" w:footer="0" w:header="0"/>
        </w:sectPr>
      </w:pPr>
    </w:p>
    <w:p>
      <w:pPr>
        <w:spacing w:after="0" w:line="387" w:lineRule="exact"/>
        <w:rPr>
          <w:sz w:val="24"/>
          <w:szCs w:val="24"/>
          <w:color w:val="auto"/>
        </w:rPr>
      </w:pPr>
    </w:p>
    <w:p>
      <w:pPr>
        <w:ind w:left="14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2600"/>
        <w:spacing w:after="0"/>
        <w:rPr>
          <w:sz w:val="20"/>
          <w:szCs w:val="20"/>
          <w:color w:val="auto"/>
        </w:rPr>
      </w:pPr>
      <w:r>
        <w:rPr>
          <w:rFonts w:ascii="Arial" w:cs="Arial" w:eastAsia="Arial" w:hAnsi="Arial"/>
          <w:sz w:val="17"/>
          <w:szCs w:val="17"/>
          <w:b w:val="1"/>
          <w:bCs w:val="1"/>
          <w:color w:val="auto"/>
        </w:rPr>
        <w:t>001-37798</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26-1622110</w:t>
      </w:r>
    </w:p>
    <w:p>
      <w:pPr>
        <w:spacing w:after="0" w:line="96" w:lineRule="exact"/>
        <w:rPr>
          <w:sz w:val="24"/>
          <w:szCs w:val="24"/>
          <w:color w:val="auto"/>
        </w:rPr>
      </w:pPr>
    </w:p>
    <w:p>
      <w:pPr>
        <w:sectPr>
          <w:pgSz w:w="12240" w:h="15840" w:orient="portrait"/>
          <w:cols w:equalWidth="0" w:num="3">
            <w:col w:w="4820" w:space="720"/>
            <w:col w:w="3420" w:space="720"/>
            <w:col w:w="2300"/>
          </w:cols>
          <w:pgMar w:left="120" w:top="82" w:right="140" w:bottom="1440" w:gutter="0" w:footer="0" w:header="0"/>
          <w:type w:val="continuous"/>
        </w:sectPr>
      </w:pPr>
    </w:p>
    <w:p>
      <w:pPr>
        <w:jc w:val="center"/>
        <w:ind w:right="1120"/>
        <w:spacing w:after="0"/>
        <w:rPr>
          <w:sz w:val="20"/>
          <w:szCs w:val="20"/>
          <w:color w:val="auto"/>
        </w:rPr>
      </w:pPr>
      <w:r>
        <w:rPr>
          <w:rFonts w:ascii="Arial" w:cs="Arial" w:eastAsia="Arial" w:hAnsi="Arial"/>
          <w:sz w:val="17"/>
          <w:szCs w:val="17"/>
          <w:color w:val="auto"/>
        </w:rPr>
        <w:t>(State or other jurisdiction</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9"/>
          <w:szCs w:val="19"/>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9"/>
          <w:szCs w:val="19"/>
          <w:color w:val="auto"/>
        </w:rPr>
        <w:t>(IRS Employer</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23" w:lineRule="exact"/>
        <w:rPr>
          <w:sz w:val="24"/>
          <w:szCs w:val="24"/>
          <w:color w:val="auto"/>
        </w:rPr>
      </w:pPr>
    </w:p>
    <w:p>
      <w:pPr>
        <w:sectPr>
          <w:pgSz w:w="12240" w:h="15840" w:orient="portrait"/>
          <w:cols w:equalWidth="0" w:num="3">
            <w:col w:w="4720" w:space="720"/>
            <w:col w:w="3280" w:space="720"/>
            <w:col w:w="2540"/>
          </w:cols>
          <w:pgMar w:left="120" w:top="82" w:right="140" w:bottom="1440" w:gutter="0" w:footer="0" w:header="0"/>
          <w:type w:val="continuous"/>
        </w:sectPr>
      </w:pPr>
    </w:p>
    <w:p>
      <w:pPr>
        <w:spacing w:after="0" w:line="47" w:lineRule="exact"/>
        <w:rPr>
          <w:sz w:val="24"/>
          <w:szCs w:val="24"/>
          <w:color w:val="auto"/>
        </w:rPr>
      </w:pPr>
    </w:p>
    <w:p>
      <w:pPr>
        <w:ind w:left="5300"/>
        <w:spacing w:after="0"/>
        <w:rPr>
          <w:sz w:val="20"/>
          <w:szCs w:val="20"/>
          <w:color w:val="auto"/>
        </w:rPr>
      </w:pPr>
      <w:r>
        <w:rPr>
          <w:rFonts w:ascii="Arial" w:cs="Arial" w:eastAsia="Arial" w:hAnsi="Arial"/>
          <w:sz w:val="19"/>
          <w:szCs w:val="19"/>
          <w:b w:val="1"/>
          <w:bCs w:val="1"/>
          <w:color w:val="auto"/>
        </w:rPr>
        <w:t>480 Arsenal Way</w:t>
      </w:r>
    </w:p>
    <w:p>
      <w:pPr>
        <w:spacing w:after="0" w:line="29" w:lineRule="exact"/>
        <w:rPr>
          <w:sz w:val="24"/>
          <w:szCs w:val="24"/>
          <w:color w:val="auto"/>
        </w:rPr>
      </w:pPr>
    </w:p>
    <w:p>
      <w:pPr>
        <w:ind w:left="5080"/>
        <w:spacing w:after="0"/>
        <w:rPr>
          <w:sz w:val="20"/>
          <w:szCs w:val="20"/>
          <w:color w:val="auto"/>
        </w:rPr>
      </w:pPr>
      <w:r>
        <w:rPr>
          <w:rFonts w:ascii="Arial" w:cs="Arial" w:eastAsia="Arial" w:hAnsi="Arial"/>
          <w:sz w:val="19"/>
          <w:szCs w:val="19"/>
          <w:b w:val="1"/>
          <w:bCs w:val="1"/>
          <w:color w:val="auto"/>
        </w:rPr>
        <w:t>Watertown, MA 02472</w:t>
      </w:r>
    </w:p>
    <w:p>
      <w:pPr>
        <w:spacing w:after="0" w:line="10"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(617) 923-1400</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9"/>
          <w:szCs w:val="19"/>
          <w:color w:val="auto"/>
        </w:rPr>
        <w:t>Registrant’s telephone number, including area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N/A</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2240" w:h="15840" w:orient="portrait"/>
          <w:cols w:equalWidth="0" w:num="1">
            <w:col w:w="11980"/>
          </w:cols>
          <w:pgMar w:left="120" w:top="82" w:right="140"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6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31" w:lineRule="exact"/>
        <w:rPr>
          <w:sz w:val="24"/>
          <w:szCs w:val="24"/>
          <w:color w:val="auto"/>
        </w:rPr>
      </w:pPr>
    </w:p>
    <w:p>
      <w:pPr>
        <w:ind w:left="1480" w:hanging="1079"/>
        <w:spacing w:after="0"/>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3" w:lineRule="exact"/>
        <w:rPr>
          <w:rFonts w:ascii="Arial" w:cs="Arial" w:eastAsia="Arial" w:hAnsi="Arial"/>
          <w:sz w:val="17"/>
          <w:szCs w:val="17"/>
          <w:color w:val="auto"/>
        </w:rPr>
      </w:pPr>
    </w:p>
    <w:p>
      <w:pPr>
        <w:ind w:left="1480" w:hanging="1079"/>
        <w:spacing w:after="0"/>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3" w:lineRule="exact"/>
        <w:rPr>
          <w:rFonts w:ascii="Arial" w:cs="Arial" w:eastAsia="Arial" w:hAnsi="Arial"/>
          <w:sz w:val="17"/>
          <w:szCs w:val="17"/>
          <w:color w:val="auto"/>
        </w:rPr>
      </w:pPr>
    </w:p>
    <w:p>
      <w:pPr>
        <w:ind w:left="1480" w:hanging="1079"/>
        <w:spacing w:after="0"/>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3" w:lineRule="exact"/>
        <w:rPr>
          <w:rFonts w:ascii="Arial" w:cs="Arial" w:eastAsia="Arial" w:hAnsi="Arial"/>
          <w:sz w:val="17"/>
          <w:szCs w:val="17"/>
          <w:color w:val="auto"/>
        </w:rPr>
      </w:pPr>
    </w:p>
    <w:p>
      <w:pPr>
        <w:ind w:left="1480" w:hanging="1079"/>
        <w:spacing w:after="0"/>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99" w:lineRule="exact"/>
        <w:rPr>
          <w:sz w:val="24"/>
          <w:szCs w:val="24"/>
          <w:color w:val="auto"/>
        </w:rPr>
      </w:pPr>
    </w:p>
    <w:p>
      <w:pPr>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4"/>
          <w:szCs w:val="24"/>
          <w:color w:val="auto"/>
        </w:rPr>
      </w:pPr>
    </w:p>
    <w:p>
      <w:pPr>
        <w:spacing w:after="0"/>
        <w:rPr>
          <w:sz w:val="20"/>
          <w:szCs w:val="20"/>
          <w:color w:val="auto"/>
        </w:rPr>
      </w:pPr>
      <w:r>
        <w:rPr>
          <w:rFonts w:ascii="Arial" w:cs="Arial" w:eastAsia="Arial" w:hAnsi="Arial"/>
          <w:sz w:val="19"/>
          <w:szCs w:val="19"/>
          <w:color w:val="auto"/>
        </w:rPr>
        <w:t>Emerging growth company ý</w:t>
      </w:r>
    </w:p>
    <w:p>
      <w:pPr>
        <w:spacing w:after="0" w:line="238" w:lineRule="exact"/>
        <w:rPr>
          <w:sz w:val="24"/>
          <w:szCs w:val="24"/>
          <w:color w:val="auto"/>
        </w:rPr>
      </w:pPr>
    </w:p>
    <w:p>
      <w:pPr>
        <w:ind w:right="80"/>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ý</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80"/>
          </w:cols>
          <w:pgMar w:left="120" w:top="82" w:right="1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2.02. Results of Operations and Financial Condition.</w:t>
      </w:r>
    </w:p>
    <w:p>
      <w:pPr>
        <w:spacing w:after="0" w:line="358"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On March 15, 2019, Selecta Biosciences, Inc. (the “Company”) announced its financial results for the quarter and year ended December 31, 2018. The full text of the press release issued in connection with the announcement is furnished as Exhibit 99.1 to this Current Report and on Form 8-K (the “Current Report”).</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44" w:lineRule="exact"/>
        <w:rPr>
          <w:sz w:val="20"/>
          <w:szCs w:val="20"/>
          <w:color w:val="auto"/>
        </w:rPr>
      </w:pPr>
    </w:p>
    <w:p>
      <w:pPr>
        <w:ind w:left="920"/>
        <w:spacing w:after="0"/>
        <w:rPr>
          <w:sz w:val="20"/>
          <w:szCs w:val="20"/>
          <w:color w:val="auto"/>
        </w:rPr>
      </w:pPr>
      <w:r>
        <w:rPr>
          <w:rFonts w:ascii="Arial" w:cs="Arial" w:eastAsia="Arial" w:hAnsi="Arial"/>
          <w:sz w:val="19"/>
          <w:szCs w:val="19"/>
          <w:color w:val="auto"/>
        </w:rPr>
        <w:t>(d) Exhibits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exhibit relating to Item 2.02 shall be deemed to be furnished, and not filed: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gridSpan w:val="4"/>
          </w:tcPr>
          <w:p>
            <w:pPr>
              <w:ind w:left="20"/>
              <w:spacing w:after="0"/>
              <w:rPr>
                <w:sz w:val="20"/>
                <w:szCs w:val="20"/>
                <w:color w:val="auto"/>
              </w:rPr>
            </w:pPr>
            <w:r>
              <w:rPr>
                <w:rFonts w:ascii="Arial" w:cs="Arial" w:eastAsia="Arial" w:hAnsi="Arial"/>
                <w:sz w:val="15"/>
                <w:szCs w:val="15"/>
                <w:b w:val="1"/>
                <w:bCs w:val="1"/>
                <w:color w:val="auto"/>
              </w:rPr>
              <w:t>Exhibit</w:t>
            </w:r>
          </w:p>
        </w:tc>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0" w:type="dxa"/>
            <w:vAlign w:val="bottom"/>
          </w:tcPr>
          <w:p>
            <w:pPr>
              <w:spacing w:after="0"/>
              <w:rPr>
                <w:sz w:val="14"/>
                <w:szCs w:val="14"/>
                <w:color w:val="auto"/>
              </w:rPr>
            </w:pPr>
          </w:p>
        </w:tc>
      </w:tr>
      <w:tr>
        <w:trPr>
          <w:trHeight w:val="203"/>
        </w:trPr>
        <w:tc>
          <w:tcPr>
            <w:tcW w:w="1920" w:type="dxa"/>
            <w:vAlign w:val="bottom"/>
            <w:gridSpan w:val="4"/>
          </w:tcPr>
          <w:p>
            <w:pPr>
              <w:ind w:left="20"/>
              <w:spacing w:after="0"/>
              <w:rPr>
                <w:sz w:val="20"/>
                <w:szCs w:val="20"/>
                <w:color w:val="auto"/>
              </w:rPr>
            </w:pPr>
            <w:r>
              <w:rPr>
                <w:rFonts w:ascii="Arial" w:cs="Arial" w:eastAsia="Arial" w:hAnsi="Arial"/>
                <w:sz w:val="15"/>
                <w:szCs w:val="15"/>
                <w:b w:val="1"/>
                <w:bCs w:val="1"/>
                <w:color w:val="auto"/>
              </w:rPr>
              <w:t>No.</w:t>
            </w: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000" w:type="dxa"/>
            <w:vAlign w:val="bottom"/>
          </w:tcPr>
          <w:p>
            <w:pPr>
              <w:ind w:left="1580"/>
              <w:spacing w:after="0"/>
              <w:rPr>
                <w:sz w:val="20"/>
                <w:szCs w:val="20"/>
                <w:color w:val="auto"/>
              </w:rPr>
            </w:pPr>
            <w:r>
              <w:rPr>
                <w:rFonts w:ascii="Arial" w:cs="Arial" w:eastAsia="Arial" w:hAnsi="Arial"/>
                <w:sz w:val="15"/>
                <w:szCs w:val="15"/>
                <w:b w:val="1"/>
                <w:bCs w:val="1"/>
                <w:color w:val="auto"/>
              </w:rPr>
              <w:t>Description</w:t>
            </w:r>
          </w:p>
        </w:tc>
      </w:tr>
      <w:tr>
        <w:trPr>
          <w:trHeight w:val="499"/>
        </w:trPr>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9"/>
                <w:szCs w:val="19"/>
                <w:color w:val="0000FF"/>
              </w:rPr>
              <w:t>99.</w:t>
            </w:r>
            <w:r>
              <w:rPr>
                <w:rFonts w:ascii="Arial" w:cs="Arial" w:eastAsia="Arial" w:hAnsi="Arial"/>
                <w:sz w:val="19"/>
                <w:szCs w:val="19"/>
                <w:u w:val="single" w:color="auto"/>
                <w:color w:val="0000FF"/>
              </w:rPr>
              <w:t>1</w:t>
            </w:r>
          </w:p>
        </w:tc>
        <w:tc>
          <w:tcPr>
            <w:tcW w:w="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80" w:type="dxa"/>
            <w:vAlign w:val="bottom"/>
            <w:tcBorders>
              <w:top w:val="single" w:sz="8" w:color="auto"/>
            </w:tcBorders>
            <w:gridSpan w:val="3"/>
          </w:tcPr>
          <w:p>
            <w:pPr>
              <w:ind w:left="20"/>
              <w:spacing w:after="0"/>
              <w:rPr>
                <w:sz w:val="20"/>
                <w:szCs w:val="20"/>
                <w:color w:val="auto"/>
              </w:rPr>
            </w:pPr>
            <w:r>
              <w:rPr>
                <w:rFonts w:ascii="Arial" w:cs="Arial" w:eastAsia="Arial" w:hAnsi="Arial"/>
                <w:sz w:val="19"/>
                <w:szCs w:val="19"/>
                <w:color w:val="0000FF"/>
              </w:rPr>
              <w:t>Press Release issued on March 15, 2019</w:t>
            </w:r>
          </w:p>
        </w:tc>
      </w:tr>
      <w:tr>
        <w:trPr>
          <w:trHeight w:val="20"/>
        </w:trPr>
        <w:tc>
          <w:tcPr>
            <w:tcW w:w="9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ectPr>
          <w:pgSz w:w="12240" w:h="15840" w:orient="portrait"/>
          <w:cols w:equalWidth="0" w:num="1">
            <w:col w:w="12000"/>
          </w:cols>
          <w:pgMar w:left="120" w:top="236" w:right="12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900" w:val="left"/>
          <w:tab w:leader="none" w:pos="6500" w:val="left"/>
        </w:tabs>
        <w:rPr>
          <w:sz w:val="20"/>
          <w:szCs w:val="20"/>
          <w:color w:val="auto"/>
        </w:rPr>
      </w:pPr>
      <w:r>
        <w:rPr>
          <w:rFonts w:ascii="Arial" w:cs="Arial" w:eastAsia="Arial" w:hAnsi="Arial"/>
          <w:sz w:val="19"/>
          <w:szCs w:val="19"/>
          <w:color w:val="auto"/>
        </w:rPr>
        <w:t>Date: March 15,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33020</wp:posOffset>
            </wp:positionV>
            <wp:extent cx="35045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04565" cy="8890"/>
                    </a:xfrm>
                    <a:prstGeom prst="rect">
                      <a:avLst/>
                    </a:prstGeom>
                    <a:noFill/>
                  </pic:spPr>
                </pic:pic>
              </a:graphicData>
            </a:graphic>
          </wp:anchor>
        </w:drawing>
      </w:r>
    </w:p>
    <w:p>
      <w:pPr>
        <w:spacing w:after="0" w:line="61" w:lineRule="exact"/>
        <w:rPr>
          <w:sz w:val="20"/>
          <w:szCs w:val="20"/>
          <w:color w:val="auto"/>
        </w:rPr>
      </w:pPr>
    </w:p>
    <w:p>
      <w:pPr>
        <w:ind w:left="6520"/>
        <w:spacing w:after="0"/>
        <w:rPr>
          <w:sz w:val="20"/>
          <w:szCs w:val="20"/>
          <w:color w:val="auto"/>
        </w:rPr>
      </w:pPr>
      <w:r>
        <w:rPr>
          <w:rFonts w:ascii="Arial" w:cs="Arial" w:eastAsia="Arial" w:hAnsi="Arial"/>
          <w:sz w:val="19"/>
          <w:szCs w:val="19"/>
          <w:color w:val="auto"/>
        </w:rPr>
        <w:t>Carsten Brunn, Ph.D.</w:t>
      </w:r>
    </w:p>
    <w:p>
      <w:pPr>
        <w:spacing w:after="0" w:line="67" w:lineRule="exact"/>
        <w:rPr>
          <w:sz w:val="20"/>
          <w:szCs w:val="20"/>
          <w:color w:val="auto"/>
        </w:rPr>
      </w:pPr>
    </w:p>
    <w:p>
      <w:pPr>
        <w:ind w:left="6520"/>
        <w:spacing w:after="0"/>
        <w:rPr>
          <w:sz w:val="20"/>
          <w:szCs w:val="20"/>
          <w:color w:val="auto"/>
        </w:rPr>
      </w:pPr>
      <w:r>
        <w:rPr>
          <w:rFonts w:ascii="Arial" w:cs="Arial" w:eastAsia="Arial" w:hAnsi="Arial"/>
          <w:sz w:val="19"/>
          <w:szCs w:val="19"/>
          <w:color w:val="auto"/>
        </w:rPr>
        <w:t>President and Chief Executive Officer</w:t>
      </w:r>
    </w:p>
    <w:p>
      <w:pPr>
        <w:sectPr>
          <w:pgSz w:w="12240" w:h="15840" w:orient="portrait"/>
          <w:cols w:equalWidth="0" w:num="1">
            <w:col w:w="11820"/>
          </w:cols>
          <w:pgMar w:left="120" w:top="236" w:right="30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19050</wp:posOffset>
            </wp:positionV>
            <wp:extent cx="188341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341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Selecta Biosciences Announces Fourth Quarter and Year End 2018</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Financial Results and Provides Corporate Update</w:t>
      </w:r>
    </w:p>
    <w:p>
      <w:pPr>
        <w:spacing w:after="0" w:line="200" w:lineRule="exact"/>
        <w:rPr>
          <w:sz w:val="20"/>
          <w:szCs w:val="20"/>
          <w:color w:val="auto"/>
        </w:rPr>
      </w:pPr>
    </w:p>
    <w:p>
      <w:pPr>
        <w:spacing w:after="0" w:line="259" w:lineRule="exact"/>
        <w:rPr>
          <w:sz w:val="20"/>
          <w:szCs w:val="20"/>
          <w:color w:val="auto"/>
        </w:rPr>
      </w:pPr>
    </w:p>
    <w:p>
      <w:pPr>
        <w:ind w:left="680" w:right="180" w:hanging="344"/>
        <w:spacing w:after="0" w:line="265" w:lineRule="auto"/>
        <w:tabs>
          <w:tab w:leader="none" w:pos="680" w:val="left"/>
        </w:tabs>
        <w:numPr>
          <w:ilvl w:val="0"/>
          <w:numId w:val="2"/>
        </w:numPr>
        <w:rPr>
          <w:rFonts w:ascii="Arial" w:cs="Arial" w:eastAsia="Arial" w:hAnsi="Arial"/>
          <w:sz w:val="19"/>
          <w:szCs w:val="19"/>
          <w:i w:val="1"/>
          <w:iCs w:val="1"/>
          <w:color w:val="auto"/>
        </w:rPr>
      </w:pPr>
      <w:r>
        <w:rPr>
          <w:rFonts w:ascii="Arial" w:cs="Arial" w:eastAsia="Arial" w:hAnsi="Arial"/>
          <w:sz w:val="21"/>
          <w:szCs w:val="21"/>
          <w:i w:val="1"/>
          <w:iCs w:val="1"/>
          <w:color w:val="auto"/>
        </w:rPr>
        <w:t>Phase 2 head-to-head (COMPARE) clinical trial of SEL-212 vs. KRYSTEXXA® to begin in 1Q19, interim six-month data expected in 4Q19</w:t>
      </w:r>
    </w:p>
    <w:p>
      <w:pPr>
        <w:spacing w:after="0" w:line="122" w:lineRule="exact"/>
        <w:rPr>
          <w:rFonts w:ascii="Arial" w:cs="Arial" w:eastAsia="Arial" w:hAnsi="Arial"/>
          <w:sz w:val="19"/>
          <w:szCs w:val="19"/>
          <w:i w:val="1"/>
          <w:iCs w:val="1"/>
          <w:color w:val="auto"/>
        </w:rPr>
      </w:pPr>
    </w:p>
    <w:p>
      <w:pPr>
        <w:ind w:left="680" w:hanging="344"/>
        <w:spacing w:after="0"/>
        <w:tabs>
          <w:tab w:leader="none" w:pos="68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Collaboration with CureCN projected to dose first patient with combination of ImmTOR + AAV gene therapy candidate in 2H19</w:t>
      </w:r>
    </w:p>
    <w:p>
      <w:pPr>
        <w:spacing w:after="0" w:line="183" w:lineRule="exact"/>
        <w:rPr>
          <w:rFonts w:ascii="Arial" w:cs="Arial" w:eastAsia="Arial" w:hAnsi="Arial"/>
          <w:sz w:val="20"/>
          <w:szCs w:val="20"/>
          <w:i w:val="1"/>
          <w:iCs w:val="1"/>
          <w:color w:val="auto"/>
        </w:rPr>
      </w:pPr>
    </w:p>
    <w:p>
      <w:pPr>
        <w:ind w:left="680" w:hanging="344"/>
        <w:spacing w:after="0"/>
        <w:tabs>
          <w:tab w:leader="none" w:pos="68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Company raises $33M in gross offering proceeds and $31.3M in net proceeds in 1Q19, cash runway into 1Q20</w:t>
      </w:r>
    </w:p>
    <w:p>
      <w:pPr>
        <w:spacing w:after="0" w:line="172" w:lineRule="exact"/>
        <w:rPr>
          <w:rFonts w:ascii="Arial" w:cs="Arial" w:eastAsia="Arial" w:hAnsi="Arial"/>
          <w:sz w:val="21"/>
          <w:szCs w:val="21"/>
          <w:i w:val="1"/>
          <w:iCs w:val="1"/>
          <w:color w:val="auto"/>
        </w:rPr>
      </w:pPr>
    </w:p>
    <w:p>
      <w:pPr>
        <w:ind w:left="680" w:hanging="344"/>
        <w:spacing w:after="0"/>
        <w:tabs>
          <w:tab w:leader="none" w:pos="680"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Company to host conference call today at 8:30 a.m. ET</w:t>
      </w:r>
    </w:p>
    <w:p>
      <w:pPr>
        <w:spacing w:after="0" w:line="394" w:lineRule="exact"/>
        <w:rPr>
          <w:sz w:val="20"/>
          <w:szCs w:val="20"/>
          <w:color w:val="auto"/>
        </w:rPr>
      </w:pPr>
    </w:p>
    <w:p>
      <w:pPr>
        <w:ind w:right="20"/>
        <w:spacing w:after="0" w:line="256" w:lineRule="auto"/>
        <w:rPr>
          <w:sz w:val="20"/>
          <w:szCs w:val="20"/>
          <w:color w:val="auto"/>
        </w:rPr>
      </w:pPr>
      <w:r>
        <w:rPr>
          <w:rFonts w:ascii="Arial" w:cs="Arial" w:eastAsia="Arial" w:hAnsi="Arial"/>
          <w:sz w:val="21"/>
          <w:szCs w:val="21"/>
          <w:b w:val="1"/>
          <w:bCs w:val="1"/>
          <w:color w:val="auto"/>
        </w:rPr>
        <w:t xml:space="preserve">Watertown, Mass., March 15, 2019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0000FF"/>
        </w:rPr>
        <w:t>Selecta Biosciences, Inc.</w:t>
      </w:r>
      <w:r>
        <w:rPr>
          <w:rFonts w:ascii="Arial" w:cs="Arial" w:eastAsia="Arial" w:hAnsi="Arial"/>
          <w:sz w:val="21"/>
          <w:szCs w:val="21"/>
          <w:b w:val="1"/>
          <w:bCs w:val="1"/>
          <w:color w:val="auto"/>
        </w:rPr>
        <w:t xml:space="preserve"> </w:t>
      </w:r>
      <w:r>
        <w:rPr>
          <w:rFonts w:ascii="Arial" w:cs="Arial" w:eastAsia="Arial" w:hAnsi="Arial"/>
          <w:sz w:val="21"/>
          <w:szCs w:val="21"/>
          <w:color w:val="auto"/>
        </w:rPr>
        <w:t>(Nasdaq: SELB), a clinical-stage biotechnology company focused on</w:t>
      </w:r>
      <w:r>
        <w:rPr>
          <w:rFonts w:ascii="Arial" w:cs="Arial" w:eastAsia="Arial" w:hAnsi="Arial"/>
          <w:sz w:val="21"/>
          <w:szCs w:val="21"/>
          <w:b w:val="1"/>
          <w:bCs w:val="1"/>
          <w:color w:val="auto"/>
        </w:rPr>
        <w:t xml:space="preserve"> </w:t>
      </w:r>
      <w:r>
        <w:rPr>
          <w:rFonts w:ascii="Arial" w:cs="Arial" w:eastAsia="Arial" w:hAnsi="Arial"/>
          <w:sz w:val="21"/>
          <w:szCs w:val="21"/>
          <w:color w:val="auto"/>
        </w:rPr>
        <w:t>unlocking the full potential of biologic therapies based on its immune tolerance platform technology, ImmTOR, today reported financial results for the fourth quarter and full year ended December 31, 2018 and provided a corporate update.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“During 2018 we laid a strong groundwork for a year of execution in 2019. We kicked off the year by streamlining the company through a corporate restructuring, which is projected to cut our cash burn rate by 19%. We then completed an equity fundraise of approximately $33 million in gross proceeds and $31.3 million in net proceeds, and anticipate reporting key milestones for both our chronic refractory gout and gene therapy programs. We continue to believe that our lead program, SEL-212, has the potential to address several unmet needs in chronic refractory gout patients, including sustained serum uric acid reduction, reduced painful flares and once monthly dosing, and we look forward to initiating the planned six-month head-to-head (COMPARE) clinical trial against Krystexxa this month,” said Carsten Brunn, Ph.D., President and CEO of Selecta. “We also look forward to further advancing our ImmTOR + AAV gene therapy combination product candidate in Crigler-Najjar Syndrome in collaboration with CureCN in the second half of the year and identifying other ways to advance our ImmTOR platform and grow our strategic partnerships.”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2018 and Recent Highlights and Anticipated Upcoming Milestones</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SEL-212 (ImmTOR+Pegadricase) for the Treatment of Chronic Refractory Gout:</w:t>
      </w:r>
    </w:p>
    <w:p>
      <w:pPr>
        <w:spacing w:after="0" w:line="229" w:lineRule="exact"/>
        <w:rPr>
          <w:sz w:val="20"/>
          <w:szCs w:val="20"/>
          <w:color w:val="auto"/>
        </w:rPr>
      </w:pPr>
    </w:p>
    <w:p>
      <w:pPr>
        <w:ind w:left="680" w:right="200" w:hanging="344"/>
        <w:spacing w:after="0" w:line="26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Six-Month Head-to-Head (COMPARE) Clinical Trial of SEL-212 vs. Krystexxa Expected to Begin in 1Q19: </w:t>
      </w:r>
      <w:r>
        <w:rPr>
          <w:rFonts w:ascii="Arial" w:cs="Arial" w:eastAsia="Arial" w:hAnsi="Arial"/>
          <w:sz w:val="20"/>
          <w:szCs w:val="20"/>
          <w:color w:val="auto"/>
        </w:rPr>
        <w:t>Selecta expects to</w:t>
      </w:r>
      <w:r>
        <w:rPr>
          <w:rFonts w:ascii="Arial" w:cs="Arial" w:eastAsia="Arial" w:hAnsi="Arial"/>
          <w:sz w:val="20"/>
          <w:szCs w:val="20"/>
          <w:b w:val="1"/>
          <w:bCs w:val="1"/>
          <w:color w:val="auto"/>
        </w:rPr>
        <w:t xml:space="preserve"> </w:t>
      </w:r>
      <w:r>
        <w:rPr>
          <w:rFonts w:ascii="Arial" w:cs="Arial" w:eastAsia="Arial" w:hAnsi="Arial"/>
          <w:sz w:val="20"/>
          <w:szCs w:val="20"/>
          <w:color w:val="auto"/>
        </w:rPr>
        <w:t>initiate a Phase 2 head-to-head (COMPARE) clinical trial of SEL-212, compared to the current FDA-approved uricase therapy, Krystexxa, in the first quarter of 2019. An interim six-month data readout is projected for the fourth quarter of 2019, with a full statistical data analysis expected in the first quarter of 2020. The results of the COMPARE trial</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2000"/>
          </w:cols>
          <w:pgMar w:left="120" w:top="464" w:right="120" w:bottom="1440" w:gutter="0" w:footer="0" w:header="0"/>
        </w:sectPr>
      </w:pPr>
    </w:p>
    <w:bookmarkStart w:id="4" w:name="page5"/>
    <w:bookmarkEnd w:id="4"/>
    <w:p>
      <w:pPr>
        <w:ind w:left="680" w:right="320"/>
        <w:spacing w:after="0" w:line="266" w:lineRule="auto"/>
        <w:rPr>
          <w:sz w:val="20"/>
          <w:szCs w:val="20"/>
          <w:color w:val="auto"/>
        </w:rPr>
      </w:pPr>
      <w:r>
        <w:rPr>
          <w:rFonts w:ascii="Arial" w:cs="Arial" w:eastAsia="Arial" w:hAnsi="Arial"/>
          <w:sz w:val="21"/>
          <w:szCs w:val="21"/>
          <w:color w:val="auto"/>
        </w:rPr>
        <w:t>are expected to inform the design of the planned Phase 3 clinical trial of SEL-212, which the company plans to initiate in the fourth quarter of 2019.</w:t>
      </w:r>
    </w:p>
    <w:p>
      <w:pPr>
        <w:spacing w:after="0" w:line="2" w:lineRule="exact"/>
        <w:rPr>
          <w:sz w:val="20"/>
          <w:szCs w:val="20"/>
          <w:color w:val="auto"/>
        </w:rPr>
      </w:pPr>
    </w:p>
    <w:p>
      <w:pPr>
        <w:ind w:left="680" w:hanging="344"/>
        <w:spacing w:after="0" w:line="245" w:lineRule="auto"/>
        <w:tabs>
          <w:tab w:leader="none" w:pos="68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Reported Phase 2 Data: </w:t>
      </w:r>
      <w:r>
        <w:rPr>
          <w:rFonts w:ascii="Arial" w:cs="Arial" w:eastAsia="Arial" w:hAnsi="Arial"/>
          <w:sz w:val="21"/>
          <w:szCs w:val="21"/>
          <w:color w:val="auto"/>
        </w:rPr>
        <w:t>Selecta has reported data from its Phase 2 trial showing that 66% of evaluable patients (21/32), maintained</w:t>
      </w:r>
      <w:r>
        <w:rPr>
          <w:rFonts w:ascii="Arial" w:cs="Arial" w:eastAsia="Arial" w:hAnsi="Arial"/>
          <w:sz w:val="21"/>
          <w:szCs w:val="21"/>
          <w:b w:val="1"/>
          <w:bCs w:val="1"/>
          <w:color w:val="auto"/>
        </w:rPr>
        <w:t xml:space="preserve"> </w:t>
      </w:r>
      <w:r>
        <w:rPr>
          <w:rFonts w:ascii="Arial" w:cs="Arial" w:eastAsia="Arial" w:hAnsi="Arial"/>
          <w:sz w:val="21"/>
          <w:szCs w:val="21"/>
          <w:color w:val="auto"/>
        </w:rPr>
        <w:t>serum uric acid (sUA) levels of &lt;6mg/dL after five once-monthly treatments of SEL-212 at doses of 0.1 or 0.15 mg/kg of ImmTOR in combination with 0.2mg/kg of pegadricase. Furthermore, reduced total urate burden and lowered flare rates and severity were observed in the Phase 2 clinical trial, and SEL-212 continued to be generally well tolerated.</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AAV Gene Therapy Program:</w:t>
      </w:r>
    </w:p>
    <w:p>
      <w:pPr>
        <w:spacing w:after="0" w:line="243" w:lineRule="exact"/>
        <w:rPr>
          <w:sz w:val="20"/>
          <w:szCs w:val="20"/>
          <w:color w:val="auto"/>
        </w:rPr>
      </w:pPr>
    </w:p>
    <w:p>
      <w:pPr>
        <w:ind w:left="680" w:right="300" w:hanging="344"/>
        <w:spacing w:after="0" w:line="248" w:lineRule="auto"/>
        <w:tabs>
          <w:tab w:leader="none" w:pos="680" w:val="left"/>
        </w:tabs>
        <w:numPr>
          <w:ilvl w:val="0"/>
          <w:numId w:val="5"/>
        </w:numPr>
        <w:rPr>
          <w:rFonts w:ascii="Arial" w:cs="Arial" w:eastAsia="Arial" w:hAnsi="Arial"/>
          <w:sz w:val="19"/>
          <w:szCs w:val="19"/>
          <w:color w:val="auto"/>
        </w:rPr>
      </w:pPr>
      <w:r>
        <w:rPr>
          <w:rFonts w:ascii="Arial" w:cs="Arial" w:eastAsia="Arial" w:hAnsi="Arial"/>
          <w:sz w:val="21"/>
          <w:szCs w:val="21"/>
          <w:b w:val="1"/>
          <w:bCs w:val="1"/>
          <w:color w:val="auto"/>
        </w:rPr>
        <w:t xml:space="preserve">Collaboration with CureCN Consortium Projected to Dose First Patient in 2H19: </w:t>
      </w:r>
      <w:r>
        <w:rPr>
          <w:rFonts w:ascii="Arial" w:cs="Arial" w:eastAsia="Arial" w:hAnsi="Arial"/>
          <w:sz w:val="21"/>
          <w:szCs w:val="21"/>
          <w:color w:val="auto"/>
        </w:rPr>
        <w:t>In September 2018, Selecta announced a</w:t>
      </w:r>
      <w:r>
        <w:rPr>
          <w:rFonts w:ascii="Arial" w:cs="Arial" w:eastAsia="Arial" w:hAnsi="Arial"/>
          <w:sz w:val="21"/>
          <w:szCs w:val="21"/>
          <w:b w:val="1"/>
          <w:bCs w:val="1"/>
          <w:color w:val="auto"/>
        </w:rPr>
        <w:t xml:space="preserve"> </w:t>
      </w:r>
      <w:r>
        <w:rPr>
          <w:rFonts w:ascii="Arial" w:cs="Arial" w:eastAsia="Arial" w:hAnsi="Arial"/>
          <w:sz w:val="21"/>
          <w:szCs w:val="21"/>
          <w:color w:val="auto"/>
        </w:rPr>
        <w:t>collaboration with CureCN, a European consortium, for an ImmTOR+AAV gene therapy combination product candidate in Crigler-Najjar Syndrome, building upon preclinical work that was published together with Genethon in Nature Communications in October 2018. Selecta expects CureCN to initiate preclinical toxicology studies in the first half of 2019 and for the combination product candidate to enter the clinic in the second half of 2019.</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Updates:</w:t>
      </w:r>
    </w:p>
    <w:p>
      <w:pPr>
        <w:spacing w:after="0" w:line="229" w:lineRule="exact"/>
        <w:rPr>
          <w:sz w:val="20"/>
          <w:szCs w:val="20"/>
          <w:color w:val="auto"/>
        </w:rPr>
      </w:pPr>
    </w:p>
    <w:p>
      <w:pPr>
        <w:ind w:left="680" w:right="180" w:hanging="344"/>
        <w:spacing w:after="0" w:line="256" w:lineRule="auto"/>
        <w:tabs>
          <w:tab w:leader="none" w:pos="680" w:val="left"/>
        </w:tabs>
        <w:numPr>
          <w:ilvl w:val="0"/>
          <w:numId w:val="6"/>
        </w:numPr>
        <w:rPr>
          <w:rFonts w:ascii="Arial" w:cs="Arial" w:eastAsia="Arial" w:hAnsi="Arial"/>
          <w:sz w:val="19"/>
          <w:szCs w:val="19"/>
          <w:color w:val="auto"/>
        </w:rPr>
      </w:pPr>
      <w:r>
        <w:rPr>
          <w:rFonts w:ascii="Arial" w:cs="Arial" w:eastAsia="Arial" w:hAnsi="Arial"/>
          <w:sz w:val="21"/>
          <w:szCs w:val="21"/>
          <w:b w:val="1"/>
          <w:bCs w:val="1"/>
          <w:color w:val="auto"/>
        </w:rPr>
        <w:t xml:space="preserve">Corporate Restructuring Completed in January 2019: </w:t>
      </w:r>
      <w:r>
        <w:rPr>
          <w:rFonts w:ascii="Arial" w:cs="Arial" w:eastAsia="Arial" w:hAnsi="Arial"/>
          <w:sz w:val="21"/>
          <w:szCs w:val="21"/>
          <w:color w:val="auto"/>
        </w:rPr>
        <w:t>Selecta completed a corporate restructuring that reduced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workforce by 36 percent as of January 3, 2019. This reduction, coupled with a reprioritization of the company’s pipeline programs, is projected to reduce the yearly cash burn by 19 percent.</w:t>
      </w:r>
    </w:p>
    <w:p>
      <w:pPr>
        <w:spacing w:after="0" w:line="182" w:lineRule="exact"/>
        <w:rPr>
          <w:rFonts w:ascii="Arial" w:cs="Arial" w:eastAsia="Arial" w:hAnsi="Arial"/>
          <w:sz w:val="19"/>
          <w:szCs w:val="19"/>
          <w:color w:val="auto"/>
        </w:rPr>
      </w:pPr>
    </w:p>
    <w:p>
      <w:pPr>
        <w:ind w:left="680" w:right="60" w:hanging="344"/>
        <w:spacing w:after="0" w:line="256" w:lineRule="auto"/>
        <w:tabs>
          <w:tab w:leader="none" w:pos="680" w:val="left"/>
        </w:tabs>
        <w:numPr>
          <w:ilvl w:val="0"/>
          <w:numId w:val="6"/>
        </w:numPr>
        <w:rPr>
          <w:rFonts w:ascii="Arial" w:cs="Arial" w:eastAsia="Arial" w:hAnsi="Arial"/>
          <w:sz w:val="19"/>
          <w:szCs w:val="19"/>
          <w:color w:val="auto"/>
        </w:rPr>
      </w:pPr>
      <w:r>
        <w:rPr>
          <w:rFonts w:ascii="Arial" w:cs="Arial" w:eastAsia="Arial" w:hAnsi="Arial"/>
          <w:sz w:val="21"/>
          <w:szCs w:val="21"/>
          <w:b w:val="1"/>
          <w:bCs w:val="1"/>
          <w:color w:val="auto"/>
        </w:rPr>
        <w:t xml:space="preserve">Successfully Completed a $33.3 Million Public Offering; Providing Cash Runway into 1Q20: </w:t>
      </w:r>
      <w:r>
        <w:rPr>
          <w:rFonts w:ascii="Arial" w:cs="Arial" w:eastAsia="Arial" w:hAnsi="Arial"/>
          <w:sz w:val="21"/>
          <w:szCs w:val="21"/>
          <w:color w:val="auto"/>
        </w:rPr>
        <w:t>In January 2019, Selecta completed</w:t>
      </w:r>
      <w:r>
        <w:rPr>
          <w:rFonts w:ascii="Arial" w:cs="Arial" w:eastAsia="Arial" w:hAnsi="Arial"/>
          <w:sz w:val="21"/>
          <w:szCs w:val="21"/>
          <w:b w:val="1"/>
          <w:bCs w:val="1"/>
          <w:color w:val="auto"/>
        </w:rPr>
        <w:t xml:space="preserve"> </w:t>
      </w:r>
      <w:r>
        <w:rPr>
          <w:rFonts w:ascii="Arial" w:cs="Arial" w:eastAsia="Arial" w:hAnsi="Arial"/>
          <w:sz w:val="21"/>
          <w:szCs w:val="21"/>
          <w:color w:val="auto"/>
        </w:rPr>
        <w:t>an underwritten public offering of 22,188,706 shares of its common stock, at a price to public of $1.50 per share, resulting in net proceeds to Selecta of $31.3 million, after deducting underwriting discounts and commissions.</w:t>
      </w:r>
    </w:p>
    <w:p>
      <w:pPr>
        <w:spacing w:after="0" w:line="182" w:lineRule="exact"/>
        <w:rPr>
          <w:rFonts w:ascii="Arial" w:cs="Arial" w:eastAsia="Arial" w:hAnsi="Arial"/>
          <w:sz w:val="19"/>
          <w:szCs w:val="19"/>
          <w:color w:val="auto"/>
        </w:rPr>
      </w:pPr>
    </w:p>
    <w:p>
      <w:pPr>
        <w:ind w:left="680" w:right="380" w:hanging="344"/>
        <w:spacing w:after="0" w:line="256" w:lineRule="auto"/>
        <w:tabs>
          <w:tab w:leader="none" w:pos="680" w:val="left"/>
        </w:tabs>
        <w:numPr>
          <w:ilvl w:val="0"/>
          <w:numId w:val="6"/>
        </w:numPr>
        <w:rPr>
          <w:rFonts w:ascii="Arial" w:cs="Arial" w:eastAsia="Arial" w:hAnsi="Arial"/>
          <w:sz w:val="19"/>
          <w:szCs w:val="19"/>
          <w:color w:val="auto"/>
        </w:rPr>
      </w:pPr>
      <w:r>
        <w:rPr>
          <w:rFonts w:ascii="Arial" w:cs="Arial" w:eastAsia="Arial" w:hAnsi="Arial"/>
          <w:sz w:val="21"/>
          <w:szCs w:val="21"/>
          <w:b w:val="1"/>
          <w:bCs w:val="1"/>
          <w:color w:val="auto"/>
        </w:rPr>
        <w:t xml:space="preserve">Strengthened Management Team: </w:t>
      </w:r>
      <w:r>
        <w:rPr>
          <w:rFonts w:ascii="Arial" w:cs="Arial" w:eastAsia="Arial" w:hAnsi="Arial"/>
          <w:sz w:val="21"/>
          <w:szCs w:val="21"/>
          <w:color w:val="auto"/>
        </w:rPr>
        <w:t>Effective December 1, 2018, Carsten Brunn, Ph.D., assumed the role of President and CEO of</w:t>
      </w:r>
      <w:r>
        <w:rPr>
          <w:rFonts w:ascii="Arial" w:cs="Arial" w:eastAsia="Arial" w:hAnsi="Arial"/>
          <w:sz w:val="21"/>
          <w:szCs w:val="21"/>
          <w:b w:val="1"/>
          <w:bCs w:val="1"/>
          <w:color w:val="auto"/>
        </w:rPr>
        <w:t xml:space="preserve"> </w:t>
      </w:r>
      <w:r>
        <w:rPr>
          <w:rFonts w:ascii="Arial" w:cs="Arial" w:eastAsia="Arial" w:hAnsi="Arial"/>
          <w:sz w:val="21"/>
          <w:szCs w:val="21"/>
          <w:color w:val="auto"/>
        </w:rPr>
        <w:t>Selecta, following his previous position as President of Pharmaceuticals for the Americas Region and member of the Global Pharmaceutical Executive Committee at Bayer.</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Fourth Quarter 2018 Financial Results:</w:t>
      </w:r>
    </w:p>
    <w:p>
      <w:pPr>
        <w:spacing w:after="0" w:line="229" w:lineRule="exact"/>
        <w:rPr>
          <w:sz w:val="20"/>
          <w:szCs w:val="20"/>
          <w:color w:val="auto"/>
        </w:rPr>
      </w:pPr>
    </w:p>
    <w:p>
      <w:pPr>
        <w:ind w:left="680" w:right="160" w:hanging="344"/>
        <w:spacing w:after="0" w:line="256" w:lineRule="auto"/>
        <w:tabs>
          <w:tab w:leader="none" w:pos="680" w:val="left"/>
        </w:tabs>
        <w:numPr>
          <w:ilvl w:val="0"/>
          <w:numId w:val="7"/>
        </w:numPr>
        <w:rPr>
          <w:rFonts w:ascii="Arial" w:cs="Arial" w:eastAsia="Arial" w:hAnsi="Arial"/>
          <w:sz w:val="19"/>
          <w:szCs w:val="19"/>
          <w:color w:val="auto"/>
        </w:rPr>
      </w:pPr>
      <w:r>
        <w:rPr>
          <w:rFonts w:ascii="Arial" w:cs="Arial" w:eastAsia="Arial" w:hAnsi="Arial"/>
          <w:sz w:val="21"/>
          <w:szCs w:val="21"/>
          <w:b w:val="1"/>
          <w:bCs w:val="1"/>
          <w:color w:val="auto"/>
        </w:rPr>
        <w:t xml:space="preserve">Revenue: </w:t>
      </w:r>
      <w:r>
        <w:rPr>
          <w:rFonts w:ascii="Arial" w:cs="Arial" w:eastAsia="Arial" w:hAnsi="Arial"/>
          <w:sz w:val="21"/>
          <w:szCs w:val="21"/>
          <w:color w:val="auto"/>
        </w:rPr>
        <w:t>For the fourth quarter of 2018, the company recognized $0.9 million of revenue, which compares to less than $0.1 million</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fourth quarter of 2017. The increase resulted from an increase in grant revenue and was the sole result of the conclusion of the company's grant with NIDA.</w:t>
      </w:r>
    </w:p>
    <w:p>
      <w:pPr>
        <w:spacing w:after="0" w:line="182" w:lineRule="exact"/>
        <w:rPr>
          <w:rFonts w:ascii="Arial" w:cs="Arial" w:eastAsia="Arial" w:hAnsi="Arial"/>
          <w:sz w:val="19"/>
          <w:szCs w:val="19"/>
          <w:color w:val="auto"/>
        </w:rPr>
      </w:pPr>
    </w:p>
    <w:p>
      <w:pPr>
        <w:ind w:left="680" w:right="80" w:hanging="344"/>
        <w:spacing w:after="0" w:line="295"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9"/>
          <w:szCs w:val="19"/>
          <w:b w:val="1"/>
          <w:bCs w:val="1"/>
          <w:color w:val="auto"/>
        </w:rPr>
        <w:t xml:space="preserve">Research and Development Expenses: </w:t>
      </w:r>
      <w:r>
        <w:rPr>
          <w:rFonts w:ascii="Arial" w:cs="Arial" w:eastAsia="Arial" w:hAnsi="Arial"/>
          <w:sz w:val="19"/>
          <w:szCs w:val="19"/>
          <w:color w:val="auto"/>
        </w:rPr>
        <w:t>Research and development expenses for the fourth quarter of 2018 were $10.3 million,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compares with $13.6 million for the fourth quarter of 2017. The decrease was driven by reduced expenditures for our preclinical product candidates combined with the winding down of the Phase 2 clinical trial of SEL-212 in the second half of 2018.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2000"/>
          </w:cols>
          <w:pgMar w:left="120" w:top="480" w:right="120" w:bottom="1440" w:gutter="0" w:footer="0" w:header="0"/>
        </w:sectPr>
      </w:pPr>
    </w:p>
    <w:bookmarkStart w:id="5" w:name="page6"/>
    <w:bookmarkEnd w:id="5"/>
    <w:p>
      <w:pPr>
        <w:ind w:left="680" w:right="80" w:hanging="344"/>
        <w:spacing w:after="0" w:line="325"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9"/>
          <w:szCs w:val="19"/>
          <w:b w:val="1"/>
          <w:bCs w:val="1"/>
          <w:color w:val="auto"/>
        </w:rPr>
        <w:t xml:space="preserve">General and Administrative Expenses: </w:t>
      </w:r>
      <w:r>
        <w:rPr>
          <w:rFonts w:ascii="Arial" w:cs="Arial" w:eastAsia="Arial" w:hAnsi="Arial"/>
          <w:sz w:val="19"/>
          <w:szCs w:val="19"/>
          <w:color w:val="auto"/>
        </w:rPr>
        <w:t>General and administrative expenses for the fourth quarter of 2018 were $5.1 million,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compares with $5.7 million for the fourth quarter of 2017. The reduction in costs was primarily the result of reduced consulting fees.</w:t>
      </w:r>
    </w:p>
    <w:p>
      <w:pPr>
        <w:spacing w:after="0" w:line="135" w:lineRule="exact"/>
        <w:rPr>
          <w:rFonts w:ascii="Arial" w:cs="Arial" w:eastAsia="Arial" w:hAnsi="Arial"/>
          <w:sz w:val="17"/>
          <w:szCs w:val="17"/>
          <w:color w:val="auto"/>
        </w:rPr>
      </w:pPr>
    </w:p>
    <w:p>
      <w:pPr>
        <w:ind w:left="680" w:right="140" w:hanging="344"/>
        <w:spacing w:after="0" w:line="271" w:lineRule="auto"/>
        <w:tabs>
          <w:tab w:leader="none" w:pos="680" w:val="left"/>
        </w:tabs>
        <w:numPr>
          <w:ilvl w:val="0"/>
          <w:numId w:val="8"/>
        </w:numPr>
        <w:rPr>
          <w:rFonts w:ascii="Arial" w:cs="Arial" w:eastAsia="Arial" w:hAnsi="Arial"/>
          <w:sz w:val="19"/>
          <w:szCs w:val="19"/>
          <w:color w:val="auto"/>
        </w:rPr>
      </w:pPr>
      <w:r>
        <w:rPr>
          <w:rFonts w:ascii="Arial" w:cs="Arial" w:eastAsia="Arial" w:hAnsi="Arial"/>
          <w:sz w:val="21"/>
          <w:szCs w:val="21"/>
          <w:b w:val="1"/>
          <w:bCs w:val="1"/>
          <w:color w:val="auto"/>
        </w:rPr>
        <w:t xml:space="preserve">Net Loss: </w:t>
      </w:r>
      <w:r>
        <w:rPr>
          <w:rFonts w:ascii="Arial" w:cs="Arial" w:eastAsia="Arial" w:hAnsi="Arial"/>
          <w:sz w:val="21"/>
          <w:szCs w:val="21"/>
          <w:color w:val="auto"/>
        </w:rPr>
        <w:t>For the fourth quarter of 2018, Selecta reported a net loss of $(14.7) million, or $(0.65) per share, compared to a net loss of</w:t>
      </w:r>
      <w:r>
        <w:rPr>
          <w:rFonts w:ascii="Arial" w:cs="Arial" w:eastAsia="Arial" w:hAnsi="Arial"/>
          <w:sz w:val="21"/>
          <w:szCs w:val="21"/>
          <w:b w:val="1"/>
          <w:bCs w:val="1"/>
          <w:color w:val="auto"/>
        </w:rPr>
        <w:t xml:space="preserve"> </w:t>
      </w:r>
      <w:r>
        <w:rPr>
          <w:rFonts w:ascii="Arial" w:cs="Arial" w:eastAsia="Arial" w:hAnsi="Arial"/>
          <w:sz w:val="21"/>
          <w:szCs w:val="21"/>
          <w:color w:val="auto"/>
        </w:rPr>
        <w:t>$(19.5) million, or $(0.88) per share, for the same period in 2017.</w:t>
      </w:r>
    </w:p>
    <w:p>
      <w:pPr>
        <w:spacing w:after="0" w:line="167" w:lineRule="exact"/>
        <w:rPr>
          <w:rFonts w:ascii="Arial" w:cs="Arial" w:eastAsia="Arial" w:hAnsi="Arial"/>
          <w:sz w:val="19"/>
          <w:szCs w:val="19"/>
          <w:color w:val="auto"/>
        </w:rPr>
      </w:pPr>
    </w:p>
    <w:p>
      <w:pPr>
        <w:ind w:left="680" w:right="180" w:hanging="344"/>
        <w:spacing w:after="0" w:line="251" w:lineRule="auto"/>
        <w:tabs>
          <w:tab w:leader="none" w:pos="680" w:val="left"/>
        </w:tabs>
        <w:numPr>
          <w:ilvl w:val="0"/>
          <w:numId w:val="8"/>
        </w:numPr>
        <w:rPr>
          <w:rFonts w:ascii="Arial" w:cs="Arial" w:eastAsia="Arial" w:hAnsi="Arial"/>
          <w:sz w:val="19"/>
          <w:szCs w:val="19"/>
          <w:color w:val="auto"/>
        </w:rPr>
      </w:pPr>
      <w:r>
        <w:rPr>
          <w:rFonts w:ascii="Arial" w:cs="Arial" w:eastAsia="Arial" w:hAnsi="Arial"/>
          <w:sz w:val="21"/>
          <w:szCs w:val="21"/>
          <w:b w:val="1"/>
          <w:bCs w:val="1"/>
          <w:color w:val="auto"/>
        </w:rPr>
        <w:t xml:space="preserve">Cash Position: </w:t>
      </w:r>
      <w:r>
        <w:rPr>
          <w:rFonts w:ascii="Arial" w:cs="Arial" w:eastAsia="Arial" w:hAnsi="Arial"/>
          <w:sz w:val="21"/>
          <w:szCs w:val="21"/>
          <w:color w:val="auto"/>
        </w:rPr>
        <w:t>Selecta had $37.7 million in cash, cash equivalents and restricted cash as of December 31, 2018, which compares to</w:t>
      </w:r>
      <w:r>
        <w:rPr>
          <w:rFonts w:ascii="Arial" w:cs="Arial" w:eastAsia="Arial" w:hAnsi="Arial"/>
          <w:sz w:val="21"/>
          <w:szCs w:val="21"/>
          <w:b w:val="1"/>
          <w:bCs w:val="1"/>
          <w:color w:val="auto"/>
        </w:rPr>
        <w:t xml:space="preserve"> </w:t>
      </w:r>
      <w:r>
        <w:rPr>
          <w:rFonts w:ascii="Arial" w:cs="Arial" w:eastAsia="Arial" w:hAnsi="Arial"/>
          <w:sz w:val="21"/>
          <w:szCs w:val="21"/>
          <w:color w:val="auto"/>
        </w:rPr>
        <w:t>cash, cash equivalents and short-term investments of $50.5 million at September 30, 2018. The company currently has a cash runway into the first quarter of 2020, which includes proceeds net of underwriting discounts and commissions of $31.3 million from the company’s recent follow-on offering in January 2019.</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Conference Call Reminder</w:t>
      </w:r>
    </w:p>
    <w:p>
      <w:pPr>
        <w:spacing w:after="0" w:line="2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 xml:space="preserve">Selecta management will host a conference call at 8:30 a.m. ET today to provide a corporate update and review the company’s fourth quarter and year end 2018 financial results. Investors and the public can access a live and archived webcast of this call via the Investors &amp; Media section of the company’s website, </w:t>
      </w:r>
      <w:r>
        <w:rPr>
          <w:rFonts w:ascii="Arial" w:cs="Arial" w:eastAsia="Arial" w:hAnsi="Arial"/>
          <w:sz w:val="20"/>
          <w:szCs w:val="20"/>
          <w:u w:val="single" w:color="auto"/>
          <w:color w:val="0000FF"/>
        </w:rPr>
        <w:t>http://selectabio.com</w:t>
      </w:r>
      <w:r>
        <w:rPr>
          <w:rFonts w:ascii="Arial" w:cs="Arial" w:eastAsia="Arial" w:hAnsi="Arial"/>
          <w:sz w:val="20"/>
          <w:szCs w:val="20"/>
          <w:color w:val="auto"/>
        </w:rPr>
        <w:t>. Individuals may also participate in the live call via telephone by dialing (844) 845-4170 (domestic) or (412) 717-9621 (international) and may access a teleconference replay for one week by dialing (877) 344-7529 (domestic) or (412) 317-0088 (international) and using confirmation code 10127200.</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Selecta Biosciences, Inc.</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http://selectabio.com and follow @SelectaBio on Twitter.</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5"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Any statements in this press release about the future expectations, plans and prospects of Selecta Biosciences, Inc. (“the company”), including without limitation, statements regarding the progress of the Phase 2 clinical trial of SEL-212, the anticipated timing of the planned Phase 2 head-to-head (COMPARE) clinical trial comparing SEL-212 and Krystexxa, related data readouts and expectations surrounding the ability of the COMPARE results to inform the planned Phase 3 clinical trial of SEL-212, the anticipated timing of the planned Phase 3 clinical trial, whether the head-to-head trial with Krystexxa will demonstrate superiority, the potential of ImmTOR to enable re-dosing of AAV gene therapy and the anticipated timing of preclinical toxicology studies in collaboration with CureCN and initiation of a clinical trial related thereto, the potential of SEL-212 to fulfill unmet needs in chronic refractory gout patients including sustained sUA reduction, reduced flares, and once monthly dosing, the company’s commercial plans, the ability of the company’s ImmTOR platform, including SEL-212, to unlock the full potential of biologic therapies, the potential of SEL-212 to treat chronic refractory gout patients and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2000"/>
          </w:cols>
          <w:pgMar w:left="120" w:top="459" w:right="120"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9"/>
          <w:szCs w:val="19"/>
          <w:color w:val="auto"/>
        </w:rPr>
        <w:t>resolve their debilitating symptoms, the potential treatment applications for product candidates utilizing the ImmTOR platform in areas such as enzyme therapy and gene therapy, the company’s plan to apply its ImmTOR technology platform to a range of biologics for rare and serious diseases, the potential of the company’s two gene therapy product candidates to enable repeat administration, the potential of the ImmTOR technology platform generally and the company’s ability to grow its strategic partnerships,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Annual Report on Form 10-K for the year ended December 31, 2018,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2000"/>
          </w:cols>
          <w:pgMar w:left="120" w:top="465" w:right="120"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9"/>
          <w:szCs w:val="19"/>
          <w:b w:val="1"/>
          <w:bCs w:val="1"/>
          <w:color w:val="auto"/>
        </w:rPr>
        <w:t>Selecta Biosciences, Inc. and Subsidiaries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Consolidated Balance Sheets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(Amounts in thousands, except share data and par value)</w:t>
      </w:r>
    </w:p>
    <w:p>
      <w:pPr>
        <w:sectPr>
          <w:pgSz w:w="12240" w:h="15840" w:orient="portrait"/>
          <w:cols w:equalWidth="0" w:num="1">
            <w:col w:w="11980"/>
          </w:cols>
          <w:pgMar w:left="140" w:top="749" w:right="12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Cash, cash equivalents, and restricted cash</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Short-term deposits and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Prepaid expenses and other current assets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Total 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net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Restricted cash and other assets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Total assets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Liabilities and stockholders’ equity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Loan payable, current portion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Deferred revenue, current portion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Total current liabilities</w:t>
      </w:r>
    </w:p>
    <w:p>
      <w:pPr>
        <w:spacing w:after="0" w:line="109"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Non</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 2018</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Arial" w:cs="Arial" w:eastAsia="Arial" w:hAnsi="Arial"/>
                <w:sz w:val="15"/>
                <w:szCs w:val="15"/>
                <w:b w:val="1"/>
                <w:bCs w:val="1"/>
                <w:color w:val="auto"/>
                <w:w w:val="94"/>
              </w:rPr>
              <w:t>December 31, 2017</w:t>
            </w:r>
          </w:p>
        </w:tc>
      </w:tr>
      <w:tr>
        <w:trPr>
          <w:trHeight w:val="84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37,403</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70,698</w:t>
            </w:r>
          </w:p>
        </w:tc>
      </w:tr>
      <w:tr>
        <w:trPr>
          <w:trHeight w:val="285"/>
        </w:trPr>
        <w:tc>
          <w:tcPr>
            <w:tcW w:w="18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25,940</w:t>
            </w:r>
          </w:p>
        </w:tc>
      </w:tr>
      <w:tr>
        <w:trPr>
          <w:trHeight w:val="293"/>
        </w:trPr>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4,673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2,042</w:t>
            </w:r>
          </w:p>
        </w:tc>
      </w:tr>
      <w:tr>
        <w:trPr>
          <w:trHeight w:val="258"/>
        </w:trPr>
        <w:tc>
          <w:tcPr>
            <w:tcW w:w="180" w:type="dxa"/>
            <w:vAlign w:val="bottom"/>
          </w:tcPr>
          <w:p>
            <w:pPr>
              <w:spacing w:after="0"/>
              <w:rPr>
                <w:sz w:val="22"/>
                <w:szCs w:val="22"/>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42,076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98,680</w:t>
            </w:r>
          </w:p>
        </w:tc>
      </w:tr>
      <w:tr>
        <w:trPr>
          <w:trHeight w:val="285"/>
        </w:trPr>
        <w:tc>
          <w:tcPr>
            <w:tcW w:w="180" w:type="dxa"/>
            <w:vAlign w:val="bottom"/>
          </w:tcPr>
          <w:p>
            <w:pPr>
              <w:spacing w:after="0"/>
              <w:rPr>
                <w:sz w:val="24"/>
                <w:szCs w:val="24"/>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2,127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2,091</w:t>
            </w:r>
          </w:p>
        </w:tc>
      </w:tr>
      <w:tr>
        <w:trPr>
          <w:trHeight w:val="293"/>
        </w:trPr>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329</w:t>
            </w:r>
          </w:p>
        </w:tc>
      </w:tr>
      <w:tr>
        <w:trPr>
          <w:trHeight w:val="251"/>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44,482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101,100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03"/>
        </w:trPr>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1,100</w:t>
            </w:r>
          </w:p>
        </w:tc>
        <w:tc>
          <w:tcPr>
            <w:tcW w:w="120" w:type="dxa"/>
            <w:vAlign w:val="bottom"/>
          </w:tcPr>
          <w:p>
            <w:pPr>
              <w:spacing w:after="0"/>
              <w:rPr>
                <w:sz w:val="24"/>
                <w:szCs w:val="24"/>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1,606</w:t>
            </w:r>
          </w:p>
        </w:tc>
      </w:tr>
      <w:tr>
        <w:trPr>
          <w:trHeight w:val="285"/>
        </w:trPr>
        <w:tc>
          <w:tcPr>
            <w:tcW w:w="180" w:type="dxa"/>
            <w:vAlign w:val="bottom"/>
          </w:tcPr>
          <w:p>
            <w:pPr>
              <w:spacing w:after="0"/>
              <w:rPr>
                <w:sz w:val="24"/>
                <w:szCs w:val="24"/>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11,700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8,580</w:t>
            </w:r>
          </w:p>
        </w:tc>
      </w:tr>
      <w:tr>
        <w:trPr>
          <w:trHeight w:val="285"/>
        </w:trPr>
        <w:tc>
          <w:tcPr>
            <w:tcW w:w="180" w:type="dxa"/>
            <w:vAlign w:val="bottom"/>
          </w:tcPr>
          <w:p>
            <w:pPr>
              <w:spacing w:after="0"/>
              <w:rPr>
                <w:sz w:val="24"/>
                <w:szCs w:val="24"/>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21,385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293"/>
        </w:trPr>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959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787</w:t>
            </w:r>
          </w:p>
        </w:tc>
      </w:tr>
      <w:tr>
        <w:trPr>
          <w:trHeight w:val="258"/>
        </w:trPr>
        <w:tc>
          <w:tcPr>
            <w:tcW w:w="180" w:type="dxa"/>
            <w:vAlign w:val="bottom"/>
          </w:tcPr>
          <w:p>
            <w:pPr>
              <w:spacing w:after="0"/>
              <w:rPr>
                <w:sz w:val="22"/>
                <w:szCs w:val="22"/>
                <w:color w:val="auto"/>
              </w:rPr>
            </w:pPr>
          </w:p>
        </w:tc>
        <w:tc>
          <w:tcPr>
            <w:tcW w:w="1560" w:type="dxa"/>
            <w:vAlign w:val="bottom"/>
          </w:tcPr>
          <w:p>
            <w:pPr>
              <w:jc w:val="right"/>
              <w:ind w:right="24"/>
              <w:spacing w:after="0"/>
              <w:rPr>
                <w:sz w:val="20"/>
                <w:szCs w:val="20"/>
                <w:color w:val="auto"/>
              </w:rPr>
            </w:pPr>
            <w:r>
              <w:rPr>
                <w:rFonts w:ascii="Arial" w:cs="Arial" w:eastAsia="Arial" w:hAnsi="Arial"/>
                <w:sz w:val="15"/>
                <w:szCs w:val="15"/>
                <w:color w:val="auto"/>
              </w:rPr>
              <w:t>35,144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44"/>
              <w:spacing w:after="0"/>
              <w:rPr>
                <w:sz w:val="20"/>
                <w:szCs w:val="20"/>
                <w:color w:val="auto"/>
              </w:rPr>
            </w:pPr>
            <w:r>
              <w:rPr>
                <w:rFonts w:ascii="Arial" w:cs="Arial" w:eastAsia="Arial" w:hAnsi="Arial"/>
                <w:sz w:val="15"/>
                <w:szCs w:val="15"/>
                <w:color w:val="auto"/>
              </w:rPr>
              <w:t>10,973</w:t>
            </w:r>
          </w:p>
        </w:tc>
      </w:tr>
    </w:tbl>
    <w:p>
      <w:pPr>
        <w:spacing w:after="0" w:line="307" w:lineRule="exact"/>
        <w:rPr>
          <w:sz w:val="20"/>
          <w:szCs w:val="20"/>
          <w:color w:val="auto"/>
        </w:rPr>
      </w:pPr>
    </w:p>
    <w:p>
      <w:pPr>
        <w:sectPr>
          <w:pgSz w:w="12240" w:h="15840" w:orient="portrait"/>
          <w:cols w:equalWidth="0" w:num="2">
            <w:col w:w="7320" w:space="720"/>
            <w:col w:w="3940"/>
          </w:cols>
          <w:pgMar w:left="140" w:top="749" w:right="120"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8040" w:type="dxa"/>
            <w:vAlign w:val="bottom"/>
          </w:tcPr>
          <w:p>
            <w:pPr>
              <w:spacing w:after="0"/>
              <w:rPr>
                <w:sz w:val="20"/>
                <w:szCs w:val="20"/>
                <w:color w:val="auto"/>
              </w:rPr>
            </w:pPr>
            <w:r>
              <w:rPr>
                <w:rFonts w:ascii="Arial" w:cs="Arial" w:eastAsia="Arial" w:hAnsi="Arial"/>
                <w:sz w:val="15"/>
                <w:szCs w:val="15"/>
                <w:color w:val="auto"/>
              </w:rPr>
              <w:t>Deferred rent and lease incentive</w:t>
            </w:r>
          </w:p>
        </w:tc>
        <w:tc>
          <w:tcPr>
            <w:tcW w:w="600" w:type="dxa"/>
            <w:vAlign w:val="bottom"/>
          </w:tcPr>
          <w:p>
            <w:pPr>
              <w:spacing w:after="0"/>
              <w:rPr>
                <w:sz w:val="16"/>
                <w:szCs w:val="16"/>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71"/>
        </w:trPr>
        <w:tc>
          <w:tcPr>
            <w:tcW w:w="8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Arial" w:cs="Arial" w:eastAsia="Arial" w:hAnsi="Arial"/>
                <w:sz w:val="15"/>
                <w:szCs w:val="15"/>
                <w:color w:val="auto"/>
              </w:rPr>
              <w:t>Loan payable, net of current portion</w:t>
            </w:r>
          </w:p>
        </w:tc>
        <w:tc>
          <w:tcPr>
            <w:tcW w:w="600" w:type="dxa"/>
            <w:vAlign w:val="bottom"/>
          </w:tcPr>
          <w:p>
            <w:pPr>
              <w:spacing w:after="0"/>
              <w:rPr>
                <w:sz w:val="18"/>
                <w:szCs w:val="18"/>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8"/>
                <w:szCs w:val="18"/>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21,042</w:t>
            </w:r>
          </w:p>
        </w:tc>
        <w:tc>
          <w:tcPr>
            <w:tcW w:w="0" w:type="dxa"/>
            <w:vAlign w:val="bottom"/>
          </w:tcPr>
          <w:p>
            <w:pPr>
              <w:spacing w:after="0"/>
              <w:rPr>
                <w:sz w:val="1"/>
                <w:szCs w:val="1"/>
                <w:color w:val="auto"/>
              </w:rPr>
            </w:pPr>
          </w:p>
        </w:tc>
      </w:tr>
      <w:tr>
        <w:trPr>
          <w:trHeight w:val="71"/>
        </w:trPr>
        <w:tc>
          <w:tcPr>
            <w:tcW w:w="8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Arial" w:cs="Arial" w:eastAsia="Arial" w:hAnsi="Arial"/>
                <w:sz w:val="15"/>
                <w:szCs w:val="15"/>
                <w:color w:val="auto"/>
              </w:rPr>
              <w:t>Deferred revenue, net of current portion</w:t>
            </w:r>
          </w:p>
        </w:tc>
        <w:tc>
          <w:tcPr>
            <w:tcW w:w="600" w:type="dxa"/>
            <w:vAlign w:val="bottom"/>
          </w:tcPr>
          <w:p>
            <w:pPr>
              <w:spacing w:after="0"/>
              <w:rPr>
                <w:sz w:val="18"/>
                <w:szCs w:val="18"/>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13,818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15,919</w:t>
            </w:r>
          </w:p>
        </w:tc>
        <w:tc>
          <w:tcPr>
            <w:tcW w:w="0" w:type="dxa"/>
            <w:vAlign w:val="bottom"/>
          </w:tcPr>
          <w:p>
            <w:pPr>
              <w:spacing w:after="0"/>
              <w:rPr>
                <w:sz w:val="1"/>
                <w:szCs w:val="1"/>
                <w:color w:val="auto"/>
              </w:rPr>
            </w:pPr>
          </w:p>
        </w:tc>
      </w:tr>
      <w:tr>
        <w:trPr>
          <w:trHeight w:val="71"/>
        </w:trPr>
        <w:tc>
          <w:tcPr>
            <w:tcW w:w="8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40" w:type="dxa"/>
            <w:vAlign w:val="bottom"/>
          </w:tcPr>
          <w:p>
            <w:pPr>
              <w:spacing w:after="0" w:line="173" w:lineRule="exact"/>
              <w:rPr>
                <w:sz w:val="20"/>
                <w:szCs w:val="20"/>
                <w:color w:val="auto"/>
              </w:rPr>
            </w:pPr>
            <w:r>
              <w:rPr>
                <w:rFonts w:ascii="Arial" w:cs="Arial" w:eastAsia="Arial" w:hAnsi="Arial"/>
                <w:sz w:val="15"/>
                <w:szCs w:val="15"/>
                <w:color w:val="auto"/>
              </w:rPr>
              <w:t>Other long</w:t>
            </w:r>
            <w:r>
              <w:rPr>
                <w:rFonts w:ascii="MS PGothic" w:cs="MS PGothic" w:eastAsia="MS PGothic" w:hAnsi="MS PGothic"/>
                <w:sz w:val="15"/>
                <w:szCs w:val="15"/>
                <w:color w:val="auto"/>
              </w:rPr>
              <w:t>‑</w:t>
            </w:r>
            <w:r>
              <w:rPr>
                <w:rFonts w:ascii="Arial" w:cs="Arial" w:eastAsia="Arial" w:hAnsi="Arial"/>
                <w:sz w:val="15"/>
                <w:szCs w:val="15"/>
                <w:color w:val="auto"/>
              </w:rPr>
              <w:t>term liabilities</w:t>
            </w:r>
          </w:p>
        </w:tc>
        <w:tc>
          <w:tcPr>
            <w:tcW w:w="600" w:type="dxa"/>
            <w:vAlign w:val="bottom"/>
          </w:tcPr>
          <w:p>
            <w:pPr>
              <w:spacing w:after="0"/>
              <w:rPr>
                <w:sz w:val="18"/>
                <w:szCs w:val="18"/>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904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1,201</w:t>
            </w:r>
          </w:p>
        </w:tc>
        <w:tc>
          <w:tcPr>
            <w:tcW w:w="0" w:type="dxa"/>
            <w:vAlign w:val="bottom"/>
          </w:tcPr>
          <w:p>
            <w:pPr>
              <w:spacing w:after="0"/>
              <w:rPr>
                <w:sz w:val="1"/>
                <w:szCs w:val="1"/>
                <w:color w:val="auto"/>
              </w:rPr>
            </w:pPr>
          </w:p>
        </w:tc>
      </w:tr>
      <w:tr>
        <w:trPr>
          <w:trHeight w:val="79"/>
        </w:trPr>
        <w:tc>
          <w:tcPr>
            <w:tcW w:w="80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20"/>
                <w:szCs w:val="20"/>
                <w:color w:val="auto"/>
              </w:rPr>
            </w:pPr>
            <w:r>
              <w:rPr>
                <w:rFonts w:ascii="Arial" w:cs="Arial" w:eastAsia="Arial" w:hAnsi="Arial"/>
                <w:sz w:val="15"/>
                <w:szCs w:val="15"/>
                <w:color w:val="auto"/>
              </w:rPr>
              <w:t>Total liabilities</w:t>
            </w:r>
          </w:p>
        </w:tc>
        <w:tc>
          <w:tcPr>
            <w:tcW w:w="600" w:type="dxa"/>
            <w:vAlign w:val="bottom"/>
          </w:tcPr>
          <w:p>
            <w:pPr>
              <w:spacing w:after="0"/>
              <w:rPr>
                <w:sz w:val="16"/>
                <w:szCs w:val="16"/>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49,900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49,286</w:t>
            </w:r>
          </w:p>
        </w:tc>
        <w:tc>
          <w:tcPr>
            <w:tcW w:w="0" w:type="dxa"/>
            <w:vAlign w:val="bottom"/>
          </w:tcPr>
          <w:p>
            <w:pPr>
              <w:spacing w:after="0"/>
              <w:rPr>
                <w:sz w:val="1"/>
                <w:szCs w:val="1"/>
                <w:color w:val="auto"/>
              </w:rPr>
            </w:pPr>
          </w:p>
        </w:tc>
      </w:tr>
      <w:tr>
        <w:trPr>
          <w:trHeight w:val="79"/>
        </w:trPr>
        <w:tc>
          <w:tcPr>
            <w:tcW w:w="80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20"/>
                <w:szCs w:val="20"/>
                <w:color w:val="auto"/>
              </w:rPr>
            </w:pPr>
            <w:r>
              <w:rPr>
                <w:rFonts w:ascii="Arial" w:cs="Arial" w:eastAsia="Arial" w:hAnsi="Arial"/>
                <w:sz w:val="15"/>
                <w:szCs w:val="15"/>
                <w:b w:val="1"/>
                <w:bCs w:val="1"/>
                <w:color w:val="auto"/>
              </w:rPr>
              <w:t>Stockholders’ (deficit) equity:</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040" w:type="dxa"/>
            <w:vAlign w:val="bottom"/>
          </w:tcPr>
          <w:p>
            <w:pPr>
              <w:spacing w:after="0"/>
              <w:rPr>
                <w:sz w:val="20"/>
                <w:szCs w:val="20"/>
                <w:color w:val="auto"/>
              </w:rPr>
            </w:pPr>
            <w:r>
              <w:rPr>
                <w:rFonts w:ascii="Arial" w:cs="Arial" w:eastAsia="Arial" w:hAnsi="Arial"/>
                <w:sz w:val="15"/>
                <w:szCs w:val="15"/>
                <w:color w:val="auto"/>
                <w:w w:val="94"/>
              </w:rPr>
              <w:t>Preferred stock, $0.0001 par value; 10,000,000 shares authorized; no shares issued and outstanding at December 31, 2018 and</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040" w:type="dxa"/>
            <w:vAlign w:val="bottom"/>
          </w:tcPr>
          <w:p>
            <w:pPr>
              <w:spacing w:after="0"/>
              <w:rPr>
                <w:sz w:val="20"/>
                <w:szCs w:val="20"/>
                <w:color w:val="auto"/>
              </w:rPr>
            </w:pPr>
            <w:r>
              <w:rPr>
                <w:rFonts w:ascii="Arial" w:cs="Arial" w:eastAsia="Arial" w:hAnsi="Arial"/>
                <w:sz w:val="15"/>
                <w:szCs w:val="15"/>
                <w:color w:val="auto"/>
              </w:rPr>
              <w:t>December 31, 2017, respectively</w:t>
            </w:r>
          </w:p>
        </w:tc>
        <w:tc>
          <w:tcPr>
            <w:tcW w:w="6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8040" w:type="dxa"/>
            <w:vAlign w:val="bottom"/>
          </w:tcPr>
          <w:p>
            <w:pPr>
              <w:spacing w:after="0"/>
              <w:rPr>
                <w:sz w:val="20"/>
                <w:szCs w:val="20"/>
                <w:color w:val="auto"/>
              </w:rPr>
            </w:pPr>
            <w:r>
              <w:rPr>
                <w:rFonts w:ascii="Arial" w:cs="Arial" w:eastAsia="Arial" w:hAnsi="Arial"/>
                <w:sz w:val="15"/>
                <w:szCs w:val="15"/>
                <w:color w:val="auto"/>
                <w:w w:val="92"/>
              </w:rPr>
              <w:t>Common stock, $0.0001 par value; 200,000,000 shares authorized; 22,471,776 and 22,343,254 shares issued and outstanding as</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40" w:type="dxa"/>
            <w:vAlign w:val="bottom"/>
          </w:tcPr>
          <w:p>
            <w:pPr>
              <w:spacing w:after="0"/>
              <w:rPr>
                <w:sz w:val="20"/>
                <w:szCs w:val="20"/>
                <w:color w:val="auto"/>
              </w:rPr>
            </w:pPr>
            <w:r>
              <w:rPr>
                <w:rFonts w:ascii="Arial" w:cs="Arial" w:eastAsia="Arial" w:hAnsi="Arial"/>
                <w:sz w:val="15"/>
                <w:szCs w:val="15"/>
                <w:color w:val="auto"/>
              </w:rPr>
              <w:t>of December 31, 2018 and December 31, 2017, respectively</w:t>
            </w:r>
          </w:p>
        </w:tc>
        <w:tc>
          <w:tcPr>
            <w:tcW w:w="600" w:type="dxa"/>
            <w:vAlign w:val="bottom"/>
          </w:tcPr>
          <w:p>
            <w:pPr>
              <w:spacing w:after="0"/>
              <w:rPr>
                <w:sz w:val="16"/>
                <w:szCs w:val="16"/>
                <w:color w:val="auto"/>
              </w:rPr>
            </w:pP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600" w:type="dxa"/>
            <w:vAlign w:val="bottom"/>
          </w:tcPr>
          <w:p>
            <w:pPr>
              <w:spacing w:after="0"/>
              <w:rPr>
                <w:sz w:val="18"/>
                <w:szCs w:val="18"/>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279,539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273,128</w:t>
            </w:r>
          </w:p>
        </w:tc>
        <w:tc>
          <w:tcPr>
            <w:tcW w:w="0" w:type="dxa"/>
            <w:vAlign w:val="bottom"/>
          </w:tcPr>
          <w:p>
            <w:pPr>
              <w:spacing w:after="0"/>
              <w:rPr>
                <w:sz w:val="1"/>
                <w:szCs w:val="1"/>
                <w:color w:val="auto"/>
              </w:rPr>
            </w:pPr>
          </w:p>
        </w:tc>
      </w:tr>
      <w:tr>
        <w:trPr>
          <w:trHeight w:val="71"/>
        </w:trPr>
        <w:tc>
          <w:tcPr>
            <w:tcW w:w="8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Arial" w:cs="Arial" w:eastAsia="Arial" w:hAnsi="Arial"/>
                <w:sz w:val="15"/>
                <w:szCs w:val="15"/>
                <w:color w:val="auto"/>
              </w:rPr>
              <w:t>Accumulated deficit</w:t>
            </w:r>
          </w:p>
        </w:tc>
        <w:tc>
          <w:tcPr>
            <w:tcW w:w="6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(280,403)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(216,897)</w:t>
            </w:r>
          </w:p>
        </w:tc>
        <w:tc>
          <w:tcPr>
            <w:tcW w:w="0" w:type="dxa"/>
            <w:vAlign w:val="bottom"/>
          </w:tcPr>
          <w:p>
            <w:pPr>
              <w:spacing w:after="0"/>
              <w:rPr>
                <w:sz w:val="1"/>
                <w:szCs w:val="1"/>
                <w:color w:val="auto"/>
              </w:rPr>
            </w:pPr>
          </w:p>
        </w:tc>
      </w:tr>
      <w:tr>
        <w:trPr>
          <w:trHeight w:val="71"/>
        </w:trPr>
        <w:tc>
          <w:tcPr>
            <w:tcW w:w="8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6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(4,557)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(4,420)</w:t>
            </w:r>
          </w:p>
        </w:tc>
        <w:tc>
          <w:tcPr>
            <w:tcW w:w="0" w:type="dxa"/>
            <w:vAlign w:val="bottom"/>
          </w:tcPr>
          <w:p>
            <w:pPr>
              <w:spacing w:after="0"/>
              <w:rPr>
                <w:sz w:val="1"/>
                <w:szCs w:val="1"/>
                <w:color w:val="auto"/>
              </w:rPr>
            </w:pPr>
          </w:p>
        </w:tc>
      </w:tr>
      <w:tr>
        <w:trPr>
          <w:trHeight w:val="79"/>
        </w:trPr>
        <w:tc>
          <w:tcPr>
            <w:tcW w:w="80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20"/>
                <w:szCs w:val="20"/>
                <w:color w:val="auto"/>
              </w:rPr>
            </w:pPr>
            <w:r>
              <w:rPr>
                <w:rFonts w:ascii="Arial" w:cs="Arial" w:eastAsia="Arial" w:hAnsi="Arial"/>
                <w:sz w:val="15"/>
                <w:szCs w:val="15"/>
                <w:color w:val="auto"/>
              </w:rPr>
              <w:t>Total stockholders’ (deficit) equity</w:t>
            </w:r>
          </w:p>
        </w:tc>
        <w:tc>
          <w:tcPr>
            <w:tcW w:w="6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(5,418)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51,814</w:t>
            </w:r>
          </w:p>
        </w:tc>
        <w:tc>
          <w:tcPr>
            <w:tcW w:w="0" w:type="dxa"/>
            <w:vAlign w:val="bottom"/>
          </w:tcPr>
          <w:p>
            <w:pPr>
              <w:spacing w:after="0"/>
              <w:rPr>
                <w:sz w:val="1"/>
                <w:szCs w:val="1"/>
                <w:color w:val="auto"/>
              </w:rPr>
            </w:pPr>
          </w:p>
        </w:tc>
      </w:tr>
      <w:tr>
        <w:trPr>
          <w:trHeight w:val="79"/>
        </w:trPr>
        <w:tc>
          <w:tcPr>
            <w:tcW w:w="804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4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600" w:type="dxa"/>
            <w:vAlign w:val="bottom"/>
            <w:vMerge w:val="restart"/>
          </w:tcPr>
          <w:p>
            <w:pPr>
              <w:jc w:val="right"/>
              <w:ind w:right="404"/>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ind w:right="24"/>
              <w:spacing w:after="0"/>
              <w:rPr>
                <w:sz w:val="20"/>
                <w:szCs w:val="20"/>
                <w:color w:val="auto"/>
              </w:rPr>
            </w:pPr>
            <w:r>
              <w:rPr>
                <w:rFonts w:ascii="Arial" w:cs="Arial" w:eastAsia="Arial" w:hAnsi="Arial"/>
                <w:sz w:val="15"/>
                <w:szCs w:val="15"/>
                <w:color w:val="auto"/>
              </w:rPr>
              <w:t>44,482</w:t>
            </w:r>
          </w:p>
        </w:tc>
        <w:tc>
          <w:tcPr>
            <w:tcW w:w="120" w:type="dxa"/>
            <w:vAlign w:val="bottom"/>
          </w:tcPr>
          <w:p>
            <w:pPr>
              <w:spacing w:after="0"/>
              <w:rPr>
                <w:sz w:val="16"/>
                <w:szCs w:val="16"/>
                <w:color w:val="auto"/>
              </w:rPr>
            </w:pPr>
          </w:p>
        </w:tc>
        <w:tc>
          <w:tcPr>
            <w:tcW w:w="600" w:type="dxa"/>
            <w:vAlign w:val="bottom"/>
            <w:vMerge w:val="restart"/>
          </w:tcPr>
          <w:p>
            <w:pPr>
              <w:jc w:val="right"/>
              <w:ind w:right="424"/>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4"/>
              <w:spacing w:after="0"/>
              <w:rPr>
                <w:sz w:val="20"/>
                <w:szCs w:val="20"/>
                <w:color w:val="auto"/>
              </w:rPr>
            </w:pPr>
            <w:r>
              <w:rPr>
                <w:rFonts w:ascii="Arial" w:cs="Arial" w:eastAsia="Arial" w:hAnsi="Arial"/>
                <w:sz w:val="15"/>
                <w:szCs w:val="15"/>
                <w:color w:val="auto"/>
              </w:rPr>
              <w:t>101,100</w:t>
            </w:r>
          </w:p>
        </w:tc>
        <w:tc>
          <w:tcPr>
            <w:tcW w:w="0" w:type="dxa"/>
            <w:vAlign w:val="bottom"/>
          </w:tcPr>
          <w:p>
            <w:pPr>
              <w:spacing w:after="0"/>
              <w:rPr>
                <w:sz w:val="1"/>
                <w:szCs w:val="1"/>
                <w:color w:val="auto"/>
              </w:rPr>
            </w:pPr>
          </w:p>
        </w:tc>
      </w:tr>
      <w:tr>
        <w:trPr>
          <w:trHeight w:val="69"/>
        </w:trPr>
        <w:tc>
          <w:tcPr>
            <w:tcW w:w="8040" w:type="dxa"/>
            <w:vAlign w:val="bottom"/>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980"/>
          </w:cols>
          <w:pgMar w:left="140" w:top="749" w:right="12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9"/>
          <w:szCs w:val="19"/>
          <w:b w:val="1"/>
          <w:bCs w:val="1"/>
          <w:color w:val="auto"/>
        </w:rPr>
        <w:t>Selecta Biosciences, Inc. and Subsidiaries</w:t>
      </w:r>
    </w:p>
    <w:p>
      <w:pPr>
        <w:spacing w:after="0" w:line="67" w:lineRule="exact"/>
        <w:rPr>
          <w:sz w:val="20"/>
          <w:szCs w:val="20"/>
          <w:color w:val="auto"/>
        </w:rPr>
      </w:pPr>
    </w:p>
    <w:p>
      <w:pPr>
        <w:ind w:left="3400"/>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spacing w:after="0" w:line="67" w:lineRule="exact"/>
        <w:rPr>
          <w:sz w:val="20"/>
          <w:szCs w:val="20"/>
          <w:color w:val="auto"/>
        </w:rPr>
      </w:pPr>
    </w:p>
    <w:p>
      <w:pPr>
        <w:ind w:left="3700"/>
        <w:spacing w:after="0"/>
        <w:rPr>
          <w:sz w:val="20"/>
          <w:szCs w:val="20"/>
          <w:color w:val="auto"/>
        </w:rPr>
      </w:pPr>
      <w:r>
        <w:rPr>
          <w:rFonts w:ascii="Arial" w:cs="Arial" w:eastAsia="Arial" w:hAnsi="Arial"/>
          <w:sz w:val="19"/>
          <w:szCs w:val="19"/>
          <w:b w:val="1"/>
          <w:bCs w:val="1"/>
          <w:color w:val="auto"/>
        </w:rPr>
        <w:t>(Amounts in thousands, except share and per share data)</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 December 31,</w:t>
            </w:r>
          </w:p>
        </w:tc>
        <w:tc>
          <w:tcPr>
            <w:tcW w:w="360" w:type="dxa"/>
            <w:vAlign w:val="bottom"/>
          </w:tcPr>
          <w:p>
            <w:pPr>
              <w:spacing w:after="0"/>
              <w:rPr>
                <w:sz w:val="17"/>
                <w:szCs w:val="17"/>
                <w:color w:val="auto"/>
              </w:rPr>
            </w:pPr>
          </w:p>
        </w:tc>
        <w:tc>
          <w:tcPr>
            <w:tcW w:w="284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Year Ended December 31,</w:t>
            </w:r>
          </w:p>
        </w:tc>
        <w:tc>
          <w:tcPr>
            <w:tcW w:w="0" w:type="dxa"/>
            <w:vAlign w:val="bottom"/>
          </w:tcPr>
          <w:p>
            <w:pPr>
              <w:spacing w:after="0"/>
              <w:rPr>
                <w:sz w:val="1"/>
                <w:szCs w:val="1"/>
                <w:color w:val="auto"/>
              </w:rPr>
            </w:pPr>
          </w:p>
        </w:tc>
      </w:tr>
      <w:tr>
        <w:trPr>
          <w:trHeight w:val="279"/>
        </w:trPr>
        <w:tc>
          <w:tcPr>
            <w:tcW w:w="538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2018</w:t>
            </w: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20"/>
                <w:szCs w:val="20"/>
                <w:color w:val="auto"/>
              </w:rPr>
            </w:pPr>
            <w:r>
              <w:rPr>
                <w:rFonts w:ascii="Arial" w:cs="Arial" w:eastAsia="Arial" w:hAnsi="Arial"/>
                <w:sz w:val="15"/>
                <w:szCs w:val="15"/>
                <w:color w:val="auto"/>
              </w:rPr>
              <w:t>Grant and collaboration revenue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903</w:t>
            </w:r>
          </w:p>
        </w:tc>
        <w:tc>
          <w:tcPr>
            <w:tcW w:w="14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903</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71"/>
        </w:trPr>
        <w:tc>
          <w:tcPr>
            <w:tcW w:w="5380" w:type="dxa"/>
            <w:vAlign w:val="bottom"/>
          </w:tcPr>
          <w:p>
            <w:pPr>
              <w:spacing w:after="0"/>
              <w:rPr>
                <w:sz w:val="20"/>
                <w:szCs w:val="20"/>
                <w:color w:val="auto"/>
              </w:rPr>
            </w:pPr>
            <w:r>
              <w:rPr>
                <w:rFonts w:ascii="Arial" w:cs="Arial" w:eastAsia="Arial" w:hAnsi="Arial"/>
                <w:sz w:val="15"/>
                <w:szCs w:val="15"/>
                <w:color w:val="auto"/>
              </w:rPr>
              <w:t>Operating expenses:</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3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30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10,256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13,623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47,687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45,165</w:t>
            </w:r>
          </w:p>
        </w:tc>
        <w:tc>
          <w:tcPr>
            <w:tcW w:w="0" w:type="dxa"/>
            <w:vAlign w:val="bottom"/>
          </w:tcPr>
          <w:p>
            <w:pPr>
              <w:spacing w:after="0"/>
              <w:rPr>
                <w:sz w:val="1"/>
                <w:szCs w:val="1"/>
                <w:color w:val="auto"/>
              </w:rPr>
            </w:pPr>
          </w:p>
        </w:tc>
      </w:tr>
      <w:tr>
        <w:trPr>
          <w:trHeight w:val="285"/>
        </w:trPr>
        <w:tc>
          <w:tcPr>
            <w:tcW w:w="53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5,146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5,671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18,238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18,826</w:t>
            </w:r>
          </w:p>
        </w:tc>
        <w:tc>
          <w:tcPr>
            <w:tcW w:w="0" w:type="dxa"/>
            <w:vAlign w:val="bottom"/>
          </w:tcPr>
          <w:p>
            <w:pPr>
              <w:spacing w:after="0"/>
              <w:rPr>
                <w:sz w:val="1"/>
                <w:szCs w:val="1"/>
                <w:color w:val="auto"/>
              </w:rPr>
            </w:pPr>
          </w:p>
        </w:tc>
      </w:tr>
      <w:tr>
        <w:trPr>
          <w:trHeight w:val="84"/>
        </w:trPr>
        <w:tc>
          <w:tcPr>
            <w:tcW w:w="5380" w:type="dxa"/>
            <w:vAlign w:val="bottom"/>
            <w:vMerge w:val="restart"/>
          </w:tcPr>
          <w:p>
            <w:pPr>
              <w:spacing w:after="0"/>
              <w:rPr>
                <w:sz w:val="20"/>
                <w:szCs w:val="20"/>
                <w:color w:val="auto"/>
              </w:rPr>
            </w:pPr>
            <w:r>
              <w:rPr>
                <w:rFonts w:ascii="Arial" w:cs="Arial" w:eastAsia="Arial" w:hAnsi="Arial"/>
                <w:sz w:val="15"/>
                <w:szCs w:val="15"/>
                <w:color w:val="auto"/>
              </w:rPr>
              <w:t>Total operating expenses</w:t>
            </w: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15,402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19,294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65,925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63,991</w:t>
            </w:r>
          </w:p>
        </w:tc>
        <w:tc>
          <w:tcPr>
            <w:tcW w:w="0" w:type="dxa"/>
            <w:vAlign w:val="bottom"/>
          </w:tcPr>
          <w:p>
            <w:pPr>
              <w:spacing w:after="0"/>
              <w:rPr>
                <w:sz w:val="1"/>
                <w:szCs w:val="1"/>
                <w:color w:val="auto"/>
              </w:rPr>
            </w:pPr>
          </w:p>
        </w:tc>
      </w:tr>
      <w:tr>
        <w:trPr>
          <w:trHeight w:val="70"/>
        </w:trPr>
        <w:tc>
          <w:tcPr>
            <w:tcW w:w="5380" w:type="dxa"/>
            <w:vAlign w:val="bottom"/>
            <w:vMerge w:val="restart"/>
          </w:tcPr>
          <w:p>
            <w:pPr>
              <w:spacing w:after="0"/>
              <w:rPr>
                <w:sz w:val="20"/>
                <w:szCs w:val="20"/>
                <w:color w:val="auto"/>
              </w:rPr>
            </w:pPr>
            <w:r>
              <w:rPr>
                <w:rFonts w:ascii="Arial" w:cs="Arial" w:eastAsia="Arial" w:hAnsi="Arial"/>
                <w:sz w:val="15"/>
                <w:szCs w:val="15"/>
                <w:color w:val="auto"/>
              </w:rPr>
              <w:t>Loss from operations</w:t>
            </w: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(14,499)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(19,277)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(63,784)</w:t>
            </w:r>
          </w:p>
        </w:tc>
        <w:tc>
          <w:tcPr>
            <w:tcW w:w="0" w:type="dxa"/>
            <w:vAlign w:val="bottom"/>
          </w:tcPr>
          <w:p>
            <w:pPr>
              <w:spacing w:after="0"/>
              <w:rPr>
                <w:sz w:val="1"/>
                <w:szCs w:val="1"/>
                <w:color w:val="auto"/>
              </w:rPr>
            </w:pPr>
          </w:p>
        </w:tc>
      </w:tr>
      <w:tr>
        <w:trPr>
          <w:trHeight w:val="271"/>
        </w:trPr>
        <w:tc>
          <w:tcPr>
            <w:tcW w:w="5380" w:type="dxa"/>
            <w:vAlign w:val="bottom"/>
          </w:tcPr>
          <w:p>
            <w:pPr>
              <w:spacing w:after="0"/>
              <w:rPr>
                <w:sz w:val="20"/>
                <w:szCs w:val="20"/>
                <w:color w:val="auto"/>
              </w:rPr>
            </w:pPr>
            <w:r>
              <w:rPr>
                <w:rFonts w:ascii="Arial" w:cs="Arial" w:eastAsia="Arial" w:hAnsi="Arial"/>
                <w:sz w:val="15"/>
                <w:szCs w:val="15"/>
                <w:color w:val="auto"/>
              </w:rPr>
              <w:t>Investment income</w:t>
            </w:r>
          </w:p>
        </w:tc>
        <w:tc>
          <w:tcPr>
            <w:tcW w:w="300" w:type="dxa"/>
            <w:vAlign w:val="bottom"/>
          </w:tcPr>
          <w:p>
            <w:pPr>
              <w:spacing w:after="0"/>
              <w:rPr>
                <w:sz w:val="23"/>
                <w:szCs w:val="23"/>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221</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1,050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285"/>
        </w:trPr>
        <w:tc>
          <w:tcPr>
            <w:tcW w:w="5380" w:type="dxa"/>
            <w:vAlign w:val="bottom"/>
          </w:tcPr>
          <w:p>
            <w:pPr>
              <w:spacing w:after="0"/>
              <w:rPr>
                <w:sz w:val="20"/>
                <w:szCs w:val="20"/>
                <w:color w:val="auto"/>
              </w:rPr>
            </w:pPr>
            <w:r>
              <w:rPr>
                <w:rFonts w:ascii="Arial" w:cs="Arial" w:eastAsia="Arial" w:hAnsi="Arial"/>
                <w:sz w:val="15"/>
                <w:szCs w:val="15"/>
                <w:color w:val="auto"/>
              </w:rPr>
              <w:t>Loss on extinguishment of debt</w:t>
            </w:r>
          </w:p>
        </w:tc>
        <w:tc>
          <w:tcPr>
            <w:tcW w:w="3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285"/>
        </w:trPr>
        <w:tc>
          <w:tcPr>
            <w:tcW w:w="5380" w:type="dxa"/>
            <w:vAlign w:val="bottom"/>
          </w:tcPr>
          <w:p>
            <w:pPr>
              <w:spacing w:after="0"/>
              <w:rPr>
                <w:sz w:val="20"/>
                <w:szCs w:val="20"/>
                <w:color w:val="auto"/>
              </w:rPr>
            </w:pPr>
            <w:r>
              <w:rPr>
                <w:rFonts w:ascii="Arial" w:cs="Arial" w:eastAsia="Arial" w:hAnsi="Arial"/>
                <w:sz w:val="15"/>
                <w:szCs w:val="15"/>
                <w:color w:val="auto"/>
              </w:rPr>
              <w:t>Foreign currency transaction gain (loss), net</w:t>
            </w:r>
          </w:p>
        </w:tc>
        <w:tc>
          <w:tcPr>
            <w:tcW w:w="30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23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85"/>
        </w:trPr>
        <w:tc>
          <w:tcPr>
            <w:tcW w:w="5380" w:type="dxa"/>
            <w:vAlign w:val="bottom"/>
          </w:tcPr>
          <w:p>
            <w:pPr>
              <w:spacing w:after="0"/>
              <w:rPr>
                <w:sz w:val="20"/>
                <w:szCs w:val="20"/>
                <w:color w:val="auto"/>
              </w:rPr>
            </w:pPr>
            <w:r>
              <w:rPr>
                <w:rFonts w:ascii="Arial" w:cs="Arial" w:eastAsia="Arial" w:hAnsi="Arial"/>
                <w:sz w:val="15"/>
                <w:szCs w:val="15"/>
                <w:color w:val="auto"/>
              </w:rPr>
              <w:t>Interest expense</w:t>
            </w:r>
          </w:p>
        </w:tc>
        <w:tc>
          <w:tcPr>
            <w:tcW w:w="300" w:type="dxa"/>
            <w:vAlign w:val="bottom"/>
          </w:tcPr>
          <w:p>
            <w:pPr>
              <w:spacing w:after="0"/>
              <w:rPr>
                <w:sz w:val="24"/>
                <w:szCs w:val="24"/>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(395)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(359)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(1,494)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(1,206)</w:t>
            </w:r>
          </w:p>
        </w:tc>
        <w:tc>
          <w:tcPr>
            <w:tcW w:w="0" w:type="dxa"/>
            <w:vAlign w:val="bottom"/>
          </w:tcPr>
          <w:p>
            <w:pPr>
              <w:spacing w:after="0"/>
              <w:rPr>
                <w:sz w:val="1"/>
                <w:szCs w:val="1"/>
                <w:color w:val="auto"/>
              </w:rPr>
            </w:pPr>
          </w:p>
        </w:tc>
      </w:tr>
      <w:tr>
        <w:trPr>
          <w:trHeight w:val="285"/>
        </w:trPr>
        <w:tc>
          <w:tcPr>
            <w:tcW w:w="538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300" w:type="dxa"/>
            <w:vAlign w:val="bottom"/>
          </w:tcPr>
          <w:p>
            <w:pPr>
              <w:spacing w:after="0"/>
              <w:rPr>
                <w:sz w:val="24"/>
                <w:szCs w:val="24"/>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84"/>
        </w:trPr>
        <w:tc>
          <w:tcPr>
            <w:tcW w:w="538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(14,651)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(19,544)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(65,336)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(65,321)</w:t>
            </w:r>
          </w:p>
        </w:tc>
        <w:tc>
          <w:tcPr>
            <w:tcW w:w="0" w:type="dxa"/>
            <w:vAlign w:val="bottom"/>
          </w:tcPr>
          <w:p>
            <w:pPr>
              <w:spacing w:after="0"/>
              <w:rPr>
                <w:sz w:val="1"/>
                <w:szCs w:val="1"/>
                <w:color w:val="auto"/>
              </w:rPr>
            </w:pPr>
          </w:p>
        </w:tc>
      </w:tr>
      <w:tr>
        <w:trPr>
          <w:trHeight w:val="70"/>
        </w:trPr>
        <w:tc>
          <w:tcPr>
            <w:tcW w:w="5380" w:type="dxa"/>
            <w:vAlign w:val="bottom"/>
            <w:vMerge w:val="restart"/>
          </w:tcPr>
          <w:p>
            <w:pPr>
              <w:spacing w:after="0"/>
              <w:rPr>
                <w:sz w:val="20"/>
                <w:szCs w:val="20"/>
                <w:color w:val="auto"/>
              </w:rPr>
            </w:pPr>
            <w:r>
              <w:rPr>
                <w:rFonts w:ascii="Arial" w:cs="Arial" w:eastAsia="Arial" w:hAnsi="Arial"/>
                <w:sz w:val="15"/>
                <w:szCs w:val="15"/>
                <w:color w:val="auto"/>
              </w:rPr>
              <w:t>Other comprehensive loss:</w:t>
            </w: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380" w:type="dxa"/>
            <w:vAlign w:val="bottom"/>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300" w:type="dxa"/>
            <w:vAlign w:val="bottom"/>
          </w:tcPr>
          <w:p>
            <w:pPr>
              <w:spacing w:after="0"/>
              <w:rPr>
                <w:sz w:val="24"/>
                <w:szCs w:val="24"/>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285"/>
        </w:trPr>
        <w:tc>
          <w:tcPr>
            <w:tcW w:w="5380" w:type="dxa"/>
            <w:vAlign w:val="bottom"/>
          </w:tcPr>
          <w:p>
            <w:pPr>
              <w:ind w:left="140"/>
              <w:spacing w:after="0"/>
              <w:rPr>
                <w:sz w:val="20"/>
                <w:szCs w:val="20"/>
                <w:color w:val="auto"/>
              </w:rPr>
            </w:pPr>
            <w:r>
              <w:rPr>
                <w:rFonts w:ascii="Arial" w:cs="Arial" w:eastAsia="Arial" w:hAnsi="Arial"/>
                <w:sz w:val="15"/>
                <w:szCs w:val="15"/>
                <w:color w:val="auto"/>
              </w:rPr>
              <w:t>Unrealized gain (loss) on securities</w:t>
            </w:r>
          </w:p>
        </w:tc>
        <w:tc>
          <w:tcPr>
            <w:tcW w:w="30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84"/>
        </w:trPr>
        <w:tc>
          <w:tcPr>
            <w:tcW w:w="5380" w:type="dxa"/>
            <w:vAlign w:val="bottom"/>
            <w:vMerge w:val="restart"/>
          </w:tcPr>
          <w:p>
            <w:pPr>
              <w:spacing w:after="0"/>
              <w:rPr>
                <w:sz w:val="20"/>
                <w:szCs w:val="20"/>
                <w:color w:val="auto"/>
              </w:rPr>
            </w:pPr>
            <w:r>
              <w:rPr>
                <w:rFonts w:ascii="Arial" w:cs="Arial" w:eastAsia="Arial" w:hAnsi="Arial"/>
                <w:sz w:val="15"/>
                <w:szCs w:val="15"/>
                <w:color w:val="auto"/>
              </w:rPr>
              <w:t>Total comprehensive loss</w:t>
            </w: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(14,691)</w:t>
            </w:r>
          </w:p>
        </w:tc>
        <w:tc>
          <w:tcPr>
            <w:tcW w:w="14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(19,555)</w:t>
            </w:r>
          </w:p>
        </w:tc>
        <w:tc>
          <w:tcPr>
            <w:tcW w:w="100" w:type="dxa"/>
            <w:vAlign w:val="bottom"/>
          </w:tcPr>
          <w:p>
            <w:pPr>
              <w:spacing w:after="0"/>
              <w:rPr>
                <w:sz w:val="16"/>
                <w:szCs w:val="16"/>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(65,473)</w:t>
            </w:r>
          </w:p>
        </w:tc>
        <w:tc>
          <w:tcPr>
            <w:tcW w:w="12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(65,223)</w:t>
            </w:r>
          </w:p>
        </w:tc>
        <w:tc>
          <w:tcPr>
            <w:tcW w:w="0" w:type="dxa"/>
            <w:vAlign w:val="bottom"/>
          </w:tcPr>
          <w:p>
            <w:pPr>
              <w:spacing w:after="0"/>
              <w:rPr>
                <w:sz w:val="1"/>
                <w:szCs w:val="1"/>
                <w:color w:val="auto"/>
              </w:rPr>
            </w:pPr>
          </w:p>
        </w:tc>
      </w:tr>
      <w:tr>
        <w:trPr>
          <w:trHeight w:val="56"/>
        </w:trPr>
        <w:tc>
          <w:tcPr>
            <w:tcW w:w="5380" w:type="dxa"/>
            <w:vAlign w:val="bottom"/>
            <w:vMerge w:val="restart"/>
          </w:tcPr>
          <w:p>
            <w:pPr>
              <w:spacing w:after="0"/>
              <w:rPr>
                <w:sz w:val="20"/>
                <w:szCs w:val="20"/>
                <w:color w:val="auto"/>
              </w:rPr>
            </w:pPr>
            <w:r>
              <w:rPr>
                <w:rFonts w:ascii="Arial" w:cs="Arial" w:eastAsia="Arial" w:hAnsi="Arial"/>
                <w:sz w:val="15"/>
                <w:szCs w:val="15"/>
                <w:color w:val="auto"/>
              </w:rPr>
              <w:t>Net loss per share:</w:t>
            </w: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(0.65)</w:t>
            </w:r>
          </w:p>
        </w:tc>
        <w:tc>
          <w:tcPr>
            <w:tcW w:w="14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(0.88)</w:t>
            </w:r>
          </w:p>
        </w:tc>
        <w:tc>
          <w:tcPr>
            <w:tcW w:w="100" w:type="dxa"/>
            <w:vAlign w:val="bottom"/>
          </w:tcPr>
          <w:p>
            <w:pPr>
              <w:spacing w:after="0"/>
              <w:rPr>
                <w:sz w:val="24"/>
                <w:szCs w:val="24"/>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(2.92)</w:t>
            </w:r>
          </w:p>
        </w:tc>
        <w:tc>
          <w:tcPr>
            <w:tcW w:w="12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70"/>
        </w:trPr>
        <w:tc>
          <w:tcPr>
            <w:tcW w:w="5380" w:type="dxa"/>
            <w:vAlign w:val="bottom"/>
            <w:vMerge w:val="restart"/>
          </w:tcPr>
          <w:p>
            <w:pPr>
              <w:spacing w:after="0"/>
              <w:rPr>
                <w:sz w:val="20"/>
                <w:szCs w:val="20"/>
                <w:color w:val="auto"/>
              </w:rPr>
            </w:pPr>
            <w:r>
              <w:rPr>
                <w:rFonts w:ascii="Arial" w:cs="Arial" w:eastAsia="Arial" w:hAnsi="Arial"/>
                <w:sz w:val="15"/>
                <w:szCs w:val="15"/>
                <w:color w:val="auto"/>
              </w:rPr>
              <w:t>Weighted average common shares outstanding:</w:t>
            </w: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53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300" w:type="dxa"/>
            <w:vAlign w:val="bottom"/>
          </w:tcPr>
          <w:p>
            <w:pPr>
              <w:spacing w:after="0"/>
              <w:rPr>
                <w:sz w:val="24"/>
                <w:szCs w:val="24"/>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22,450,828</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22,269,282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color w:val="auto"/>
              </w:rPr>
              <w:t>22,389,286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20,425,050</w:t>
            </w:r>
          </w:p>
        </w:tc>
        <w:tc>
          <w:tcPr>
            <w:tcW w:w="0" w:type="dxa"/>
            <w:vAlign w:val="bottom"/>
          </w:tcPr>
          <w:p>
            <w:pPr>
              <w:spacing w:after="0"/>
              <w:rPr>
                <w:sz w:val="1"/>
                <w:szCs w:val="1"/>
                <w:color w:val="auto"/>
              </w:rPr>
            </w:pPr>
          </w:p>
        </w:tc>
      </w:tr>
      <w:tr>
        <w:trPr>
          <w:trHeight w:val="70"/>
        </w:trPr>
        <w:tc>
          <w:tcPr>
            <w:tcW w:w="53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John Leaman, MD</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Selecta Biosciences, Inc.</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617-231-8081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FF"/>
        </w:rPr>
        <w:t>jleaman@selectabio.com</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Sarah McCabe</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Stern Investor Relations, Inc.</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+1-212-362-1200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FF"/>
        </w:rPr>
        <w:t>sarah@sternir.com</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sectPr>
      <w:pgSz w:w="12240" w:h="15840" w:orient="portrait"/>
      <w:cols w:equalWidth="0" w:num="1">
        <w:col w:w="12000"/>
      </w:cols>
      <w:pgMar w:left="120" w:top="749"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2019-12-28T14:21:53Z</dcterms:created>
  <dcterms:modified xsi:type="dcterms:W3CDTF">2019-12-28T14:21:53Z</dcterms:modified>
</cp:coreProperties>
</file>