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14884x5_pre14a_100-regcov_pg1"/>
        <w:bookmarkStart w:id="1" w:name="ny20014884x5_pre14a.htm"/>
        <w:bookmarkStart w:id="2" w:name="ksny20014884x5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(Rule 14a-101)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REQUIRED IN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14A INFORMATION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70" w:type="dxa"/>
        <w:jc w:val="left"/>
        <w:tblInd w:w="0" w:type="dxa"/>
        <w:tblLayout w:type="fixed"/>
        <w:tblCellMar>
          <w:top w:w="0" w:type="dxa"/>
          <w:left w:w="0" w:type="dxa"/>
          <w:bottom w:w="0" w:type="dxa"/>
          <w:right w:w="0" w:type="dxa"/>
        </w:tblCellMar>
      </w:tblPr>
      <w:tblGrid>
        <w:gridCol w:w="275"/>
        <w:gridCol w:w="6695"/>
      </w:tblGrid>
      <w:tr>
        <w:trPr/>
        <w:tc>
          <w:tcPr>
            <w:tcW w:w="275" w:type="dxa"/>
            <w:tcBorders/>
            <w:vAlign w:val="center"/>
          </w:tcPr>
          <w:p>
            <w:pPr>
              <w:pStyle w:val="TableContents"/>
              <w:bidi w:val="0"/>
              <w:spacing w:before="0" w:after="0"/>
              <w:jc w:val="left"/>
              <w:rPr>
                <w:color w:val="000000"/>
              </w:rPr>
            </w:pPr>
            <w:r>
              <w:rPr>
                <w:color w:val="000000"/>
              </w:rPr>
              <w:t> ☐</w:t>
            </w:r>
          </w:p>
        </w:tc>
        <w:tc>
          <w:tcPr>
            <w:tcW w:w="6695" w:type="dxa"/>
            <w:tcBorders/>
            <w:vAlign w:val="center"/>
          </w:tcPr>
          <w:p>
            <w:pPr>
              <w:pStyle w:val="TableContents"/>
              <w:bidi w:val="0"/>
              <w:spacing w:before="0" w:after="0"/>
              <w:jc w:val="left"/>
              <w:rPr>
                <w:rFonts w:ascii="Times New Roman;Times;serif" w:hAnsi="Times New Roman;Times;serif"/>
                <w:color w:val="000000"/>
                <w:sz w:val="2"/>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685" w:type="dxa"/>
        <w:jc w:val="left"/>
        <w:tblInd w:w="0" w:type="dxa"/>
        <w:tblLayout w:type="fixed"/>
        <w:tblCellMar>
          <w:top w:w="0" w:type="dxa"/>
          <w:left w:w="0" w:type="dxa"/>
          <w:bottom w:w="0" w:type="dxa"/>
          <w:right w:w="0" w:type="dxa"/>
        </w:tblCellMar>
      </w:tblPr>
      <w:tblGrid>
        <w:gridCol w:w="275"/>
        <w:gridCol w:w="3410"/>
      </w:tblGrid>
      <w:tr>
        <w:trPr/>
        <w:tc>
          <w:tcPr>
            <w:tcW w:w="275" w:type="dxa"/>
            <w:tcBorders/>
            <w:vAlign w:val="center"/>
          </w:tcPr>
          <w:p>
            <w:pPr>
              <w:pStyle w:val="TableContents"/>
              <w:bidi w:val="0"/>
              <w:spacing w:before="0" w:after="0"/>
              <w:jc w:val="left"/>
              <w:rPr>
                <w:color w:val="000000"/>
              </w:rPr>
            </w:pPr>
            <w:r>
              <w:rPr>
                <w:color w:val="000000"/>
              </w:rPr>
              <w:t> ☐</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to §240.14a-12 </w:t>
            </w:r>
          </w:p>
        </w:tc>
      </w:tr>
    </w:tbl>
    <w:p>
      <w:pPr>
        <w:pStyle w:val="TextBody"/>
        <w:bidi w:val="0"/>
        <w:spacing w:before="41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CARTESIAN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(Exact 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275"/>
        <w:gridCol w:w="8375"/>
      </w:tblGrid>
      <w:tr>
        <w:trPr/>
        <w:tc>
          <w:tcPr>
            <w:tcW w:w="275" w:type="dxa"/>
            <w:tcBorders/>
            <w:vAlign w:val="center"/>
          </w:tcPr>
          <w:p>
            <w:pPr>
              <w:pStyle w:val="TableContents"/>
              <w:bidi w:val="0"/>
              <w:spacing w:before="0" w:after="0"/>
              <w:jc w:val="left"/>
              <w:rPr>
                <w:color w:val="000000"/>
              </w:rPr>
            </w:pPr>
            <w:r>
              <w:rPr>
                <w:color w:val="000000"/>
              </w:rPr>
              <w:t> ☐</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14884x5_pre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DATED JANUARY 31, 2024 – SUBJECT TO COMPLETION</w:t>
      </w:r>
    </w:p>
    <w:p>
      <w:pPr>
        <w:pStyle w:val="TextBody"/>
        <w:bidi w:val="0"/>
        <w:spacing w:before="285" w:after="283"/>
        <w:jc w:val="center"/>
        <w:rPr>
          <w:color w:val="000000"/>
        </w:rPr>
      </w:pPr>
      <w:r>
        <w:rPr>
          <w:color w:val="000000"/>
        </w:rPr>
        <w:drawing>
          <wp:inline distT="0" distB="0" distL="0" distR="0">
            <wp:extent cx="23526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714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CARTESIAN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704 Quince Orchard Road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Gaithersburg, MD 20878</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(617) 923-1400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meeting of stockholders (the “Special Meeting”) of Cartesian Therapeutics, Inc. (the “Company”) will be held on    , 2024 at    , Eastern Time, by virtual meeting online at www.virtualshareholdermeeting.com/RNAC2024SM for the following purposes: </w:t>
      </w:r>
    </w:p>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in accordance with Nasdaq Listing Rule 5635(a), the issuance of shares of the Company’s common stock, par value $0.0001 per share (“Common Stock”), upon conversion of the Company’s Series A Non-Voting Convertible Preferred Stock, par value $0.0001 per share (“Series A Preferred Stock”) (the “Conversion Proposal” or “Proposal No. 1”);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Company’s restated certificate of incorporation, as amended (the “Current Charter”), to effect a reverse stock split of the Company’s issued and outstanding Common Stock, at a ratio in the range of 1-for-20 and 1-for-30, with such ratio to be determined at the discretion of the board of directors of the Company (the “Reverse Stock Split Proposal” or “Proposal No. 2”); and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adjournment or postponement of the Special Meeting, if necessary, to continue to solicit votes for Proposal Nos. 1 or 2 (the “Adjournment Proposal” or “Proposal No. 3”).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Company stockholders of record at the close of business on    , 2024 will be entitled to vote at the Special Meeting and any adjournment or postponement thereof.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attend the Special Meeting, it is important that your shares be represented and voted at the Special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Special Meeting, you will be able to vote your shares electronically, even if you have previously submitted your proxy.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 w:name="DSPFPageBreakArea"/>
      <w:bookmarkStart w:id="5" w:name="DSPFPageBreakArea"/>
      <w:bookmarkEnd w:id="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 w:name="DSPFPageBreak"/>
      <w:bookmarkStart w:id="7" w:name="DSPFPageBreak"/>
      <w:bookmarkEnd w:id="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 w:name="ny20014884x5_pre14a_101-notice_pg2"/>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questions regarding your stock ownership, you may contact us through our website at https://www.cartesiantherapeutics.com/investors/ or, if you are a registered holder, our transfer agent, Equiniti Trust Company, LLC (previously known as American Stock Transfer &amp; Trust Company LLC), by email at helpAST@equiniti.com, through its website at https://equiniti.com/us/ast-access/individuals/ or by phone at (800) 937-5449. If you have any questions about submitting your proxy or require assistance, please contact our proxy solicitor, Morrow Sodali LLC: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call toll free: (800) 662-5200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(203) 658-9400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ongoing support and continued interest in Cartesian Therapeutics, Inc. </w:t>
      </w:r>
    </w:p>
    <w:tbl>
      <w:tblPr>
        <w:tblW w:w="4026" w:type="dxa"/>
        <w:jc w:val="left"/>
        <w:tblInd w:w="0" w:type="dxa"/>
        <w:tblLayout w:type="fixed"/>
        <w:tblCellMar>
          <w:top w:w="0" w:type="dxa"/>
          <w:left w:w="0" w:type="dxa"/>
          <w:bottom w:w="0" w:type="dxa"/>
          <w:right w:w="0" w:type="dxa"/>
        </w:tblCellMar>
      </w:tblPr>
      <w:tblGrid>
        <w:gridCol w:w="3905"/>
        <w:gridCol w:w="23"/>
        <w:gridCol w:w="23"/>
        <w:gridCol w:w="75"/>
      </w:tblGrid>
      <w:tr>
        <w:trPr/>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000000"/>
              </w:rPr>
            </w:pPr>
            <w:r>
              <w:rPr>
                <w:color w:val="000000"/>
              </w:rPr>
              <w:t> </w:t>
            </w:r>
          </w:p>
        </w:tc>
      </w:tr>
      <w:tr>
        <w:trPr/>
        <w:tc>
          <w:tcPr>
            <w:tcW w:w="3905" w:type="dxa"/>
            <w:tcBorders>
              <w:bottom w:val="single" w:sz="8" w:space="0" w:color="000000"/>
            </w:tcBorders>
            <w:tcMar>
              <w:bottom w:w="65" w:type="dxa"/>
            </w:tcMar>
            <w:vAlign w:val="center"/>
          </w:tcPr>
          <w:p>
            <w:pPr>
              <w:pStyle w:val="TableContents"/>
              <w:bidi w:val="0"/>
              <w:spacing w:before="0" w:after="0"/>
              <w:jc w:val="left"/>
              <w:rPr>
                <w:color w:val="000000"/>
              </w:rPr>
            </w:pPr>
            <w:r>
              <w:rPr>
                <w:color w:val="000000"/>
              </w:rPr>
              <w:t> </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000000"/>
              </w:rPr>
            </w:pPr>
            <w:r>
              <w:rPr>
                <w:color w:val="000000"/>
              </w:rPr>
              <w:t> </w:t>
            </w:r>
          </w:p>
        </w:tc>
      </w:tr>
      <w:tr>
        <w:trPr/>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Carsten Brunn, Ph.D.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000000"/>
              </w:rPr>
            </w:pPr>
            <w:r>
              <w:rPr>
                <w:color w:val="000000"/>
              </w:rPr>
              <w:t> </w:t>
            </w:r>
          </w:p>
        </w:tc>
      </w:tr>
      <w:tr>
        <w:trPr/>
        <w:tc>
          <w:tcPr>
            <w:tcW w:w="390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Executive Officer, Director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000000"/>
              </w:rPr>
            </w:pPr>
            <w:r>
              <w:rPr>
                <w:color w:val="000000"/>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Gaithersburg, Maryland </w:t>
      </w:r>
    </w:p>
    <w:p>
      <w:pPr>
        <w:pStyle w:val="TextBody"/>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 w:name="DSPFPageBreakArea1"/>
      <w:bookmarkStart w:id="10" w:name="DSPFPageBreakArea1"/>
      <w:bookmarkEnd w:id="1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 w:name="DSPFPageBreak1"/>
      <w:bookmarkStart w:id="12" w:name="DSPFPageBreak1"/>
      <w:bookmarkEnd w:id="1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 w:name="ny20014884x5_pre14a_101-notice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WE CURRENTLY PLAN TO HOLD THE SPECIAL MEETING VIA LIVE WEBCAST. WHETHER OR NOT YOU PLAN TO ATTEND THE SPECIAL MEETING, WE ENCOURAGE YOU TO VOTE AND SUBMIT YOUR PROXY BY INTERNET, TELEPHONE OR BY MAIL. FOR ADDITIONAL INSTRUCTIONS ON VOTING BY TELEPHONE OR THE INTERNET, PLEASE REFER TO YOUR PROXY CARD.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VOTE AND SUBMIT YOUR PROXY BY MAIL, PLEASE COMPLETE, SIGN AND DATE THE ENCLOSED PROXY CARD AND RETURN IT IN THE ENCLOSED ENVELOPE. IF YOU ATTEND THE SPECIAL MEETING, YOU MAY REVOKE YOUR PROXY AND VOTE IN PERSON. IF YOU HOLD YOUR SHARES THROUGH AN ACCOUNT WITH A BROKERAGE FIRM, BANK OR OTHER NOMINEE, PLEASE FOLLOW THE INSTRUCTIONS YOU RECEIVE FROM YOUR ACCOUNT MANAGER TO VOTE YOUR SHARES.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 IS IMPORTANT THAT YOU RETAIN A COPY OF THE CONTROL NUMBER FOUND ON THE PROXY CARD, VOTING INSTRUCTION FORM OR NOTICE, AS SUCH NUMBER WILL BE REQUIRED IN ORDER FOR STOCKHOLDERS TO GAIN ACCESS TO THE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 w:name="DSPFPageBreakArea2"/>
      <w:bookmarkStart w:id="15" w:name="DSPFPageBreakArea2"/>
      <w:bookmarkEnd w:id="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 w:name="DSPFPageBreak2"/>
      <w:bookmarkStart w:id="17" w:name="DSPFPageBreak2"/>
      <w:bookmarkEnd w:id="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 w:name="ny20014884x5_pre14a_102-toc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9" w:name="TOC"/>
      <w:bookmarkStart w:id="20" w:name="TOC"/>
      <w:bookmarkEnd w:id="20"/>
    </w:p>
    <w:tbl>
      <w:tblPr>
        <w:tblW w:w="10205" w:type="dxa"/>
        <w:jc w:val="left"/>
        <w:tblInd w:w="0" w:type="dxa"/>
        <w:tblLayout w:type="fixed"/>
        <w:tblCellMar>
          <w:top w:w="0" w:type="dxa"/>
          <w:left w:w="0" w:type="dxa"/>
          <w:bottom w:w="0" w:type="dxa"/>
          <w:right w:w="0" w:type="dxa"/>
        </w:tblCellMar>
      </w:tblPr>
      <w:tblGrid>
        <w:gridCol w:w="9726"/>
        <w:gridCol w:w="23"/>
        <w:gridCol w:w="23"/>
        <w:gridCol w:w="433"/>
      </w:tblGrid>
      <w:tr>
        <w:trPr/>
        <w:tc>
          <w:tcPr>
            <w:tcW w:w="972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33"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726" w:type="dxa"/>
            <w:tcBorders/>
            <w:shd w:fill="CCEEFF" w:val="clear"/>
            <w:vAlign w:val="center"/>
          </w:tcPr>
          <w:p>
            <w:pPr>
              <w:pStyle w:val="TableContents"/>
              <w:bidi w:val="0"/>
              <w:spacing w:before="0" w:after="283"/>
              <w:ind w:left="0" w:right="0" w:hanging="0"/>
              <w:jc w:val="left"/>
              <w:rPr/>
            </w:pPr>
            <w:hyperlink w:anchor="tPST">
              <w:r>
                <w:rPr>
                  <w:rStyle w:val="InternetLink"/>
                  <w:rFonts w:ascii="Times New Roman;Times;serif" w:hAnsi="Times New Roman;Times;serif"/>
                  <w:color w:val="000000"/>
                  <w:sz w:val="20"/>
                </w:rPr>
                <w:t>PROXY STATEMENT</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PST">
              <w:r>
                <w:rPr>
                  <w:rStyle w:val="InternetLink"/>
                  <w:rFonts w:ascii="Times New Roman;Times;serif" w:hAnsi="Times New Roman;Times;serif"/>
                  <w:color w:val="000000"/>
                  <w:sz w:val="20"/>
                </w:rPr>
                <w:t>1</w:t>
              </w:r>
            </w:hyperlink>
          </w:p>
        </w:tc>
      </w:tr>
      <w:tr>
        <w:trPr/>
        <w:tc>
          <w:tcPr>
            <w:tcW w:w="9726"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SPECIAL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QAA">
              <w:r>
                <w:rPr>
                  <w:rStyle w:val="InternetLink"/>
                  <w:rFonts w:ascii="Times New Roman;Times;serif" w:hAnsi="Times New Roman;Times;serif"/>
                  <w:color w:val="000000"/>
                  <w:sz w:val="20"/>
                </w:rPr>
                <w:t>2</w:t>
              </w:r>
            </w:hyperlink>
          </w:p>
        </w:tc>
      </w:tr>
      <w:tr>
        <w:trPr/>
        <w:tc>
          <w:tcPr>
            <w:tcW w:w="9726" w:type="dxa"/>
            <w:tcBorders/>
            <w:shd w:fill="CCEEFF" w:val="clear"/>
            <w:vAlign w:val="center"/>
          </w:tcPr>
          <w:p>
            <w:pPr>
              <w:pStyle w:val="TableContents"/>
              <w:bidi w:val="0"/>
              <w:spacing w:before="0" w:after="283"/>
              <w:ind w:left="0" w:right="0" w:hanging="0"/>
              <w:jc w:val="left"/>
              <w:rPr/>
            </w:pPr>
            <w:hyperlink w:anchor="tCIR">
              <w:r>
                <w:rPr>
                  <w:rStyle w:val="InternetLink"/>
                  <w:rFonts w:ascii="Times New Roman;Times;serif" w:hAnsi="Times New Roman;Times;serif"/>
                  <w:color w:val="000000"/>
                  <w:sz w:val="20"/>
                </w:rPr>
                <w:t>CAUTIONARY INFORMATION REGARDING FORWARD-LOOKING STATEMENTS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CIR">
              <w:r>
                <w:rPr>
                  <w:rStyle w:val="InternetLink"/>
                  <w:rFonts w:ascii="Times New Roman;Times;serif" w:hAnsi="Times New Roman;Times;serif"/>
                  <w:color w:val="000000"/>
                  <w:sz w:val="20"/>
                </w:rPr>
                <w:t>6</w:t>
              </w:r>
            </w:hyperlink>
          </w:p>
        </w:tc>
      </w:tr>
      <w:tr>
        <w:trPr/>
        <w:tc>
          <w:tcPr>
            <w:tcW w:w="9726" w:type="dxa"/>
            <w:tcBorders/>
            <w:vAlign w:val="center"/>
          </w:tcPr>
          <w:p>
            <w:pPr>
              <w:pStyle w:val="TableContents"/>
              <w:bidi w:val="0"/>
              <w:spacing w:before="0" w:after="283"/>
              <w:ind w:left="0" w:right="0" w:hanging="0"/>
              <w:jc w:val="left"/>
              <w:rPr/>
            </w:pPr>
            <w:hyperlink w:anchor="tRFS">
              <w:r>
                <w:rPr>
                  <w:rStyle w:val="InternetLink"/>
                  <w:rFonts w:ascii="Times New Roman;Times;serif" w:hAnsi="Times New Roman;Times;serif"/>
                  <w:color w:val="000000"/>
                  <w:sz w:val="20"/>
                </w:rPr>
                <w:t>RISK FACTOR SUMMARY</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RFS">
              <w:r>
                <w:rPr>
                  <w:rStyle w:val="InternetLink"/>
                  <w:rFonts w:ascii="Times New Roman;Times;serif" w:hAnsi="Times New Roman;Times;serif"/>
                  <w:color w:val="000000"/>
                  <w:sz w:val="20"/>
                </w:rPr>
                <w:t>7</w:t>
              </w:r>
            </w:hyperlink>
          </w:p>
        </w:tc>
      </w:tr>
      <w:tr>
        <w:trPr/>
        <w:tc>
          <w:tcPr>
            <w:tcW w:w="9726" w:type="dxa"/>
            <w:tcBorders/>
            <w:shd w:fill="CCEEFF" w:val="clear"/>
            <w:vAlign w:val="center"/>
          </w:tcPr>
          <w:p>
            <w:pPr>
              <w:pStyle w:val="TableContents"/>
              <w:bidi w:val="0"/>
              <w:spacing w:before="0" w:after="283"/>
              <w:ind w:left="0" w:right="0" w:hanging="0"/>
              <w:jc w:val="left"/>
              <w:rPr/>
            </w:pPr>
            <w:hyperlink w:anchor="tDOT">
              <w:r>
                <w:rPr>
                  <w:rStyle w:val="InternetLink"/>
                  <w:rFonts w:ascii="Times New Roman;Times;serif" w:hAnsi="Times New Roman;Times;serif"/>
                  <w:color w:val="000000"/>
                  <w:sz w:val="20"/>
                </w:rPr>
                <w:t>DESCRIPTION OF THE TRANSACTIONS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DOT">
              <w:r>
                <w:rPr>
                  <w:rStyle w:val="InternetLink"/>
                  <w:rFonts w:ascii="Times New Roman;Times;serif" w:hAnsi="Times New Roman;Times;serif"/>
                  <w:color w:val="000000"/>
                  <w:sz w:val="20"/>
                </w:rPr>
                <w:t>8</w:t>
              </w:r>
            </w:hyperlink>
          </w:p>
        </w:tc>
      </w:tr>
      <w:tr>
        <w:trPr/>
        <w:tc>
          <w:tcPr>
            <w:tcW w:w="9726" w:type="dxa"/>
            <w:tcBorders/>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TMA">
              <w:r>
                <w:rPr>
                  <w:rStyle w:val="InternetLink"/>
                  <w:rFonts w:ascii="Times New Roman;Times;serif" w:hAnsi="Times New Roman;Times;serif"/>
                  <w:color w:val="000000"/>
                  <w:sz w:val="20"/>
                </w:rPr>
                <w:t>10</w:t>
              </w:r>
            </w:hyperlink>
          </w:p>
        </w:tc>
      </w:tr>
      <w:tr>
        <w:trPr/>
        <w:tc>
          <w:tcPr>
            <w:tcW w:w="9726" w:type="dxa"/>
            <w:tcBorders/>
            <w:shd w:fill="CCEEFF" w:val="clear"/>
            <w:vAlign w:val="center"/>
          </w:tcPr>
          <w:p>
            <w:pPr>
              <w:pStyle w:val="TableContents"/>
              <w:bidi w:val="0"/>
              <w:spacing w:before="0" w:after="283"/>
              <w:ind w:left="0" w:right="0" w:hanging="0"/>
              <w:jc w:val="left"/>
              <w:rPr/>
            </w:pPr>
            <w:hyperlink w:anchor="tBAR">
              <w:r>
                <w:rPr>
                  <w:rStyle w:val="InternetLink"/>
                  <w:rFonts w:ascii="Times New Roman;Times;serif" w:hAnsi="Times New Roman;Times;serif"/>
                  <w:color w:val="000000"/>
                  <w:sz w:val="20"/>
                </w:rPr>
                <w:t>BACKGROUND AND REASONS FOR THE TRANSACTIONS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BAR">
              <w:r>
                <w:rPr>
                  <w:rStyle w:val="InternetLink"/>
                  <w:rFonts w:ascii="Times New Roman;Times;serif" w:hAnsi="Times New Roman;Times;serif"/>
                  <w:color w:val="000000"/>
                  <w:sz w:val="20"/>
                </w:rPr>
                <w:t>21</w:t>
              </w:r>
            </w:hyperlink>
          </w:p>
        </w:tc>
      </w:tr>
      <w:tr>
        <w:trPr/>
        <w:tc>
          <w:tcPr>
            <w:tcW w:w="9726" w:type="dxa"/>
            <w:tcBorders/>
            <w:vAlign w:val="center"/>
          </w:tcPr>
          <w:p>
            <w:pPr>
              <w:pStyle w:val="TableContents"/>
              <w:bidi w:val="0"/>
              <w:spacing w:before="0" w:after="283"/>
              <w:ind w:left="0" w:right="0" w:hanging="0"/>
              <w:jc w:val="left"/>
              <w:rPr/>
            </w:pPr>
            <w:hyperlink w:anchor="tBOD">
              <w:r>
                <w:rPr>
                  <w:rStyle w:val="InternetLink"/>
                  <w:rFonts w:ascii="Times New Roman;Times;serif" w:hAnsi="Times New Roman;Times;serif"/>
                  <w:color w:val="000000"/>
                  <w:sz w:val="20"/>
                </w:rPr>
                <w:t>THE BOARD OF DIRECTORS’ REASONS FOR APPROVAL OF THE MERGER</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BOD">
              <w:r>
                <w:rPr>
                  <w:rStyle w:val="InternetLink"/>
                  <w:rFonts w:ascii="Times New Roman;Times;serif" w:hAnsi="Times New Roman;Times;serif"/>
                  <w:color w:val="000000"/>
                  <w:sz w:val="20"/>
                </w:rPr>
                <w:t>28</w:t>
              </w:r>
            </w:hyperlink>
          </w:p>
        </w:tc>
      </w:tr>
      <w:tr>
        <w:trPr/>
        <w:tc>
          <w:tcPr>
            <w:tcW w:w="9726" w:type="dxa"/>
            <w:tcBorders/>
            <w:shd w:fill="CCEEFF" w:val="clear"/>
            <w:vAlign w:val="center"/>
          </w:tcPr>
          <w:p>
            <w:pPr>
              <w:pStyle w:val="TableContents"/>
              <w:bidi w:val="0"/>
              <w:spacing w:before="0" w:after="283"/>
              <w:ind w:left="200" w:right="0" w:hanging="200"/>
              <w:jc w:val="left"/>
              <w:rPr/>
            </w:pPr>
            <w:hyperlink w:anchor="tCOR">
              <w:r>
                <w:rPr>
                  <w:rStyle w:val="InternetLink"/>
                  <w:rFonts w:ascii="Times New Roman;Times;serif" w:hAnsi="Times New Roman;Times;serif"/>
                  <w:color w:val="000000"/>
                  <w:sz w:val="20"/>
                </w:rPr>
                <w:t>COMPARISON OF RIGHTS OF OLD CARTESIAN STOCKHOLDERS AND COMPANY STOCKHOLDERS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COR">
              <w:r>
                <w:rPr>
                  <w:rStyle w:val="InternetLink"/>
                  <w:rFonts w:ascii="Times New Roman;Times;serif" w:hAnsi="Times New Roman;Times;serif"/>
                  <w:color w:val="000000"/>
                  <w:sz w:val="20"/>
                </w:rPr>
                <w:t>30</w:t>
              </w:r>
            </w:hyperlink>
          </w:p>
        </w:tc>
      </w:tr>
      <w:tr>
        <w:trPr/>
        <w:tc>
          <w:tcPr>
            <w:tcW w:w="9726" w:type="dxa"/>
            <w:tcBorders/>
            <w:vAlign w:val="center"/>
          </w:tcPr>
          <w:p>
            <w:pPr>
              <w:pStyle w:val="TableContents"/>
              <w:bidi w:val="0"/>
              <w:spacing w:before="0" w:after="283"/>
              <w:ind w:left="200" w:right="0" w:hanging="200"/>
              <w:jc w:val="left"/>
              <w:rPr/>
            </w:pPr>
            <w:hyperlink w:anchor="tMUS">
              <w:r>
                <w:rPr>
                  <w:rStyle w:val="InternetLink"/>
                  <w:rFonts w:ascii="Times New Roman;Times;serif" w:hAnsi="Times New Roman;Times;serif"/>
                  <w:color w:val="000000"/>
                  <w:sz w:val="20"/>
                </w:rPr>
                <w:t>MATERIAL U.S. FEDERAL INCOME TAX CONSIDERATIONS OF THE MERGER AND THE ISSUANCE OF THE CVRS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MUS">
              <w:r>
                <w:rPr>
                  <w:rStyle w:val="InternetLink"/>
                  <w:rFonts w:ascii="Times New Roman;Times;serif" w:hAnsi="Times New Roman;Times;serif"/>
                  <w:color w:val="000000"/>
                  <w:sz w:val="20"/>
                </w:rPr>
                <w:t>39</w:t>
              </w:r>
            </w:hyperlink>
          </w:p>
        </w:tc>
      </w:tr>
      <w:tr>
        <w:trPr/>
        <w:tc>
          <w:tcPr>
            <w:tcW w:w="9726"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RF">
              <w:r>
                <w:rPr>
                  <w:rStyle w:val="InternetLink"/>
                  <w:rFonts w:ascii="Times New Roman;Times;serif" w:hAnsi="Times New Roman;Times;serif"/>
                  <w:color w:val="000000"/>
                  <w:sz w:val="20"/>
                </w:rPr>
                <w:t>41</w:t>
              </w:r>
            </w:hyperlink>
          </w:p>
        </w:tc>
      </w:tr>
      <w:tr>
        <w:trPr/>
        <w:tc>
          <w:tcPr>
            <w:tcW w:w="9726" w:type="dxa"/>
            <w:tcBorders/>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BUS">
              <w:r>
                <w:rPr>
                  <w:rStyle w:val="InternetLink"/>
                  <w:rFonts w:ascii="Times New Roman;Times;serif" w:hAnsi="Times New Roman;Times;serif"/>
                  <w:color w:val="000000"/>
                  <w:sz w:val="20"/>
                </w:rPr>
                <w:t>72</w:t>
              </w:r>
            </w:hyperlink>
          </w:p>
        </w:tc>
      </w:tr>
      <w:tr>
        <w:trPr/>
        <w:tc>
          <w:tcPr>
            <w:tcW w:w="9726" w:type="dxa"/>
            <w:tcBorders/>
            <w:shd w:fill="CCEEFF" w:val="clear"/>
            <w:vAlign w:val="center"/>
          </w:tcPr>
          <w:p>
            <w:pPr>
              <w:pStyle w:val="TableContents"/>
              <w:bidi w:val="0"/>
              <w:spacing w:before="0" w:after="283"/>
              <w:ind w:left="200" w:right="0" w:hanging="200"/>
              <w:jc w:val="left"/>
              <w:rPr/>
            </w:pPr>
            <w:hyperlink w:anchor="tOCM">
              <w:r>
                <w:rPr>
                  <w:rStyle w:val="InternetLink"/>
                  <w:rFonts w:ascii="Times New Roman;Times;serif" w:hAnsi="Times New Roman;Times;serif"/>
                  <w:color w:val="000000"/>
                  <w:sz w:val="20"/>
                </w:rPr>
                <w:t>OLD CARTESIAN’S MANAGEMENT’S DISCUSSION AND ANALYSIS OF FINANCIAL CONDITION AND RESULTS OF OPERATIONS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OCM">
              <w:r>
                <w:rPr>
                  <w:rStyle w:val="InternetLink"/>
                  <w:rFonts w:ascii="Times New Roman;Times;serif" w:hAnsi="Times New Roman;Times;serif"/>
                  <w:color w:val="000000"/>
                  <w:sz w:val="20"/>
                </w:rPr>
                <w:t>92</w:t>
              </w:r>
            </w:hyperlink>
          </w:p>
        </w:tc>
      </w:tr>
      <w:tr>
        <w:trPr/>
        <w:tc>
          <w:tcPr>
            <w:tcW w:w="9726" w:type="dxa"/>
            <w:tcBorders/>
            <w:vAlign w:val="center"/>
          </w:tcPr>
          <w:p>
            <w:pPr>
              <w:pStyle w:val="TableContents"/>
              <w:bidi w:val="0"/>
              <w:spacing w:before="0" w:after="283"/>
              <w:ind w:left="0" w:right="0" w:hanging="0"/>
              <w:jc w:val="left"/>
              <w:rPr/>
            </w:pPr>
            <w:hyperlink w:anchor="tMPA">
              <w:r>
                <w:rPr>
                  <w:rStyle w:val="InternetLink"/>
                  <w:rFonts w:ascii="Times New Roman;Times;serif" w:hAnsi="Times New Roman;Times;serif"/>
                  <w:color w:val="000000"/>
                  <w:sz w:val="20"/>
                </w:rPr>
                <w:t>MARKET PRICE AND DIVIDEND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MPA">
              <w:r>
                <w:rPr>
                  <w:rStyle w:val="InternetLink"/>
                  <w:rFonts w:ascii="Times New Roman;Times;serif" w:hAnsi="Times New Roman;Times;serif"/>
                  <w:color w:val="000000"/>
                  <w:sz w:val="20"/>
                </w:rPr>
                <w:t>100</w:t>
              </w:r>
            </w:hyperlink>
          </w:p>
        </w:tc>
      </w:tr>
      <w:tr>
        <w:trPr/>
        <w:tc>
          <w:tcPr>
            <w:tcW w:w="9726"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1—CONVERSION PROPOSAL</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101</w:t>
              </w:r>
            </w:hyperlink>
          </w:p>
        </w:tc>
      </w:tr>
      <w:tr>
        <w:trPr/>
        <w:tc>
          <w:tcPr>
            <w:tcW w:w="9726"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NO. 2—REVERSE STOCK SPLIT PROPOSAL</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104</w:t>
              </w:r>
            </w:hyperlink>
          </w:p>
        </w:tc>
      </w:tr>
      <w:tr>
        <w:trPr/>
        <w:tc>
          <w:tcPr>
            <w:tcW w:w="9726" w:type="dxa"/>
            <w:tcBorders/>
            <w:shd w:fill="CCEEFF" w:val="clear"/>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NO. 3—APPROVAL OF ADJOURNMENT OF THE SPECIAL MEETING</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PROP3">
              <w:r>
                <w:rPr>
                  <w:rStyle w:val="InternetLink"/>
                  <w:rFonts w:ascii="Times New Roman;Times;serif" w:hAnsi="Times New Roman;Times;serif"/>
                  <w:color w:val="000000"/>
                  <w:sz w:val="20"/>
                </w:rPr>
                <w:t>111</w:t>
              </w:r>
            </w:hyperlink>
          </w:p>
        </w:tc>
      </w:tr>
      <w:tr>
        <w:trPr/>
        <w:tc>
          <w:tcPr>
            <w:tcW w:w="9726"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DESCRIPTION OF CAPITAL STOCK</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DOC">
              <w:r>
                <w:rPr>
                  <w:rStyle w:val="InternetLink"/>
                  <w:rFonts w:ascii="Times New Roman;Times;serif" w:hAnsi="Times New Roman;Times;serif"/>
                  <w:color w:val="000000"/>
                  <w:sz w:val="20"/>
                </w:rPr>
                <w:t>112</w:t>
              </w:r>
            </w:hyperlink>
          </w:p>
        </w:tc>
      </w:tr>
      <w:tr>
        <w:trPr/>
        <w:tc>
          <w:tcPr>
            <w:tcW w:w="9726" w:type="dxa"/>
            <w:tcBorders/>
            <w:shd w:fill="CCEEFF" w:val="clear"/>
            <w:vAlign w:val="center"/>
          </w:tcPr>
          <w:p>
            <w:pPr>
              <w:pStyle w:val="TableContents"/>
              <w:bidi w:val="0"/>
              <w:spacing w:before="0" w:after="283"/>
              <w:ind w:left="0" w:right="0" w:hanging="0"/>
              <w:jc w:val="left"/>
              <w:rPr/>
            </w:pPr>
            <w:hyperlink w:anchor="tMAD">
              <w:r>
                <w:rPr>
                  <w:rStyle w:val="InternetLink"/>
                  <w:rFonts w:ascii="Times New Roman;Times;serif" w:hAnsi="Times New Roman;Times;serif"/>
                  <w:color w:val="000000"/>
                  <w:sz w:val="20"/>
                </w:rPr>
                <w:t>MANAGEMENT AND DIRECTORS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MAD">
              <w:r>
                <w:rPr>
                  <w:rStyle w:val="InternetLink"/>
                  <w:rFonts w:ascii="Times New Roman;Times;serif" w:hAnsi="Times New Roman;Times;serif"/>
                  <w:color w:val="000000"/>
                  <w:sz w:val="20"/>
                </w:rPr>
                <w:t>117</w:t>
              </w:r>
            </w:hyperlink>
          </w:p>
        </w:tc>
      </w:tr>
      <w:tr>
        <w:trPr/>
        <w:tc>
          <w:tcPr>
            <w:tcW w:w="9726"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PRINCIPAL STOCKHOLDERS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PS">
              <w:r>
                <w:rPr>
                  <w:rStyle w:val="InternetLink"/>
                  <w:rFonts w:ascii="Times New Roman;Times;serif" w:hAnsi="Times New Roman;Times;serif"/>
                  <w:color w:val="000000"/>
                  <w:sz w:val="20"/>
                </w:rPr>
                <w:t>119</w:t>
              </w:r>
            </w:hyperlink>
          </w:p>
        </w:tc>
      </w:tr>
      <w:tr>
        <w:trPr/>
        <w:tc>
          <w:tcPr>
            <w:tcW w:w="9726"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ADDITIONAL INFORMATION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121</w:t>
              </w:r>
            </w:hyperlink>
          </w:p>
        </w:tc>
      </w:tr>
      <w:tr>
        <w:trPr/>
        <w:tc>
          <w:tcPr>
            <w:tcW w:w="9726" w:type="dxa"/>
            <w:tcBorders/>
            <w:vAlign w:val="center"/>
          </w:tcPr>
          <w:p>
            <w:pPr>
              <w:pStyle w:val="TableContents"/>
              <w:bidi w:val="0"/>
              <w:spacing w:before="0" w:after="283"/>
              <w:ind w:left="0" w:right="0" w:hanging="0"/>
              <w:jc w:val="left"/>
              <w:rPr/>
            </w:pPr>
            <w:hyperlink w:anchor="tIIB">
              <w:r>
                <w:rPr>
                  <w:rStyle w:val="InternetLink"/>
                  <w:rFonts w:ascii="Times New Roman;Times;serif" w:hAnsi="Times New Roman;Times;serif"/>
                  <w:color w:val="000000"/>
                  <w:sz w:val="20"/>
                </w:rPr>
                <w:t>INFORMATION INCORPORATED BY REFERENCE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IIB">
              <w:r>
                <w:rPr>
                  <w:rStyle w:val="InternetLink"/>
                  <w:rFonts w:ascii="Times New Roman;Times;serif" w:hAnsi="Times New Roman;Times;serif"/>
                  <w:color w:val="000000"/>
                  <w:sz w:val="20"/>
                </w:rPr>
                <w:t>121</w:t>
              </w:r>
            </w:hyperlink>
          </w:p>
        </w:tc>
      </w:tr>
      <w:tr>
        <w:trPr/>
        <w:tc>
          <w:tcPr>
            <w:tcW w:w="9726" w:type="dxa"/>
            <w:tcBorders/>
            <w:shd w:fill="CCEEFF" w:val="clear"/>
            <w:vAlign w:val="center"/>
          </w:tcPr>
          <w:p>
            <w:pPr>
              <w:pStyle w:val="TableContents"/>
              <w:bidi w:val="0"/>
              <w:spacing w:before="0" w:after="283"/>
              <w:ind w:left="0" w:right="0" w:hanging="0"/>
              <w:jc w:val="left"/>
              <w:rPr/>
            </w:pPr>
            <w:hyperlink w:anchor="tHOS">
              <w:r>
                <w:rPr>
                  <w:rStyle w:val="InternetLink"/>
                  <w:rFonts w:ascii="Times New Roman;Times;serif" w:hAnsi="Times New Roman;Times;serif"/>
                  <w:color w:val="000000"/>
                  <w:sz w:val="20"/>
                </w:rPr>
                <w:t>HOUSEHOLDING</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HOS">
              <w:r>
                <w:rPr>
                  <w:rStyle w:val="InternetLink"/>
                  <w:rFonts w:ascii="Times New Roman;Times;serif" w:hAnsi="Times New Roman;Times;serif"/>
                  <w:color w:val="000000"/>
                  <w:sz w:val="20"/>
                </w:rPr>
                <w:t>123</w:t>
              </w:r>
            </w:hyperlink>
          </w:p>
        </w:tc>
      </w:tr>
      <w:tr>
        <w:trPr/>
        <w:tc>
          <w:tcPr>
            <w:tcW w:w="9726" w:type="dxa"/>
            <w:tcBorders/>
            <w:vAlign w:val="center"/>
          </w:tcPr>
          <w:p>
            <w:pPr>
              <w:pStyle w:val="TableContents"/>
              <w:bidi w:val="0"/>
              <w:spacing w:before="0" w:after="283"/>
              <w:ind w:left="0" w:right="0" w:hanging="0"/>
              <w:jc w:val="left"/>
              <w:rPr/>
            </w:pPr>
            <w:hyperlink w:anchor="tSP">
              <w:r>
                <w:rPr>
                  <w:rStyle w:val="InternetLink"/>
                  <w:rFonts w:ascii="Times New Roman;Times;serif" w:hAnsi="Times New Roman;Times;serif"/>
                  <w:color w:val="000000"/>
                  <w:sz w:val="20"/>
                </w:rPr>
                <w:t>STOCKHOLDER PROPOSALS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SP">
              <w:r>
                <w:rPr>
                  <w:rStyle w:val="InternetLink"/>
                  <w:rFonts w:ascii="Times New Roman;Times;serif" w:hAnsi="Times New Roman;Times;serif"/>
                  <w:color w:val="000000"/>
                  <w:sz w:val="20"/>
                </w:rPr>
                <w:t>124</w:t>
              </w:r>
            </w:hyperlink>
          </w:p>
        </w:tc>
      </w:tr>
      <w:tr>
        <w:trPr/>
        <w:tc>
          <w:tcPr>
            <w:tcW w:w="9726"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124</w:t>
              </w:r>
            </w:hyperlink>
          </w:p>
        </w:tc>
      </w:tr>
      <w:tr>
        <w:trPr/>
        <w:tc>
          <w:tcPr>
            <w:tcW w:w="9726" w:type="dxa"/>
            <w:tcBorders/>
            <w:vAlign w:val="center"/>
          </w:tcPr>
          <w:p>
            <w:pPr>
              <w:pStyle w:val="TableContents"/>
              <w:bidi w:val="0"/>
              <w:spacing w:before="0" w:after="283"/>
              <w:ind w:left="0" w:right="0" w:hanging="0"/>
              <w:jc w:val="left"/>
              <w:rPr/>
            </w:pPr>
            <w:hyperlink w:anchor="tAXA">
              <w:r>
                <w:rPr>
                  <w:rStyle w:val="InternetLink"/>
                  <w:rFonts w:ascii="Times New Roman;Times;serif" w:hAnsi="Times New Roman;Times;serif"/>
                  <w:color w:val="000000"/>
                  <w:sz w:val="20"/>
                </w:rPr>
                <w:t>ANNEX A</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AXA">
              <w:r>
                <w:rPr>
                  <w:rStyle w:val="InternetLink"/>
                  <w:rFonts w:ascii="Times New Roman;Times;serif" w:hAnsi="Times New Roman;Times;serif"/>
                  <w:color w:val="000000"/>
                  <w:sz w:val="20"/>
                </w:rPr>
                <w:t>A-1</w:t>
              </w:r>
            </w:hyperlink>
          </w:p>
        </w:tc>
      </w:tr>
      <w:tr>
        <w:trPr/>
        <w:tc>
          <w:tcPr>
            <w:tcW w:w="9726" w:type="dxa"/>
            <w:tcBorders/>
            <w:shd w:fill="CCEEFF" w:val="clear"/>
            <w:vAlign w:val="center"/>
          </w:tcPr>
          <w:p>
            <w:pPr>
              <w:pStyle w:val="TableContents"/>
              <w:bidi w:val="0"/>
              <w:spacing w:before="0" w:after="283"/>
              <w:ind w:left="0" w:right="0" w:hanging="0"/>
              <w:jc w:val="left"/>
              <w:rPr/>
            </w:pPr>
            <w:hyperlink w:anchor="tAXB">
              <w:r>
                <w:rPr>
                  <w:rStyle w:val="InternetLink"/>
                  <w:rFonts w:ascii="Times New Roman;Times;serif" w:hAnsi="Times New Roman;Times;serif"/>
                  <w:color w:val="000000"/>
                  <w:sz w:val="20"/>
                </w:rPr>
                <w:t>ANNEX B</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AXB">
              <w:r>
                <w:rPr>
                  <w:rStyle w:val="InternetLink"/>
                  <w:rFonts w:ascii="Times New Roman;Times;serif" w:hAnsi="Times New Roman;Times;serif"/>
                  <w:color w:val="000000"/>
                  <w:sz w:val="20"/>
                </w:rPr>
                <w:t>B-</w:t>
              </w:r>
            </w:hyperlink>
            <w:hyperlink w:anchor="tAXB">
              <w:r>
                <w:rPr>
                  <w:rStyle w:val="InternetLink"/>
                  <w:rFonts w:ascii="Times New Roman;Times;serif" w:hAnsi="Times New Roman;Times;serif"/>
                  <w:color w:val="000000"/>
                  <w:sz w:val="20"/>
                </w:rPr>
                <w:t>1</w:t>
              </w:r>
            </w:hyperlink>
          </w:p>
        </w:tc>
      </w:tr>
      <w:tr>
        <w:trPr/>
        <w:tc>
          <w:tcPr>
            <w:tcW w:w="9726" w:type="dxa"/>
            <w:tcBorders/>
            <w:vAlign w:val="center"/>
          </w:tcPr>
          <w:p>
            <w:pPr>
              <w:pStyle w:val="TableContents"/>
              <w:bidi w:val="0"/>
              <w:spacing w:before="0" w:after="283"/>
              <w:ind w:left="0" w:right="0" w:hanging="0"/>
              <w:jc w:val="left"/>
              <w:rPr/>
            </w:pPr>
            <w:hyperlink w:anchor="tAXC">
              <w:r>
                <w:rPr>
                  <w:rStyle w:val="InternetLink"/>
                  <w:rFonts w:ascii="Times New Roman;Times;serif" w:hAnsi="Times New Roman;Times;serif"/>
                  <w:color w:val="000000"/>
                  <w:sz w:val="20"/>
                </w:rPr>
                <w:t>ANNEX C</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9" w:right="0" w:hanging="0"/>
              <w:jc w:val="left"/>
              <w:rPr/>
            </w:pPr>
            <w:hyperlink w:anchor="tAXC">
              <w:r>
                <w:rPr>
                  <w:rStyle w:val="InternetLink"/>
                  <w:rFonts w:ascii="Times New Roman;Times;serif" w:hAnsi="Times New Roman;Times;serif"/>
                  <w:color w:val="000000"/>
                  <w:sz w:val="20"/>
                </w:rPr>
                <w:t>C-</w:t>
              </w:r>
            </w:hyperlink>
            <w:hyperlink w:anchor="tAXC">
              <w:r>
                <w:rPr>
                  <w:rStyle w:val="InternetLink"/>
                  <w:rFonts w:ascii="Times New Roman;Times;serif" w:hAnsi="Times New Roman;Times;serif"/>
                  <w:color w:val="000000"/>
                  <w:sz w:val="20"/>
                </w:rPr>
                <w:t>1</w:t>
              </w:r>
            </w:hyperlink>
          </w:p>
        </w:tc>
      </w:tr>
      <w:tr>
        <w:trPr/>
        <w:tc>
          <w:tcPr>
            <w:tcW w:w="9726" w:type="dxa"/>
            <w:tcBorders/>
            <w:shd w:fill="CCEEFF" w:val="clear"/>
            <w:vAlign w:val="center"/>
          </w:tcPr>
          <w:p>
            <w:pPr>
              <w:pStyle w:val="TableContents"/>
              <w:bidi w:val="0"/>
              <w:spacing w:before="0" w:after="283"/>
              <w:ind w:left="0" w:right="0" w:hanging="0"/>
              <w:jc w:val="left"/>
              <w:rPr/>
            </w:pPr>
            <w:hyperlink w:anchor="tAXD">
              <w:r>
                <w:rPr>
                  <w:rStyle w:val="InternetLink"/>
                  <w:rFonts w:ascii="Times New Roman;Times;serif" w:hAnsi="Times New Roman;Times;serif"/>
                  <w:color w:val="000000"/>
                  <w:sz w:val="20"/>
                </w:rPr>
                <w:t>ANNEX D</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9" w:right="0" w:hanging="0"/>
              <w:jc w:val="left"/>
              <w:rPr/>
            </w:pPr>
            <w:hyperlink w:anchor="tAXD">
              <w:r>
                <w:rPr>
                  <w:rStyle w:val="InternetLink"/>
                  <w:rFonts w:ascii="Times New Roman;Times;serif" w:hAnsi="Times New Roman;Times;serif"/>
                  <w:color w:val="000000"/>
                  <w:sz w:val="20"/>
                </w:rPr>
                <w:t>D-1</w:t>
              </w:r>
            </w:hyperlink>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1" w:name="DSPFPageBreakArea3"/>
      <w:bookmarkStart w:id="22" w:name="DSPFPageBreakArea3"/>
      <w:bookmarkEnd w:id="2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3" w:name="DSPFPageBreak3"/>
      <w:bookmarkStart w:id="24" w:name="DSPFPageBreak3"/>
      <w:bookmarkEnd w:id="2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 w:name="ny20014884x5_pre14a_103-proxy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352675"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52675" cy="714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CARTESIAN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704 Quince Orchard Road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Gaithersburg, MD 20878</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(617) 923-1400 </w:t>
      </w:r>
    </w:p>
    <w:p>
      <w:pPr>
        <w:pStyle w:val="TextBody"/>
        <w:bidi w:val="0"/>
        <w:spacing w:before="280" w:after="283"/>
        <w:jc w:val="center"/>
        <w:rPr>
          <w:rFonts w:ascii="Times New Roman;Times;serif" w:hAnsi="Times New Roman;Times;serif"/>
          <w:b/>
          <w:color w:val="000000"/>
          <w:sz w:val="20"/>
        </w:rPr>
      </w:pPr>
      <w:bookmarkStart w:id="26" w:name="tPST"/>
      <w:bookmarkEnd w:id="26"/>
      <w:r>
        <w:rPr>
          <w:rFonts w:ascii="Times New Roman;Times;serif" w:hAnsi="Times New Roman;Times;serif"/>
          <w:b/>
          <w:color w:val="000000"/>
          <w:sz w:val="20"/>
        </w:rPr>
        <w:t xml:space="preserve">PROXY STATEMENT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   , 2024</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CONCERNING SOLICITATION AND VOTING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information about the special meeting of stockholders of Cartesian Therapeutics, Inc. (the “Special Meeting”), which will be held on   , 2024 at   , Eastern Time by virtual meeting online at www.virtualshareholdermeeting.com/RNAC2024SM for the following purposes. The board of directors of Cartesian Therapeutics, Inc. (the “Board of Directors”) is using this proxy statement to solicit proxies for use at the Special Meeting. In this proxy statement, the terms “Cartesian,” “the Company,” “we,” “us,” and “our” refer to Cartesian Therapeutics, Inc. (the “Company”). The mailing address of our principal executive offices is Cartesian Therapeutics, Inc., 704 Quince Orchard Road, Gaithersburg, MD 20878.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Special Meeting of Stockholders (“Notice of Meeting”). You may revoke your proxy at any time before it is exercised at the meeting by giving our corporate secretary written notice to that effect.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our stockholders will be asked to approve: </w:t>
      </w:r>
    </w:p>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Nasdaq Listing Rule 5635(a), the issuance of shares of the Company’s common stock, par value $0.0001 per share (“Common Stock”), upon conversion of the Company’s Series A Non-Voting Convertible Preferred Stock, par value $0.0001 per share (“Series A Preferred Stock”) (the “Conversion Proposal” or “Proposal No. 1”);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amendment to the Company’s restated certificate of incorporation, as amended (the “Current Charter”), to effect a reverse stock split of the Company’s issued and outstanding Common Stock, at a ratio in the range of 1-for-20 and 1-for-30, with such ratio to be determined at the discretion of the Board of Directors of the Company (the “Reverse Stock Split Proposal” or “Proposal No. 2”); and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or postponement of the Special Meeting, if necessary, to continue to solicit votes for Proposal Nos. 1 or 2 (the “Adjournment Proposal” or “Proposal No. 3”).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Board of Directors has approved the proposals referred to above, and has determined that they are advisable, fair and in the best interests of Cartesian’s stockholders. Accordingly, the Board of Directors recommends that stockholders vote “FOR” each of the proposals set forth above.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attend the Special Meeting, it is important that your shares be represented and voted at the Special Meeting. Therefore, you are urged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 “Internet Notice”), then instructions regarding how you can vote are contained in that notice. If you have received a proxy card, then instructions regarding how you can vote are contained on the proxy card. If you decide to attend the virtual Special Meeting, you will be able to vote your shares electronically, even if you have previously submitted your proxy.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 2024 and is first being mailed to stockholders on or about   ,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7" w:name="DSPFPageBreakArea4"/>
      <w:bookmarkStart w:id="28" w:name="DSPFPageBreakArea4"/>
      <w:bookmarkEnd w:id="2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9" w:name="DSPFPageBreak4"/>
      <w:bookmarkStart w:id="30" w:name="DSPFPageBreak4"/>
      <w:bookmarkEnd w:id="3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 w:name="ny20014884x5_pre14a_104-qa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QAA"/>
      <w:bookmarkEnd w:id="32"/>
      <w:r>
        <w:rPr>
          <w:rFonts w:ascii="Times New Roman;Times;serif" w:hAnsi="Times New Roman;Times;serif"/>
          <w:b/>
          <w:color w:val="000000"/>
          <w:sz w:val="20"/>
        </w:rPr>
        <w:t xml:space="preserve">QUESTIONS AND ANSWERS ABOUT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section provides answers to frequently asked questions about the Special Meeting. This section, however, only provides summary information. These questions and answers may not address all issues that may be important to you as a stockholder. You should carefully read this entire proxy statement, including each of the annexes attached hereto.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this proxy statement and the accompanying materials scheduled to be sent to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or about    , 2024, we will begin mailing our proxy materials, including the Notice of Meeting, this proxy statement and the accompanying proxy card or, for shares held in street name (i.e., held for your account by a broker or other nominee), a voting instruction form.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will the Special Meeting take place?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be hosting the Special Meeting via live webcast only. The Special Meeting will be held virtually, via live webcast at on    , 2024, at    , Eastern Time. Regardless of whether you are the record holder of your shares or your shares are held in street name, if you held your shares as of the close of business on    , 2024, you are welcome to attend the meeting. Stockholders may vote and submit questions while attending the Special Meeting online. The webcast will open five minutes before the start of the Special Meeting. In order to enter the Special Meeting, you will need the 16-digit control number, which is included in the Notice of Meeting or on your proxy card if you are a stockholder of record of shares of Common Stock, or included with your voting instruction card and voting instructions received from your broker, bank, or other agent if you hold shares of Common Stock in street name. Instructions on how to attend and participate online are also available at www.virtualshareholdermeeting.com/RNAC2024SM. Information on how to vote online at the virtual Special Meeting is discussed below.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is soliciting your vote for the Special Meeting.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is the record date for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record date for determination of stockholders entitled to vote at the Special Meeting is the close of business on   , 2024 (the “Record Date”).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can be cast by all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shares of our Common Stock outstanding on the Record Date, all of which are entitled to vote with respect to all matters to be acted upon at the Special Meeting. Each outstanding share of our Common Stock is entitled to one vote on each matter considered at the Special Meeting. On the Record Date, there were     shares of Series A Preferred Stock issued and outstanding; Series A Preferred Stock is not entitled to vote on the matters being considered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the shares of our Common Stock issued and outstanding and entitled to vote, 6,723,639 shares of Common Stock were issued in the Merger (as described in “</w:t>
      </w:r>
      <w:r>
        <w:rPr>
          <w:rFonts w:ascii="Times New Roman;Times;serif" w:hAnsi="Times New Roman;Times;serif"/>
          <w:i/>
          <w:color w:val="000000"/>
          <w:sz w:val="20"/>
        </w:rPr>
        <w:t>Description of the Transactions—Merger with Old Cartesian</w:t>
      </w:r>
      <w:r>
        <w:rPr>
          <w:rFonts w:ascii="Times New Roman;Times;serif" w:hAnsi="Times New Roman;Times;serif"/>
          <w:color w:val="000000"/>
          <w:sz w:val="20"/>
        </w:rPr>
        <w:t xml:space="preserve">” below) and are not entitled to vote on Proposal No. 1 for purposes of the listing rules of the Nasdaq Stock Market LLC. To comply with Nasdaq Stock Market LLC (“Nasdaq”) rules, we will instruct the inspector of elections to conduct a separate tabulation that subtracts 6,723,639 shares from the total number of shares voted in favor of Proposal No. 1 to determine whether that proposal has been adopted in accordance with applicable Nasdaq rules.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Stockholders of Record.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We recommend that stockholders vote by proxy even if they plan to participate in the virtual Special Meeting and vote electronically during the meeting. If you are a stockholder of record, you may vote: </w:t>
      </w:r>
    </w:p>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Telephone - You can vote by telephone by calling 1-800-690-6903 and following the instructions on the proxy card;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3" w:name="DSPFPageBreakArea5"/>
      <w:bookmarkStart w:id="34" w:name="DSPFPageBreakArea5"/>
      <w:bookmarkEnd w:id="3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5" w:name="DSPFPageBreak5"/>
      <w:bookmarkStart w:id="36" w:name="DSPFPageBreak5"/>
      <w:bookmarkEnd w:id="3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 w:name="ny20014884x5_pre14a_104-qa_pg2"/>
        <w:bookmarkEnd w:id="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Internet - You can vote over the Internet at www.proxyvote.com by following the instructions on the proxy card or Internet Notice;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Mail - You can vote by mail by signing, dating and mailing the proxy card, which you may have received by mail;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Electronically at the Meeting - You may vote at the Special Meeting by visiting www.virtualshareholdermeeting.com/RNAC2024SM and entering the 16-digit control number included on your Internet Notice, on your proxy card or on the instructions that accompanied your proxy materials. The meeting webcast will begin promptly at    , Eastern Time, on    , 2024.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and Internet voting facilities for stockholders of record will be available 24 hours a day and will close at 11:59 p.m., Eastern Time, on    , 2024. To participate in the Special Meeting, including to vote via the Internet or telephone, you will need the 16-digit control number included on your Internet Notice, on your proxy card or on the instructions that accompanied your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Whether or not you expect to attend the Special Meeting online, we urge you to vote your shares as promptly as possible to ensure your representation and the presence of a quorum at the Special Meeting. We encourage stockholders to submit their proxies via the Internet or telephone. If you submit your proxy, you may still decide to attend the Special Meeting and vote your shares electronically.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Beneficial Owners of Shares Held in Street Name.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Special Meeting, you may visit www.virtualshareholdermeeting.com/RNAC2024SM and enter the 16-digit control number included in the voting instruction card provided to you by your bank or brokerage firm or otherwise vote through the bank or broker. If you lose your 16-digit control number, you may join the Special Meeting as a </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Guest” but you will not be able to vote, ask questions or access the list of stockholders as of the Record Date. You will need to obtain your own Internet access if you choose to attend the Special Meeting online and/or vote over the Internet.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you may revoke your proxy and change your vote: </w:t>
      </w:r>
    </w:p>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telephone; </w:t>
            </w:r>
          </w:p>
        </w:tc>
      </w:tr>
    </w:tbl>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to the Secretary of the Company prior to the Special Meeting; or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voting electronically at the virtual Special Meeting.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telephone or Internet proxy is the one that is counted. Your participation in the virtual Special Meeting by itself will not revoke your proxy unless you give written notice of revocation to the Secretary of the Company before your proxy is voted or you vote electronically at the virtual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or broker, or you may vote electronically at the virtual Special Meeting by following the instructions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hold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Special Meeting for any business to be conducted. The presence at the Special Meeting, in person, or by remove communication, or represented by proxy, of the holders of a majority in voting power of the Common Stock issued and outstanding and entitled to vote on the Record Date will constitute a quorum.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8" w:name="DSPFPageBreakArea6"/>
      <w:bookmarkStart w:id="39" w:name="DSPFPageBreakArea6"/>
      <w:bookmarkEnd w:id="3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0" w:name="DSPFPageBreak6"/>
      <w:bookmarkStart w:id="41" w:name="DSPFPageBreak6"/>
      <w:bookmarkEnd w:id="4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2" w:name="ny20014884x5_pre14a_104-qa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will be voted on at the Special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three proposals scheduled to be voted on at the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1 – Approval of, in accordance with Nasdaq Listing Rule 5635(a), the issuance of the Company’s Common Stock, upon conversion of the Company’s Series A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2 – Approval of an amendment to the Company’s Current Charter to effect a reverse stock split of the Company’s issued and outstanding Common Stock, at a ratio in the range of 1-for-20 and 1-for-30, with such ratio to be determined at the discretion of the Board of Directors;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3 – To approve the adjournment or postponement of the Special Meeting, if necessary, to continue to solicit votes for Proposal Nos. 1 or 2.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item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vote “for,” “against” or “abstain” on each of the proposals being placed before our stockholders. Under our amended and restated bylaws (the “Bylaws”), any proposal other than an election of directors is decided by a majority of the votes properly cast for and against such proposal, except as otherwise provided by applicable law, the rules of any stock exchange upon which our securities are listed, or by the Current Charter or Bylaws.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Proposal No. 1</w:t>
            </w:r>
            <w:r>
              <w:rPr>
                <w:rFonts w:ascii="Times New Roman;Times;serif" w:hAnsi="Times New Roman;Times;serif"/>
                <w:color w:val="000000"/>
                <w:sz w:val="20"/>
              </w:rPr>
              <w:t xml:space="preserve"> – The affirmative vote of the holders of shares of Common Stock representing a majority of the votes cast on the matter is required for the approval of Proposal No. 1, subject to the separate tabulation of votes described in “</w:t>
            </w:r>
            <w:r>
              <w:rPr>
                <w:rFonts w:ascii="Times New Roman;Times;serif" w:hAnsi="Times New Roman;Times;serif"/>
                <w:i/>
                <w:color w:val="000000"/>
                <w:sz w:val="20"/>
              </w:rPr>
              <w:t>Questions and Answers About the Special Meeting—How many votes can be cast by all stockholders?</w:t>
            </w:r>
            <w:r>
              <w:rPr>
                <w:rFonts w:ascii="Times New Roman;Times;serif" w:hAnsi="Times New Roman;Times;serif"/>
                <w:color w:val="000000"/>
                <w:sz w:val="20"/>
              </w:rPr>
              <w:t xml:space="preserve">” set forth above. Broker non-votes (if any) and abstentions will not be counted as votes cast on the matter and will have no effect on the outcome of this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 No. 2 </w:t>
            </w:r>
            <w:r>
              <w:rPr>
                <w:rFonts w:ascii="Times New Roman;Times;serif" w:hAnsi="Times New Roman;Times;serif"/>
                <w:color w:val="000000"/>
                <w:sz w:val="20"/>
              </w:rPr>
              <w:t xml:space="preserve">– The affirmative vote of the holders of shares of Common Stock representing a majority of the votes cast on the matter is required for Proposal No. 2. Broker non-votes (if any) and abstentions will not be counted as votes cast on the matter and will have no effect on the outcome of this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 No. 3 </w:t>
            </w:r>
            <w:r>
              <w:rPr>
                <w:rFonts w:ascii="Times New Roman;Times;serif" w:hAnsi="Times New Roman;Times;serif"/>
                <w:color w:val="000000"/>
                <w:sz w:val="20"/>
              </w:rPr>
              <w:t xml:space="preserve">– If a quorum is present at the Special Meeting, the affirmative vote of the holders of shares of Common Stock representing a majority of the votes cast on the matter is required for the approval of Proposal No. 3. If a quorum is not present at the Special Meeting, the affirmative vote of the holders of a majority of the shares of Common Stock present at the Special Meeting or represented by proxy is required for the approval of Proposal No. 3.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the Company’s directors, executive officers, and each of their respective affiliates own approximately    % of the Company’s issued and outstanding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 I have appraisal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are not entitled to dissenters’ or appraisal rights under the Delaware General Corporation Law (the “DGCL”) with respect to any of the proposals being voted 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is the vote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have the right to direct the voting of your shares by voting over the Internet, by telephone, by returning your proxy or by voting during the Special Meeting. In contrast, if you are a beneficial owner and your shares are held in an account at a bank or at a brokerage firm or other nominee holds your shares, you must tell your bank, broker or other nominee how you would like your shares to be voted, which you can do by following the instructions provided to you by the bank, broker or other nominee. </w:t>
      </w:r>
    </w:p>
    <w:p>
      <w:pPr>
        <w:pStyle w:val="TextBody"/>
        <w:bidi w:val="0"/>
        <w:spacing w:before="120" w:after="283"/>
        <w:ind w:left="0" w:right="0" w:hanging="0"/>
        <w:jc w:val="left"/>
        <w:rPr>
          <w:color w:val="000000"/>
        </w:rPr>
      </w:pPr>
      <w:r>
        <w:rPr>
          <w:color w:val="000000"/>
        </w:rPr>
        <w:t>“</w:t>
      </w:r>
      <w:r>
        <w:rPr>
          <w:rFonts w:ascii="Times New Roman;Times;serif" w:hAnsi="Times New Roman;Times;serif"/>
          <w:color w:val="000000"/>
          <w:sz w:val="20"/>
        </w:rPr>
        <w:t xml:space="preserve">Broker non-votes” occur when a beneficial owner of shares held in street name does not give instructions to the bank, broker or other nominee holding the shares as to how to vote. If your shares are held in street name and you do not give voting instructions to your broker, your broker or nominee may vote the shares with respect to matters that are considered to be “discretionary” (if any), but may not vote the shares with respect to “non-discretionary” matters. Where a broker does not have discretion to vote on a given proposal, the unvoted shares are considered “broker non-votes.” For each of Proposal Nos. 1, 2, and 3, broker non-votes will not be counted as votes cast on the matter and will have no effect on the outcome of the proposal. Similarly, abstentions will not be counted as votes cast on these matters and will have no effect on the outcome of Proposal Nos. 1, 2, and 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3" w:name="DSPFPageBreakArea7"/>
      <w:bookmarkStart w:id="44" w:name="DSPFPageBreakArea7"/>
      <w:bookmarkEnd w:id="4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5" w:name="DSPFPageBreak7"/>
      <w:bookmarkStart w:id="46" w:name="DSPFPageBreak7"/>
      <w:bookmarkEnd w:id="4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 w:name="ny20014884x5_pre14a_104-qa_pg4"/>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Financial Solutions, Inc., our inspector of election, will tabulate and certify the votes.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of Directors recommend that I vote on the proposals?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that you vote: </w:t>
      </w:r>
    </w:p>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Proposal No. 1</w:t>
            </w:r>
            <w:r>
              <w:rPr>
                <w:rFonts w:ascii="Times New Roman;Times;serif" w:hAnsi="Times New Roman;Times;serif"/>
                <w:color w:val="000000"/>
                <w:sz w:val="20"/>
              </w:rPr>
              <w:t xml:space="preserve"> – </w:t>
            </w: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approval of Proposal No. 1.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 No. 2 </w:t>
            </w:r>
            <w:r>
              <w:rPr>
                <w:rFonts w:ascii="Times New Roman;Times;serif" w:hAnsi="Times New Roman;Times;serif"/>
                <w:color w:val="000000"/>
                <w:sz w:val="20"/>
              </w:rPr>
              <w:t xml:space="preserve">– </w:t>
            </w: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approval of Proposal No. 2.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 No. 3 </w:t>
            </w:r>
            <w:r>
              <w:rPr>
                <w:rFonts w:ascii="Times New Roman;Times;serif" w:hAnsi="Times New Roman;Times;serif"/>
                <w:color w:val="000000"/>
                <w:sz w:val="20"/>
              </w:rPr>
              <w:t xml:space="preserve">–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Proposal No. 3.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pays the cost for soliciting proxies?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expenses of soliciting proxies. Following the original mailing of the soliciting materials, we and our agents, including directors, officers and other employees, without additional compensation, may solicit proxies by mail, electronic mail, telephone, facsimile, by other similar means, or in person.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 In addition, we have retained Morrow Sodali LLC (“Morrow”) at a fee of $17,500, plus certain out-of-pocket expenses, to act as our proxy solicitor in connection with the proposals to be acted upon at the Special Meeting. Pursuant to an agreement, Morrow has agreed to solicit proxies from our stockholders on our behalf in connection with the Special Meeting. If you have any questions about submitting your proxy or require assistance, please contact Morrow at: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call toll free: (800) 662-5200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(203) 658-9400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Special Meeting and we will report the final results in a Current Report on Form 8-K, which we intend to file with the Securities and Exchange Commission (the “SEC”) within four business days of the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provide me with additional information and help answer my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would like additional copies, without charge, of this proxy statement or if you have questions about the proposals being considered at the Special Meeting, including the procedures for voting your shares, you should contact Morrow toll free at (800) 662-5200.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8" w:name="DSPFPageBreakArea8"/>
      <w:bookmarkStart w:id="49" w:name="DSPFPageBreakArea8"/>
      <w:bookmarkEnd w:id="4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0" w:name="DSPFPageBreak8"/>
      <w:bookmarkStart w:id="51" w:name="DSPFPageBreak8"/>
      <w:bookmarkEnd w:id="5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2" w:name="ny20014884x5_pre14a_105-fls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CIR"/>
      <w:bookmarkEnd w:id="53"/>
      <w:r>
        <w:rPr>
          <w:rFonts w:ascii="Times New Roman;Times;serif" w:hAnsi="Times New Roman;Times;serif"/>
          <w:b/>
          <w:color w:val="000000"/>
          <w:sz w:val="20"/>
        </w:rPr>
        <w:t xml:space="preserve">CAUTIONARY INFORMATION REGARDING FORWARD-LOOKING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proxy statement, and the documents incorporated by reference into this proxy statement, contains forward-looking statements within the meaning of the Private Securities Litigation Reform Act of 1995, including, but not limited to, statements regarding stockholder approval of the conversion of the Series A Preferred Stock, any future payouts under the contingent value right (the “CVR”) issued to our holders of record as of the close of business on December 4, 2023, our ability to achieve the expected benefits or opportunities and related timing with respect to the Merger (as defined below), or to monetize any of our legacy assets,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the ongoing conflicts between Russia and Ukraine and between Hamas and Israel and geopolitical tensions in China on our operations, and the receipt and timing of potential regulatory designations, approvals and commercialization of product candidates. The use of words such as, but not limited to, “anticipate,” “believe,” “continue,” “could,” “estimate,” “expect,” “intend,” “may,” “might,” “plan,” “potential,” “predict,” “project,” “should,” “target,” “will,” or “would” and similar words expressions are intended to identify forward-looking statements.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We may not actually achieve the forecasts disclosed in our forward-looking statements, and you should not place undue reliance on our forward-looking statements. Such forward-looking statements are subject to a number of material risks and uncertainties including but not limited to those set forth under the caption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 this proxy statement and in our most recent Quarterly Report on Form 10-Q filed with the SEC on November 13, 2023, as well as discussions of potential risks, uncertainties, and other important factors in our subsequent filings with the SEC. Any forward-looking statement speaks only as of the date on which it was made. Neither we, nor our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our views as of any date subsequent to the date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4" w:name="DSPFPageBreakArea9"/>
      <w:bookmarkStart w:id="55" w:name="DSPFPageBreakArea9"/>
      <w:bookmarkEnd w:id="5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6" w:name="DSPFPageBreak9"/>
      <w:bookmarkStart w:id="57" w:name="DSPFPageBreak9"/>
      <w:bookmarkEnd w:id="5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8" w:name="ny20014884x5_pre14a_106-summary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59" w:name="tRFS"/>
      <w:bookmarkEnd w:id="59"/>
      <w:r>
        <w:rPr>
          <w:rFonts w:ascii="Times New Roman;Times;serif" w:hAnsi="Times New Roman;Times;serif"/>
          <w:b/>
          <w:color w:val="000000"/>
          <w:sz w:val="20"/>
          <w:bdr w:val="single" w:sz="8" w:space="12" w:color="000000"/>
        </w:rPr>
        <w:t xml:space="preserve">RISK FACTOR SUMMARY </w:t>
      </w:r>
    </w:p>
    <w:p>
      <w:pPr>
        <w:pStyle w:val="TextBody"/>
        <w:bidi w:val="0"/>
        <w:spacing w:before="12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following summarizes the principal factors that make an investment in the Company speculative or risky, all of which are more fully described in the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section below. This summary should be read in conjunction with the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proxy statement and those we may make from time to time. You should consider all of the risk factors described in our public filings when evaluating our business. </w:t>
      </w:r>
    </w:p>
    <w:p>
      <w:pPr>
        <w:pStyle w:val="TextBody"/>
        <w:bidi w:val="0"/>
        <w:spacing w:before="12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Investing in our Common Stock involves various risks. You should carefully read and consider the matters discussed in this proxy statement under the heading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which include the following risks: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a development-stage company and have incurred significant losses since our inception. We expect to incur losses for the foreseeable future and may never achieve or maintain profitability.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expect to continue to grow our manufacturing capabilities and resources and we must incur significant costs to develop this expertise and/or rely on third parties to manufacture our products.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rely, and expect to continue to rely, on third parties to conduct our clinical trials, and those third parties may not perform satisfactorily, including by failing to meet deadlines for the completion of such trials.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we or our licensors are unable to adequately protect our proprietary technology, or obtain and maintain issued patents that are sufficient to protect our product candidates, others could compete against us more directly, which would negatively impact our business. </w:t>
            </w:r>
          </w:p>
        </w:tc>
      </w:tr>
    </w:tbl>
    <w:tbl>
      <w:tblPr>
        <w:tblW w:w="7600" w:type="dxa"/>
        <w:jc w:val="left"/>
        <w:tblInd w:w="24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have been in the past and may in the future be subject to securities class action lawsuits.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failure to successfully integrate the businesses of Selecta and Cartesian in the expected timeframe would adversely affect the Company’s future results. </w:t>
            </w:r>
          </w:p>
        </w:tc>
      </w:tr>
    </w:tbl>
    <w:tbl>
      <w:tblPr>
        <w:tblW w:w="8935" w:type="dxa"/>
        <w:jc w:val="left"/>
        <w:tblInd w:w="24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future results will suffer if the combined Company does not effectively manage its expanded operations.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0" w:name="DSPFPageBreakArea10"/>
      <w:bookmarkStart w:id="61" w:name="DSPFPageBreakArea10"/>
      <w:bookmarkEnd w:id="6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2" w:name="DSPFPageBreak10"/>
      <w:bookmarkStart w:id="63" w:name="DSPFPageBreak10"/>
      <w:bookmarkEnd w:id="6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 w:name="ny20014884x5_pre14a_107-description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DOT"/>
      <w:bookmarkEnd w:id="65"/>
      <w:r>
        <w:rPr>
          <w:rFonts w:ascii="Times New Roman;Times;serif" w:hAnsi="Times New Roman;Times;serif"/>
          <w:b/>
          <w:color w:val="000000"/>
          <w:sz w:val="20"/>
        </w:rPr>
        <w:t>DESCRIPTION OF THE TRANSACTIONS</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the Company and the Delaware corporation which, immediately prior to the Merger (as defined below), was known as Cartesian Therapeutics, Inc. (“Old Cartesian”) entered into an Agreement and Plan of Merger (the “Merger Agreement”), by and among the Company, Sakura Merger Sub I, Inc., a Delaware corporation and a wholly owned subsidiary of the Company (“First Merger Sub”), Sakura Merger Sub II, LLC, a Delaware limited liability company and wholly owned subsidiary of the Company (“Second Merger Sub”), and Old Cartesian. Pursuant to the Merger Agreement, and simultaneously with execution thereof, (i) First Merger Sub merged with and into Old Cartesian, pursuant to which Old Cartesian was the surviving corporation (the “First Step Surviving Corporation”) and became a wholly owned subsidiary of the Company (the “First Merger”) and (ii) immediately following the First Merger, Old Cartesian (as the First Step Surviving Corporation) merged with and into Second Merger Sub, pursuant to which Second Merger Sub was the surviving company (the “Surviving Company”) and continued under the name “Cartesian Bio, LLC”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References to our business in this proxy statement include the business of Old Cartesian prior to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Cartesian, prior to the Merger, was a clinical-stage biotechnology company that was incorporated on December 13, 2010 as Thirsty Brook Bioscience, Inc. and changed its name to Cartesian Therapeutics, Inc. on April 27, 2016.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the Company and Old Cartesian consummated the Merger in accordance with the DGCL and subject to the terms and conditions set forth in the Merger Agreement. The Merger Agreement provided for the consummation, simultaneously with execution thereof, of the First Merger, immediately followed by the consummation of the Second Merger. As a result of the Merger, the Surviving Company continues to exist as a wholly owned subsidiary of the Company and under the name Cartesian Bio, LLC.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with Old Cartesian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Merger was structured as a stock-for-stock transaction pursuant to which all of Cartesian’s outstanding shares of capital stock were exchanged based on a fixed exchange ratio for consideration of 6,723,639 shares of the Common Stock of the Company and 384,930.724 shares of Series A Preferred Stock, which was a newly designated series of preferred stock (“Preferred Stock”) that is intended to have economic rights similar to the Common Stock, but with only limited voting rights (to the extent required by law). Each share of Series A Preferred Stock is convertible into 1,000 shares of Common Stock, subject to certain conditions. The rights of the Series A Preferred Stock are set forth in Certificate of Designation of Preferences, Rights and Limitations that we filed with the Secretary of State of the State of Delaware (the “Certificate of Designation”). Please see “</w:t>
      </w:r>
      <w:r>
        <w:rPr>
          <w:rFonts w:ascii="Times New Roman;Times;serif" w:hAnsi="Times New Roman;Times;serif"/>
          <w:i/>
          <w:color w:val="000000"/>
          <w:sz w:val="20"/>
        </w:rPr>
        <w:t>Proposal No. 1—Conversion Proposal—Description of Series A Preferred Stock</w:t>
      </w:r>
      <w:r>
        <w:rPr>
          <w:rFonts w:ascii="Times New Roman;Times;serif" w:hAnsi="Times New Roman;Times;serif"/>
          <w:color w:val="000000"/>
          <w:sz w:val="20"/>
        </w:rPr>
        <w:t xml:space="preserve">” for a complete description of the Certificate of Designation and the rights of the Series A Preferred Stock. The Merger was unanimously approved by the Board of Directors of the Company and was also approved the board of directors and stockholders of Old Cartesian.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Merger Agreement, the Company and Old Cartesian entered into stockholder support agreements (the “Support Agreements”) with certain of our officers, directors, and stockholders, which collectively own an aggregate of approximately 25% of the outstanding shares of the Common Stock. The Support Agreements provide that, among other things, each of the Company stockholder parties thereto has agreed to vote or cause to be voted all of the shares of Common Stock owned by such stockholder in favor of Proposal Nos. 1 and 2 at our stockholders’ meeting to be held in connection therewith.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Concurrently and in connection with the execution of the Merger Agreement, certain Cartesian stockholders as of immediately prior to the closing of the Merger (the “Closing”), and certain of our directors and officers as of immediately prior to the Closing entered into lock-up agreements with us and Old Cartesian (the “Lock-Up Agreements”), pursuant to which each such stockholder will be subject to a 180-day lockup on the sale or transfer of shares of the Company held by each such stockholder at the Closing, including those shares of Common Stock and Series A Preferred Stock (including the shares of Common Stock into which such Series A Preferred Stock is convertible) received by each such stockholder in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6" w:name="DSPFPageBreakArea11"/>
      <w:bookmarkStart w:id="67" w:name="DSPFPageBreakArea11"/>
      <w:bookmarkEnd w:id="6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8" w:name="DSPFPageBreak11"/>
      <w:bookmarkStart w:id="69" w:name="DSPFPageBreak11"/>
      <w:bookmarkEnd w:id="6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0" w:name="ny20014884x5_pre14a_107-description_pg2"/>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a CVR was distributed to the holders of record of our Common Stock as of the close of business on December 13, 2023, but was not distributed to holders of Series A Preferred Stock issued to stockholders of Old Cartesian or the Investors (as defined below) in the transaction. Holders of the CVRs will be entitled to receive certain payments from proceeds received by us, if any, related to the disposition or monetization of our legacy assets following the issuance of the CVRs.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Concurrent Financing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Concurrent with the Merger, we entered into a definitive agreement (the “Securities Purchase Agreement”) for a private investment in public equity transaction with Timothy A. Springer, a member of the Company’s Board, TAS Partners LLC (“TAS”), an affiliate of Dr. Springer, and Seven One Eight Three Four Irrevocable Trust, a trust associated with Dr. Murat Kalayoglu, a co-founder and the former chief executive officer of Old Cartesian, who joined the Board of Directors effective as of the Closing (the “Investors”) in a transaction exempt from the registration requirements of the Securities Act, in reliance on Section 4(a)(2) as a transaction not involving a public offering and Rule 506 of Regulation D thereunder. The Securities Purchase Agreement provides for the issuance to the Investors of an aggregate of 149,330.115 shares of Series A Preferred Stock for an aggregate purchase price of approximately $60.25 million (the “Financing” and, together with the Merger, the “Transactions”). Subject to the approval of Proposal No. 1, which is being voted on at the Special Meeting, each share of Series A Preferred Stock is convertible into 1,000 shares of Common Stock. The powers, preferences, rights, qualifications, limitations and restrictions applicable to the Series A Preferred Stock are set forth in the Certificate of Designation. The closings of the Transactions were not subject to the approval of our stockholders. On an as-converted basis and after accounting for these Transactions, the total number of shares of our Common Stock would be 696,188,660 immediately following the closing of such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Concurrent with our entry into the Securities Purchase Agreement on November 13, 2023, we entered into a Registration Rights Agreement (the “RRA”) with the holders of Common Stock and Series A Preferred Stock signatory thereto. Pursuant to the RRA, we are obligated to prepare and file a resale registration statement with the SEC within 90 calendar days following the Financing closing date (the “Filing Deadline”), with respect to the shares of Common Stock underlying the shares of Series A Preferred Stock issued in the Financing and the Common Stock and shares of Common Stock underlying the shares of Series A Preferred Stock issued to the signatories to the RRA in the Merger. The RRA also contains certain terms, including an obligation to indemnify the holders of Common Stock and Series A Preferred Stock signatory thereto, and their officers, directors, members, employees, partners, managers, stockholders, affiliates, investment advisors and agents from certain liabilities incident to the Company’s obligations under the RRA.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1" w:name="DSPFPageBreakArea12"/>
      <w:bookmarkStart w:id="72" w:name="DSPFPageBreakArea12"/>
      <w:bookmarkEnd w:id="7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3" w:name="DSPFPageBreak12"/>
      <w:bookmarkStart w:id="74" w:name="DSPFPageBreak12"/>
      <w:bookmarkEnd w:id="7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5" w:name="ny20014884x5_pre14a_108-merger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TMA"/>
      <w:bookmarkEnd w:id="76"/>
      <w:r>
        <w:rPr>
          <w:rFonts w:ascii="Times New Roman;Times;serif" w:hAnsi="Times New Roman;Times;serif"/>
          <w:b/>
          <w:color w:val="000000"/>
          <w:sz w:val="20"/>
        </w:rPr>
        <w:t xml:space="preserve">THE MERGER AGREEMENT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following summary describes certain material provisions of the Merger Agreement. This summary is not complete and is qualified in its entirety by reference to the Merger Agreement, a copy of which is filed as Exhibit 2.1 to the Current Report on Form 8-K filed by the Company on November 13, 2023, which is incorporated herein by reference. We encourage you to read the Merger Agreement carefully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and this summary of its terms are included to provide you with information regarding its terms. Factual disclosures about us contained in this proxy statement or in our public reports filed with the SEC may supplement, update or modify the factual disclosures about us contained in the Merger Agreement. The representations, warranties and covenants contained in the Merger Agreement were made only as of specified dates for the purposes of the Merger Agreement, were solely for the benefit of the parties to the Merger Agreement and may be subject to qualifications and limitations agreed upon by the parties thereto. In particular, in your review of the representations and warranties contained in the Merger Agreement and described in this summary, it is important to bear in mind that the representations and warranties were negotiated with the principal purpose of allocating risk between the parties to the Merger Agreement, rather than establishing matters as facts. The representations, warranties and covenants may also be subject to a contractual standard of materiality different from those generally applicable to stockholders and reports and documents filed with the SEC and in some cases were qualified by matters contained in the disclosure schedule that we delivered to Old Cartesian and the disclosure schedule that Old Cartesian delivered to us, in each case in connection with the Merger Agreement, which disclosures were not expressly reflected in the text of the Merger Agreement. The Company stockholders are not third-party beneficiaries under the Merger Agreement. Moreover, information concerning the subject matter of the representations and warranties, which do not purport to be accurate as of the date of this proxy statement, may have changed since November 13, 2023 and subsequent developments or new information qualifying a representation or warranty may have been included in this proxy statement or in the respective public filings made by the Company with the SEC. Accordingly, Company stockholders should not rely on such representations, warranties and covenants as characterizations of the actual state of facts or circumstances described therein.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the Company and Old Cartesian consummated the Merger in accordance with the DGCL and subject to the terms and conditions set forth in the Merger Agreement. The Merger Agreement provided for the consummation, simultaneously with execution thereof, of the First Merger, immediately followed by the consummation of the Second Merger. As a result of the Merger, the Surviving Company continues to exist as a wholly owned subsidiary of the Company and under the name Cartesian Bio, LLC.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and Effectiveness of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execution of the Merger Agreement took place on November 13, 2023, New York time. Shortly after the execution of the Merger Agreement and upon the satisfaction of all of the conditions set forth in the Merger Agreement, as described in “</w:t>
      </w:r>
      <w:r>
        <w:rPr>
          <w:rFonts w:ascii="Times New Roman;Times;serif" w:hAnsi="Times New Roman;Times;serif"/>
          <w:i/>
          <w:color w:val="000000"/>
          <w:sz w:val="20"/>
        </w:rPr>
        <w:t>The Merger Agreement–Conditions Precedent to the Merger</w:t>
      </w:r>
      <w:r>
        <w:rPr>
          <w:rFonts w:ascii="Times New Roman;Times;serif" w:hAnsi="Times New Roman;Times;serif"/>
          <w:color w:val="000000"/>
          <w:sz w:val="20"/>
        </w:rPr>
        <w:t xml:space="preserve">,” the Company filed a certificate of merger with respect to the First Merger (the “First Certificate of Merger”) with the Secretary of State of the State of Delaware (the “Delaware Secretary of State”) in accordance with the DGCL. Immediately following the filing of the First Certificate of Merger, the Company filed a second certificate of merger with respect to the Second Merger (the “Second Certificate of Merger”) with the Delaware Secretary of State in accordance with the DGCL. The First Merger became effective at the time of the filing of the First Certificate of Merger with the Delaware Secretary of State (the “First Effective Time”) and the Second Merger became effective at the time of the filing of the Second Certificate of Merger with the Delaware Secretary of State (the “Second Effective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Certificate of Designation; Certificate of Incorporation and Bylaws; Directors and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the First Effective Time, the Company filed the Certificate of Designation with the Delaware Secretary of State, as required pursuant to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7" w:name="DSPFPageBreakArea13"/>
      <w:bookmarkStart w:id="78" w:name="DSPFPageBreakArea13"/>
      <w:bookmarkEnd w:id="7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9" w:name="DSPFPageBreak13"/>
      <w:bookmarkStart w:id="80" w:name="DSPFPageBreak13"/>
      <w:bookmarkEnd w:id="8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1" w:name="ny20014884x5_pre14a_108-merger_pg2"/>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Merger Agreement, at the First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of the First Step Surviving Corporation was amended and restated in its entirety to be identical to the certificate of incorporation of the First Merger Sub in effect immediately prior to the First Effective Time, except that the certificate of incorporation was amended to reflect that the name of the First Step Surviving Corporation was Cartesian Therapeutics, Inc.;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bylaws of the First Step Surviving Corporation were amended and restated in their entirety to be identical to the bylaws of Old Cartesian in effect immediately prior to the First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and officers of the First Step Surviving Corporation, in accordance with its certificate of incorporation and bylaws, were the same individuals who held such office immediately prior to the First Effective Time.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Merger Agreement, at the Second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certificate of formation of the Surviving Company was made to be identical to the certificate of formation of the Second Merger Sub in effect immediately prior to the Second Effective Time, except that the certificate of formation was amended to reflect that the name of the Surviving Company is Cartesian Bio, LLC;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limited liability company agreement of the Surviving Company was amended and restated in its entirety to be identical to the limited liability company agreement of the Second Merger Sub as in effect immediately prior to the Second Effective Time, but reflecting (i) the indemnification provisions required as described below under “</w:t>
            </w:r>
            <w:r>
              <w:rPr>
                <w:rFonts w:ascii="Times New Roman;Times;serif" w:hAnsi="Times New Roman;Times;serif"/>
                <w:i/>
                <w:color w:val="000000"/>
                <w:sz w:val="20"/>
              </w:rPr>
              <w:t>The Merger Agreement–Additional Agreements of the Parties–Indemnification of Directors and Officers</w:t>
            </w:r>
            <w:r>
              <w:rPr>
                <w:rFonts w:ascii="Times New Roman;Times;serif" w:hAnsi="Times New Roman;Times;serif"/>
                <w:color w:val="000000"/>
                <w:sz w:val="20"/>
              </w:rPr>
              <w:t xml:space="preserve">” and the requirements set out in the Merger Agreement and (ii) the change of name of the Surviving Company to Cartesian Bio, LLC.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Surviving Company, in accordance with its certificate of formation and limited liability company agreement, is a sole member-managed limited liability company, with its sole member being the Company, but with the Company having the discretion to appoint officers to act on the Surviving Company’s behalf. At the Second Effective Time, the Company appointed as officers of the Surviving Company such individuals as were mutually agreed between the Company and Old Cartesian pursuant to the Merger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Merger, the certificate of incorporation of the Company was amended to change the corporate name of the Company to Cartesian Therapeutics, Inc. and otherwise remained and remains in effect as the Current Charter.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Consideration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aggregate merger consideration (the “Merger Consideration”) that was issued and delivered by the Company to the stockholders of Old Cartesian in connection with the Merger was based on an agreed exchange ratio (the “Exchange Ratio”) of 213,822.7408 shares of Common Stock for each share of common stock of Old Cartesian (assuming, in the case of shares of preferred stock of Old Cartesian, conversion thereof into shares of common stock of Old Cartesian, in accordance with the terms that were applicable to conversion thereof). The Exchange Ratio was determined: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based on (i) the number of shares of Common Stock outstanding immediately prior to the First Effective Time on a fully diluted basis (including shares underlying warrants to purchase Common Stock, but excluding shares underlying equity awards in respect of Common Stock) and (ii) the number of shares of common stock of Old Cartesian outstanding immediately prior to the First Effective Time on a fully diluted basis (assuming conversion of shares of preferred stock of Old Cartesian into shares of common stock of Old Cartesian and the issuance of shares underlying options to purchase shares of Old Cartesian common stock (“Old Cartesian Options”)), and in each case ((i) and (ii)) using the treasury stock method; and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ascribing a pre-Closing valuation of $170,000,000 to Old Cartesian and a pre-Closing valuation of $62,620,000 to the Company.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Such Merger Consideration consisted of (a) 6,732,639 shares of Common Stock and (b) 384,930.724 shares of Series A Preferred Stock. Such number of shares of Common Stock was determined based on a limitation on the issuance of shares of Common Stock in connection with the Merger, such that such shares of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2" w:name="DSPFPageBreakArea14"/>
      <w:bookmarkStart w:id="83" w:name="DSPFPageBreakArea14"/>
      <w:bookmarkEnd w:id="8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4" w:name="DSPFPageBreak14"/>
      <w:bookmarkStart w:id="85" w:name="DSPFPageBreak14"/>
      <w:bookmarkEnd w:id="8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 w:name="ny20014884x5_pre14a_108-merger_pg3"/>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would be equal to (a) no more than 19.9% of the outstanding shares of Common Stock as of immediately before the First Effective Time minus (b) such number of shares of Common Stock reserved for settlement of, or other issuance pursuant to the terms of, Old Cartesian Options (as discussed below in more detail under “</w:t>
      </w:r>
      <w:r>
        <w:rPr>
          <w:rFonts w:ascii="Times New Roman;Times;serif" w:hAnsi="Times New Roman;Times;serif"/>
          <w:i/>
          <w:color w:val="000000"/>
          <w:sz w:val="20"/>
        </w:rPr>
        <w:t>The Merger Agreement–Treatment of Old Cartesian Options and Assumption of Old Cartesian’s 2016 Stock Incentive Plan</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share of Series A Preferred Stock is convertible into 1,000 shares of Common Stock, subject to and contingent upon the affirmative vote of holders of a majority of the shares of Common Stock who cast their votes (other than Common Stock issued as Merger Consideration pursuant to the Merger Agreement) at a meeting of stockholders of the Company to approve, for purposes of the rules of Nasdaq, a proposal for the issuance of shares of Common Stock to the stockholders of the Company upon conversion of any and all shares of Series A Preferred Stock, all in accordance with the terms of the Certificate of Designation. The Conversion Proposal is being submitted for such purposes. Please see “</w:t>
      </w:r>
      <w:r>
        <w:rPr>
          <w:rFonts w:ascii="Times New Roman;Times;serif" w:hAnsi="Times New Roman;Times;serif"/>
          <w:i/>
          <w:color w:val="000000"/>
          <w:sz w:val="20"/>
        </w:rPr>
        <w:t>Proposal No. 1—Conversion Proposal—Description of Series A Preferred Stock.</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and Conversion of Old Cartesian Common Stock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First Effective Time, by virtue of the First Merger and without any further action on the part of any party: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Old Cartesian common stock held as treasury stock or held or owned by Old Cartesian or any wholly owned subsidiary of Old Cartesian were cancelled and ceased to exist (the “Cancelled Shares”), with no consideration paid by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 of Old Cartesian capital stock outstanding immediately prior to the First Effective Time (excluding the Cancelled Shares) was automatically converted into the right to receive such number of shares of Common Stock determined based on the Exchange Ratio, and allocated in accordance with an allocation certificate delivered to the Company by Old Cartesian immediately prior to the First Effective Time (the “Allocation Certificate”). No fractional shares of Common Stock were issued in connection with the Merger. Any fractional shares of Common Stock were rounded down to the nearest whole number, with no cash payment made in lieu thereof. Fractional shares of Series A Preferred Stock were issued and delivered to Old Cartesian stockholders as part of the Merger Consideration, up to three decimal places;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of First Merger Sub issued and outstanding immediately prior to the First Effective Time was converted into and exchanged for one share of common stock of the First Step Surviving Corporation.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Second Effective Time, by virtue of the Second Merger and without any action on the part of any party, each share of common stock of the First Step Surviving Corporation issued and outstanding immediately prior to the Second Effective Time was cancelled and extinguished without any conversion thereof or any right to payment therefor.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Old Cartesian Options and Assumption of Old Cartesian’s 2016 Stock Incentive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First Effective Time, each Old Cartesian Option that was outstanding and unexercised immediately prior to the First Effective Time, whether or not vested, was converted into an option to purchase shares of capital stock of the Company, as follows: (i) the Old Cartesian Options held by certain individuals specified by the parties (and each of whom was appointed to be an officer of the Company immediately after the Closing) (the “Specified Old Options”) were converted into options to purchase Series A Preferred Stock and (ii) all other Old Cartesian Options were converted into options to purchase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Company assumed Old Cartesian’s 2016 Stock Incentive Plan (the “Old Cartesian Plan”) and each Old Cartesian Option in accordance with the terms of the Old Cartesian Plan and the terms of each stock option agreement by which such Old Cartesian Option is evidenced (but with changes to such documents as the Company in good faith determines are necessary to reflect the substitution of Old Cartesian Options by the Company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7" w:name="DSPFPageBreakArea15"/>
      <w:bookmarkStart w:id="88" w:name="DSPFPageBreakArea15"/>
      <w:bookmarkEnd w:id="8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9" w:name="DSPFPageBreak15"/>
      <w:bookmarkStart w:id="90" w:name="DSPFPageBreak15"/>
      <w:bookmarkEnd w:id="9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1" w:name="ny20014884x5_pre14a_108-merger_pg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Merger Agreement, from and after the First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Old Cartesian Option assumed by the Company, other than the Specified Old Options, may be exercised solely for shares of Common Stock;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Specified Old Option assumed by the Company may be exercised solely for shares of Series A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subject to each Old Cartesian Option, other than the Specified Old Options, was determined by multiplying (A) the number of shares of Old Cartesian common stock that were subject to such Old Cartesian Option, as in effect immediately prior to the First Effective Time, by (B) the Exchange Ratio, and rounding the resulting number down to the nearest whole number of shares of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per-share exercise price for Common Stock issuable upon exercise of each Old Cartesian Option, other than the Specified Old Options, was determined by dividing (A) the per-share exercise price of Old Cartesian common stock subject to such Old Cartesian Option, as in effect immediately prior to the First Effective Time, by (B) the Exchange Ratio, and rounding the resulting exercise price up to the nearest whole cent;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Series A Preferred Stock subject to each Specified Old Option was determined by multiplying (A) the number of shares of Old Cartesian common stock that were subject to such Specified Old Option, as in effect immediately prior to the First Effective Time, by (B) the Exchange Ratio, and (C) dividing such resulting number by 1,000, and rounding the resulting number down to the nearest number of 1/1000 shares of Series A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per-share exercise price for Series A Preferred Stock issuable upon exercise of each Specified Old Option was determined by dividing (A) the per-share exercise price of Old Cartesian common stock subject to such Specified Old Option, as in effect immediately prior to the First Effective Time, by (B) the Exchange Ratio, and (C) multiplying the resulting number by 1,000, and rounding the resulting exercise price up to the nearest whole cent;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restriction on the exercise of any Old Cartesian Option will continue in full force and effect and, except as expressly provided in the Merger Agreement, the term, exercisability, vesting schedule and other provisions of such Old Cartesian Option will otherwise remain unchanged.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Old Cartesian Equity 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First Effective Time, each option to acquire shares of common stock (an “Old Cartesian Stock Option”) and each restricted stock unit award with respect to shares of common stock (an “Old Cartesian RSU”), in each case that was outstanding and unvested immediately prior to the First Effective Time, vested in full and was cancelled. In exchange for such cancellation, the former holders of such cancelled equity awards became entitled to receive (without interest) an amount in cash (less applicable tax withholdings) equal to the product of: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Old Cartesian Stock Options, (A) the total number of shares of common stock subject to the unexercised portion of such Old Cartesian Stock Option immediately prior to the First Effective Time (determined after giving effect to the accelerated vesting described above) and (B) the excess, if any, of $2.06 (the “Cash-out Amount”) over the applicable exercise price per share of common stock under such Old Cartesian Stock Option. If the exercise price per share of Common Stock of any Old Cartesian Stock Option was equal to or greater than the Cash-out Amount, such Old Company Stock Option was cancelled and terminated without any consideration being given to such 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Old Cartesian RSUs, (A) the total number of shares of Common Stock deliverable under such Old Cartesian RSU immediately prior to the First Effective Time (determined after giving effect to the accelerated vesting described above) and (B) the Cash-out Amount.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on December 13, 2023, the Company effected a distribution of one CVR with respect to each share of Common Stock that was issued and outstanding as of December 4, 2023 (the “CVR Record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2" w:name="DSPFPageBreakArea16"/>
      <w:bookmarkStart w:id="93" w:name="DSPFPageBreakArea16"/>
      <w:bookmarkEnd w:id="9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94" w:name="DSPFPageBreak16"/>
      <w:bookmarkStart w:id="95" w:name="DSPFPageBreak16"/>
      <w:bookmarkEnd w:id="9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6" w:name="ny20014884x5_pre14a_108-merger_pg5"/>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holder of those certain Common Stock Purchase Warrants, dated as of April 11, 2022 (“Company 2022 Warrants”) that were outstanding and unexercised immediately prior to the CVR Record Date was also given a number of CVRs equal to the number of shares of Common Stock issuable under the Company 2022 Warrants held by such holder, as if such Company 2022 Warrant had been exercised in full immediately prior to the CVR Record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holder of warrants to purchase Common Stock (other than the Company 2022 Warrants) that were outstanding and unexercised as of immediately prior to the CVR Record Date will be entitled to receive a number of CVRs equal to the number of shares of Common Stock that would have been issuable upon the full exercise of each such respective warrant immediately prior to the CVR Record Date, in each case only upon and subject to the actual exercise of such warrants pursuant to the terms thereof.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the Company selected Equiniti Trust Company, LLC (“Equiniti”) to serve as the trustee under the Contingent Value Rights Agreement (the “CVR Agreement”). On December 6, 2023, the Company and Equiniti, as trustee, executed and delivered the CVR Agreement substantially in the form as attached as Exhibit E to the Merger Agreement. The terms and conditions of the CVRs are provided in the CVR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Old Cartesian and the Company made various representations and warranties that are subject, in some cases, to specified exceptions and qualifications contained in the Merger Agreement, the disclosure schedules each party delivered to the other in connection with the Merger Agreement, and, in the case of the Company, its public SEC filings. These representations and warranties made by Old Cartesian and the Company relate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their and their subsidiaries’ due organization, existence and good standing and authority to carry on their respective businesses;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organizational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to enter into the Merger Agreement, to perform their respective obligations thereunder and to complete the transactions contemplated thereby;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required stockholder votes to adopt the Merger Agreement (in the case of Old Cartesian) and the transactions contemplated thereunder that require stockholder approval in each respective case;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violations, defaults or consent requirements under certain contracts, organizational documents and applicable law, in each case arising out of the execution, delivery or performance of, or consummation of the transactions contemplated by, the Merger Agreement;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conduct of their respective businesses in the ordinary course and the absence of certain changes, effects, developments, circumstances, conditions, state of facts, events, occurrences that would have or would be reasonably expected to have a Material Adverse Effect (as defined below);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liabilities; </w:t>
            </w:r>
          </w:p>
        </w:tc>
      </w:tr>
    </w:tbl>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good title to, and absence of liens on, real property and other tangible assets;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and privacy matters;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material contracts; </w:t>
            </w:r>
          </w:p>
        </w:tc>
      </w:tr>
    </w:tbl>
    <w:tbl>
      <w:tblPr>
        <w:tblW w:w="4195" w:type="dxa"/>
        <w:jc w:val="left"/>
        <w:tblInd w:w="0" w:type="dxa"/>
        <w:tblLayout w:type="fixed"/>
        <w:tblCellMar>
          <w:top w:w="0" w:type="dxa"/>
          <w:left w:w="0" w:type="dxa"/>
          <w:bottom w:w="0" w:type="dxa"/>
          <w:right w:w="0" w:type="dxa"/>
        </w:tblCellMar>
      </w:tblPr>
      <w:tblGrid>
        <w:gridCol w:w="110"/>
        <w:gridCol w:w="4085"/>
      </w:tblGrid>
      <w:tr>
        <w:trPr/>
        <w:tc>
          <w:tcPr>
            <w:tcW w:w="11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regulations; </w:t>
            </w:r>
          </w:p>
        </w:tc>
      </w:tr>
    </w:tbl>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governmental authorizations material to their respective operations;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litigation or other proceedings, and the absence of certain government or court orders;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employees, employee benefit plans, and labor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7" w:name="DSPFPageBreakArea17"/>
      <w:bookmarkStart w:id="98" w:name="DSPFPageBreakArea17"/>
      <w:bookmarkEnd w:id="9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99" w:name="DSPFPageBreak17"/>
      <w:bookmarkStart w:id="100" w:name="DSPFPageBreak17"/>
      <w:bookmarkEnd w:id="10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1" w:name="ny20014884x5_pre14a_108-merger_pg6"/>
        <w:bookmarkEnd w:id="101"/>
        <w:r>
          <w:rPr>
            <w:rStyle w:val="InternetLink"/>
            <w:rFonts w:ascii="Times New Roman;Times;Serif" w:hAnsi="Times New Roman;Times;Serif"/>
            <w:b/>
            <w:caps w:val="false"/>
            <w:smallCaps w:val="false"/>
            <w:color w:val="000000"/>
            <w:sz w:val="16"/>
          </w:rPr>
          <w:t>TABLE OF CONTENTS</w:t>
        </w:r>
      </w:hyperlink>
    </w:p>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705" w:type="dxa"/>
        <w:jc w:val="left"/>
        <w:tblInd w:w="0" w:type="dxa"/>
        <w:tblLayout w:type="fixed"/>
        <w:tblCellMar>
          <w:top w:w="0" w:type="dxa"/>
          <w:left w:w="0" w:type="dxa"/>
          <w:bottom w:w="0" w:type="dxa"/>
          <w:right w:w="0" w:type="dxa"/>
        </w:tblCellMar>
      </w:tblPr>
      <w:tblGrid>
        <w:gridCol w:w="110"/>
        <w:gridCol w:w="1595"/>
      </w:tblGrid>
      <w:tr>
        <w:trPr/>
        <w:tc>
          <w:tcPr>
            <w:tcW w:w="11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policies;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financial advisors or other brokers with respect to the transactions contemplated in the Merger Agreement;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material transactions between such party and certain of such party’s affiliates; and </w:t>
            </w:r>
          </w:p>
        </w:tc>
      </w:tr>
    </w:tbl>
    <w:tbl>
      <w:tblPr>
        <w:tblW w:w="2980" w:type="dxa"/>
        <w:jc w:val="left"/>
        <w:tblInd w:w="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anti-bribery laws.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Company made representations and warranties regarding the following matters: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Company’s SEC filings and other matters relating to compliance with securities laws and reporting obligations and the Company’s financial statements; and </w:t>
            </w:r>
          </w:p>
        </w:tc>
      </w:tr>
    </w:tbl>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valid issuance of Common Stock and Series A Preferred Stock to be issued as Merger Consideration.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Old Cartesian made representations and warranties regarding the following matters: </w:t>
      </w:r>
    </w:p>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its financial statements and its books and records; and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accredited investor status of each holder of Old Cartesian capital stock.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Many of the parties’ representations and warranties are qualified by, among other things, exceptions relating to the absence of a “Company Material Adverse Effect” (in the case of Old Cartesian) or a “Parent Material Adverse Effect” (in the case of the Company), as the case may be, and which in each case means any effect that, considered together with all other effects that have occurred prior to the date of determination of the occurrence of such “Material Adverse Effect,” has or would reasonably be expected to have a material adverse effect on the business, condition (financial or otherwise), assets, liabilities or results of operations of the applicable party taken as a whole (including subsidiaries in the case of the Company) (“Material Adverse Effect”). Effects arising or resulting from the following are not taken into account in determining whether there has been such a Material Adverse Effect: </w:t>
      </w:r>
    </w:p>
    <w:tbl>
      <w:tblPr>
        <w:tblW w:w="8575" w:type="dxa"/>
        <w:jc w:val="left"/>
        <w:tblInd w:w="0" w:type="dxa"/>
        <w:tblLayout w:type="fixed"/>
        <w:tblCellMar>
          <w:top w:w="0" w:type="dxa"/>
          <w:left w:w="0" w:type="dxa"/>
          <w:bottom w:w="0" w:type="dxa"/>
          <w:right w:w="0" w:type="dxa"/>
        </w:tblCellMar>
      </w:tblPr>
      <w:tblGrid>
        <w:gridCol w:w="230"/>
        <w:gridCol w:w="834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business or economic conditions affecting the industry in which the applicable party operates;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w:t>
            </w:r>
          </w:p>
        </w:tc>
      </w:tr>
    </w:tbl>
    <w:tbl>
      <w:tblPr>
        <w:tblW w:w="4450" w:type="dxa"/>
        <w:jc w:val="left"/>
        <w:tblInd w:w="0" w:type="dxa"/>
        <w:tblLayout w:type="fixed"/>
        <w:tblCellMar>
          <w:top w:w="0" w:type="dxa"/>
          <w:left w:w="0" w:type="dxa"/>
          <w:bottom w:w="0" w:type="dxa"/>
          <w:right w:w="0" w:type="dxa"/>
        </w:tblCellMar>
      </w:tblPr>
      <w:tblGrid>
        <w:gridCol w:w="230"/>
        <w:gridCol w:w="422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4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financial, banking or securities markets;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the Company only, any change in the stock price or trading volume of its Common Stock (subject to certain exceptions);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 in, or any compliance with or action taken for the purpose of complying with, any law or generally accepted accounting principles in the United States (“GAAP”) (or interpretations of any law or GAAP);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the announcement of the Merger Agreement or the pendency of transactions contemplated by the Merger Agreement; or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taking of any action or the omission to take any action by the applicable party where such action is required to be taken by the Merger Agreement.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clauses (a) through (c) above, to the extent such effect described therein disproportionately affects the applicable party to whom the clause refers (relative to other similarly situated companies in the industries in which such party operates), then such effect can be taken into account in determining whether there has been a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02" w:name="DSPFPageBreakArea18"/>
      <w:bookmarkStart w:id="103" w:name="DSPFPageBreakArea18"/>
      <w:bookmarkEnd w:id="10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04" w:name="DSPFPageBreak18"/>
      <w:bookmarkStart w:id="105" w:name="DSPFPageBreak18"/>
      <w:bookmarkEnd w:id="10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6" w:name="ny20014884x5_pre14a_108-merger_pg7"/>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Agreements of the Parties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Company Stockholders’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that as promptly as practicable following its execution, the Company take all action necessary under applicable law to call, give notice of and hold the Special Meeting for the purpose of seeking approval of the following matters: </w:t>
      </w:r>
    </w:p>
    <w:tbl>
      <w:tblPr>
        <w:tblW w:w="2575" w:type="dxa"/>
        <w:jc w:val="left"/>
        <w:tblInd w:w="0" w:type="dxa"/>
        <w:tblLayout w:type="fixed"/>
        <w:tblCellMar>
          <w:top w:w="0" w:type="dxa"/>
          <w:left w:w="0" w:type="dxa"/>
          <w:bottom w:w="0" w:type="dxa"/>
          <w:right w:w="0" w:type="dxa"/>
        </w:tblCellMar>
      </w:tblPr>
      <w:tblGrid>
        <w:gridCol w:w="110"/>
        <w:gridCol w:w="2465"/>
      </w:tblGrid>
      <w:tr>
        <w:trPr/>
        <w:tc>
          <w:tcPr>
            <w:tcW w:w="11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Conversion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either (i) the amendment of the Current Charter to increase the number of authorized shares of Common Stock or (ii) a proposal for a reverse stock split of all outstanding shares of Common Stock (such as the Reverse Stock Split Proposal), in either case ((i) or (ii)) by a number of authorized shares or at a stock split ratio sufficient to allow the conversion of all shares of Series A Preferred Stock and have reserved and authorized a number of shares of Common Stock sufficient to cover all shares of Common Stock to be issued upon approval of the Conversion Proposal.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convening the Special Meeting, as discussed in this proxy statement, in order to comply with the requirements above.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approval of the matters above is not obtained at the Special Meeting or if we reasonably believe that (i) we will not receive proxies sufficient to obtain approval of the above matters, whether or not a quorum would be present or (ii) we will not have sufficient shares of Common Stock represented (whether in person or by proxy) to constitute a quorum necessary to conduct the business of the Special Meeting, then, in each case, we must use reasonable best efforts to adjourn the Special Meeting one or more times to a date or dates no more than 30 days after the original scheduled date, and to obtain such approvals at such time. If the Special Meeting is not so adjourned, or if the approvals above are not then obtained, we must use reasonable best efforts to obtain such approvals as soon as practicable, and in any event at our next occurring annual meeting of stockholders or, if such annual meeting is not scheduled to be held within six months after the Special Meeting, then at another special meeting of our stockholders to be held within six months after the Special Meeting. We are required to hold an annual meeting or special meeting of our stockholders, at which a vote of our stockholders to approve the matters above will be solicited and taken, at least once every six months until we obtain such approvals.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we also agreed that the Board of Directors will recommend that the holders of Common Stock vote to approve the matters described above and that we will use reasonable best efforts to solicit and obtain such approvals within the time frames discussed above.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Proxy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that as promptly as practicable after the Closing, the Company prepare and file a proxy statement with the SEC relating to the Special Meeting to be held in connection with the matters discussed above. This proxy statement was filed in connection with such obligation. The Merger Agreement requires such proxy statement to comply with all requirements of applicable U.S. federal securities laws and the DGCL, and we are required to respond promptly to any comments or requests of the SEC or its staff related to such proxy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required by the Merger Agreement to use commercially reasonable efforts to deliver the definitive version of such proxy statement to the Company’s stockholders as promptly as practicable after (i) the SEC has indicated that it does not intend to review it or that such review has been completed or (ii) at least ten after the filing of such proxy statement with the SEC without receipt of any correspondence from the SEC commenting upon, or indicating that it intends to review, such proxy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parties are also required to cooperate in making the Company amend or supplement such proxy statement and, if appropriate, mailing such amendment or supplement, in each case in certain circumstances where such actions may be necessary.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Reservation of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upon approval of the Conversion Proposal and the Reverse Stock Split Proposal, the Company must at all times reserve and keep available, free from preemptive rights, out of its authorized but unissued Common Stock or shares of Common Stock held in treasury by the Company,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07" w:name="DSPFPageBreakArea19"/>
      <w:bookmarkStart w:id="108" w:name="DSPFPageBreakArea19"/>
      <w:bookmarkEnd w:id="10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09" w:name="DSPFPageBreak19"/>
      <w:bookmarkStart w:id="110" w:name="DSPFPageBreak19"/>
      <w:bookmarkEnd w:id="11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1" w:name="ny20014884x5_pre14a_108-merger_pg8"/>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purpose of effecting the conversion of Series A Preferred Stock, the full number of shares of Common Stock necessary to convert all Series A Preferred Stock then outstanding into shares of Common Stock.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Directors and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contemplates that, immediately after the Second Effective Time, the Board of Directors would be comprised of ten members, of which eight members were designated by the Company and two members were designated by Old Cartesian. The individuals who were initially appointed by Old Cartesian as members of the Board of Directors are Drs. Murat Kalayoglu and Michael Singer. The eight members of the Board of Directors immediately prior to the Second Effective Time remained in such positions as of immediately after the Second Effective Time as the eight members to be designated by the Company as described above. On November 21, 2023, as disclosed in the Current Report on Form 8-K filed by the Company on November 27, 2023, Scott D. Myers resigned from the Board of Directors, which as of the date hereof has nine members.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parties also agreed to (a) as of immediately after the Second Effective Time, maintain Carsten Brunn, Ph.D., as the Company’s Chief Executive Officer, Blaine Davis as the Company’s Chief Financial Officer, and Matthew Bartholomae as the Company’s General Counsel and Secretary, and (b) designate and appoint, effective immediately after the Second Effective Time, and the Board of Directors so designated and appointed, Metin Kurtoglu as the Company’s Chief Operating Officer, Milos Miljkovic as the Company’s Chief Medical Officer, and Chris Jewell as the Company’s Chief Scientific Officer. Such officers will serve in such positions until successors are duly appointed and qualified in accordance with applicable law.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Seven One Eight Three Four Irrevocable Trust, a trust associated with Dr. Kalayoglu and a former stockholder of Old Cartesian, has the right to designate one individual to be appointed to the Board of Directors, subject to certain qualification standards, including applicable corporate governance policies and guidelines of the Company and applicable legal, regulatory and stock market requirements, as determined in good faith by the Board of Directors, and subject to such designee being reasonably acceptable to a majority of the independent members of the Board of Directors. The Merger Agreement sets forth a number of proceedings and requirements pursuant to which the Board of Directors will evaluate such proposed designee and either appoint such designee to the Board of Directors (and nominate him or her for reelection, when applicable) or provide its reasoning for denying the proposed designee’s candidacy. Such initial designee was Dr. Kalayoglu, whom the Board of Directors has determined meets such qualification standards.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ability of Seven One Eight Three Four Irrevocable Trust to designate an individual to the Board of Directors is contingent on such stockholder maintaining ownership, directly or indirectly, of at least 15% of the then-outstanding shares of Common Stock (assuming for such purposes the conversion into Common Stock of any Series A Preferred Stock held by such stockholder). If at any time this threshold fails to be met, such designation right will cease to apply and the Board of Directors may also, upon the affirmative vote of a majority of its independent members (other than such designee), request in writing that such designee resign from the Board of Directors, in which case Seven One Eight Three Four Irrevocable Trust must use commercially reasonable efforts to cause such designee to so resign within five business days.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of Directors and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Commencing at the First Effective Time and continuing until the sixth anniversary of the First Effective Time, each of the Company and the Surviving Company will indemnify and hold harmless each person who was at the Closing or has been at any time prior to the Closing, or who becomes prior to the First Effective Time, a director or officer of the Company or Surviving Company or any of their respective subsidiaries, respectively (the “D&amp;O Indemnified Parties”),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the Company or of the Surviving Company, or any subsidiary thereof, asserted or claimed prior to the First Effective Time, in each case, to the fullest extent permitted under applicable law.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in the case of fraud, each D&amp;O Indemnified Party will be entitled to advancement of expenses incurred in the defense of any such claim, action, suit, proceeding or investigation from each of Company and the Surviving Company, jointly and severally, upon receipt by Company or the Surviving Company from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12" w:name="DSPFPageBreakArea20"/>
      <w:bookmarkStart w:id="113" w:name="DSPFPageBreakArea20"/>
      <w:bookmarkEnd w:id="11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4" w:name="DSPFPageBreak20"/>
      <w:bookmarkStart w:id="115" w:name="DSPFPageBreak20"/>
      <w:bookmarkEnd w:id="11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6" w:name="ny20014884x5_pre14a_108-merger_pg9"/>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D&amp;O Indemnified Party of a request therefor, subject to an undertaking to repay such advances if it is ultimately determined that such person is not entitled to indemnification.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requires the Company and the Surviving Company to maintain in their applicable organizational documents, for at least six years from the First Effective Time, such provisions with respect to indemnification, advancement of expenses and exculpation of directors and officers as those that existed in the Company’s organizational documents as of the date of the Merger Agreement. The Company and the Surviving Company must also honor and fulfill their existing obligations to provide indemnification to the D&amp;O Indemnified Parties as they existed as of the date of the Merger Agreement, and the Company must maintain directors’ and officers’ liability insurance policies, with an effective date as of the date of the Closing, on commercially available terms and conditions and with coverage limits customary for U.S. public companies similarly situated to the Company.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Employee Benefits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the Company to provide certain employee benefits to each employee of Old Cartesian and each employee of the Company who remained employed by the Company or the Surviving Company, or any of their respective subsidiaries following the Closing (the “Continuing Employees”). Specifically, the Company must: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December 31, 2024, provide Continuing Employees with base salary or hourly wage rate, as applicable, and target annual cash bonus opportunities that are no less than the base salary or hourly wage rate, as applicable, and target annual cash bonus opportunities in effect as of immediately prior to the First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all times from the First Effective Time, honor the severance and retention arrangements of the Company existing prior to the First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commercially reasonable efforts to cause each Continuing Employee to be credited with his or her years of service with Old Cartesian or the Company or any of their respective predecessors, for purposes of vesting, eligibility to participate, and level of benefits under the benefit plans, programs, or arrangements of the Company or any of its subsidiaries.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Agreements of the Parties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additional agreements of the parties relating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use of the parties’ reasonable best efforts to make all filings, submissions, notices and retain all consents required to be made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use by the Company of reasonable best efforts to maintain the Company’s Nasdaq listing and file all necessary notifications and applications with Nasdaq for the listing of shares of Common Stock to be issued in connection with the conversion of Series A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U.S. federal income tax purposes, (i) the treatment of the First Merger and the Second Merger to constitute an integrated transaction described in Rev. Rul. 2001-46, 2001-2 C.B. 321 that qualifies as a “reorganization” within the meaning of Section 368(a) of the Internal Revenue Code of 1986, as amended (the “Code”) and the Treasury Regulations promulgated thereunder (“Treasury Regulations”), and (ii) the treatment of the Merger Agreement as a “plan of reorganization” for purposes of Sections 354 and 361 of the Code and Treasury Regulations Sections 1.368-2(g) and 1.368-3(a); including that the parties treat and not take any tax reporting position inconsistent with, and not take any action that would reasonably be expected to prevent qualification for, such treatment (in each case as discussed in more detail under “</w:t>
            </w:r>
            <w:r>
              <w:rPr>
                <w:rFonts w:ascii="Times New Roman;Times;serif" w:hAnsi="Times New Roman;Times;serif"/>
                <w:i/>
                <w:color w:val="000000"/>
                <w:sz w:val="20"/>
              </w:rPr>
              <w:t>Material U.S. Federal Income Tax Considerations of the Merger and the Issuance of the CVRs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termination of certain stockholders’ agreements in respect of Old Cartesian as of immediately prior to the First Effective Time, without any liability for the Surviving Company;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reporting requirements under Section 16 of the Securities Exchange Act of 1934, as amended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cooperation of the parties in order to facilitate the performance by each party of its respective obligations under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17" w:name="DSPFPageBreakArea21"/>
      <w:bookmarkStart w:id="118" w:name="DSPFPageBreakArea21"/>
      <w:bookmarkEnd w:id="11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9" w:name="DSPFPageBreak21"/>
      <w:bookmarkStart w:id="120" w:name="DSPFPageBreak21"/>
      <w:bookmarkEnd w:id="12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1" w:name="ny20014884x5_pre14a_108-merger_pg10"/>
        <w:bookmarkEnd w:id="1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delivery of certificates with respect to the issued and outstanding shares of capital stock of Old Cartesian and the Company prior to the First Effective Time, including, in the case of Old Cartesian, the Allocation Certificate;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anti-takeover statutes that may become applicable to the transactions contemplated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necessary to cause the First Merger Sub and Second Merger Sub to perform their respective obligations under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exemption from registration under the Securities Act of the issuance of Common Stock and Series A Preferred Stock comprising the Merger Consideration, including placing of legends on the book-entries with respect to such Common Stock and Series A Preferred Stock.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Precedent to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each party to effect the Merger and consummate the transactions contemplated by the Merger Agreement were subject to the satisfaction or, to the extent permitted by applicable law, the written waiver by each of the parties, at or prior to the Closing,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(i) temporary restraining orders, preliminary or permanent injunctions or other orders preventing the consummation of such transactions issued by any court or other governmental body of competent jurisdiction, and (ii) laws having the effect of making such consummation illegal;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filing of the Certificate of Designation with the Delaware Secretary of State;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Securities Purchase Agreement with respect to the Financing being in full force and effect and providing for cash proceeds of not less than $60,250,000.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obligations of the Company to effect the Merger and consummate the transactions contemplated by the Merger Agreement were subject to or, to the extent permitted by applicable law, the written waiver by the Company, at or prior to the Closing, of the delivery of the following documents: (i) resignations of the directors of Old Cartesian, (ii) a written instrument of termination of Old Cartesian’s stockholders’ agreements, (iii) the Allocation Certificate, (iv) certain accredited investor questionnaires from holders of capital stock of Old Cartesian representing at least 99% of the shares of capital stock (on an as-converted basis) of Old Cartesian as of immediately prior to the First Effective Time, (v) a certification that Old Cartesian is not a “United States real property holding corporation” as defined under the Code and a related notice required by U.S. Internal Revenue Service (the “IRS”) with respect thereto, and (vi) each Lock-Up Agreements contemplated to be executed under the Merger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Further, the obligations of Old Cartesian to effect the Merger and consummate the transactions contemplated by the Merger Agreement were subject to or, to the extent permitted by applicable law, the written waiver by Old Cartesian, at or prior to the Closing, of the delivery of the following documents: (i) resignations of the directors and officers of the Company who, pursuant to the terms of the Merger Agreement, were not contemplated to continue in their respective positions immediately after the Closing, (ii) a certificate delivered by the Company as to the shares of the Company issued and outstanding immediately prior to the First Effective Time, (iii) a certification from the Company as to the resolutions adopted by the Board of Directors authorizing the appointment of directors and officers of the Company contemplated to be so appointed pursuant to the Merger Agreement, and (iv) each Lock-Up Agreement contemplated to be executed under the Merger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the conditions and deliveries described above have been duly satisfied as of immediately prior to the Closing.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of the Merger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Merger Agreement may be amended with the approval of the respective boards of directors (or members, as applicable) of the Surviving Company and the Company at any time, except that any amendment to the rights of designation to the Board of Directors by Seven One Eight Three Four Irrevocable Trust (as discussed under “</w:t>
      </w:r>
      <w:r>
        <w:rPr>
          <w:rFonts w:ascii="Times New Roman;Times;serif" w:hAnsi="Times New Roman;Times;serif"/>
          <w:i/>
          <w:color w:val="000000"/>
          <w:sz w:val="20"/>
        </w:rPr>
        <w:t>The Merger Agreement—Additional Agreements of the Parties—Directors and Officers</w:t>
      </w:r>
      <w:r>
        <w:rPr>
          <w:rFonts w:ascii="Times New Roman;Times;serif" w:hAnsi="Times New Roman;Times;serif"/>
          <w:color w:val="000000"/>
          <w:sz w:val="20"/>
        </w:rPr>
        <w:t xml:space="preserve">”) would also require approval by Seven One Eight Three Four Irrevocable Trust if such amendment were to have an adverse impact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22" w:name="DSPFPageBreakArea22"/>
      <w:bookmarkStart w:id="123" w:name="DSPFPageBreakArea22"/>
      <w:bookmarkEnd w:id="12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24" w:name="DSPFPageBreak22"/>
      <w:bookmarkStart w:id="125" w:name="DSPFPageBreak22"/>
      <w:bookmarkEnd w:id="12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6" w:name="ny20014884x5_pre14a_108-merger_pg11"/>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any approval of the Merger Agreement by a party’s stockholders, no amendment will be made which by applicable law requires further approval of such stockholders without the further approval of such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can only be amended by an instrument in writing signed on behalf of each of the Surviving Company and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Applicable Law; Jurisdiction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construed in accordance with, the laws of the State of Delaware, regardless of the laws that might otherwise govern under applicable principles of conflicts of laws. Actions or proceedings between any of the parties arising out of or relating to the Merger Agreement or any the contemplated transactions thereunder are subject to the exclusive jurisdiction and venue of the Court of Chancery of the State of Delaware or, to the extent such court does not have subject matter jurisdiction, the U.S. District Court for the District of Delaware or, to the extent that neither of the foregoing courts has jurisdiction, the Superior Court of the State of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Remedies; Specific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in addition to all remedies conferred therein and by applicable law, the parties are entitled to an injunction, specific performance and other equitable relief to prevent breaches of the Merger Agreement and to enforce specifically its terms and provisions.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Expenses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expenses incurred in connection with the Merger Agreement and the transactions contemplated thereunder will be paid by the party incurring such expenses, except if otherwise provided in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27" w:name="DSPFPageBreakArea23"/>
      <w:bookmarkStart w:id="128" w:name="DSPFPageBreakArea23"/>
      <w:bookmarkEnd w:id="12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29" w:name="DSPFPageBreak23"/>
      <w:bookmarkStart w:id="130" w:name="DSPFPageBreak23"/>
      <w:bookmarkEnd w:id="13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1" w:name="ny20014884x5_pre14a_109-transaction_pg1"/>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2" w:name="tBAR"/>
      <w:bookmarkEnd w:id="132"/>
      <w:r>
        <w:rPr>
          <w:rFonts w:ascii="Times New Roman;Times;serif" w:hAnsi="Times New Roman;Times;serif"/>
          <w:b/>
          <w:color w:val="000000"/>
          <w:sz w:val="20"/>
        </w:rPr>
        <w:t xml:space="preserve">BACKGROUND AND REASONS FOR THE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2020, the Board of Directors, as part of its effort to continually evaluate how to best maximize stockholder value, believed it in the best interest of the Company and its stockholders to conduct a preliminary assessment to identify and evaluate potential strategic transactions that would allow the Company to further develop its pipeline assets, add new pipeline assets or otherwise increase value for stockholders. In connection with such decision, the Board of Directors authorized the engagement of Leerink Partners LLC (“Leerink Partners”), to serve as financial advisor to the Company. During that process, Leerink Partners assisted the Company in developing a list of potential partners and, between December 2020 and April 2021, approached approximately 38 potential parties to gauge interest in a potential transaction with the Company, including license or collaboration, acquisition of assets or acquisition of the Company. Four of those parties entered into non-disclosure/confidentiality agreements with the Company. Three of those parties conducted due diligence and two were given access to a virtual data room containing information about the Company, but no such party made any actionable proposal in connection with a proposed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September 2022, Leerink Partners introduced Dr. Kalayoglu to Dr. Brunn to discuss a possible strategic transaction or partnership. Following such introduction, on October 5, 2022, representatives of the respective management teams of the Company and Old Cartesian had an initial meeting to discuss their respective businesses and where Dr. Brunn indicated that the Company was interested in exploring a potential strategic transaction with Old Cartesian. On October 14, 2022, the Company and Old Cartesian entered into a mutual confidentiality agreement in order to exchange non-public information regarding each other. Thereafter, conversations did not move forward and Dr. Kalayoglu indicated that at that point Old Cartesian was not interested in pursuing a transaction with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April 2023, after experiencing considerable difficulty raising funds, following the release of topline results from the Phase 3 DISSOLVE I and II trials, the Board of Directors made the strategic decision to take steps to extend the Company’s cash runway by pausing further development of SEL-302 for the treatment of methylmalonic acidemia, conducting a targeted headcount reduction of approximately 25%, and prioritizing the Company’s support of its collaborations with Swedish Orphan Biovitrum AB (publ.) (“Sobi”), for SEL-212 (the “Sobi License”), the development of ImmTOR-IL for autoimmune diseases with an initial focus on the liver and the Company’s support of its collaboration with Astellas Gene Therapies for Xork (the “Xork License”). The Board of Directors decided that it would be advisable to pursue a process to identify one or more parties to enter into a potential strategic transaction with the Company, and authorized the entry into another engagement letter with Leerink Partners to serve as a financial advisor to the Company in connection with such process.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10, 2023, the Board of Directors approved the formation of a transaction committee (the “Transaction Committee”) to assist the Board of Directors in evaluating a potential strategic transaction and more closely monitoring the process leading up to any such transaction. The Transaction Committee was given the authority by the Board of Directors to provide oversight of, review, evaluate, and decide whether or not to pursue or recommend to the Board of Directors, for approval, entry into any transaction that may result from the process, including any mergers, significant asset purchases or sales, divestitures, restructurings, or any other transaction of significant importance. The Board of Directors designated Carrie Cox, Scott D. Myers, M.B.A., Nishan de Silva, M.D., M.B.A. and Carsten Brunn, Ph.D. to serve on the Transaction Committee. On May 19, 2023, the Board of Directors approved an increase of the size of the Transaction Committee to consist of five members, and appointed Timothy C. Barabe, M.B.A, to fill the new position created as a result of such expansion.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creation of the Transaction Committee and the engagement of Leerink Partners by the Company, between April 2023 and August 2023, Leerink Partners, at the direction of the Company, approached 12 potential parties to gauge interest in a potential transaction with the Company, including royalty monetizations, licenses or collaborations, acquisitions of assets or acquisitions of the Company; and, in parallel, the Company approached two additional parties for the same purposes, neither of which indicated a desire to explore a potential transaction. Of the 12 parties contacted by Leerink Partners, eight parties decided not to pursue a transaction, four parties indicated preliminary interest in the Company’s early stage programs and three of those parties entered into non-disclosure/confidentiality agreements with the Company or amended or supplemented existing confidentiality agreements with the Company. Of those parties, two, which we refer to as Company A and Company B, respectively, conducted due diligence on the Company and were given access to a virtual data room containing information about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33" w:name="DSPFPageBreakArea24"/>
      <w:bookmarkStart w:id="134" w:name="DSPFPageBreakArea24"/>
      <w:bookmarkEnd w:id="13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35" w:name="DSPFPageBreak24"/>
      <w:bookmarkStart w:id="136" w:name="DSPFPageBreak24"/>
      <w:bookmarkEnd w:id="13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7" w:name="ny20014884x5_pre14a_109-transaction_pg2"/>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28, 2023, at a meeting of the Board of Directors, which was joined by representatives of Leerink Partners and Covington &amp; Burling LLP, the Company’s outside counsel (“Covington”), Leerink Partners provided an update on the status of their outreach to potential partners.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2, 2023, Company A submitted a proposal to the Company outlining the terms of a potential acquisition of the Company, pursuant to which the Company’s stockholders would receive (i) a pro rata share of the Company’s balance of net cash at the closing of such acquisition, after deduction of several payment obligations of the Company and other expected contingent liabilities of the Company, plus (ii) a publicly traded 10-year contingent value right with respect to each share of Common Stock held by such stockholder, which contingent value right would entitle the holder thereof to a pro rata share of (a) 90% of the milestone payments associated with SEL-212 and paid by Sobi to the Company, (b) 80% of any future royalties payable by Sobi to the Company in respect of SEL-212, and (c) 80% of any future proceeds relating to the sale, license or other transfer of any assets of the Company other than SEL-212.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19, 2023, the Board of Directors met to consider the proposal received from Company A. At this meeting, Leerink Partners provided an overview of the proposal and responded to questions from the Board of Directors. After discussion, the Board of Directors directed management and Leerink Partners to further negotiate the economics of Company A’s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6, 2023, the Company received a proposal from Company B to acquire the Company for $1.75 per share of Common Stock, payable in cash at the closing of such acquisition. Company B also orally advised the Company that Company B would need to obtain financing in order to fund at least part of such proposed acquisition consideration, and that Company B would seek such financing in parallel with negotiations with the Company and Company B’s due diligence of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Also on June 6, 2023, the Transaction Committee met and considered the proposal received from Company B in light of the proposal previously received from Company A. On June 9, 2023, the Transaction Committee met again, this time joined by representatives of Leerink Partners, who reviewed the proposals submitted by each of Company A and Company B. The Leerink Partners representatives also highlighted for the Transaction Committee other parties that could potentially be interested in a transaction with the Company. As a result of such discussion, the Transaction Committee instructed Leerink Partners and Company’s management to negotiate with Company B to seek terms more favorable to the Company than those included in Company B’s June 6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16, 2023, following discussions with the Company and Leerink Partners, Company B delivered a revised proposal to acquire the Company for an amount in the range of $1.90 to $2.00 in cash per share of Common Stock. Company B reiterated to the Company that it would need to seek financing in order to fund such proposed acquisition.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20, 2023, the Transaction Committee met and was joined by representatives of Leerink Partners, who reviewed the proposals submitted by each of Company A and Company B (as revised).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met on June 29, 2023, and was joined by representatives of Leerink Partners and Covington. Dr. Brunn provided an update to the Board of Directors on the status of discussions with Company A and Company B. He and Blaine Davis, the Company’s Chief Financial Officer, also discussed assessed market conditions with respect to SEL-212 and its potential value for the Company. Leerink Partners provided the Board of Directors with an update on its outreach to other potentially interested parties and a comparison of the latest proposals received from each of Company A and Company B and the scenario in which the Company did not pursue either transaction. Matthew Bartholomae, the Company’s General Counsel and Secretary, together with representatives of Covington, presented to the Board of Directors on its fiduciary duties and related considerations in connection with a proposed acquisition of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30, 2023, following negotiations with the Company and its conducting of additional due diligence on the Company, Company A delivered a revised proposal for the acquisition of the Company, this time contemplating that the Company’s stockholders would receive the same cash payment as contemplated in its initial proposal, but revising the terms of the proposed contingent value right such that holders thereof would be entitled to a pro rata share of 95% of the milestone payment associated with a regulatory filing submission for SEL-212 and paid by Sobi to the Company, 90% of the other milestone payments associated with SEL-212 and paid by Sobi to the Company, 90% of any future royalties paid by Sobi to the Company in respect of SEL-212,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38" w:name="DSPFPageBreakArea25"/>
      <w:bookmarkStart w:id="139" w:name="DSPFPageBreakArea25"/>
      <w:bookmarkEnd w:id="13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40" w:name="DSPFPageBreak25"/>
      <w:bookmarkStart w:id="141" w:name="DSPFPageBreak25"/>
      <w:bookmarkEnd w:id="14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2" w:name="ny20014884x5_pre14a_109-transaction_pg3"/>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plus a $5 million payment upon receipt of the first $50 million in aggregate royalties from Sobi with respect to SEL-212, and 80% of any future proceeds relating to the sale, license or other transfer of any assets of the Company other than SEL-212. The revised proposal also contemplated that the contingent value right would remain in place for the duration of the “Royalty Term” specified under the Sobi License.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first half of July 2023, Company A and Company B each continued to conduct due diligence on the Company, and Covington prepared an initial draft of a merger agreement providing for a sale of the Company. Leerink Partners distributed such draft to representatives of each of Company A and Company B on July 18,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July 31, 2023, the Transaction Committee met to discuss the negotiations with Company A and Company B. At this meeting, representatives of Leerink Partners and Covington discussed with the Transaction Committee the structure proposed by Company A to capture potential future value generated by SEL-212 royalties and milestones and the remaining Company product pipeline.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2, 2023, Company B informed the Company that it had not been able to secure the necessary financing on terms satisfactory to it and that consequently it would not be moving forward with negotiations regarding its proposal to acquire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4, 2023, Company A informed the Company that in order to engage in a more meaningful review of the merger agreement and other ancillary documents and to conduct more detailed due diligence, and incur the costs associated with that process, Company A would require the Company to enter into an exclusivity agreement with Company 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5, 2023, the Board of Directors met to consider Company A’s request for exclusivity. At this meeting, Leerink Partners provided an overview of its outreach conducted up to that point and representatives of Covington reviewed with the Board of Directors its fiduciary duties in connection with a proposed sale of the Company and related considerations in connection with the entry into such an exclusivity agreement. In light of the extensive process conducted by the Company to date with the assistance of Leerink Partners, the Board of Directors approved the entry into an exclusivity agreement with Company A, pursuant to which Company A was granted the right to exclusively negotiate with the Company with respect to an acquisition of the Company for a period of 30 days. The exclusivity agreement was executed by the parties on the same day.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entry into the exclusivity agreement, the Company and Company A exchanged several drafts of a merger agreement and other ancillary documents (including an agreement pertaining to the terms of the proposed contingent value rights). The Transaction Committee and the Board of Directors met on numerous occasions during the first two weeks of August 2023, and at each of those meetings, representatives of Company’s management, Leerink Partners and Covington provided updates on negotiations with Company A and the overall transaction process. At a meeting of the Board of Directors held on August 10, 2023, Leerink Partners also reviewed with the Board of Directors the financial terms of the proposed transaction with Company A, and Covington advised the Board of Directors regarding its fiduciary duties in considering such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9, 2023, representatives of a third party, which we refer to as Company C, approached representatives of the Company to informally discuss a potential partnership, but the Company did not engage in any further discussions with Company C in light of its exclusivity obligations towards Company 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15, 2023, representatives of Company A contacted representatives of the Company and expressed concern regarding certain obligations of the Company, including with respect to uncertain contingent liabilities, and indicated that Company A would require an offsetting of such contingent liabilities against near-term payout triggers under the contingent value rights then under negotiation. Company A also indicated that it would require additional due diligence before it could move forward with negotiations of the terms of the potential transaction. Shortly thereafter the negotiations between Company A and the Company terminated, and on August 16, 2023, Company A and the Company executed a letter agreement terminating Company A’s exclusivity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16, August 25 and September 14, 2023, the Board of Directors met to discuss next steps in the process of seeking alternatives to maximize value to the Company’s stockholders. At each such meeting, the Company’s management updated the Board of Directors on, and the Board of Directors discussed, the latest actions and efforts undertaken in that regard, including in connection with the transfer of manufacturing of SEL-212 to Sobi and continuing to seek a strategic transaction. The Board of Directors also discussed potentially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3" w:name="DSPFPageBreakArea26"/>
      <w:bookmarkStart w:id="144" w:name="DSPFPageBreakArea26"/>
      <w:bookmarkEnd w:id="14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45" w:name="DSPFPageBreak26"/>
      <w:bookmarkStart w:id="146" w:name="DSPFPageBreak26"/>
      <w:bookmarkEnd w:id="14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7" w:name="ny20014884x5_pre14a_109-transaction_pg4"/>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winding down assets and activities of the Company not related to SEL-212, consistent with the Company’s announcement in August 2023 that it would pause development clinical and preclinical product candidates other than SEL-212 and Xork and seek collaboration partners for the assets in the development programs that were no longer being actively advanced.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Following such August 2023 announcement by the Company, representatives of Company C approached representatives of Company’s management on September 1, 2023, to discuss a potential strategic transaction involving a reverse merger whereby the Company would acquire Company C and issue shares to the stockholders of Company C, together with a contemplated concurrent financing. Following initial discussions with Company C, on September 12, 2023, the Company and Company C entered into a confidentiality agreement contemplating the mutual disclosure of non-public information in connection with a potential transaction. On September 13, 2023, Company C granted the Company access to its virtual data room.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September 14, 2023 meeting of the Board of Directors, Leerink Partners provided an illustrative overview of a potential reverse merger transaction with Company C and responded to questions from the Board of Directors. Dr. Brunn indicated that the Company would be having an introductory business development meeting with Company C to discuss and explore both parties’ interest in a potential transaction. After discussion, the Board of Directors directed management and Leerink Partners to continue discussions with Company 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18, 2023, representatives of the Company met with representatives of Company C to further discuss a potential reverse merger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20, 2023, and in light of the August 2023 announcement by the Company referred to above, Dr. Kalayoglu approached Dr. Brunn to propose that the parties meet to discuss and explore a potential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26, 2023, representatives of the Company once again met with representatives of Company C to discuss terms of a potential transaction. Thereafter, the Company and Company C did not further engage in any further discussions with respect to any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28, 2023, Dr. Kalayoglu called Dr. Brunn, and on that call Dr. Kalayoglu indicated that Old Cartesian was interested in exploring a potential transaction with the Company, and Dr. Brunn agreed to schedule a meeting to further discuss. On September 29, 2023, representatives of the respective management teams of the Company and Old Cartesian met and discussed their businesses. On October 1, 2023, Dr. Kalayoglu and Dr. Brunn held a call during which they had a preliminary discussion on terms for a potential strategic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6, 2023, at a meeting of the Transaction Committee attended by representatives of Company’s management, Leerink Partners and Covington, Dr. Brunn provided an update on the Company’s continued wind-down activities, and informed the Transaction Committee that the Company had recently come into contact with Old Cartesian regarding potential interest in a strategic transaction. The Leerink Partners team provided an overview of the potential opportunity, after which the Transaction Committee discussed and directed Company management to continue discussions with Old Cartesian and explore a potential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9, 2023, the Company received a non-binding indication of interest (the “Indication of Interest”) from Old Cartesian, which proposed, subject to the completion of due diligence and other customary conditions, that the Company acquire 100% of the equity interests of Old Cartesian in consideration for the issuance of Company stock to Old Cartesian stockholders, based on aggregate implied equity values of Old Cartesian and the Company of $206 million and $60 million, respectively. In connection with such acquisition, the Indication of Interest also contemplated that the Company would distribute the CVR to the Company’s stockholders representing potential future proceeds derived from certain assets of the Company. The Indication of Interest also provided that, in order to expedite the timeline on which the parties would execute the transaction, the closing of such acquisition would occur simultaneously with signing of the definitive transaction documents and in compliance with applicable Nasdaq rules.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10, 2023, the Transaction Committee held a meeting, attended by representatives of Company’s management, Leerink Partners and Covington, to discuss the terms of the Indication of Interest, including the implications of a transaction structured with a simultaneous signing and closing, the continuation of Old Cartesian’s existing therapeutic focus, a potential concurrent private investment in public equity (“PIPE”)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8" w:name="DSPFPageBreakArea27"/>
      <w:bookmarkStart w:id="149" w:name="DSPFPageBreakArea27"/>
      <w:bookmarkEnd w:id="14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50" w:name="DSPFPageBreak27"/>
      <w:bookmarkStart w:id="151" w:name="DSPFPageBreak27"/>
      <w:bookmarkEnd w:id="15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2" w:name="ny20014884x5_pre14a_109-transaction_pg5"/>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transaction, and management of the potential combined company. After discussion, the Transaction Committee directed Company management to proceed with negotiations with Old Cartesian and to seek improved valuation terms as compared to those set forth in the Indication of Interest.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13, 2023, at the direction of the Company, Leerink Partners prepared a counterproposal to the valuation contained in the initial Indication of Interest, which proposed an implied equity value of Old Cartesian and the Company of $165 million and $70 million,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14, 2023, the Board of Directors reviewed and further considered the Indication of Interest and unanimously determined that Company’s management should pursue and evaluate the transaction contemplated therein and execute the Indication of Interest, which at that point remained subject to further negotiation and modification.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15, 2023, a representative of Leerink Partners discussed the proposed valuation included in the initial Indication of Interest with Dr. Kalayoglu and Dr. Singer, the co-founders and then Chief Executive Officer and Chief Strategy Officer, respectively, of Old Cartesian. Following such discussion, the Company and Old Cartesian tentatively agreed to decrease the implied equity valuation of Old Cartesian to $190 million and increase the implied equity valuation of the Company to $70 million. Following discussions and based upon the revised valuation, Dr. Kalayoglu and Dr. Singer proposed to representatives of Leerink Partners that, to facilitate the negotiation of the proposed transaction, the parties should enter into a 30-day period of exclusive negotiations if they were able to execute a final Indication of Interest on mutually agreed terms. On the next day, Covington delivered to Foley Hoag LLP (“Foley”), Old Cartesian’s legal counsel, a revised Indication of Interest reflecting the foregoing discussions between the parties.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17, 2023, Foley delivered a further revised draft of the Indication of Interest to Covington reflecting certain additional revisions and refinements, including the 30-day exclusivity period previously proposed by Dr. Kalayoglu and Dr. Singer. On the same day, the final non-binding Indication of Interest was executed by the Company and Old Cartesian.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18, 2023, the parties and their respective advisors and counsel were provided access to the respective virtual data rooms of Old Cartesian and the Company, and began conducting due diligence.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20, 2023, the Transaction Committee held a meeting, attended by representatives of Company’s management, Leerink Partners and Covington to discuss next steps following execution of the Indication of Interest. Representatives from Covington provided the Transaction Committee with an overview of the more immediate work streams and related timing. The Transaction Committee also discussed the potential for completing a concurrent PIPE transaction in connection with the proposed business combination and the existing interest from potential investors. After discussion, the Transaction Committee instructed Company management and Leerink Partners to continue to approach potential investors to gauge interest in a PIPE financing. Dr. Brunn then provided an update on the Company’s wind-down activities of its legacy assets.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Later on October 20, 2023, Covington delivered an initial draft of the Merger Agreement to Foley.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21, 2023, representatives of the Company and Old Cartesian discussed amending, and agreed to amend, the Indication of Interest to allow the Company to engage in discussions and negotiations with third parties with respect to the Company’s product pipeline assets during the exclusivity period, subject to certain conditions. On October 22, 2023, Covington delivered to Foley a draft of an amendment to the Indication of Interest reflecting such terms, and such amendment was executed by both parties later that day.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29, 2023, Covington delivered an initial draft of the Securities Purchase Agreement to Foley and to counsels for the prospective investors in the Financing.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Between October 20, 2023 and November 11, 2023, the parties continued to negotiate the Merger Agreement and other ancillary documents, and exchanged various drafts of such documents and conducted various conference calls to negotiate and finalize pending issues, including drafts of the CVR Agreement, the Support Agreements, the Securities Purchase Agreement, the Certificate of Designation and the form of Lock-Up Agreement. During such period, the parties negotiated the terms of the transaction in detail, including a right of Dr. Kalayoglu’s related parties to appoint a member of the Board of Directors for as long as they hold at least 15% of the then-outstanding shares of Common Stock (assuming for such purposes the conversion into Common Stock of any Series A Preferred Stock held by such stockholder) and several requirements and terms applicable to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53" w:name="DSPFPageBreakArea28"/>
      <w:bookmarkStart w:id="154" w:name="DSPFPageBreakArea28"/>
      <w:bookmarkEnd w:id="15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55" w:name="DSPFPageBreak28"/>
      <w:bookmarkStart w:id="156" w:name="DSPFPageBreak28"/>
      <w:bookmarkEnd w:id="1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7" w:name="ny20014884x5_pre14a_109-transaction_pg6"/>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appointment right; the terms applicable to the Series A Preferred Stock, including the mechanics for its conversion into Common Stock (including the applicability of a beneficial ownership limitation whereby a holder of Series A Preferred Stock cannot hold more than 19.9% of the Common Stock as a result of such conversion) and the terms applicable to its redemption; and the economic terms of the CVR, including the amounts that would be deducted from any future proceeds received by the Company before distribution thereof to holders of the CVRs. In addition, the Company and Old Cartesian worked with Leerink Partners, in the role of placement agent for the Company, to identify investors for the Financing, to be consummated in connection with the signing of the Merger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30, 2023, following discussions between the Company and Old Cartesian, the Company engaged Leerink Partners to act as placement agent for the Company in connection with the Financing.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8, 2023, at a meeting duly called and held, and attended by representatives of Company’s management, Leerink Partners and Covington, the Board of Directors was provided with an overview of the proposed transaction and the concurrent Financing. Covington discussed the overall structure of the transaction and key provisions under the Merger Agreement and CVR Agreement and Leerink Partners then reviewed with the Board of Directors a preliminary financial analysis with respect to the proposed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10, 2023, at a meeting duly called and held, and attended by representatives of Company’s management, Leerink Partners and Covington, the Board of Directors was provided an update on the negotiations of the transaction and the concurrent Financing. As of the time of this meeting, the parties were proceeding to finalize the Merger Agreement and related transaction documents on the basis of aggregate implied equity values of the Company and Old Cartesian of $70 million and $190 million, respectively, and assuming the Financing would be consummated on the basis of this valuation. At that time, the Board of Directors was aware that negotiations in connection with the Financing remained ongoing and that those negotiations could potentially impact the final terms of the proposed transaction. At the request of the Board of Directors, Leerink Partners presented its financial analysis with respect to the proposed transaction and Covington discussed several features of the proposed transaction documents and the structure of the transaction. Thereafter, at the request of the Board of Directors, Leerink Partners rendered to the Board of Directors its oral opinion that, as of such date and based upon and subject to the various assumptions made, and the qualifications and limitations upon the review undertaken by Leerink Partners in preparing its opinion, the exchange ratio proposed to be paid by the Company pursuant to the terms of the proposed Merger Agreement was fair, from a financial point of view, to the Company. At such meeting, the Board of Directors unanimously adopted resolutions, based on the valuations of the aggregate implied equity values of the Company and Old Cartesian of $70 million and $190 million, respectively, and assuming the Financing would be consummated on the basis of this valuation, (i) determining that the then-proposed Merger Agreement and the transactions contemplated thereby, including the Merger Consideration then-contemplated by the proposed Merger Agreement and the Mergers, were fair to, and in the best interests of, the Company and its stockholders, and approving, declaring advisable and adopting the then-proposed Merger Agreement and the transactions contemplated thereby, including the Merger Consideration and the Mergers contemplated by the then-proposed Merger Agreement, (ii) determining that the CVR Agreement, the Support Agreements and the transactions contemplated thereby were fair to, and in the best interests of, the Company’s stockholders, and approving and declaring advisable the CVR Agreement, the Support Agreements and the transactions contemplated thereby, (iii) approving distribution of the CVR pursuant to the CVR Agreement and (iv) approving the Financing should the then-understood terms become the final terms. Dr. Springer recused himself from the Board of Directors meeting during (and did not participate in) the discussions pertaining to the terms of the Financing.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Following the Board of Directors meeting held on November 10, 2023, as negotiations continued with respect to the Financing and an agreement with potential Financing investors with respect to valuations of the Company and Old Cartesian remained to be finalized, the potential investors in the Financing stated that they were not prepared to proceed with an investment based on the proposed valuations of the Company and Old Cartesian of $70 million and $190 million, respectively. Following further negotiations, on November 11, 2023, the Company, Old Cartesian and the prospective investors in the Financing agreed to revise the implied equity valuations for the Company and Old Cartesian, to be $62.6 million and $170 million, respectively (the “Final Valuation”). The Final Valuation had a </w:t>
      </w:r>
      <w:r>
        <w:rPr>
          <w:rFonts w:ascii="Times New Roman;Times;serif" w:hAnsi="Times New Roman;Times;serif"/>
          <w:i/>
          <w:color w:val="000000"/>
          <w:sz w:val="20"/>
        </w:rPr>
        <w:t>de minimis</w:t>
      </w:r>
      <w:r>
        <w:rPr>
          <w:rFonts w:ascii="Times New Roman;Times;serif" w:hAnsi="Times New Roman;Times;serif"/>
          <w:color w:val="000000"/>
          <w:sz w:val="20"/>
        </w:rPr>
        <w:t xml:space="preserve"> impact on the exchange ratio applicable to the shares payable by the Company in the proposed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58" w:name="DSPFPageBreakArea29"/>
      <w:bookmarkStart w:id="159" w:name="DSPFPageBreakArea29"/>
      <w:bookmarkEnd w:id="15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0" w:name="DSPFPageBreak29"/>
      <w:bookmarkStart w:id="161" w:name="DSPFPageBreak29"/>
      <w:bookmarkEnd w:id="16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2" w:name="ny20014884x5_pre14a_109-transaction_pg7"/>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meeting of the Board of Directors was duly called and held on November 11, 2023, in order to consider the Final Valuation. That meeting was also attended by representatives of Covington and Leerink Partners. At that meeting, Leerink Partners presented a revised financial analysis of the proposed transaction, which had been updated to reflect the Final Valuation. Thereafter, at the request of the Board of Directors, Leerink Partners rendered to the Board of Directors its oral opinion which was subsequently confirmed by delivery of a written opinion dated November 11, 2023, that, as of such date and based upon and subject to the various assumptions made, and the qualifications and limitations upon the review undertaken by Leerink Partners in preparing its opinion, the exchange ratio proposed to be paid by the Company pursuant to the terms of the Merger Agreement was fair, from a financial point of view, to the Company. The Board of Directors unanimously adopted resolutions ratifying and updating the resolutions that had been approved by the Board of Directors on November 10, 2023, on the basis of the Final Valuation. Once again, Dr. Springer recused himself from the Board of Directors meeting during (and did not participate in) the discussions pertaining to the terms of the Financing.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the revised terms approved by the Board of Directors, the related terms contained in the Merger Agreement, the Securities Purchase Agreement, and other transaction documents approved therewith were updated in accordance with the Final Valuation, as applicable.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November 11, 2023 and November 12, 2023, Covington and Foley further exchanged drafts of the Merger Agreement, Securities Purchase Agreement and other ancillary documents, and agreed on the respective definitive versions for execution.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Early in the morning of November 13, 2023, the Company, Old Cartesian and the other applicable parties thereto executed the Merger Agreement, the Securities Purchase Agreement with respect to the Financing and other related transaction documents, and promptly thereafter the parties caused the Certificates of Merger to be filed with the Delaware Secretary of State, upon which the Mergers were consummated and became effective. Promptly thereafter, the Company and Old Cartesian issued a joint press release announcing the execution of the Merger Agreement and the consummation of the Mergers. The initial closing with respect to the Financing occurred on November 15, 2023. Subsequent closings with respect to the Financing occurred on December 13, 2023 and January 12,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63" w:name="DSPFPageBreakArea30"/>
      <w:bookmarkStart w:id="164" w:name="DSPFPageBreakArea30"/>
      <w:bookmarkEnd w:id="16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5" w:name="DSPFPageBreak30"/>
      <w:bookmarkStart w:id="166" w:name="DSPFPageBreak30"/>
      <w:bookmarkEnd w:id="16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7" w:name="ny20014884x5_pre14a_110-directors_pg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8" w:name="tBOD"/>
      <w:bookmarkEnd w:id="168"/>
      <w:r>
        <w:rPr>
          <w:rFonts w:ascii="Times New Roman;Times;serif" w:hAnsi="Times New Roman;Times;serif"/>
          <w:b/>
          <w:color w:val="000000"/>
          <w:sz w:val="20"/>
        </w:rPr>
        <w:t xml:space="preserve">THE BOARD OF DIRECTORS’ REASONS FOR APPROVAL OF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approving the Transactions, the Board of Directors considered a wide range of factors, including those discussed below, and the Board of Directors compared the Transactions to other alternatives, including continuing to focus our resources on the Company’s legacy research and development pipeline, continuing to operate as a standalone entity entitled to royalty payments from Sobi in connection with the potential commercialization of SEL-212 and other potential business development opportunities reviewed by the Board of Directors and the opportunities and risks presented with the Transactions. Based on these considerations and analyses, including the reasons and factors discussed below, the Board of Directors concluded that entering into the Merger Agreement and consummating the Transactions would yield the highest value reasonably available for our stockholders and would be fair to, and in the best interests of, the Company and our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particular, the Board of Directors took into account the following reasons, facts and circumstances in approving the Transactions: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Available Alternatives. </w:t>
            </w:r>
            <w:r>
              <w:rPr>
                <w:rFonts w:ascii="Times New Roman;Times;serif" w:hAnsi="Times New Roman;Times;serif"/>
                <w:color w:val="000000"/>
                <w:sz w:val="20"/>
              </w:rPr>
              <w:t xml:space="preserve">The process run by Leerink Partners to seek other potential transactions (including potential financings, royalty monetization, license or collaborations, and alternative acquisitions by another buyer) that could transfer the value associated with the Company’s legacy assets to the Company’s legacy stockholders and the Company’s consideration of such alternative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Value to Company Equityholders.</w:t>
            </w:r>
            <w:r>
              <w:rPr>
                <w:rFonts w:ascii="Times New Roman;Times;serif" w:hAnsi="Times New Roman;Times;serif"/>
                <w:color w:val="000000"/>
                <w:sz w:val="20"/>
              </w:rPr>
              <w:t xml:space="preserve"> The valuation of the Company implied by the Merger, the ownership of the legacy Company stockholders of the pro forma company, and the liquidity retained by Company stockholders through continuing holding shares of Common Stock, which will remain listed and publicly traded on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CVR Payments. </w:t>
            </w:r>
            <w:r>
              <w:rPr>
                <w:rFonts w:ascii="Times New Roman;Times;serif" w:hAnsi="Times New Roman;Times;serif"/>
                <w:color w:val="000000"/>
                <w:sz w:val="20"/>
              </w:rPr>
              <w:t xml:space="preserve">The ability of the legacy Company stockholders to continue to participate in the potential future income streams associated with SEL-212 and the Company’s other legacy development pipeline through receiving the CVR (subject to deduction of, among other items, certain legacy liabilities of the Company, taxes and transaction expenses related to the CVR) following the consummation of the Merger, and the transferability of such CVR.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Opinion of Leerink.</w:t>
            </w:r>
            <w:r>
              <w:rPr>
                <w:rFonts w:ascii="Times New Roman;Times;serif" w:hAnsi="Times New Roman;Times;serif"/>
                <w:color w:val="000000"/>
                <w:sz w:val="20"/>
              </w:rPr>
              <w:t xml:space="preserve"> The opinion of Leerink Partners, the financial advisor of the Company, as to the fairness to the Company, from a financial point of view, of the exchange ratio applied in the Merger (that is, the amount of Common Stock to be issued to Old Cartesian stockholders in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PIPE Financing</w:t>
            </w:r>
            <w:r>
              <w:rPr>
                <w:rFonts w:ascii="Times New Roman;Times;serif" w:hAnsi="Times New Roman;Times;serif"/>
                <w:color w:val="000000"/>
                <w:sz w:val="20"/>
              </w:rPr>
              <w:t xml:space="preserve">. The additional capital from the Financing (which was conditioned on consummation of the Merger) that could be used to further capitalize the combined Company and fund its future operations, including through certain key inflection points such as the completion of Phase 2b clinical studies for Old Cartesian’s Descartes-08 product candidate.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Certainty of Closing.</w:t>
            </w:r>
            <w:r>
              <w:rPr>
                <w:rFonts w:ascii="Times New Roman;Times;serif" w:hAnsi="Times New Roman;Times;serif"/>
                <w:color w:val="000000"/>
                <w:sz w:val="20"/>
              </w:rPr>
              <w:t xml:space="preserve"> The fact that pursuant to the terms of the Merger Agreement, the Merger was to be consummated immediately following the execution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Simultaneous Signing and Closing.</w:t>
            </w:r>
            <w:r>
              <w:rPr>
                <w:rFonts w:ascii="Times New Roman;Times;serif" w:hAnsi="Times New Roman;Times;serif"/>
                <w:color w:val="000000"/>
                <w:sz w:val="20"/>
              </w:rPr>
              <w:t xml:space="preserve"> The structure of the Transactions whereby the Closing and the effectiveness of the Merger were to occur immediately following the execution of the Merger Agreement, as opposed to a structure in which the satisfaction of certain closing conditions could result in a delayed closing. A delayed closing would have required the Company to incur cash expenditures during such period, reducing the cash balance of the Company at the closing and therefore reducing the relative value of the Company as compared to Old Cartesian in the Transactions, which would thereby reduce the legacy Company stockholders’ proportionate ownership in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Old Cartesian’s Business and Prospects</w:t>
            </w:r>
            <w:r>
              <w:rPr>
                <w:rFonts w:ascii="Times New Roman;Times;serif" w:hAnsi="Times New Roman;Times;serif"/>
                <w:color w:val="000000"/>
                <w:sz w:val="20"/>
              </w:rPr>
              <w:t xml:space="preserve">. The business, operations, assets, business strategy, and prospects of Old Cartesian, taking into account the discussions with the Company’s management and Leerink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Continuity of Company Senior Management</w:t>
            </w:r>
            <w:r>
              <w:rPr>
                <w:rFonts w:ascii="Times New Roman;Times;serif" w:hAnsi="Times New Roman;Times;serif"/>
                <w:color w:val="000000"/>
                <w:sz w:val="20"/>
              </w:rPr>
              <w:t xml:space="preserve">. The confidence the Board had in the operations of the combined company due to the fact that the Company’s seasoned, public company chief executive officer and chief financial officer would both remain in these roles for the combined public company going forward.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69" w:name="DSPFPageBreakArea31"/>
      <w:bookmarkStart w:id="170" w:name="DSPFPageBreakArea31"/>
      <w:bookmarkEnd w:id="17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71" w:name="DSPFPageBreak31"/>
      <w:bookmarkStart w:id="172" w:name="DSPFPageBreak31"/>
      <w:bookmarkEnd w:id="17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3" w:name="ny20014884x5_pre14a_110-directors_pg2"/>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Current and Future Financing Needs of the Company</w:t>
            </w:r>
            <w:r>
              <w:rPr>
                <w:rFonts w:ascii="Times New Roman;Times;serif" w:hAnsi="Times New Roman;Times;serif"/>
                <w:color w:val="000000"/>
                <w:sz w:val="20"/>
              </w:rPr>
              <w:t xml:space="preserve">. The Company’s substantial financing needs to further the development and commercialization of the Company’s legacy product candidates, for which the Company would have been reliant upon finding and negotiating partnership arrangements or raising financing, both of which were expected to have come with substantial uncertainty of success in addition to the likelihood that such financing may have had a substantial dilutive effect to the existing stockholders of the Company, may only have been available on unfavorable terms, or may not have been available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The Company’s Historical Difficulties in Raising Funds</w:t>
            </w:r>
            <w:r>
              <w:rPr>
                <w:rFonts w:ascii="Times New Roman;Times;serif" w:hAnsi="Times New Roman;Times;serif"/>
                <w:color w:val="000000"/>
                <w:sz w:val="20"/>
              </w:rPr>
              <w:t xml:space="preserve">. The Company’s considerable difficulty in raising funds prior to the Merger, including after receipt of topline results from the Phase 3 DISSOLVE I and II clinical trials, which cast doubt on its ability to raise adequate funds in the future.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Arms’-length Negotiations with Cartesian</w:t>
            </w:r>
            <w:r>
              <w:rPr>
                <w:rFonts w:ascii="Times New Roman;Times;serif" w:hAnsi="Times New Roman;Times;serif"/>
                <w:color w:val="000000"/>
                <w:sz w:val="20"/>
              </w:rPr>
              <w:t xml:space="preserve">. The Merger Agreement and the CVR Agreement were the product of extensive arms’-length negotiations with the assistance of experienced legal and financial advisors, and reflected the belief of the Board of Directors that the valuation ascribed to the Company following the Merger and the resulting ownership of the legacy Company stockholders of the pro forma company, is fair to and in the best interests of the Company and its legacy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Opinion of Leerink Partners.</w:t>
            </w:r>
            <w:r>
              <w:rPr>
                <w:rFonts w:ascii="Times New Roman;Times;serif" w:hAnsi="Times New Roman;Times;serif"/>
                <w:color w:val="000000"/>
                <w:sz w:val="20"/>
              </w:rPr>
              <w:t xml:space="preserve"> The opinion of Leerink Partners, rendered orally to the Board of Directors on November 10, 2023 (and subsequently confirmed in writing by delivery of Leerink Partners’ written opinion, dated November 11, 2023) that, as of such date and based upon and subject to the various assumptions made, and the qualifications and limitations upon the review undertaken by Leerink Partners in preparing its opinion, the exchange ratio proposed to be paid by the Company pursuant to the terms of the Merger Agreement was fair, from a financial point of view, to the Company, as more fully described below in the section titled “</w:t>
            </w:r>
            <w:r>
              <w:rPr>
                <w:rFonts w:ascii="Times New Roman;Times;serif" w:hAnsi="Times New Roman;Times;serif"/>
                <w:i/>
                <w:color w:val="000000"/>
                <w:sz w:val="20"/>
              </w:rPr>
              <w:t>The Merger—Opinion of Leerink Partners LLC</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Fully Informed Board of Directors</w:t>
            </w:r>
            <w:r>
              <w:rPr>
                <w:rFonts w:ascii="Times New Roman;Times;serif" w:hAnsi="Times New Roman;Times;serif"/>
                <w:color w:val="000000"/>
                <w:sz w:val="20"/>
              </w:rPr>
              <w:t xml:space="preserve">. The involvement of the Board of Directors and its committees during the negotiation of the Merger Agreement, the Securities Purchase Agreement, and the CVR Agreement and their belief that they were fully informed about the key terms and conditions thereof and all factors thereunder that may impact the financial terms in the Transactions. In this regard, the Board of Directors considered the fact that Leerink Partners acted as placement agent for the Company in connection with the Financing, and concluded that, in light of Leerink Partners’ familiarity with each of the Company and Old Cartesian and its experience and expertise in financing transactions of this type, it was in the best interests of the Company for Leerink Partners to serve as placement agent for the Financing in addition to its role as financial advisor.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Uncertainties Regarding Stand-alone Plan.</w:t>
            </w:r>
            <w:r>
              <w:rPr>
                <w:rFonts w:ascii="Times New Roman;Times;serif" w:hAnsi="Times New Roman;Times;serif"/>
                <w:color w:val="000000"/>
                <w:sz w:val="20"/>
              </w:rPr>
              <w:t xml:space="preserve"> The risk that prolonging the transaction search process further could result in the loss of the opportunity to consummate the Transactions with Old Cartesian. Given the lack of other desirable alternative transactions, the Company may not have otherwise had a viable path forward for developing its legacy pipeline assets or operating on a standalone basis as a collector of potential royalties from SEL-212, and in each case being able to transfer value to the Company’s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Effect of Potential Redemption of the Series A Preferred Stock Due to Failure to Consummate the Conversion</w:t>
            </w:r>
            <w:r>
              <w:rPr>
                <w:rFonts w:ascii="Times New Roman;Times;serif" w:hAnsi="Times New Roman;Times;serif"/>
                <w:color w:val="000000"/>
                <w:sz w:val="20"/>
              </w:rPr>
              <w:t xml:space="preserve">. The risk that a holder of Series A Preferred Stock issued in connection with the Merger may elect to require the Company to redeem such holder’s shares of Series A Preferred Stock for cash if the Company’s stockholders fail to vote to approve the conversion of the Series A Preferred Stock into Common Stock within 18 months following the consummation of the Merger. If such failure occurs and all or a significant portion of holders of Series A Preferred Stock exercise such optional redemption right, the Company could be required to use a significant amount of its cash resources on hand to satisfy such redemption obligation, which could materially limit the amount of cash that the Company would have available to fund its operations and result in a need to raise additional capital to satisfy the redemption obligation.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Litigation</w:t>
            </w:r>
            <w:r>
              <w:rPr>
                <w:rFonts w:ascii="Times New Roman;Times;serif" w:hAnsi="Times New Roman;Times;serif"/>
                <w:color w:val="000000"/>
                <w:sz w:val="20"/>
              </w:rPr>
              <w:t xml:space="preserve">. The risk of stockholder lawsuits against the Company or the Board of Directors in connection with the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74" w:name="DSPFPageBreakArea32"/>
      <w:bookmarkStart w:id="175" w:name="DSPFPageBreakArea32"/>
      <w:bookmarkEnd w:id="17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76" w:name="DSPFPageBreak32"/>
      <w:bookmarkStart w:id="177" w:name="DSPFPageBreak32"/>
      <w:bookmarkEnd w:id="17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8" w:name="ny20014884x5_pre14a_111-comparison_pg1"/>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9" w:name="tCOR"/>
      <w:bookmarkEnd w:id="179"/>
      <w:r>
        <w:rPr>
          <w:rFonts w:ascii="Times New Roman;Times;serif" w:hAnsi="Times New Roman;Times;serif"/>
          <w:b/>
          <w:color w:val="000000"/>
          <w:sz w:val="20"/>
        </w:rPr>
        <w:t xml:space="preserve">COMPARISON OF RIGHTS OF OLD CARTESIAN STOCKHOLDERS AND COMPANY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Old Cartesian was, and the Company is, organized under the laws of the state of Delaware. The rights of the former holders of common stock of Old Cartesian holding the Common Stock to be converted from the Company’s non-voting Series A Convertible Preferred Stock will continue to be governed by the DGCL, but will also be governed by the provisions in the Current Charter and the Bylaws that apply with respect to such Common Stock. These documents are in some respects different than the terms of Old Cartesian’s Fifth Amended and Restated Certificate of Incorporation, dated as of December 12, 2022 (the “Old Cartesian Certificate of Incorporation”) and Old Cartesian’s Bylaws (the “Old Cartesian Bylaws”).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 forth below is a summary comparison of the material differences between the rights of the holders of common stock of Old Cartesian under the Old Cartesian Certificate of Incorporation and the Old Cartesian Bylaws (left column) and the rights of holders of Common Stock under the Current Charter and the Bylaws (right column). The following summary is not a complete statement of the rights of the stockholders of either Old Cartesian or the Company, or a complete description of the specific provisions referred to below. This summary is qualified in its entirety by reference to the DGCL and each of Old Cartesian’s and the Company’s constituent documents. The Company has retained copies of its and of Old Cartesian’s former constituent documents and will send copies of these documents to you, without charge, upon your request. For additional information, please see the section entitled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w:t>
      </w:r>
    </w:p>
    <w:tbl>
      <w:tblPr>
        <w:tblW w:w="10205" w:type="dxa"/>
        <w:jc w:val="left"/>
        <w:tblInd w:w="0" w:type="dxa"/>
        <w:tblLayout w:type="fixed"/>
        <w:tblCellMar>
          <w:top w:w="0" w:type="dxa"/>
          <w:left w:w="0" w:type="dxa"/>
          <w:bottom w:w="65" w:type="dxa"/>
          <w:right w:w="0" w:type="dxa"/>
        </w:tblCellMar>
      </w:tblPr>
      <w:tblGrid>
        <w:gridCol w:w="4479"/>
        <w:gridCol w:w="23"/>
        <w:gridCol w:w="23"/>
        <w:gridCol w:w="5680"/>
      </w:tblGrid>
      <w:tr>
        <w:trPr/>
        <w:tc>
          <w:tcPr>
            <w:tcW w:w="4479"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6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ORGANIZATIONAL DOCUMENTS</w:t>
            </w:r>
          </w:p>
        </w:tc>
      </w:tr>
      <w:tr>
        <w:trPr/>
        <w:tc>
          <w:tcPr>
            <w:tcW w:w="44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0"/>
              <w:jc w:val="left"/>
              <w:rPr>
                <w:color w:val="000000"/>
              </w:rPr>
            </w:pPr>
            <w:r>
              <w:rPr>
                <w:color w:val="000000"/>
              </w:rPr>
              <w:t> </w:t>
            </w:r>
          </w:p>
        </w:tc>
      </w:tr>
      <w:tr>
        <w:trPr/>
        <w:tc>
          <w:tcPr>
            <w:tcW w:w="447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rights of Old Cartesian stockholders were governed by the Old Cartesian Certificate of Incorporation, the Old Cartesian Bylaws and the DGCL.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rights of Company stockholders are currently governed by the Current Charter, Bylaws and the DGCL.</w:t>
            </w:r>
          </w:p>
        </w:tc>
      </w:tr>
      <w:tr>
        <w:trPr/>
        <w:tc>
          <w:tcPr>
            <w:tcW w:w="44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AUTHORIZED CAPITAL STOCK</w:t>
            </w:r>
          </w:p>
        </w:tc>
      </w:tr>
      <w:tr>
        <w:trPr/>
        <w:tc>
          <w:tcPr>
            <w:tcW w:w="44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0"/>
              <w:jc w:val="left"/>
              <w:rPr>
                <w:color w:val="000000"/>
              </w:rPr>
            </w:pPr>
            <w:r>
              <w:rPr>
                <w:color w:val="000000"/>
              </w:rPr>
              <w:t> </w:t>
            </w:r>
          </w:p>
        </w:tc>
      </w:tr>
      <w:tr>
        <w:trPr/>
        <w:tc>
          <w:tcPr>
            <w:tcW w:w="447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total authorized capital stock that Old Cartesian had the authority to issue was (a) 3,200 shares of common stock, $0.01 par value per share and (b) 602 shares of preferred stock, $0.01 par value per share.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total authorized capital stock that the Company has the authority to issue is 360,000,000 shares, consisting of (a) 350,000,000 shares of Common Stock, $0.0001 par value per share, and (b) 10,000,000 shares of preferred stock, $0.0001 par value per share. </w:t>
            </w:r>
          </w:p>
        </w:tc>
      </w:tr>
      <w:tr>
        <w:trPr/>
        <w:tc>
          <w:tcPr>
            <w:tcW w:w="44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COMMON STOCK</w:t>
            </w:r>
          </w:p>
        </w:tc>
      </w:tr>
      <w:tr>
        <w:trPr/>
        <w:tc>
          <w:tcPr>
            <w:tcW w:w="44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0"/>
              <w:jc w:val="left"/>
              <w:rPr>
                <w:color w:val="000000"/>
              </w:rPr>
            </w:pPr>
            <w:r>
              <w:rPr>
                <w:color w:val="000000"/>
              </w:rPr>
              <w:t> </w:t>
            </w:r>
          </w:p>
        </w:tc>
      </w:tr>
      <w:tr>
        <w:trPr/>
        <w:tc>
          <w:tcPr>
            <w:tcW w:w="447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common stock of Old Cartesian was not divided into any class.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Common Stock is not divided into any class.</w:t>
            </w:r>
          </w:p>
        </w:tc>
      </w:tr>
      <w:tr>
        <w:trPr/>
        <w:tc>
          <w:tcPr>
            <w:tcW w:w="44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0"/>
              <w:jc w:val="left"/>
              <w:rPr>
                <w:color w:val="000000"/>
              </w:rPr>
            </w:pPr>
            <w:r>
              <w:rPr>
                <w:color w:val="000000"/>
              </w:rPr>
              <w:t> </w:t>
            </w:r>
          </w:p>
        </w:tc>
      </w:tr>
      <w:tr>
        <w:trPr/>
        <w:tc>
          <w:tcPr>
            <w:tcW w:w="4479"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Voting</w:t>
            </w:r>
            <w:r>
              <w:rPr>
                <w:rFonts w:ascii="Times New Roman;Times;serif" w:hAnsi="Times New Roman;Times;serif"/>
                <w:i w:val="false"/>
                <w:caps w:val="false"/>
                <w:smallCaps w:val="false"/>
                <w:color w:val="000000"/>
                <w:sz w:val="20"/>
              </w:rPr>
              <w:t>. Each holder of a share of Old Cartesian common stock was entitled to one vote to per share of common stock held at meetings of stockholders. Each holder of Old Cartesian common stock was not entitled to vote on any amendment to the Old Cartesian Certificate of Incorporation that related solely to the terms of or one or more outstanding series of Old Cartesian preferred stock.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Voting</w:t>
            </w:r>
            <w:r>
              <w:rPr>
                <w:rFonts w:ascii="Times New Roman;Times;serif" w:hAnsi="Times New Roman;Times;serif"/>
                <w:i w:val="false"/>
                <w:caps w:val="false"/>
                <w:smallCaps w:val="false"/>
                <w:color w:val="000000"/>
                <w:sz w:val="20"/>
              </w:rPr>
              <w:t>. Each holder of a share of Common Stock has voting rights at all meetings of the stockholders and is entitled to one vote for each share of Common Stock held by such holder. Except as otherwise required by law, each holder of Common Stock is not entitled to vote on any amendment to the Current Charter that relates solely to the terms of or one or more outstanding series of Company preferred stock if the holders of such affected series are entitled to vote thereon pursuant to the Current Charter or the DGCL.</w:t>
            </w:r>
          </w:p>
        </w:tc>
      </w:tr>
      <w:tr>
        <w:trPr/>
        <w:tc>
          <w:tcPr>
            <w:tcW w:w="44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0"/>
              <w:jc w:val="left"/>
              <w:rPr>
                <w:color w:val="000000"/>
              </w:rPr>
            </w:pPr>
            <w:r>
              <w:rPr>
                <w:color w:val="000000"/>
              </w:rPr>
              <w:t> </w:t>
            </w:r>
          </w:p>
        </w:tc>
      </w:tr>
      <w:tr>
        <w:trPr/>
        <w:tc>
          <w:tcPr>
            <w:tcW w:w="4479"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Authorized Shares</w:t>
            </w:r>
            <w:r>
              <w:rPr>
                <w:rFonts w:ascii="Times New Roman;Times;serif" w:hAnsi="Times New Roman;Times;serif"/>
                <w:i w:val="false"/>
                <w:caps w:val="false"/>
                <w:smallCaps w:val="false"/>
                <w:color w:val="000000"/>
                <w:sz w:val="20"/>
              </w:rPr>
              <w:t>. The number of authorized shares of common stock could be increased or decreased by the affirmative vote of the holders of shares of Old Cartesian capital stock representing a majority of the votes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80"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Authorized Shares</w:t>
            </w:r>
            <w:r>
              <w:rPr>
                <w:rFonts w:ascii="Times New Roman;Times;serif" w:hAnsi="Times New Roman;Times;serif"/>
                <w:i w:val="false"/>
                <w:caps w:val="false"/>
                <w:smallCaps w:val="false"/>
                <w:color w:val="000000"/>
                <w:sz w:val="20"/>
              </w:rPr>
              <w:t>. The number of authorized shares of Common Stock may be increased or decreased by the affirmative vote of a majority of Company capital stock entitled to vote.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80" w:name="DSPFPageBreakArea33"/>
      <w:bookmarkStart w:id="181" w:name="DSPFPageBreakArea33"/>
      <w:bookmarkEnd w:id="18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82" w:name="DSPFPageBreak33"/>
      <w:bookmarkStart w:id="183" w:name="DSPFPageBreak33"/>
      <w:bookmarkEnd w:id="18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4" w:name="ny20014884x5_pre14a_111-comparison_pg2"/>
        <w:bookmarkEnd w:id="18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5489"/>
        <w:gridCol w:w="23"/>
        <w:gridCol w:w="23"/>
        <w:gridCol w:w="4670"/>
      </w:tblGrid>
      <w:tr>
        <w:trPr/>
        <w:tc>
          <w:tcPr>
            <w:tcW w:w="5489"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67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548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represented by all outstanding shares of Cartesian capital stock entitled to vote.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0"/>
              <w:jc w:val="left"/>
              <w:rPr>
                <w:color w:val="000000"/>
              </w:rPr>
            </w:pPr>
            <w:r>
              <w:rPr>
                <w:color w:val="000000"/>
              </w:rPr>
              <w:t> </w:t>
            </w:r>
          </w:p>
        </w:tc>
      </w:tr>
      <w:tr>
        <w:trPr/>
        <w:tc>
          <w:tcPr>
            <w:tcW w:w="548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0"/>
              <w:jc w:val="left"/>
              <w:rPr>
                <w:color w:val="000000"/>
              </w:rPr>
            </w:pPr>
            <w:r>
              <w:rPr>
                <w:color w:val="000000"/>
              </w:rPr>
              <w:t> </w:t>
            </w:r>
          </w:p>
        </w:tc>
      </w:tr>
      <w:tr>
        <w:trPr/>
        <w:tc>
          <w:tcPr>
            <w:tcW w:w="5489"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Dividends</w:t>
            </w:r>
            <w:r>
              <w:rPr>
                <w:rFonts w:ascii="Times New Roman;Times;serif" w:hAnsi="Times New Roman;Times;serif"/>
                <w:i w:val="false"/>
                <w:caps w:val="false"/>
                <w:smallCaps w:val="false"/>
                <w:color w:val="000000"/>
                <w:sz w:val="20"/>
              </w:rPr>
              <w:t>. Old Cartesian could not declare, pay or set aside any dividends on shares of any other class or series of capital stock unless the holders of Old Cartesian preferred stock then outstanding first received, or simultaneously received, certain dividends on each of the outstanding shares within a series of Old Cartesian preferred stock, as specified in the Old Cartesian Certificate of Incorporation for such series of preferred stock.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Dividends</w:t>
            </w:r>
            <w:r>
              <w:rPr>
                <w:rFonts w:ascii="Times New Roman;Times;serif" w:hAnsi="Times New Roman;Times;serif"/>
                <w:i w:val="false"/>
                <w:caps w:val="false"/>
                <w:smallCaps w:val="false"/>
                <w:color w:val="000000"/>
                <w:sz w:val="20"/>
              </w:rPr>
              <w:t>. Subject to applicable law and any preferential dividend or other rights of any then outstanding preferred stock of the Company, dividends may be declared or paid to holders of Common Stock if, as and when determined by the Board of Directors.</w:t>
            </w:r>
          </w:p>
        </w:tc>
      </w:tr>
      <w:tr>
        <w:trPr/>
        <w:tc>
          <w:tcPr>
            <w:tcW w:w="548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0"/>
              <w:jc w:val="left"/>
              <w:rPr>
                <w:color w:val="000000"/>
              </w:rPr>
            </w:pPr>
            <w:r>
              <w:rPr>
                <w:color w:val="000000"/>
              </w:rPr>
              <w:t> </w:t>
            </w:r>
          </w:p>
        </w:tc>
      </w:tr>
      <w:tr>
        <w:trPr/>
        <w:tc>
          <w:tcPr>
            <w:tcW w:w="5489"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Liquidation</w:t>
            </w:r>
            <w:r>
              <w:rPr>
                <w:rFonts w:ascii="Times New Roman;Times;serif" w:hAnsi="Times New Roman;Times;serif"/>
                <w:i w:val="false"/>
                <w:caps w:val="false"/>
                <w:smallCaps w:val="false"/>
                <w:color w:val="000000"/>
                <w:sz w:val="20"/>
              </w:rPr>
              <w:t>. In the event of a voluntary or involuntary liquidation or dissolution of Old Cartesian, the holders of shares of Old Cartesian preferred stock then outstanding were entitled to be paid out of the assets of Old Cartesian available for distribution to its stockholders before any distribution or payment would be made to any other class or series of capital stock that ranked junior to the Old Cartesian preferred stock (which junior class would have included the shares of common stock of Old Cartesian).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Liquidation</w:t>
            </w:r>
            <w:r>
              <w:rPr>
                <w:rFonts w:ascii="Times New Roman;Times;serif" w:hAnsi="Times New Roman;Times;serif"/>
                <w:i w:val="false"/>
                <w:caps w:val="false"/>
                <w:smallCaps w:val="false"/>
                <w:color w:val="000000"/>
                <w:sz w:val="20"/>
              </w:rPr>
              <w:t xml:space="preserve">. Subject to applicable law and any preferential dividend or other rights of any outstanding preferred stock of the Company, upon the voluntary or involuntary dissolution or liquidation of the Company, holders of Common Stock will be entitled to receive all assets of the Company available for distribution to its stockholders. </w:t>
            </w:r>
          </w:p>
        </w:tc>
      </w:tr>
      <w:tr>
        <w:trPr/>
        <w:tc>
          <w:tcPr>
            <w:tcW w:w="548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RIGHTS OF PREFERRED STOCK</w:t>
            </w:r>
          </w:p>
        </w:tc>
      </w:tr>
      <w:tr>
        <w:trPr/>
        <w:tc>
          <w:tcPr>
            <w:tcW w:w="548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0"/>
              <w:jc w:val="left"/>
              <w:rPr>
                <w:color w:val="000000"/>
              </w:rPr>
            </w:pPr>
            <w:r>
              <w:rPr>
                <w:color w:val="000000"/>
              </w:rPr>
              <w:t> </w:t>
            </w:r>
          </w:p>
        </w:tc>
      </w:tr>
      <w:tr>
        <w:trPr/>
        <w:tc>
          <w:tcPr>
            <w:tcW w:w="5489"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Designation of Preferred Stock</w:t>
            </w:r>
            <w:r>
              <w:rPr>
                <w:rFonts w:ascii="Times New Roman;Times;serif" w:hAnsi="Times New Roman;Times;serif"/>
                <w:i w:val="false"/>
                <w:caps w:val="false"/>
                <w:smallCaps w:val="false"/>
                <w:color w:val="000000"/>
                <w:sz w:val="20"/>
              </w:rPr>
              <w:t xml:space="preserve">. The Old Cartesian Certificate of Incorporation contemplated and authorized the designation of 220 shares of Series A preferred stock, 110 shares of Series B preferred stock, 77 shares of Series B-1 preferred stock and 195 shares of Series B-2 preferred stock. The powers, privileges and rights, and the qualifications, limitations or restrictions on such shares of preferred stock were set forth in the Old Cartesian Certificate of Incorporation, including certain specified dividend rights with respect to each such series, the payments due upon such shares of preferred stock upon a liquidation or certain fundamental transactions involving Old Cartesian, certain general and specific voting rights of such shares, and a right of conversion of such shares into shares of common stock of Old Cartesian and the mechanics applicable thereto.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Designation of Preferred Stock</w:t>
            </w:r>
            <w:r>
              <w:rPr>
                <w:rFonts w:ascii="Times New Roman;Times;serif" w:hAnsi="Times New Roman;Times;serif"/>
                <w:i w:val="false"/>
                <w:caps w:val="false"/>
                <w:smallCaps w:val="false"/>
                <w:color w:val="000000"/>
                <w:sz w:val="20"/>
              </w:rPr>
              <w:t>. The Current Charter permits the Board of Directors to provide out of the unissued shares of preferred stock for one or more series of preferred stock and to establish from time to time the number of shares to be included in each such series, to fix the voting rights, if any, powers, designations, preferences and relative, participating, optional, special and other rights, if any, of each such series and any qualifications, limitations and restrictions thereof. The rights of each series of preferred stock will be stated in the resolution or resolutions adopted by the Board of Directors providing for the issuance of such series of preferred stock and included in a certificate of designation filed pursuant to the DGCL.</w:t>
            </w:r>
          </w:p>
        </w:tc>
      </w:tr>
      <w:tr>
        <w:trPr/>
        <w:tc>
          <w:tcPr>
            <w:tcW w:w="548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0"/>
              <w:jc w:val="left"/>
              <w:rPr>
                <w:color w:val="000000"/>
              </w:rPr>
            </w:pPr>
            <w:r>
              <w:rPr>
                <w:color w:val="000000"/>
              </w:rPr>
              <w:t> </w:t>
            </w:r>
          </w:p>
        </w:tc>
      </w:tr>
      <w:tr>
        <w:trPr/>
        <w:tc>
          <w:tcPr>
            <w:tcW w:w="548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Old Cartesian Certificate of Incorporation did not expressly permit the Old Cartesian board of directors (the “Old Cartesian Board”) to create or authorize the creation of any additional series of preferred stock. Further, the creation or authorization or issuance of any securities with rights, preferences or privileges senior to or on parity with the shares of preferred stock of Old Cartesian described above, or the increase in the authorized number of such shares of preferred stock, could only be effected if holders of at least 51% of the then-outstanding shares of preferred stock of Old Cartesian provided their written consent or affirmative vote in respect of such action.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670" w:type="dxa"/>
            <w:tcBorders/>
            <w:tcMar>
              <w:bottom w:w="0" w:type="dxa"/>
            </w:tcMar>
            <w:vAlign w:val="center"/>
          </w:tcPr>
          <w:p>
            <w:pPr>
              <w:pStyle w:val="TableContents"/>
              <w:bidi w:val="0"/>
              <w:spacing w:before="0" w:after="0"/>
              <w:jc w:val="left"/>
              <w:rPr>
                <w:color w:val="000000"/>
              </w:rPr>
            </w:pPr>
            <w:r>
              <w:rPr>
                <w:color w:val="000000"/>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85" w:name="DSPFPageBreakArea34"/>
      <w:bookmarkStart w:id="186" w:name="DSPFPageBreakArea34"/>
      <w:bookmarkEnd w:id="18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87" w:name="DSPFPageBreak34"/>
      <w:bookmarkStart w:id="188" w:name="DSPFPageBreak34"/>
      <w:bookmarkEnd w:id="18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9" w:name="ny20014884x5_pre14a_111-comparison_pg3"/>
        <w:bookmarkEnd w:id="18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4574"/>
        <w:gridCol w:w="23"/>
        <w:gridCol w:w="23"/>
        <w:gridCol w:w="5585"/>
      </w:tblGrid>
      <w:tr>
        <w:trPr/>
        <w:tc>
          <w:tcPr>
            <w:tcW w:w="4574"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58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CERTAIN DIRECTOR MATTERS</w:t>
            </w:r>
          </w:p>
        </w:tc>
      </w:tr>
      <w:tr>
        <w:trPr/>
        <w:tc>
          <w:tcPr>
            <w:tcW w:w="457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0"/>
              <w:jc w:val="left"/>
              <w:rPr>
                <w:color w:val="000000"/>
              </w:rPr>
            </w:pPr>
            <w:r>
              <w:rPr>
                <w:color w:val="000000"/>
              </w:rPr>
              <w:t> </w:t>
            </w:r>
          </w:p>
        </w:tc>
      </w:tr>
      <w:tr>
        <w:trPr/>
        <w:tc>
          <w:tcPr>
            <w:tcW w:w="4574"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Number of Directors</w:t>
            </w:r>
            <w:r>
              <w:rPr>
                <w:rFonts w:ascii="Times New Roman;Times;serif" w:hAnsi="Times New Roman;Times;serif"/>
                <w:i w:val="false"/>
                <w:caps w:val="false"/>
                <w:smallCaps w:val="false"/>
                <w:color w:val="000000"/>
                <w:sz w:val="20"/>
              </w:rPr>
              <w:t>. The number of directors was to be determined by resolution of the Old Cartesian Board or the stockholders of Old Cartesian, but in no event was to be less than one.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Number of Directors</w:t>
            </w:r>
            <w:r>
              <w:rPr>
                <w:rFonts w:ascii="Times New Roman;Times;serif" w:hAnsi="Times New Roman;Times;serif"/>
                <w:i w:val="false"/>
                <w:caps w:val="false"/>
                <w:smallCaps w:val="false"/>
                <w:color w:val="000000"/>
                <w:sz w:val="20"/>
              </w:rPr>
              <w:t>. The number of directors is established by the Board of Directors from time to time by resolution and the Board of Directors is to consist of at least one member.</w:t>
            </w:r>
          </w:p>
        </w:tc>
      </w:tr>
      <w:tr>
        <w:trPr/>
        <w:tc>
          <w:tcPr>
            <w:tcW w:w="457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0"/>
              <w:jc w:val="left"/>
              <w:rPr>
                <w:color w:val="000000"/>
              </w:rPr>
            </w:pPr>
            <w:r>
              <w:rPr>
                <w:color w:val="000000"/>
              </w:rPr>
              <w:t> </w:t>
            </w:r>
          </w:p>
        </w:tc>
      </w:tr>
      <w:tr>
        <w:trPr/>
        <w:tc>
          <w:tcPr>
            <w:tcW w:w="4574"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Election of Directors</w:t>
            </w:r>
            <w:r>
              <w:rPr>
                <w:rFonts w:ascii="Times New Roman;Times;serif" w:hAnsi="Times New Roman;Times;serif"/>
                <w:i w:val="false"/>
                <w:caps w:val="false"/>
                <w:smallCaps w:val="false"/>
                <w:color w:val="000000"/>
                <w:sz w:val="20"/>
              </w:rPr>
              <w:t>. The holders of record of shares of Old Cartesian preferred stock, exclusively and as a separate class, were entitled to elect one director of Old Cartesian and the holders of record of the shares of Old Cartesian common stock, exclusively and as a separate class, were entitled to elect two directors of Old Cartesian.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Election of Directors</w:t>
            </w:r>
            <w:r>
              <w:rPr>
                <w:rFonts w:ascii="Times New Roman;Times;serif" w:hAnsi="Times New Roman;Times;serif"/>
                <w:i w:val="false"/>
                <w:caps w:val="false"/>
                <w:smallCaps w:val="false"/>
                <w:color w:val="000000"/>
                <w:sz w:val="20"/>
              </w:rPr>
              <w:t>. Subject to the rights of holders of any series of Company preferred stock to elect directors, at all duly called or convened meetings of stockholders, at which a quorum is present, a plurality of the stockholder votes cast are sufficient to elect a director.</w:t>
            </w:r>
          </w:p>
        </w:tc>
      </w:tr>
      <w:tr>
        <w:trPr/>
        <w:tc>
          <w:tcPr>
            <w:tcW w:w="457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0"/>
              <w:jc w:val="left"/>
              <w:rPr>
                <w:color w:val="000000"/>
              </w:rPr>
            </w:pPr>
            <w:r>
              <w:rPr>
                <w:color w:val="000000"/>
              </w:rPr>
              <w:t> </w:t>
            </w:r>
          </w:p>
        </w:tc>
      </w:tr>
      <w:tr>
        <w:trPr/>
        <w:tc>
          <w:tcPr>
            <w:tcW w:w="4574"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Classes and Terms of Directors</w:t>
            </w:r>
            <w:r>
              <w:rPr>
                <w:rFonts w:ascii="Times New Roman;Times;serif" w:hAnsi="Times New Roman;Times;serif"/>
                <w:i w:val="false"/>
                <w:caps w:val="false"/>
                <w:smallCaps w:val="false"/>
                <w:color w:val="000000"/>
                <w:sz w:val="20"/>
              </w:rPr>
              <w:t>. The directors that sat on the Old Cartesian Board were not divided into classes. Each director was to hold office until the next annual meeting and until a successor was elected and qualified, or until such director’s earlier death, resignation or removal.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Classes and Terms of Directors</w:t>
            </w:r>
            <w:r>
              <w:rPr>
                <w:rFonts w:ascii="Times New Roman;Times;serif" w:hAnsi="Times New Roman;Times;serif"/>
                <w:i w:val="false"/>
                <w:caps w:val="false"/>
                <w:smallCaps w:val="false"/>
                <w:color w:val="000000"/>
                <w:sz w:val="20"/>
              </w:rPr>
              <w:t xml:space="preserve">. Subject to the rights of holders of any series of Company preferred stock to elect directors, the Board of Directors is divided into three classes, designated as Class I, Class II, and Class III. Each class consists, as nearly as possible, of one-third of the total number of directors constituting the entire Board of Directors. Each director serves for a term ending on the date of the third annual meeting of stockholders at which such director was elected. The Board of Directors is authorized to assign members of the Board of Directors to Class I, Class II or Class III. </w:t>
            </w:r>
          </w:p>
        </w:tc>
      </w:tr>
      <w:tr>
        <w:trPr/>
        <w:tc>
          <w:tcPr>
            <w:tcW w:w="457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0"/>
              <w:jc w:val="left"/>
              <w:rPr>
                <w:color w:val="000000"/>
              </w:rPr>
            </w:pPr>
            <w:r>
              <w:rPr>
                <w:color w:val="000000"/>
              </w:rPr>
              <w:t> </w:t>
            </w:r>
          </w:p>
        </w:tc>
      </w:tr>
      <w:tr>
        <w:trPr/>
        <w:tc>
          <w:tcPr>
            <w:tcW w:w="4574"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Quorum and Action at a Meeting</w:t>
            </w:r>
            <w:r>
              <w:rPr>
                <w:rFonts w:ascii="Times New Roman;Times;serif" w:hAnsi="Times New Roman;Times;serif"/>
                <w:i w:val="false"/>
                <w:caps w:val="false"/>
                <w:smallCaps w:val="false"/>
                <w:color w:val="000000"/>
                <w:sz w:val="20"/>
              </w:rPr>
              <w:t>. The greater of (a) a majority of the directors at any time in office and (b) one-third of the number of directors constituting the entire Old Cartesian Board constituted a quorum. At any meeting of the Old Cartesian Board at which a quorum was present, the vote of a majority of those present was sufficient to take any action, unless a different vote was specified by law or the Old Cartesian Certificate of Incorporation.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Quorum and Action at a Meeting</w:t>
            </w:r>
            <w:r>
              <w:rPr>
                <w:rFonts w:ascii="Times New Roman;Times;serif" w:hAnsi="Times New Roman;Times;serif"/>
                <w:i w:val="false"/>
                <w:caps w:val="false"/>
                <w:smallCaps w:val="false"/>
                <w:color w:val="000000"/>
                <w:sz w:val="20"/>
              </w:rPr>
              <w:t>. Subject to applicable law, the greater of (a) a majority of the number of directors at any time in office and (b) one-third of the number of directors constituting the entire Board of Directors constitutes a quorum of the Board of Directors. Each act or decision done or made by a majority of the directors present at a meeting duly held at which a quorum is present is regarded as an act of the Board of Directors, except otherwise specifically provided by law, the Current Charter or the Bylaws.</w:t>
            </w:r>
          </w:p>
        </w:tc>
      </w:tr>
      <w:tr>
        <w:trPr/>
        <w:tc>
          <w:tcPr>
            <w:tcW w:w="457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0"/>
              <w:jc w:val="left"/>
              <w:rPr>
                <w:color w:val="000000"/>
              </w:rPr>
            </w:pPr>
            <w:r>
              <w:rPr>
                <w:color w:val="000000"/>
              </w:rPr>
              <w:t> </w:t>
            </w:r>
          </w:p>
        </w:tc>
      </w:tr>
      <w:tr>
        <w:trPr/>
        <w:tc>
          <w:tcPr>
            <w:tcW w:w="4574"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Removal of Directors</w:t>
            </w:r>
            <w:r>
              <w:rPr>
                <w:rFonts w:ascii="Times New Roman;Times;serif" w:hAnsi="Times New Roman;Times;serif"/>
                <w:i w:val="false"/>
                <w:caps w:val="false"/>
                <w:smallCaps w:val="false"/>
                <w:color w:val="000000"/>
                <w:sz w:val="20"/>
              </w:rPr>
              <w:t>. Except as otherwise provided by applicable law, any one or more or all of the directors could be removed, with or without cause, by the holders of a majority of the shares then entitled to vote at an election of directors, except that the directors elected by the holders of a particular class or series of stock could be removed without cause only by vote of the holders of a majority of the outstanding shares of such class or series.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Removal of Directors</w:t>
            </w:r>
            <w:r>
              <w:rPr>
                <w:rFonts w:ascii="Times New Roman;Times;serif" w:hAnsi="Times New Roman;Times;serif"/>
                <w:i w:val="false"/>
                <w:caps w:val="false"/>
                <w:smallCaps w:val="false"/>
                <w:color w:val="000000"/>
                <w:sz w:val="20"/>
              </w:rPr>
              <w:t>. Subject to the rights of holders of any series of Company preferred stock, directors may be removed only for cause and only by the affirmative vote of the holders of at least two-thirds in voting power of the outstanding shares of capital stock of Company entitled to vote at an election of directors.</w:t>
            </w:r>
          </w:p>
        </w:tc>
      </w:tr>
      <w:tr>
        <w:trPr/>
        <w:tc>
          <w:tcPr>
            <w:tcW w:w="457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585" w:type="dxa"/>
            <w:tcBorders/>
            <w:tcMar>
              <w:bottom w:w="0" w:type="dxa"/>
            </w:tcMar>
            <w:vAlign w:val="center"/>
          </w:tcPr>
          <w:p>
            <w:pPr>
              <w:pStyle w:val="TableContents"/>
              <w:bidi w:val="0"/>
              <w:spacing w:before="0" w:after="0"/>
              <w:jc w:val="left"/>
              <w:rPr>
                <w:color w:val="000000"/>
              </w:rPr>
            </w:pPr>
            <w:r>
              <w:rPr>
                <w:color w:val="000000"/>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90" w:name="DSPFPageBreakArea35"/>
      <w:bookmarkStart w:id="191" w:name="DSPFPageBreakArea35"/>
      <w:bookmarkEnd w:id="19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92" w:name="DSPFPageBreak35"/>
      <w:bookmarkStart w:id="193" w:name="DSPFPageBreak35"/>
      <w:bookmarkEnd w:id="19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94" w:name="ny20014884x5_pre14a_111-comparison_pg4"/>
        <w:bookmarkEnd w:id="1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5786"/>
        <w:gridCol w:w="23"/>
        <w:gridCol w:w="23"/>
        <w:gridCol w:w="4373"/>
      </w:tblGrid>
      <w:tr>
        <w:trPr/>
        <w:tc>
          <w:tcPr>
            <w:tcW w:w="578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37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5786"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Vacancies</w:t>
            </w:r>
            <w:r>
              <w:rPr>
                <w:rFonts w:ascii="Times New Roman;Times;serif" w:hAnsi="Times New Roman;Times;serif"/>
                <w:i w:val="false"/>
                <w:caps w:val="false"/>
                <w:smallCaps w:val="false"/>
                <w:color w:val="000000"/>
                <w:sz w:val="20"/>
              </w:rPr>
              <w:t>. Unless and until filled by the stockholders, any vacancy on the Old Cartesian Board, could be filled by vote of a majority of the directors then in office (although less than a quorum) or by a sole remaining director, as the case may be.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Vacancies. </w:t>
            </w:r>
            <w:r>
              <w:rPr>
                <w:rFonts w:ascii="Times New Roman;Times;serif" w:hAnsi="Times New Roman;Times;serif"/>
                <w:i w:val="false"/>
                <w:caps w:val="false"/>
                <w:smallCaps w:val="false"/>
                <w:color w:val="000000"/>
                <w:sz w:val="20"/>
              </w:rPr>
              <w:t>Subject to the rights of holders of preferred stock of the Company, any vacancy or newly created directorship in the Board of Directors will be filled only by vote of a majority of the directors then in office (although less than a quorum) or by a sole remaining director, as the case may be, unless the Board of Directors determines by resolution that any such vacancy or newly created directorship will be filled by the stockholders.</w:t>
            </w:r>
            <w:r>
              <w:rPr>
                <w:rFonts w:ascii="Times New Roman;Times;serif" w:hAnsi="Times New Roman;Times;serif"/>
                <w:i/>
                <w:caps w:val="false"/>
                <w:smallCaps w:val="false"/>
                <w:color w:val="000000"/>
                <w:sz w:val="20"/>
              </w:rPr>
              <w:t xml:space="preserve"> </w:t>
            </w:r>
          </w:p>
        </w:tc>
      </w:tr>
      <w:tr>
        <w:trPr/>
        <w:tc>
          <w:tcPr>
            <w:tcW w:w="578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CERTAIN STOCKHOLDER MATTERS</w:t>
            </w:r>
          </w:p>
        </w:tc>
      </w:tr>
      <w:tr>
        <w:trPr/>
        <w:tc>
          <w:tcPr>
            <w:tcW w:w="578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0"/>
              <w:jc w:val="left"/>
              <w:rPr>
                <w:color w:val="000000"/>
              </w:rPr>
            </w:pPr>
            <w:r>
              <w:rPr>
                <w:color w:val="000000"/>
              </w:rPr>
              <w:t> </w:t>
            </w:r>
          </w:p>
        </w:tc>
      </w:tr>
      <w:tr>
        <w:trPr/>
        <w:tc>
          <w:tcPr>
            <w:tcW w:w="5786"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Special Meetings</w:t>
            </w:r>
            <w:r>
              <w:rPr>
                <w:rFonts w:ascii="Times New Roman;Times;serif" w:hAnsi="Times New Roman;Times;serif"/>
                <w:i w:val="false"/>
                <w:caps w:val="false"/>
                <w:smallCaps w:val="false"/>
                <w:color w:val="000000"/>
                <w:sz w:val="20"/>
              </w:rPr>
              <w:t>. Special meetings of stockholders for any purpose or purposes could be called at any time by the Old Cartesian Board, the chairman of the Old Cartesian Board, the chief executive officer or the president, but not by any other person or persons. Business transacted at any special meeting of stockholders was limited to matters relating to the purpose or purposes stated in the notice of meeting.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Special Meetings</w:t>
            </w:r>
            <w:r>
              <w:rPr>
                <w:rFonts w:ascii="Times New Roman;Times;serif" w:hAnsi="Times New Roman;Times;serif"/>
                <w:i w:val="false"/>
                <w:caps w:val="false"/>
                <w:smallCaps w:val="false"/>
                <w:color w:val="000000"/>
                <w:sz w:val="20"/>
              </w:rPr>
              <w:t>. Special meetings of the stockholders of the Company for any purpose or purposes may be called at any time only by the Board of Directors, the chairperson of the Board of Directors, the chief executive officer, or the president (in the absence of the chief executive officer). Matters to be brought before the proposed special meeting are limited to those matters stated in the notice of the special meeting.</w:t>
            </w:r>
          </w:p>
        </w:tc>
      </w:tr>
      <w:tr>
        <w:trPr/>
        <w:tc>
          <w:tcPr>
            <w:tcW w:w="578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0"/>
              <w:jc w:val="left"/>
              <w:rPr>
                <w:color w:val="000000"/>
              </w:rPr>
            </w:pPr>
            <w:r>
              <w:rPr>
                <w:color w:val="000000"/>
              </w:rPr>
              <w:t> </w:t>
            </w:r>
          </w:p>
        </w:tc>
      </w:tr>
      <w:tr>
        <w:trPr/>
        <w:tc>
          <w:tcPr>
            <w:tcW w:w="5786"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Action without a Meeting</w:t>
            </w:r>
            <w:r>
              <w:rPr>
                <w:rFonts w:ascii="Times New Roman;Times;serif" w:hAnsi="Times New Roman;Times;serif"/>
                <w:i w:val="false"/>
                <w:caps w:val="false"/>
                <w:smallCaps w:val="false"/>
                <w:color w:val="000000"/>
                <w:sz w:val="20"/>
              </w:rPr>
              <w:t>. Any action required or permitted to be taken at any annual or special meeting of stockholders of Old Cartesian could be taken without a meeting, without prior notice and without a vote, if a consent in writing, setting forth the action so taken, was signed by the holders of outstanding stock having not less than the minimum number of votes that would be necessary to authorize or take such action at a meeting at which all shares entitled to vote on such action were present and voted.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Action without a Meeting</w:t>
            </w:r>
            <w:r>
              <w:rPr>
                <w:rFonts w:ascii="Times New Roman;Times;serif" w:hAnsi="Times New Roman;Times;serif"/>
                <w:i w:val="false"/>
                <w:caps w:val="false"/>
                <w:smallCaps w:val="false"/>
                <w:color w:val="000000"/>
                <w:sz w:val="20"/>
              </w:rPr>
              <w:t xml:space="preserve">. No action that is required or permitted to be taken by the stockholders of the Company at any annual or special meeting of stockholders may be effected by written consent of stockholders in lieu of a meeting. </w:t>
            </w:r>
          </w:p>
        </w:tc>
      </w:tr>
      <w:tr>
        <w:trPr/>
        <w:tc>
          <w:tcPr>
            <w:tcW w:w="578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0"/>
              <w:jc w:val="left"/>
              <w:rPr>
                <w:color w:val="000000"/>
              </w:rPr>
            </w:pPr>
            <w:r>
              <w:rPr>
                <w:color w:val="000000"/>
              </w:rPr>
              <w:t> </w:t>
            </w:r>
          </w:p>
        </w:tc>
      </w:tr>
      <w:tr>
        <w:trPr/>
        <w:tc>
          <w:tcPr>
            <w:tcW w:w="5786"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Notice of Stockholder Meetings</w:t>
            </w:r>
            <w:r>
              <w:rPr>
                <w:rFonts w:ascii="Times New Roman;Times;serif" w:hAnsi="Times New Roman;Times;serif"/>
                <w:i w:val="false"/>
                <w:caps w:val="false"/>
                <w:smallCaps w:val="false"/>
                <w:color w:val="000000"/>
                <w:sz w:val="20"/>
              </w:rPr>
              <w:t>. Except as otherwise provided by the Old Cartesian Bylaws or the DGCL, all notices of meetings of Old Cartesian stockholders were to be delivered not less than 10 nor more than 60 days before the date of the meeting to each stockholder entitled to vote at such meeting. The notice could be delivered by mail or by electronic transmission and had to specify the place, if any, date and time of the meeting and the means of remote communications, if any, by which stockholders and proxyholders were to be deemed to be present in person and vote at such meeting and the purpose or purposes for which the meeting was called.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Notice of Stockholder Meetings. </w:t>
            </w:r>
            <w:r>
              <w:rPr>
                <w:rFonts w:ascii="Times New Roman;Times;serif" w:hAnsi="Times New Roman;Times;serif"/>
                <w:i w:val="false"/>
                <w:caps w:val="false"/>
                <w:smallCaps w:val="false"/>
                <w:color w:val="000000"/>
                <w:sz w:val="20"/>
              </w:rPr>
              <w:t>Except as otherwise provided by the Bylaws or the DGCL, all notices of meetings of Company stockholders may be delivered not less than 10 nor more than 60 days before the date of the meeting to each stockholder entitled to vote at such meeting. Notice can be delivered by mail or by electronic transmission, and shall specify the place, if any, date and hour of the meeting and the record date for determining the stockholders entitled to vote at the meeting.</w:t>
            </w:r>
          </w:p>
        </w:tc>
      </w:tr>
      <w:tr>
        <w:trPr/>
        <w:tc>
          <w:tcPr>
            <w:tcW w:w="578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0"/>
              <w:jc w:val="left"/>
              <w:rPr>
                <w:color w:val="000000"/>
              </w:rPr>
            </w:pPr>
            <w:r>
              <w:rPr>
                <w:color w:val="000000"/>
              </w:rPr>
              <w:t> </w:t>
            </w:r>
          </w:p>
        </w:tc>
      </w:tr>
      <w:tr>
        <w:trPr/>
        <w:tc>
          <w:tcPr>
            <w:tcW w:w="5786"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Advance Notice for Stockholder Nominations of Directors.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Not Applicable.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73"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Advance Notice for Stockholder Nominations of Directors.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nomination of any person for election to the Board of Directors may be made at an annual or special meeting of stockholders where notice has been provided in writing to the secretary of the Company. Notice is required to be delivered to, or mailed and received by the secretary of the Company at the principal executive officer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95" w:name="DSPFPageBreakArea36"/>
      <w:bookmarkStart w:id="196" w:name="DSPFPageBreakArea36"/>
      <w:bookmarkEnd w:id="19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97" w:name="DSPFPageBreak36"/>
      <w:bookmarkStart w:id="198" w:name="DSPFPageBreak36"/>
      <w:bookmarkEnd w:id="19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99" w:name="ny20014884x5_pre14a_111-comparison_pg5"/>
        <w:bookmarkEnd w:id="19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3575"/>
        <w:gridCol w:w="23"/>
        <w:gridCol w:w="23"/>
        <w:gridCol w:w="6584"/>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584"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357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84" w:type="dxa"/>
            <w:tcBorders/>
            <w:tcMar>
              <w:bottom w:w="0" w:type="dxa"/>
            </w:tcM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not less than 90 days nor more than 120 days prior to the first anniversary of the preceding year’s annual meeting; provided, however, that if the date of the annual meeting is more than 30 days before or more than 60 days after such anniversary date, notice by such stockholder to be timely must be so received, not earlier than the close of business on the 120th day prior to such annual meeting and not later than the later of (x) the close of business on the 90th day prior to such annual meeting and (y) the close of business on the 10th day following the day on which public disclosure of the date of such annual meeting was first made by the Company (with any notice delivered within such time frames being deemed to be “timely notice”). Any such notice may only be provided by a stockholder who is a stockholder of record or beneficial owner of Common Stock, as the case may be, both at the time of giving such notice and the time of the applicable meeting. The stockholder’s notice to the secretary of the Company must be in proper form, including all information required by the Bylaws and in compliance with all applicable requirements of the Exchange Act.</w:t>
            </w:r>
          </w:p>
        </w:tc>
      </w:tr>
      <w:tr>
        <w:trPr/>
        <w:tc>
          <w:tcPr>
            <w:tcW w:w="357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84" w:type="dxa"/>
            <w:tcBorders/>
            <w:tcMar>
              <w:bottom w:w="0" w:type="dxa"/>
            </w:tcMar>
            <w:vAlign w:val="center"/>
          </w:tcPr>
          <w:p>
            <w:pPr>
              <w:pStyle w:val="TableContents"/>
              <w:bidi w:val="0"/>
              <w:spacing w:before="0" w:after="0"/>
              <w:jc w:val="left"/>
              <w:rPr>
                <w:color w:val="000000"/>
              </w:rPr>
            </w:pPr>
            <w:r>
              <w:rPr>
                <w:color w:val="000000"/>
              </w:rPr>
              <w:t> </w:t>
            </w:r>
          </w:p>
        </w:tc>
      </w:tr>
      <w:tr>
        <w:trPr/>
        <w:tc>
          <w:tcPr>
            <w:tcW w:w="3575"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Advance Notice for Stockholder Proposals (Other than Nomination of Directors)</w:t>
            </w:r>
            <w:r>
              <w:rPr>
                <w:rFonts w:ascii="Times New Roman;Times;serif" w:hAnsi="Times New Roman;Times;serif"/>
                <w:i w:val="false"/>
                <w:caps w:val="false"/>
                <w:smallCaps w:val="false"/>
                <w:color w:val="000000"/>
                <w:sz w:val="20"/>
              </w:rPr>
              <w:t>. Not Applicable.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84"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Advance Notice for Stockholder Proposals (Other than Nomination of Directors).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 order for a stockholder to bring a matter before the annual meeting, a stockholder will be required to give timely notice to the secretary of the Company, as described above. Any such notice may only be provided by a stockholder who is a stockholder of record or beneficial owner of Common Stock, as the case may be, both at the time of giving such notice and the time of the applicable meeting. The stockholder’s notice to the secretary of the Company must be in proper form, including all information required by the Bylaws and in compliance with all applicable requirements of the Exchange Act. </w:t>
            </w:r>
          </w:p>
        </w:tc>
      </w:tr>
      <w:tr>
        <w:trPr/>
        <w:tc>
          <w:tcPr>
            <w:tcW w:w="357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84"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BYLAW AMENDMENTS</w:t>
            </w:r>
          </w:p>
        </w:tc>
      </w:tr>
      <w:tr>
        <w:trPr/>
        <w:tc>
          <w:tcPr>
            <w:tcW w:w="357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84" w:type="dxa"/>
            <w:tcBorders/>
            <w:tcMar>
              <w:bottom w:w="0" w:type="dxa"/>
            </w:tcMar>
            <w:vAlign w:val="center"/>
          </w:tcPr>
          <w:p>
            <w:pPr>
              <w:pStyle w:val="TableContents"/>
              <w:bidi w:val="0"/>
              <w:spacing w:before="0" w:after="0"/>
              <w:jc w:val="left"/>
              <w:rPr>
                <w:color w:val="000000"/>
              </w:rPr>
            </w:pPr>
            <w:r>
              <w:rPr>
                <w:color w:val="000000"/>
              </w:rPr>
              <w:t> </w:t>
            </w:r>
          </w:p>
        </w:tc>
      </w:tr>
      <w:tr>
        <w:trPr/>
        <w:tc>
          <w:tcPr>
            <w:tcW w:w="35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Subject to any additional vote required by the Old Cartesian Certificate of Incorporation or Old Cartesian Bylaws, the Old Cartesian Board was expressly authorized to make, repeal, alter, amend and rescind any or all of the Old Cartesian Bylaws. The Old Cartesian stockholders also had the power to adopt, amend or repeal the Old Cartesian Bylaws by affirmative vote of the holders of a majority of the shares of the capital stock of Old Cartesian issued and outstanding and entitled to vote at any regular meeting or special meeting of</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84"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limitations otherwise set forth in the Bylaws or the Current Charter, the Board of Directors is expressly empowered to adopt, amend, or repeal the Bylaws. The Company’s stockholders also have the power to adopt, amend or repeal the Bylaws by the affirmative vote of the holders of at least two-thirds in voting power of the outstanding shares of Company capital stock entitled to vote thereon.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00" w:name="DSPFPageBreakArea37"/>
      <w:bookmarkStart w:id="201" w:name="DSPFPageBreakArea37"/>
      <w:bookmarkEnd w:id="20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02" w:name="DSPFPageBreak37"/>
      <w:bookmarkStart w:id="203" w:name="DSPFPageBreak37"/>
      <w:bookmarkEnd w:id="20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4" w:name="ny20014884x5_pre14a_111-comparison_pg6"/>
        <w:bookmarkEnd w:id="2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3356"/>
        <w:gridCol w:w="23"/>
        <w:gridCol w:w="23"/>
        <w:gridCol w:w="6803"/>
      </w:tblGrid>
      <w:tr>
        <w:trPr/>
        <w:tc>
          <w:tcPr>
            <w:tcW w:w="335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80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3356"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(provided that in the case of a special meeting, notice of such adoption, amendment or repeal should have been stated in the notice of such special meeting). Further, the written consent or affirmative vote of the holders of at least 51% of the then outstanding shares of preferred stock of Old Cartesian was required in order to amend, alter or repeal any provision of the Old Cartesian Bylaws in a manner that would adversely affect the powers, preferences or rights of such preferred stock.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3" w:type="dxa"/>
            <w:tcBorders/>
            <w:tcMar>
              <w:bottom w:w="0" w:type="dxa"/>
            </w:tcMar>
            <w:vAlign w:val="center"/>
          </w:tcPr>
          <w:p>
            <w:pPr>
              <w:pStyle w:val="TableContents"/>
              <w:bidi w:val="0"/>
              <w:spacing w:before="0" w:after="0"/>
              <w:jc w:val="left"/>
              <w:rPr>
                <w:color w:val="000000"/>
              </w:rPr>
            </w:pPr>
            <w:r>
              <w:rPr>
                <w:color w:val="000000"/>
              </w:rPr>
              <w:t> </w:t>
            </w:r>
          </w:p>
        </w:tc>
      </w:tr>
      <w:tr>
        <w:trPr/>
        <w:tc>
          <w:tcPr>
            <w:tcW w:w="335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3"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CHARTER AMENDMENT</w:t>
            </w:r>
          </w:p>
        </w:tc>
      </w:tr>
      <w:tr>
        <w:trPr/>
        <w:tc>
          <w:tcPr>
            <w:tcW w:w="335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3" w:type="dxa"/>
            <w:tcBorders/>
            <w:tcMar>
              <w:bottom w:w="0" w:type="dxa"/>
            </w:tcMar>
            <w:vAlign w:val="center"/>
          </w:tcPr>
          <w:p>
            <w:pPr>
              <w:pStyle w:val="TableContents"/>
              <w:bidi w:val="0"/>
              <w:spacing w:before="0" w:after="0"/>
              <w:jc w:val="left"/>
              <w:rPr>
                <w:color w:val="000000"/>
              </w:rPr>
            </w:pPr>
            <w:r>
              <w:rPr>
                <w:color w:val="000000"/>
              </w:rPr>
              <w:t> </w:t>
            </w:r>
          </w:p>
        </w:tc>
      </w:tr>
      <w:tr>
        <w:trPr/>
        <w:tc>
          <w:tcPr>
            <w:tcW w:w="3356"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Old Cartesian Certificate of Incorporation could be amended as permitted under the DGCL, except that the written consent or affirmative vote of the holders of at least 51% of the then outstanding shares of preferred stock of Old Cartesian was required in order to amend, alter or repeal any provision of the Old Cartesian Certificate of Incorporation in a manner that would adversely affect the powers, preferences or rights of such preferred stock.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required by law, holders of common stock, as such, were not entitled to vote on any amendment to the Old Cartesian Certificate of Incorporation that relates solely to the terms of one or more outstanding series of preferred stock if the holders of such affected series were entitled, either separately or together with the holders of one or more other such series, to vote thereon pursuant to the Old Cartesian Certificate of Incorporation or pursuant to DGCL.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Charter may be amended as permitted under the DGCL.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to the affirmative vote of holders of any particular class or series of Company capital stock of the Company that is required by law or the Current Charter, the affirmative vote of two-thirds of the outstanding shares of capital stock of the Company entitled to vote thereon shall be required to amend or repeal, or to adopt any provisions of the Current Charter relating to (i) amendments to the Bylaws, (ii) powers, election, classes, quorum, actions, removal and vacancies of or in the Board of Directors, (iii) the absence of the stockholders’ right to act by written consent, (iv) the right to call a special meeting of the Company’s stockholders and (v) the exclusive forum provisions whereby certain actions relating to the Company may only be brought before the Court of Chancery of the State of Delaware.Except as otherwise required by law, holders of Common Stock shall not be entitled to vote on any amendment to the Current Charter that relates solely to the terms of one or more outstanding series of Preferred Stock if the holders of such affected series are entitled, either separately or together as a class with the holders of one or more other such series, to vote thereon pursuant to the Current Charter or DGCL.</w:t>
            </w:r>
          </w:p>
        </w:tc>
      </w:tr>
      <w:tr>
        <w:trPr/>
        <w:tc>
          <w:tcPr>
            <w:tcW w:w="335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3"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ANTI-TAKEOVER PROVISIONS</w:t>
            </w:r>
          </w:p>
        </w:tc>
      </w:tr>
      <w:tr>
        <w:trPr/>
        <w:tc>
          <w:tcPr>
            <w:tcW w:w="335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3" w:type="dxa"/>
            <w:tcBorders/>
            <w:tcMar>
              <w:bottom w:w="0" w:type="dxa"/>
            </w:tcMar>
            <w:vAlign w:val="center"/>
          </w:tcPr>
          <w:p>
            <w:pPr>
              <w:pStyle w:val="TableContents"/>
              <w:bidi w:val="0"/>
              <w:spacing w:before="0" w:after="0"/>
              <w:jc w:val="left"/>
              <w:rPr>
                <w:color w:val="000000"/>
              </w:rPr>
            </w:pPr>
            <w:r>
              <w:rPr>
                <w:color w:val="000000"/>
              </w:rPr>
              <w:t> </w:t>
            </w:r>
          </w:p>
        </w:tc>
      </w:tr>
      <w:tr>
        <w:trPr/>
        <w:tc>
          <w:tcPr>
            <w:tcW w:w="3356"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DGCL Anti-Takeover Provision</w:t>
            </w:r>
            <w:r>
              <w:rPr>
                <w:rFonts w:ascii="Times New Roman;Times;serif" w:hAnsi="Times New Roman;Times;serif"/>
                <w:i w:val="false"/>
                <w:caps w:val="false"/>
                <w:smallCaps w:val="false"/>
                <w:color w:val="000000"/>
                <w:sz w:val="20"/>
              </w:rPr>
              <w:t>. Old Cartesian did not have any class of voting stock listed on any national securities exchange or held of record by 2,000 or more stockholders. The Old Cartesian Certificate of Incorporation did not contain a provision electing to be governed by Section 203 of DGCL. Thus, Section 203 of the DGCL was inapplicable to Old Cartesian.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3"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DGCL Anti-Takeover Provision. </w:t>
            </w:r>
            <w:r>
              <w:rPr>
                <w:rFonts w:ascii="Times New Roman;Times;serif" w:hAnsi="Times New Roman;Times;serif"/>
                <w:i w:val="false"/>
                <w:caps w:val="false"/>
                <w:smallCaps w:val="false"/>
                <w:color w:val="000000"/>
                <w:sz w:val="20"/>
              </w:rPr>
              <w:t xml:space="preserve">Under the Current Charter, the Company has not opted out of Section 203 of the DGCL, which generally prohibits a Delaware corporation with a class of voting stock listed on a national securities exchange or held of record by 2,000 or more stockholders from engaging in a “business combination” with an </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interested stockholder” for a three-year period following the time that such stockholder becomes an interested stockholder, unless the business combination is approved in a prescribed manner.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05" w:name="DSPFPageBreakArea38"/>
      <w:bookmarkStart w:id="206" w:name="DSPFPageBreakArea38"/>
      <w:bookmarkEnd w:id="20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07" w:name="DSPFPageBreak38"/>
      <w:bookmarkStart w:id="208" w:name="DSPFPageBreak38"/>
      <w:bookmarkEnd w:id="20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9" w:name="ny20014884x5_pre14a_111-comparison_pg7"/>
        <w:bookmarkEnd w:id="20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2114"/>
        <w:gridCol w:w="23"/>
        <w:gridCol w:w="23"/>
        <w:gridCol w:w="8045"/>
      </w:tblGrid>
      <w:tr>
        <w:trPr/>
        <w:tc>
          <w:tcPr>
            <w:tcW w:w="2114"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04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0"/>
              <w:jc w:val="left"/>
              <w:rPr>
                <w:color w:val="000000"/>
              </w:rPr>
            </w:pPr>
            <w:r>
              <w:rPr>
                <w:color w:val="000000"/>
              </w:rPr>
              <w:t> </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Section 203, a “business combination” between a corporation and an “interested stockholder” is prohibited unless it satisfies one of the following conditions: (i) before such stockholder became interested, the Board of Directors approved either the business combination or the transaction which resulted in such stockholder becoming an interested stockholder; (ii) upon consummation of the transaction which resulted in such stockholder becoming an interested stockholder, such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(iii) on or subsequent to the time such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such interested stockholder.</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0"/>
              <w:jc w:val="left"/>
              <w:rPr>
                <w:color w:val="000000"/>
              </w:rPr>
            </w:pPr>
            <w:r>
              <w:rPr>
                <w:color w:val="000000"/>
              </w:rPr>
              <w:t> </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DGCL permits a corporation to opt out of, or choose not to be governed by, its anti-takeover statute by expressly stating so in its original certificate of incorporation (or subsequent amendment to its certificate of incorporation or bylaws approved by its stockholders). The Current Charter does not contain a provision expressly opting out of the application of Section 203 of the DGCL. Therefore, the Company is subject to Section 203 of the DGCL.</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OF LIABILITY OF DIRECTORS</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0"/>
              <w:jc w:val="left"/>
              <w:rPr>
                <w:color w:val="000000"/>
              </w:rPr>
            </w:pPr>
            <w:r>
              <w:rPr>
                <w:color w:val="000000"/>
              </w:rPr>
              <w:t> </w:t>
            </w:r>
          </w:p>
        </w:tc>
      </w:tr>
      <w:tr>
        <w:trPr/>
        <w:tc>
          <w:tcPr>
            <w:tcW w:w="2114"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law, a director of Old Cartesian was not personally liable to Cartesian or its stockholders for monetary damages for breach of fiduciary duty as a director.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the fullest extent permitted by the DGCL, no director of the Company shall be personally liable to the Company or its stockholders for monetary damages for any breach of fiduciary duty as a director.</w:t>
            </w:r>
          </w:p>
        </w:tc>
      </w:tr>
      <w:tr>
        <w:trPr/>
        <w:tc>
          <w:tcPr>
            <w:tcW w:w="2114"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45" w:type="dxa"/>
            <w:tcBorders/>
            <w:tcMar>
              <w:bottom w:w="0" w:type="dxa"/>
            </w:tcMar>
            <w:vAlign w:val="center"/>
          </w:tcPr>
          <w:p>
            <w:pPr>
              <w:pStyle w:val="TableContents"/>
              <w:bidi w:val="0"/>
              <w:spacing w:before="0" w:after="0"/>
              <w:jc w:val="left"/>
              <w:rPr>
                <w:color w:val="000000"/>
              </w:rPr>
            </w:pPr>
            <w:r>
              <w:rPr>
                <w:color w:val="000000"/>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10" w:name="DSPFPageBreakArea39"/>
      <w:bookmarkStart w:id="211" w:name="DSPFPageBreakArea39"/>
      <w:bookmarkEnd w:id="21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12" w:name="DSPFPageBreak39"/>
      <w:bookmarkStart w:id="213" w:name="DSPFPageBreak39"/>
      <w:bookmarkEnd w:id="21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4" w:name="ny20014884x5_pre14a_111-comparison_pg8"/>
        <w:bookmarkEnd w:id="2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3436"/>
        <w:gridCol w:w="23"/>
        <w:gridCol w:w="23"/>
        <w:gridCol w:w="6723"/>
      </w:tblGrid>
      <w:tr>
        <w:trPr/>
        <w:tc>
          <w:tcPr>
            <w:tcW w:w="343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72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INDEMNIFICATION AND ADVANCEMENT OF EXPENSES</w:t>
            </w:r>
          </w:p>
        </w:tc>
      </w:tr>
      <w:tr>
        <w:trPr/>
        <w:tc>
          <w:tcPr>
            <w:tcW w:w="343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723" w:type="dxa"/>
            <w:tcBorders/>
            <w:tcMar>
              <w:bottom w:w="0" w:type="dxa"/>
            </w:tcMar>
            <w:vAlign w:val="center"/>
          </w:tcPr>
          <w:p>
            <w:pPr>
              <w:pStyle w:val="TableContents"/>
              <w:bidi w:val="0"/>
              <w:spacing w:before="0" w:after="0"/>
              <w:jc w:val="left"/>
              <w:rPr>
                <w:color w:val="000000"/>
              </w:rPr>
            </w:pPr>
            <w:r>
              <w:rPr>
                <w:color w:val="000000"/>
              </w:rPr>
              <w:t> </w:t>
            </w:r>
          </w:p>
        </w:tc>
      </w:tr>
      <w:tr>
        <w:trPr/>
        <w:tc>
          <w:tcPr>
            <w:tcW w:w="3436"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Old Cartesian Certificate of Incorporation provided, to the fullest extent permitted under applicable law, authorization to provide indemnification of (and advancement of expenses to) the directors, officers and agents of Old Cartesian (and any other persons the DGCL permitted Old Cartesian to provide indemnification) through the provisions of the Old Cartesian Bylaws, agreements with such agents or other persons, vote of the stockholders or disinterested directors or otherwise.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72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Bylaws provide that the Company will indemnify each person who was or is a party or threatened to be made party to any threatened, pending or completed action, suit or proceeding, whether civil, criminal, administrative or investigative, by reason of the fact that he or she is or was, or has agreed to become, a director or officer of the Company, is or was serving, or has agreed to serve, at the request of the Company, as a director, officer, partner, employee or trustee of, or in a similar capacity with, another corporation, partnership, joint venture, trust or other enterprise (each an “Indemnitee”), or by reason of any action alleged to have been take or omitted in such capacity, against all expenses, liabilities, losses,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 of the Company, and, with respect to any criminal action or proceeding, had no reasonable cause to believe his or her conduct was unlawful.</w:t>
            </w:r>
          </w:p>
        </w:tc>
      </w:tr>
      <w:tr>
        <w:trPr/>
        <w:tc>
          <w:tcPr>
            <w:tcW w:w="343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723" w:type="dxa"/>
            <w:tcBorders/>
            <w:tcMar>
              <w:bottom w:w="0" w:type="dxa"/>
            </w:tcMar>
            <w:vAlign w:val="center"/>
          </w:tcPr>
          <w:p>
            <w:pPr>
              <w:pStyle w:val="TableContents"/>
              <w:bidi w:val="0"/>
              <w:spacing w:before="0" w:after="0"/>
              <w:jc w:val="left"/>
              <w:rPr>
                <w:color w:val="000000"/>
              </w:rPr>
            </w:pPr>
            <w:r>
              <w:rPr>
                <w:color w:val="000000"/>
              </w:rPr>
              <w:t> </w:t>
            </w:r>
          </w:p>
        </w:tc>
      </w:tr>
      <w:tr>
        <w:trPr/>
        <w:tc>
          <w:tcPr>
            <w:tcW w:w="343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72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Bylaws further provide that the Company will indemnify an Indemnitee to the fullest extent permitted by law against all expenses actually and reasonably incurred by or on behalf of the Indemnitee in connection with the Indemnitee’s successful defense of any action, suit or proceeding according to the Bylaws, subject to certain limitations in specific circumstances. In the case of threatened or pending actions, suits, proceedings or investigations, the Company is required to pay to the Indemnitee, in advance of the final disposition of such matter, but subject to certain limitations set forth in the Bylaws, any expenses incurred by or on behalf of Indemnitee in defending such action, suit, proceeding or investigation or any appeal therefrom, to the fullest extent permitted by law, but subject to receipt of an undertaking by or on behalf of the Indemnitee to repay all amounts so advanced in the event that it shall ultimately be determined by final judicial decision from which there is no further right to appeal that Indemnitee is not entitled to be indemnified or if it is determined that the Indemnitee did not act in good faith and in a manner he or she reasonably believed to be in, or not opposed to, the best interests of the Corporation, or, with respect to any criminal 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15" w:name="DSPFPageBreakArea40"/>
      <w:bookmarkStart w:id="216" w:name="DSPFPageBreakArea40"/>
      <w:bookmarkEnd w:id="21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17" w:name="DSPFPageBreak40"/>
      <w:bookmarkStart w:id="218" w:name="DSPFPageBreak40"/>
      <w:bookmarkEnd w:id="21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9" w:name="ny20014884x5_pre14a_111-comparison_pg9"/>
        <w:bookmarkEnd w:id="2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65" w:type="dxa"/>
          <w:right w:w="0" w:type="dxa"/>
        </w:tblCellMar>
      </w:tblPr>
      <w:tblGrid>
        <w:gridCol w:w="5179"/>
        <w:gridCol w:w="23"/>
        <w:gridCol w:w="23"/>
        <w:gridCol w:w="4980"/>
      </w:tblGrid>
      <w:tr>
        <w:trPr/>
        <w:tc>
          <w:tcPr>
            <w:tcW w:w="5179"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9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Company </w:t>
            </w:r>
          </w:p>
        </w:tc>
      </w:tr>
      <w:tr>
        <w:trPr/>
        <w:tc>
          <w:tcPr>
            <w:tcW w:w="51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9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 proceeding, Indemnitee had reasonable cause to believe his or her conduct was unlawful.</w:t>
            </w:r>
          </w:p>
        </w:tc>
      </w:tr>
      <w:tr>
        <w:trPr/>
        <w:tc>
          <w:tcPr>
            <w:tcW w:w="51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980" w:type="dxa"/>
            <w:tcBorders/>
            <w:tcMar>
              <w:bottom w:w="0" w:type="dxa"/>
            </w:tcMar>
            <w:vAlign w:val="center"/>
          </w:tcPr>
          <w:p>
            <w:pPr>
              <w:pStyle w:val="TableContents"/>
              <w:bidi w:val="0"/>
              <w:spacing w:before="0" w:after="0"/>
              <w:jc w:val="left"/>
              <w:rPr>
                <w:color w:val="000000"/>
              </w:rPr>
            </w:pPr>
            <w:r>
              <w:rPr>
                <w:color w:val="000000"/>
              </w:rPr>
              <w:t> </w:t>
            </w:r>
          </w:p>
        </w:tc>
      </w:tr>
      <w:tr>
        <w:trPr/>
        <w:tc>
          <w:tcPr>
            <w:tcW w:w="10205" w:type="dxa"/>
            <w:gridSpan w:val="4"/>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EXCLUSIVE FORUM</w:t>
            </w:r>
          </w:p>
        </w:tc>
      </w:tr>
      <w:tr>
        <w:trPr/>
        <w:tc>
          <w:tcPr>
            <w:tcW w:w="51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980" w:type="dxa"/>
            <w:tcBorders/>
            <w:tcMar>
              <w:bottom w:w="0" w:type="dxa"/>
            </w:tcMar>
            <w:vAlign w:val="center"/>
          </w:tcPr>
          <w:p>
            <w:pPr>
              <w:pStyle w:val="TableContents"/>
              <w:bidi w:val="0"/>
              <w:spacing w:before="0" w:after="0"/>
              <w:jc w:val="left"/>
              <w:rPr>
                <w:color w:val="000000"/>
              </w:rPr>
            </w:pPr>
            <w:r>
              <w:rPr>
                <w:color w:val="000000"/>
              </w:rPr>
              <w:t> </w:t>
            </w:r>
          </w:p>
        </w:tc>
      </w:tr>
      <w:tr>
        <w:trPr/>
        <w:tc>
          <w:tcPr>
            <w:tcW w:w="517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Old Cartesian consented in writing to the selection of an alternative forum, the Court of Chancery of the State of Delaware was the sole and exclusive forum to bring (a) any derivative action or proceeding brought on behalf of Old Cartesian, (b) any action asserting a claim of breach of fiduciary duty owed by any director, officer, or other employee of Old Cartesian to Old Cartesian or Old Cartesian stockholders, (c) any action asserting a claim against Old Cartesian, its directors, officers or employees arising pursuant to any provision of the DGCL, the Old Cartesian Certificate of Incorporation or the Old Cartesian Bylaws, or (d) any action asserting a claim against Old Cartesian, its directors, officers or employees governed by the internal affairs doctrine, except for, as to each of (a) through (d) above, any claim as to which the Court of Chancery determined there was an indispensable party not subject to the jurisdiction of the Court of Chancery, which was vested in the exclusive jurisdiction of a court or forum other than the Court of Chancery, or for which the Court of Chancery did not have subject matter jurisdiction.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9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the Company consents in writing to the selection of an alternative forum, the Current Charter designates that the Court of Chancery of the State of Delaware will be the sole and exclusive forum for (a) any derivative action or proceeding brought on behalf of the Company, (b) any action asserting a claim of breach of fiduciary duty owed by any director, officer, employee or stockholder of the Company to the Company or the Company’s stockholders, (c) any action asserting a claim arising pursuant to any provision of the DGCL or as to which the DGCL confers jurisdiction on the Court of Chancery of the State of Delaware, or (d) any action asserting a claim governed by the internal affairs doctrine, in each case subject to said Court of Chancery having personal jurisdiction over the indispensable parties named as defendants therein; provided that, if and only if the Court of Chancery of the State of Delaware dismisses any such action for lack of subject matter jurisdiction, such action may be brought in another state or federal court sitting in the State of Delaware.</w:t>
            </w:r>
          </w:p>
        </w:tc>
      </w:tr>
      <w:tr>
        <w:trPr/>
        <w:tc>
          <w:tcPr>
            <w:tcW w:w="51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980" w:type="dxa"/>
            <w:tcBorders/>
            <w:tcMar>
              <w:bottom w:w="0" w:type="dxa"/>
            </w:tcMar>
            <w:vAlign w:val="center"/>
          </w:tcPr>
          <w:p>
            <w:pPr>
              <w:pStyle w:val="TableContents"/>
              <w:bidi w:val="0"/>
              <w:spacing w:before="0" w:after="0"/>
              <w:jc w:val="left"/>
              <w:rPr>
                <w:color w:val="000000"/>
              </w:rPr>
            </w:pPr>
            <w:r>
              <w:rPr>
                <w:color w:val="000000"/>
              </w:rPr>
              <w:t> </w:t>
            </w:r>
          </w:p>
        </w:tc>
      </w:tr>
      <w:tr>
        <w:trPr/>
        <w:tc>
          <w:tcPr>
            <w:tcW w:w="5179"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9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at least two-thirds in voting power of the outstanding shares of capital stock of the Company entitled to vote thereon will be required to amend or repeal, or to adopt any provision inconsistent with the foregoing.</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20" w:name="DSPFPageBreakArea41"/>
      <w:bookmarkStart w:id="221" w:name="DSPFPageBreakArea41"/>
      <w:bookmarkEnd w:id="22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22" w:name="DSPFPageBreak41"/>
      <w:bookmarkStart w:id="223" w:name="DSPFPageBreak41"/>
      <w:bookmarkEnd w:id="22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4" w:name="ny20014884x5_pre14a_112-tax_pg1"/>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5" w:name="tMUS"/>
      <w:bookmarkEnd w:id="225"/>
      <w:r>
        <w:rPr>
          <w:rFonts w:ascii="Times New Roman;Times;serif" w:hAnsi="Times New Roman;Times;serif"/>
          <w:b/>
          <w:color w:val="000000"/>
          <w:sz w:val="20"/>
        </w:rPr>
        <w:t xml:space="preserve">MATERIAL U.S. FEDERAL INCOME TAX CONSIDERATIONS OF THE MERGER AND THE ISSUANCE OF THE CVRS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certain material U.S. federal income tax considerations of the Merger and the issuance of the CVRs that would be expected to apply generally to U.S. Holders (as defined below) of our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us or our stockholders as described in this summary. No ruling from the IRS, has been or will be requested in connection with the Merger or the issuance of the CVRs and there can be no assurance that the IRS will not challenge the statements and conclusions set forth below or a court would not sustain any such challenge.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attempt has been made to comment on all U.S. federal income tax consequences of the Merger or the issuance of the CVRs that may be relevant to particular U.S. Holders (defined below),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arrangements treated as partnerships for U.S. federal income tax purposes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or (vii) who have a functional currency for U.S. federal income tax purposes other than the U.S. dollar.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state, local or non-U.S. tax consequences of the Merger or the issuance of the CVRs, the Medicare tax on net investment income, U.S. federal estate and gift tax, any alternative minimum tax, the rules regarding qualified small business stock within the meaning of Section 1202 of the Code, or any other aspect of any U.S. federal tax other than the income tax. The discussion generally assumes that for U.S. federal income tax purposes, none of the Merger or the issuance of the CVRs will be integrated or otherwise treated as part of a unified transaction with any other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our Common Stock who is: (i) an individual who is a citizen or resident of the United States; (ii) a corporation (or other entity taxable as a corporation for U.S. federal income tax purposes) created or organized in the United States or under the laws of the United States or any subdivision thereof; (iii) an estate the income of which is includible in gross income for U.S. federal income tax purposes regardless of its source; or (iv) a trust (other than a grantor trust) if (A) a court within the United States is able to exercise primary supervision over the administration of the trust and one or more U.S. persons have the authority to control all substantial decisions of the trust or (B) it has a valid election in effect under applicable U.S. Treasury regulations to be treated as a U.S. person (“U.S. Holder”).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OF OUR COMMON STOCK ARE ADVISED AND EXPECTED TO CONSULT THEIR TAX ADVISORS REGARDING THE U.S. FEDERAL INCOME TAX CONSEQUENCES OF THE MERGER AND THE ISSUANCE OF THE CVRS IN LIGHT OF THEIR PERSONAL CIRCUMSTANCES AND THE CONSEQUENCES OF THE MERGER AND THE ISSUANCE OF THE CVRS UNDER STATE, LOCAL AND NON-U.S. TAX LAWS.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Old Cartesian intend for the First Merger together with the Second Merger to qualify as a reorganization within the meaning of Section 368(a) of the Code. Each of we and Old Cartesian agreed to not permit or cause any of our or Old Cartesian’s affiliates to, take any action, or fail to take or cause to be taken any action, which would reasonably be expected to prevent or impede the First Merger together with the Second Merger from qualifying as a reorganization under Section 368(a) of the Code. Because of the form of the Merger, U.S. Holders, as of immediately prior to the First Merger, did not sell, exchange or dispose of any shares of Common Stock as a result of the Merger. Thus, there will be no material U.S. federal income tax consequences to our stockholders, as of immediately prior to the Merger, as a result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26" w:name="DSPFPageBreakArea42"/>
      <w:bookmarkStart w:id="227" w:name="DSPFPageBreakArea42"/>
      <w:bookmarkEnd w:id="22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28" w:name="DSPFPageBreak42"/>
      <w:bookmarkStart w:id="229" w:name="DSPFPageBreak42"/>
      <w:bookmarkEnd w:id="22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0" w:name="ny20014884x5_pre14a_112-tax_pg2"/>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CVRs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is substantial uncertainty as to the U.S. federal income tax treatment of the CVRs issued pursuant to the CVR Agreement because the amount, if any, of contingent payments that may be received, as well as the timing of any such receipt, depends entirely on an uncertain condition, situation, or set of circumstances that future events will ultimately resolve. Specifically, there is no authority directly addressing whether the issuance of contingent value rights with characteristics similar to the CVRs should be treated as a distribution of property with respect to the corporation’s stock or an “open transaction” for U.S. federal income tax purposes. As a result, it is not possible to express a definitive conclusion as to the tax treatment of the receipt of the CVRs or future payments on the CVRs. U.S. Holders should consult their tax advisors with respect to the proper characterization of the receipt of the CVRs and any future payments thereunder.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issuance of the CVRs is treated as a distribution of property, each U.S. Holder will be treated as receiving a distribution in an amount equal to the fair market value of the CVRs issued to such U.S. Holder on the date of the issuance. This distribution generally should be treated as a taxable dividend to the extent of the U.S. Holder’s pro rata share of our current or accumulated earnings and profits (as determined for U.S. federal income tax purposes), and, to the extent that the value of the CVR exceeds such share of our current and accumulated earnings and profits, first as a non-taxable return of capital to the extent of the U.S. Holder’s basis in its Common Stock and thereafter, as capital gain from the sale or exchange of Common Stock with respect to any remaining value. A U.S. Holder’s initial tax basis in each CVR will equal the fair market value of such CVR on the date of its issuance. The holding period of such CVRs will begin on the day after the date of issuance. In addition, if we treat the issuance of the CVRs as a distribution of property, we will deliver to U.S. Holders a Form 1099-DIV notifying them of the portion of the CVR value that is treated as a dividend for U.S. federal income tax purposes. The Company intends to take the position that the issuance of the CVRs is treated as a distribution of property for U.S. federal income tax purposes.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value of the CVRs on the closing date cannot be “reasonably ascertained”, the receipt of CVRs may be treated under the “open transaction” method of accounting for U.S. federal income tax purposes. Under such treatment, a U.S. Holder will not immediately take the value of the CVRs distributed to the holder into income in determining whether such holder has recognized gain, if any, on the receipt of the CVRs. Accordingly, the U.S. holder would not have any initial tax basis in the CVRs. Rather, the U.S. Holder’s U.S. federal income tax consequences would be determined based on whether the CVRs were treated as a distribution of property, or as debt or equity, at the time the payments with respect to the CVRs are received or deemed received in accordance with the U.S. Holder’s regular method of accounting. As mentioned above, the Company intends to take the position that the issuance of the CVRs is treated as a distribution of property for U.S. federal income tax purposes, and not as an “open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treatment of future payments received by a U.S. Holder in respect of a CVR is uncertain. It is possible that payments received with respect to a CVR, up to the amount of the U.S. Holder’s adjusted tax basis in the CVR, will be treated as a non-taxable recovery of such U.S. Holder’s adjusted tax basis in the CVR and that any amount received in excess of such tax basis will be treated as gain from the disposition of the CVR. In that event, the gain would be long-term capital gain if the U.S. Holder’s holding period of the CVR exceeds one year at the time of such payment. Payments with respect to a CVR may also be treated as ordinary income. U.S. Holders should consult their tax advisors with respect to the proper characterization of any future payments under the CVR Agreement.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PLEASE CONSULT YOUR TAX ADVISOR WITH RESPECT TO THE PROPER CHARACTERIZATION OF THE RECEIPT OF THE CVRs AND FUTURE PAYMENTS THEREON.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31" w:name="DSPFPageBreakArea43"/>
      <w:bookmarkStart w:id="232" w:name="DSPFPageBreakArea43"/>
      <w:bookmarkEnd w:id="23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33" w:name="DSPFPageBreak43"/>
      <w:bookmarkStart w:id="234" w:name="DSPFPageBreak43"/>
      <w:bookmarkEnd w:id="23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5" w:name="ny20014884x5_pre14a_113-risk_pg1"/>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6" w:name="tRF"/>
      <w:bookmarkEnd w:id="236"/>
      <w:r>
        <w:rPr>
          <w:rFonts w:ascii="Times New Roman;Times;serif" w:hAnsi="Times New Roman;Times;serif"/>
          <w:b/>
          <w:color w:val="000000"/>
          <w:sz w:val="20"/>
        </w:rPr>
        <w:t>RISK FACTORS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Investing in our Common Stock involves a high degree of risk. You should consider carefully the risks described below, together with the other information included or incorporated by reference in this proxy statement.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Development of our Product Candidates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mRNA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 </w:t>
      </w:r>
    </w:p>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design, initiation and completion of preclinical studies and clinical trials with positive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reliance on third parties, including but not limited to collaborators, licensees, clinical research organizations and contract manufacturing organizations;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marketing approvals from applicable regulatory authorities;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and maintaining patent and trade secret protection and regulatory exclusivity for our product candidates and not infringing or violating patents or other intellectual property of third parties; </w:t>
            </w:r>
          </w:p>
        </w:tc>
      </w:tr>
    </w:tbl>
    <w:tbl>
      <w:tblPr>
        <w:tblW w:w="9475" w:type="dxa"/>
        <w:jc w:val="left"/>
        <w:tblInd w:w="0" w:type="dxa"/>
        <w:tblLayout w:type="fixed"/>
        <w:tblCellMar>
          <w:top w:w="0" w:type="dxa"/>
          <w:left w:w="0" w:type="dxa"/>
          <w:bottom w:w="0" w:type="dxa"/>
          <w:right w:w="0" w:type="dxa"/>
        </w:tblCellMar>
      </w:tblPr>
      <w:tblGrid>
        <w:gridCol w:w="110"/>
        <w:gridCol w:w="9365"/>
      </w:tblGrid>
      <w:tr>
        <w:trPr/>
        <w:tc>
          <w:tcPr>
            <w:tcW w:w="11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manufacturability, manufacturing, logistics, and stability of our cell therapies, including autologous cell therapies;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growing our internal current Good Manufacturing Practice (“cGMP”) manufacturing capabilities to support commercial manufacturing or making arrangements with third-party manufacturers; </w:t>
            </w:r>
          </w:p>
        </w:tc>
      </w:tr>
    </w:tbl>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launching commercial sales of our products, if and when approved, whether alone or in collaboration with others;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acceptance of our products, if and when approved, by patients and the medical community;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effectively competing with other therapies;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and maintaining coverage and adequate reimbursement by third-party payors, including government payors, for our products, if approved;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maintaining an acceptable safety profile of our products following approval;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maintaining and growing an organization of scientists and businesspeople who can develop and commercialize our product candidates and technology.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failure to successfully execute on of any of the foregoing for any reason would effectively prevent or delay approval of our lead and other product candidates.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37" w:name="DSPFPageBreakArea44"/>
      <w:bookmarkStart w:id="238" w:name="DSPFPageBreakArea44"/>
      <w:bookmarkEnd w:id="23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39" w:name="DSPFPageBreak44"/>
      <w:bookmarkStart w:id="240" w:name="DSPFPageBreak44"/>
      <w:bookmarkEnd w:id="24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1" w:name="ny20014884x5_pre14a_113-risk_pg2"/>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 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Food and Drug Administration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experience numerous unforeseen events during, or as a result of, clinical trials that could delay or prevent our ability to receive marketing approval for, or commercialize, our product candidates, including: </w:t>
      </w:r>
    </w:p>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of our product candidates may produce unfavorable, incomplete or inconclusive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be unable to manufacture our product candidates, which in some cases such as mRNA CAR-T, are manufactured on a patient-by-patient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regulators or institutional review boards may not authorize us or our investigators to commence a clinical trial or conduct a clinical trial at a prospective trial site or may place a clinical hold on existing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experience delays in reaching, or fail to reach, agreement on acceptable terms with contract research organizations (“CROs”), or clinical trial sites;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42" w:name="DSPFPageBreakArea45"/>
      <w:bookmarkStart w:id="243" w:name="DSPFPageBreakArea45"/>
      <w:bookmarkEnd w:id="24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44" w:name="DSPFPageBreak45"/>
      <w:bookmarkStart w:id="245" w:name="DSPFPageBreak45"/>
      <w:bookmarkEnd w:id="24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6" w:name="ny20014884x5_pre14a_113-risk_pg3"/>
        <w:bookmarkEnd w:id="2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clinical trial sites required for clinical trials of our product candidates may be larger than we expect;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third-party contractors may fail to comply with regulatory requirements or meet their contractual obligations to us in a timely manner,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have to suspend or terminate clinical trials of our product candidates for various reasons, including a finding that the participants are being exposed to unacceptable health risks;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investigators, regulators, data safety monitoring boards or institutional review boards may require that we or our investigators suspend or terminate clinical research, or we may decide to do so ourselves;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investigators may deviate from the trial protocol, fail to conduct the trial in accordance with regulatory requirements or misreport study data;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clinical trials of our product candidates may be greater than we expect or we may have insufficient resources to pursue or complete certain aspects of our clinical trial programs or to do so within the timeframe we planned;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laboratories that we rely upon to perform certain quality control tests may become unavailable, or their services could be delayed; </w:t>
            </w:r>
          </w:p>
        </w:tc>
      </w:tr>
    </w:tbl>
    <w:tbl>
      <w:tblPr>
        <w:tblW w:w="10195" w:type="dxa"/>
        <w:jc w:val="left"/>
        <w:tblInd w:w="0" w:type="dxa"/>
        <w:tblLayout w:type="fixed"/>
        <w:tblCellMar>
          <w:top w:w="0" w:type="dxa"/>
          <w:left w:w="0" w:type="dxa"/>
          <w:bottom w:w="0" w:type="dxa"/>
          <w:right w:w="0" w:type="dxa"/>
        </w:tblCellMar>
      </w:tblPr>
      <w:tblGrid>
        <w:gridCol w:w="110"/>
        <w:gridCol w:w="10085"/>
      </w:tblGrid>
      <w:tr>
        <w:trPr/>
        <w:tc>
          <w:tcPr>
            <w:tcW w:w="110" w:type="dxa"/>
            <w:tcBorders/>
            <w:vAlign w:val="center"/>
          </w:tcPr>
          <w:p>
            <w:pPr>
              <w:pStyle w:val="TableContents"/>
              <w:bidi w:val="0"/>
              <w:spacing w:before="0" w:after="0"/>
              <w:jc w:val="left"/>
              <w:rPr>
                <w:color w:val="000000"/>
              </w:rPr>
            </w:pPr>
            <w:r>
              <w:rPr>
                <w:color w:val="000000"/>
              </w:rPr>
              <w:t>•</w:t>
            </w:r>
          </w:p>
        </w:tc>
        <w:tc>
          <w:tcPr>
            <w:tcW w:w="10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regulators may revise the requirements for approving our product candidates, or such requirements may not be as we expect;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regarding trials managed by our existing or any future collaborators, our collaborators may face any of the above issues, and may conduct clinical trials in ways they view as advantageous to them but potentially suboptimal for us; and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events may affect international and overseas trial sites in ways beyond our control.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 </w:t>
      </w:r>
    </w:p>
    <w:tbl>
      <w:tblPr>
        <w:tblW w:w="6640" w:type="dxa"/>
        <w:jc w:val="left"/>
        <w:tblInd w:w="0" w:type="dxa"/>
        <w:tblLayout w:type="fixed"/>
        <w:tblCellMar>
          <w:top w:w="0" w:type="dxa"/>
          <w:left w:w="0" w:type="dxa"/>
          <w:bottom w:w="0" w:type="dxa"/>
          <w:right w:w="0" w:type="dxa"/>
        </w:tblCellMar>
      </w:tblPr>
      <w:tblGrid>
        <w:gridCol w:w="110"/>
        <w:gridCol w:w="6530"/>
      </w:tblGrid>
      <w:tr>
        <w:trPr/>
        <w:tc>
          <w:tcPr>
            <w:tcW w:w="110" w:type="dxa"/>
            <w:tcBorders/>
            <w:vAlign w:val="center"/>
          </w:tcPr>
          <w:p>
            <w:pPr>
              <w:pStyle w:val="TableContents"/>
              <w:bidi w:val="0"/>
              <w:spacing w:before="0" w:after="0"/>
              <w:jc w:val="left"/>
              <w:rPr>
                <w:color w:val="000000"/>
              </w:rPr>
            </w:pPr>
            <w:r>
              <w:rPr>
                <w:color w:val="000000"/>
              </w:rPr>
              <w:t>•</w:t>
            </w:r>
          </w:p>
        </w:tc>
        <w:tc>
          <w:tcPr>
            <w:tcW w:w="6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delayed in obtaining marketing approval for our product candidates, if at all;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marketing approval in some countries and not in others; </w:t>
            </w:r>
          </w:p>
        </w:tc>
      </w:tr>
    </w:tbl>
    <w:tbl>
      <w:tblPr>
        <w:tblW w:w="8095" w:type="dxa"/>
        <w:jc w:val="left"/>
        <w:tblInd w:w="0" w:type="dxa"/>
        <w:tblLayout w:type="fixed"/>
        <w:tblCellMar>
          <w:top w:w="0" w:type="dxa"/>
          <w:left w:w="0" w:type="dxa"/>
          <w:bottom w:w="0" w:type="dxa"/>
          <w:right w:w="0" w:type="dxa"/>
        </w:tblCellMar>
      </w:tblPr>
      <w:tblGrid>
        <w:gridCol w:w="110"/>
        <w:gridCol w:w="7985"/>
      </w:tblGrid>
      <w:tr>
        <w:trPr/>
        <w:tc>
          <w:tcPr>
            <w:tcW w:w="11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approval for indications or patient populations that are not as broad as intended or desired;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approval with labeling that includes significant use or distribution restrictions or safety warnings;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subject to additional post-marketing testing requirements; or </w:t>
            </w:r>
          </w:p>
        </w:tc>
      </w:tr>
    </w:tbl>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a product removed from the market after obtaining marketing approval.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47" w:name="DSPFPageBreakArea46"/>
      <w:bookmarkStart w:id="248" w:name="DSPFPageBreakArea46"/>
      <w:bookmarkEnd w:id="24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49" w:name="DSPFPageBreak46"/>
      <w:bookmarkStart w:id="250" w:name="DSPFPageBreak46"/>
      <w:bookmarkEnd w:id="25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1" w:name="ny20014884x5_pre14a_113-risk_pg4"/>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institutional review boards (“IRBs”) for reexamination, which may impact the costs, timing or successful completion of a clinical trial.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we experience delays or difficulties in the enrollment of patients in clinical trials, our receipt of necessary regulatory approvals could be delayed or prevented.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conduct clinical trials for product candidates at sites outside the United States, and the FDA may not accept data from trials conducted in such locations or the complexity of regulatory burdens may otherwise adversely impact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 risks inherent in conducting international clinical trials include: </w:t>
      </w:r>
    </w:p>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foreign regulatory requirements that could burden or limit our ability to conduct our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costs and heightened supply constraints associated with the acquisition of standard of care drugs and/or combination or comparator agents for which we may bear responsibility in certain jurisdictions; </w:t>
            </w:r>
          </w:p>
        </w:tc>
      </w:tr>
    </w:tbl>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administrative burdens of conducting clinical trials under multiple foreign regulatory schema;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52" w:name="DSPFPageBreakArea47"/>
      <w:bookmarkStart w:id="253" w:name="DSPFPageBreakArea47"/>
      <w:bookmarkEnd w:id="25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54" w:name="DSPFPageBreak47"/>
      <w:bookmarkStart w:id="255" w:name="DSPFPageBreak47"/>
      <w:bookmarkEnd w:id="25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6" w:name="ny20014884x5_pre14a_113-risk_pg5"/>
        <w:bookmarkEnd w:id="256"/>
        <w:r>
          <w:rPr>
            <w:rStyle w:val="InternetLink"/>
            <w:rFonts w:ascii="Times New Roman;Times;Serif" w:hAnsi="Times New Roman;Times;Serif"/>
            <w:b/>
            <w:caps w:val="false"/>
            <w:smallCaps w:val="false"/>
            <w:color w:val="000000"/>
            <w:sz w:val="16"/>
          </w:rPr>
          <w:t>TABLE OF CONTENTS</w:t>
        </w:r>
      </w:hyperlink>
    </w:p>
    <w:tbl>
      <w:tblPr>
        <w:tblW w:w="2665" w:type="dxa"/>
        <w:jc w:val="left"/>
        <w:tblInd w:w="0" w:type="dxa"/>
        <w:tblLayout w:type="fixed"/>
        <w:tblCellMar>
          <w:top w:w="0" w:type="dxa"/>
          <w:left w:w="0" w:type="dxa"/>
          <w:bottom w:w="0" w:type="dxa"/>
          <w:right w:w="0" w:type="dxa"/>
        </w:tblCellMar>
      </w:tblPr>
      <w:tblGrid>
        <w:gridCol w:w="110"/>
        <w:gridCol w:w="2555"/>
      </w:tblGrid>
      <w:tr>
        <w:trPr/>
        <w:tc>
          <w:tcPr>
            <w:tcW w:w="110" w:type="dxa"/>
            <w:tcBorders/>
            <w:vAlign w:val="center"/>
          </w:tcPr>
          <w:p>
            <w:pPr>
              <w:pStyle w:val="TableContents"/>
              <w:bidi w:val="0"/>
              <w:spacing w:before="0" w:after="0"/>
              <w:jc w:val="left"/>
              <w:rPr>
                <w:color w:val="000000"/>
              </w:rPr>
            </w:pPr>
            <w:r>
              <w:rPr>
                <w:color w:val="000000"/>
              </w:rPr>
              <w:t>•</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foreign exchange fluctuations;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more burdensome manufacturing, customs, shipment and storage requirements;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cultural differences in medical practice and clinical research;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lack of consistency in standard of care from country to country;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diminished protection of intellectual property in some countries;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country or regional regulatory requirements;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instability or wars in regions outside of the United States where we conduct clinical trials may impact ongoing clinical trials. </w:t>
            </w:r>
          </w:p>
        </w:tc>
      </w:tr>
    </w:tbl>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by the FDA for the treatment of myasthenia gravis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 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 Interim, top-line or preliminary data may not be representative of final data. If final data is not as positive as earlier interim, top-line or preliminary we have released, our business prospects would be significantly harmed.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57" w:name="DSPFPageBreakArea48"/>
      <w:bookmarkStart w:id="258" w:name="DSPFPageBreakArea48"/>
      <w:bookmarkEnd w:id="25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59" w:name="DSPFPageBreak48"/>
      <w:bookmarkStart w:id="260" w:name="DSPFPageBreak48"/>
      <w:bookmarkEnd w:id="26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1" w:name="ny20014884x5_pre14a_113-risk_pg6"/>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product candidates may cause undesirable side effects or have other properties that could delay or prevent their regulatory approval, limit the commercial profile of an approved label, or result in significant negative consequences following marketing approval, if 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28,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on January 22, 2024, the FDA announced it would require a so-called “boxed warning” be added to the prescribing information for all six 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 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if one or more of our product candidates receives marketing approval, and we or others later identify undesirable side effects caused by such products, a number of potentially significant negative consequences could result, including: </w:t>
      </w:r>
    </w:p>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authorities may withdraw approvals of such product;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authorities may require the addition of labeling statements, such as a boxed warning or a contraindication;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authorities may impose additional restrictions on the marketing of, or the manufacturing processes for, the particular product;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be required to create a medication guide outlining the risks of such side effects for distribution to patients;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could be sued and held liable for harm caused to patients, or become subject to fines, injunctions or the imposition of civil or criminal penalties; </w:t>
            </w:r>
          </w:p>
        </w:tc>
      </w:tr>
    </w:tbl>
    <w:tbl>
      <w:tblPr>
        <w:tblW w:w="2620" w:type="dxa"/>
        <w:jc w:val="left"/>
        <w:tblInd w:w="0" w:type="dxa"/>
        <w:tblLayout w:type="fixed"/>
        <w:tblCellMar>
          <w:top w:w="0" w:type="dxa"/>
          <w:left w:w="0" w:type="dxa"/>
          <w:bottom w:w="0" w:type="dxa"/>
          <w:right w:w="0" w:type="dxa"/>
        </w:tblCellMar>
      </w:tblPr>
      <w:tblGrid>
        <w:gridCol w:w="110"/>
        <w:gridCol w:w="2510"/>
      </w:tblGrid>
      <w:tr>
        <w:trPr/>
        <w:tc>
          <w:tcPr>
            <w:tcW w:w="110" w:type="dxa"/>
            <w:tcBorders/>
            <w:vAlign w:val="center"/>
          </w:tcPr>
          <w:p>
            <w:pPr>
              <w:pStyle w:val="TableContents"/>
              <w:bidi w:val="0"/>
              <w:spacing w:before="0" w:after="0"/>
              <w:jc w:val="left"/>
              <w:rPr>
                <w:color w:val="000000"/>
              </w:rPr>
            </w:pPr>
            <w:r>
              <w:rPr>
                <w:color w:val="000000"/>
              </w:rPr>
              <w:t>•</w:t>
            </w:r>
          </w:p>
        </w:tc>
        <w:tc>
          <w:tcPr>
            <w:tcW w:w="2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reputation may suffer;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could be required to develop a risk evaluation and mitigation strategies (“REMS”) plan to prevent, monitor and/or manage a specific serious risk by informing, educating and/or reinforcing actions to reduce the frequency and/or severity of the event.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62" w:name="DSPFPageBreakArea49"/>
      <w:bookmarkStart w:id="263" w:name="DSPFPageBreakArea49"/>
      <w:bookmarkEnd w:id="26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64" w:name="DSPFPageBreak49"/>
      <w:bookmarkStart w:id="265" w:name="DSPFPageBreak49"/>
      <w:bookmarkEnd w:id="26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6" w:name="ny20014884x5_pre14a_113-risk_pg7"/>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of these events could prevent us from achieving or maintaining market acceptance of a particular product candidate, if approved, and could significantly harm our business, results of operations and prospects.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Manufacturing and our Dependence on Third Parties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to continue to grow our manufacturing capabilities and resources and we must incur significant costs to develop this expertise and/or rely on third parties to manufacture our products.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autologous cell therapy product candidates, including Descartes-08, are made on a patient-by-patient basis, rendering their manufacture less predictable and requiring more demanding logistics.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rely on one or more third-party laboratories to perform certain quality control tests. These laboratories could become unavailable, or provision of their services could be delayed.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(“CMOs”) to supply our product candidates, any delays or disruptions in supply could have a material adverse impact on the research and development activities and potential commercialization of our or our partners’ product candidates.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or our current or future collaborators may not be able to initiate or continue clinical trials of product candidates that are under development;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or our current or future collaborators may be delayed in submitting regulatory applications, or receiving regulatory approvals, for our product candidates;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lose the cooperation of our collaborators;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facilities and those of our CMOs, and our products could be the subject of inspections by regulatory authorities that could have a negative outcome and result in delays in supply;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67" w:name="DSPFPageBreakArea50"/>
      <w:bookmarkStart w:id="268" w:name="DSPFPageBreakArea50"/>
      <w:bookmarkEnd w:id="26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69" w:name="DSPFPageBreak50"/>
      <w:bookmarkStart w:id="270" w:name="DSPFPageBreak50"/>
      <w:bookmarkEnd w:id="27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1" w:name="ny20014884x5_pre14a_113-risk_pg8"/>
        <w:bookmarkEnd w:id="2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be required to cease distribution or recall some or all batches of our products or take action to recover clinical trial material from clinical trial sites; and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ultimately, we may not be able to meet the clinical and commercial demands for our products.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enter into future collaborations and licensing arrangements, our business could be adversely affected.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rely, and expect to continue to rely, on third parties to conduct our clinical trials, and those third parties may not perform satisfactorily, including by failing to meet deadlines for the completion of such trials.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rely, and expect to continue to rely, on third parties, such as CROs, clinical data management organizations, medical institutions and clinical investigators, to conduct and manage our clinical trials, including our ongoing Phase 1/2 clinical trial of Descartes-08. We also expect to rely on other third parties to store and distribute drug supplies for our clinical trials.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Commercialization of our Product Candidates and Legal Compliance Matters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any of our product candidates receives marketing approval, it may fail to achieve the degree of market acceptance by physicians, patients, third-party payors and others in the medical community necessary for commercial success.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 </w:t>
      </w:r>
    </w:p>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efficacy, safety and potential advantages compared to alternative treatments;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manufacture and distribute cell therapies in a timely and secure manner;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72" w:name="DSPFPageBreakArea51"/>
      <w:bookmarkStart w:id="273" w:name="DSPFPageBreakArea51"/>
      <w:bookmarkEnd w:id="27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74" w:name="DSPFPageBreak51"/>
      <w:bookmarkStart w:id="275" w:name="DSPFPageBreak51"/>
      <w:bookmarkEnd w:id="27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6" w:name="ny20014884x5_pre14a_113-risk_pg9"/>
        <w:bookmarkEnd w:id="276"/>
        <w:r>
          <w:rPr>
            <w:rStyle w:val="InternetLink"/>
            <w:rFonts w:ascii="Times New Roman;Times;Serif" w:hAnsi="Times New Roman;Times;Serif"/>
            <w:b/>
            <w:caps w:val="false"/>
            <w:smallCaps w:val="false"/>
            <w:color w:val="000000"/>
            <w:sz w:val="16"/>
          </w:rPr>
          <w:t>TABLE OF CONTENTS</w:t>
        </w:r>
      </w:hyperlink>
    </w:p>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offer our products for sale at competitive prices;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convenience and ease of administration compared to alternative treatments;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labeling or product insert requirements of the FDA or foreign regulatory authorities, including any limitations or warnings contained in a product’s approved labeling, including any black box warning or REMS;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willingness of the target patient population to try new treatments and of physicians to prescribe these treatments;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hire and retain a sales force; </w:t>
            </w:r>
          </w:p>
        </w:tc>
      </w:tr>
    </w:tbl>
    <w:tbl>
      <w:tblPr>
        <w:tblW w:w="4285" w:type="dxa"/>
        <w:jc w:val="left"/>
        <w:tblInd w:w="0" w:type="dxa"/>
        <w:tblLayout w:type="fixed"/>
        <w:tblCellMar>
          <w:top w:w="0" w:type="dxa"/>
          <w:left w:w="0" w:type="dxa"/>
          <w:bottom w:w="0" w:type="dxa"/>
          <w:right w:w="0" w:type="dxa"/>
        </w:tblCellMar>
      </w:tblPr>
      <w:tblGrid>
        <w:gridCol w:w="110"/>
        <w:gridCol w:w="4175"/>
      </w:tblGrid>
      <w:tr>
        <w:trPr/>
        <w:tc>
          <w:tcPr>
            <w:tcW w:w="11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strength of marketing and distribution support;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third-party coverage and adequate reimbursement for our product candidates, once approved;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prevalence and severity of any side effects; and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restrictions on the use of our products together with other medications. </w:t>
            </w:r>
          </w:p>
        </w:tc>
      </w:tr>
    </w:tbl>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face substantial competition, including from biosimilars, which may result in others discovering, developing or commercializing competing products before or more successfully than we do.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77" w:name="DSPFPageBreakArea52"/>
      <w:bookmarkStart w:id="278" w:name="DSPFPageBreakArea52"/>
      <w:bookmarkEnd w:id="27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79" w:name="DSPFPageBreak52"/>
      <w:bookmarkStart w:id="280" w:name="DSPFPageBreak52"/>
      <w:bookmarkEnd w:id="28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1" w:name="ny20014884x5_pre14a_113-risk_pg10"/>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third-party payors seeking to encourage the use of generic or biosimilar products.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the product candidates we develop will be regulated as biological products, or biologics, and therefore they may be subject to competition sooner than anticipated.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Biologics Price Competition and Innovation Act of 2009 (the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biologics license application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we are able to commercialize any of our product candidates, the products may become subject to unfavorable pricing regulations or third-party coverage or reimbursement policies, any of which would have a material adverse effect on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82" w:name="DSPFPageBreakArea53"/>
      <w:bookmarkStart w:id="283" w:name="DSPFPageBreakArea53"/>
      <w:bookmarkEnd w:id="28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84" w:name="DSPFPageBreak53"/>
      <w:bookmarkStart w:id="285" w:name="DSPFPageBreak53"/>
      <w:bookmarkEnd w:id="28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6" w:name="ny20014884x5_pre14a_113-risk_pg11"/>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Product liability lawsuits against us could cause us to incur substantial liabilities and limit commercialization of any products that we may develop.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 </w:t>
      </w:r>
    </w:p>
    <w:tbl>
      <w:tblPr>
        <w:tblW w:w="8890" w:type="dxa"/>
        <w:jc w:val="left"/>
        <w:tblInd w:w="0" w:type="dxa"/>
        <w:tblLayout w:type="fixed"/>
        <w:tblCellMar>
          <w:top w:w="0" w:type="dxa"/>
          <w:left w:w="0" w:type="dxa"/>
          <w:bottom w:w="0" w:type="dxa"/>
          <w:right w:w="0" w:type="dxa"/>
        </w:tblCellMar>
      </w:tblPr>
      <w:tblGrid>
        <w:gridCol w:w="110"/>
        <w:gridCol w:w="8780"/>
      </w:tblGrid>
      <w:tr>
        <w:trPr/>
        <w:tc>
          <w:tcPr>
            <w:tcW w:w="11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investigations, product recalls or withdrawals, or labeling, marketing or promotional restrictions;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decreased demand for any product candidates or products that we may develop;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injury to our reputation and significant negative media attention; </w:t>
            </w:r>
          </w:p>
        </w:tc>
      </w:tr>
    </w:tbl>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of clinical trial participants or increased difficulty in enrolling future participants;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significant costs to defend the related litigation or to reach a settlement;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substantial payments to trial participants or patients;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of revenue;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reduced resources of our management to pursue our business strategy;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to commercialize any products that we may develop;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distraction of management’s attention from our primary business; and </w:t>
            </w:r>
          </w:p>
        </w:tc>
      </w:tr>
    </w:tbl>
    <w:tbl>
      <w:tblPr>
        <w:tblW w:w="4915" w:type="dxa"/>
        <w:jc w:val="left"/>
        <w:tblInd w:w="0" w:type="dxa"/>
        <w:tblLayout w:type="fixed"/>
        <w:tblCellMar>
          <w:top w:w="0" w:type="dxa"/>
          <w:left w:w="0" w:type="dxa"/>
          <w:bottom w:w="0" w:type="dxa"/>
          <w:right w:w="0" w:type="dxa"/>
        </w:tblCellMar>
      </w:tblPr>
      <w:tblGrid>
        <w:gridCol w:w="110"/>
        <w:gridCol w:w="4805"/>
      </w:tblGrid>
      <w:tr>
        <w:trPr/>
        <w:tc>
          <w:tcPr>
            <w:tcW w:w="110" w:type="dxa"/>
            <w:tcBorders/>
            <w:vAlign w:val="center"/>
          </w:tcPr>
          <w:p>
            <w:pPr>
              <w:pStyle w:val="TableContents"/>
              <w:bidi w:val="0"/>
              <w:spacing w:before="0" w:after="0"/>
              <w:jc w:val="left"/>
              <w:rPr>
                <w:color w:val="000000"/>
              </w:rPr>
            </w:pPr>
            <w:r>
              <w:rPr>
                <w:color w:val="000000"/>
              </w:rPr>
              <w:t>•</w:t>
            </w:r>
          </w:p>
        </w:tc>
        <w:tc>
          <w:tcPr>
            <w:tcW w:w="4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substantial monetary awards to patients or other claimants.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general liability, product liability and umbrella liability insurance. Our existing insurance coverage may not fully cover potential liabilities that we may incur. We may need to increase our insurance coverage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87" w:name="DSPFPageBreakArea54"/>
      <w:bookmarkStart w:id="288" w:name="DSPFPageBreakArea54"/>
      <w:bookmarkEnd w:id="28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89" w:name="DSPFPageBreak54"/>
      <w:bookmarkStart w:id="290" w:name="DSPFPageBreak54"/>
      <w:bookmarkEnd w:id="29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1" w:name="ny20014884x5_pre14a_113-risk_pg12"/>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Health Insurance Portability and Accountability Act of 1996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HIPAA, as amended by the Health Information Technology for Economic Clinical Health Act of 2009 and its implementing regulations, which also imposes obligations, including mandatory contractual terms, on certain types of people and entities with respect to safeguarding the privacy, security and transmission of individually identifiable health information;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federal Physician Payments Sunshine Act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data privacy and price transparency laws, many of which differ from each other in significant ways and often are broader than and not preempted by HIPAA or the Sunshine Act, thus complicating compliance efforts; by way of example, the California Consumer Privacy Act (“CCPA”) which went into effect January 1, 2020, among other things, creates new data privacy obligations for covered companies and provides new privacy rights to California residents, including the right to opt out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92" w:name="DSPFPageBreakArea55"/>
      <w:bookmarkStart w:id="293" w:name="DSPFPageBreakArea55"/>
      <w:bookmarkEnd w:id="29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94" w:name="DSPFPageBreak55"/>
      <w:bookmarkStart w:id="295" w:name="DSPFPageBreak55"/>
      <w:bookmarkEnd w:id="29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6" w:name="ny20014884x5_pre14a_113-risk_pg13"/>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enacted and future legislation may increase the difficulty and cost for us to obtain marketing approval of and commercialize our product candidates and affect the prices we may obtain.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example, the Patient Protection and Affordable Care Act of 2010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 its enactment, there have been judicial and Congressional challenges to certain aspects of the ACA. We cannot predict the ultimate content, timing or effect of any healthcare reform legislation or the impact of potential legislation on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97" w:name="DSPFPageBreakArea56"/>
      <w:bookmarkStart w:id="298" w:name="DSPFPageBreakArea56"/>
      <w:bookmarkEnd w:id="29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99" w:name="DSPFPageBreak56"/>
      <w:bookmarkStart w:id="300" w:name="DSPFPageBreak56"/>
      <w:bookmarkEnd w:id="30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1" w:name="ny20014884x5_pre14a_113-risk_pg14"/>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(the “FCPA”), the U.S. domestic bribery statute contained in 18 U.S.C. § 201, the U.S. Travel Act, the Uniting and Strengthening America by Providing Appropriate Tools Required to Intercept and Obstruct Terrorism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we or third parties we rely upon fail to comply with environmental, health and safety laws and regulations, we could become subject to fines or penalties or incur costs that could have a material adverse effect on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02" w:name="DSPFPageBreakArea57"/>
      <w:bookmarkStart w:id="303" w:name="DSPFPageBreakArea57"/>
      <w:bookmarkEnd w:id="30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04" w:name="DSPFPageBreak57"/>
      <w:bookmarkStart w:id="305" w:name="DSPFPageBreak57"/>
      <w:bookmarkEnd w:id="30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6" w:name="ny20014884x5_pre14a_113-risk_pg15"/>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Financial Position and Need for Additional Capital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are a development-stage company and have incurred significant losses since our inception. We expect to incur losses for the foreseeable future and may never achieve or maintain profitability.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for the year ended December 31, 2022, we have incurred significant operating losses since our inception. Our net income was $35.4 million for the year ended December 31, 2022, and net losses were $25.7 million and $68.9 million for each of the years ended December 31, 2021 and 2020, respectively, and were $9.0 million for the quarter ended September 30, 2023. As of September 30, 2023, we had an accumulated deficit of $437.0 million. To date, we have financed our operations primarily through public offerings and private placements of our securities, funding received from collaboration and license arrangements and our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 </w:t>
      </w:r>
    </w:p>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 the research and development of our product candidates; </w:t>
            </w:r>
          </w:p>
        </w:tc>
      </w:tr>
    </w:tbl>
    <w:tbl>
      <w:tblPr>
        <w:tblW w:w="5695" w:type="dxa"/>
        <w:jc w:val="left"/>
        <w:tblInd w:w="0" w:type="dxa"/>
        <w:tblLayout w:type="fixed"/>
        <w:tblCellMar>
          <w:top w:w="0" w:type="dxa"/>
          <w:left w:w="0" w:type="dxa"/>
          <w:bottom w:w="0" w:type="dxa"/>
          <w:right w:w="0" w:type="dxa"/>
        </w:tblCellMar>
      </w:tblPr>
      <w:tblGrid>
        <w:gridCol w:w="110"/>
        <w:gridCol w:w="5585"/>
      </w:tblGrid>
      <w:tr>
        <w:trPr/>
        <w:tc>
          <w:tcPr>
            <w:tcW w:w="11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and develop our manufacturing and distribution capacities;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discover and develop additional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to maintain and enter into collaboration, licensing and other agreements, including, but not limited to research and development, and/or commercialization agreements; </w:t>
            </w:r>
          </w:p>
        </w:tc>
      </w:tr>
    </w:tbl>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regulatory approvals for any product candidates that successfully complete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potentially establish a sales, marketing and distribution infrastructure and scale up internal manufacturing capabilities to commercialize any products for which we may obtain regulatory approval; </w:t>
            </w:r>
          </w:p>
        </w:tc>
      </w:tr>
    </w:tbl>
    <w:tbl>
      <w:tblPr>
        <w:tblW w:w="8890" w:type="dxa"/>
        <w:jc w:val="left"/>
        <w:tblInd w:w="0" w:type="dxa"/>
        <w:tblLayout w:type="fixed"/>
        <w:tblCellMar>
          <w:top w:w="0" w:type="dxa"/>
          <w:left w:w="0" w:type="dxa"/>
          <w:bottom w:w="0" w:type="dxa"/>
          <w:right w:w="0" w:type="dxa"/>
        </w:tblCellMar>
      </w:tblPr>
      <w:tblGrid>
        <w:gridCol w:w="110"/>
        <w:gridCol w:w="8780"/>
      </w:tblGrid>
      <w:tr>
        <w:trPr/>
        <w:tc>
          <w:tcPr>
            <w:tcW w:w="11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 expand and protect our intellectual property portfolio, including through licensing arrangements;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clinical, scientific, operational, financial and management information systems and personnel, including personnel to support our product development and potential future commercialization efforts;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any delays or encounter any issues with any of the above, including, but not limited to, failed studies, complex results, safety issues or other regulatory, manufacturing or scale-up challenges;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exposed to broad macroeconomic conditions including inflation and supply chain tightness which could result in us paying more, or being unable, to access goods and services.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07" w:name="DSPFPageBreakArea58"/>
      <w:bookmarkStart w:id="308" w:name="DSPFPageBreakArea58"/>
      <w:bookmarkEnd w:id="30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09" w:name="DSPFPageBreak58"/>
      <w:bookmarkStart w:id="310" w:name="DSPFPageBreak58"/>
      <w:bookmarkEnd w:id="31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1" w:name="ny20014884x5_pre14a_113-risk_pg16"/>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our existing cash, cash equivalents, and restricted cash as of September 30, 2023, combined with net proceeds from the Financing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future capital requirements will depend on many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for stockholder approval of the conversion of our Series A Preferred Stock into our Common Stock and any associated redemptions;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progress, results and costs of our clinical trials, preclinical development, manufacturing, laboratory testing and logistics;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product candidates that we pursue and the speed with which we pursue development; </w:t>
            </w:r>
          </w:p>
        </w:tc>
      </w:tr>
    </w:tbl>
    <w:tbl>
      <w:tblPr>
        <w:tblW w:w="3700" w:type="dxa"/>
        <w:jc w:val="left"/>
        <w:tblInd w:w="0" w:type="dxa"/>
        <w:tblLayout w:type="fixed"/>
        <w:tblCellMar>
          <w:top w:w="0" w:type="dxa"/>
          <w:left w:w="0" w:type="dxa"/>
          <w:bottom w:w="0" w:type="dxa"/>
          <w:right w:w="0" w:type="dxa"/>
        </w:tblCellMar>
      </w:tblPr>
      <w:tblGrid>
        <w:gridCol w:w="110"/>
        <w:gridCol w:w="3590"/>
      </w:tblGrid>
      <w:tr>
        <w:trPr/>
        <w:tc>
          <w:tcPr>
            <w:tcW w:w="11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headcount growth and associated costs;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regulatory review of our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and timing of future commercialization activities, including manufacturing, marketing, sales and distribution, for any of our product candidates for which we receive marketing approval;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12" w:name="DSPFPageBreakArea59"/>
      <w:bookmarkStart w:id="313" w:name="DSPFPageBreakArea59"/>
      <w:bookmarkEnd w:id="31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14" w:name="DSPFPageBreak59"/>
      <w:bookmarkStart w:id="315" w:name="DSPFPageBreak59"/>
      <w:bookmarkEnd w:id="31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6" w:name="ny20014884x5_pre14a_113-risk_pg17"/>
        <w:bookmarkEnd w:id="316"/>
        <w:r>
          <w:rPr>
            <w:rStyle w:val="InternetLink"/>
            <w:rFonts w:ascii="Times New Roman;Times;Serif" w:hAnsi="Times New Roman;Times;Serif"/>
            <w:b/>
            <w:caps w:val="false"/>
            <w:smallCaps w:val="false"/>
            <w:color w:val="000000"/>
            <w:sz w:val="16"/>
          </w:rPr>
          <w:t>TABLE OF CONTENTS</w:t>
        </w:r>
      </w:hyperlink>
    </w:p>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revenue, if any, from commercial sales of our product candidates for which we receive marketing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and timing of preparing, filing and prosecuting patent applications, maintaining and enforcing our intellectual property rights and defending any intellectual property-related claims;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 of competing technological and market developments;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we acquire or invest in businesses, products and technologies, including entering into licensing or collaboration arrangements for product candidates.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Certificate of Designation contains a provision granting each holder of the Series A Preferred Stock the option to require us to redeem any or all of such holder’s preferred shares if our stockholders have not voted to approve the conversion of the Series A Preferred Stock to Common Stock within 18 months of Closing; provided, however, that no holder will have the right to seek redemption of any shares of Series A Preferred Stock to the extent that such holder would otherwise be unable to convert such shares of Series A Preferred Stock due to the 19.9% Common Stock beneficial ownership limitation contained in the Certificate of Designation. The per-share redemption price is the average closing trading price of the Common Stock for the ten preceding trading days ending on, and including, the trading day immediately prior to the date a notice of conversion is delivered to us. We could be required to use a significant amount of our cash resources on hand to satisfy this redemption obligation, particularly if holders of Series A Preferred Stock exercise their redemption right with respect to a significant number of shares of Series A Preferred Stock or at a time when the trading price of our Common Stock is elevated. Further, in the event that we do not have sufficient cash on hand to satisfy our redemption obligations, we may need to raise additional capital to satisfy these potential obligations. Any redemption payments could materially limit the amount of cash we have available to fund our operations.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ability to use our net operating loss and research and development tax credit carryforwards to offset future taxable income may be subject to certain limitations.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net operating loss carryforwards (“NOLs”), for federal and state income tax purposes that may be available to offset our future taxable income, if any. In general, under Sections 382 and 383 of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17" w:name="DSPFPageBreakArea60"/>
      <w:bookmarkStart w:id="318" w:name="DSPFPageBreakArea60"/>
      <w:bookmarkEnd w:id="31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19" w:name="DSPFPageBreak60"/>
      <w:bookmarkStart w:id="320" w:name="DSPFPageBreak60"/>
      <w:bookmarkEnd w:id="32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1" w:name="ny20014884x5_pre14a_113-risk_pg18"/>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Intellectual Property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we or our licensors are unable to adequately protect our proprietary technology, or obtain and maintain issued patents that are sufficient to protect our product candidates, others could compete against us more directly, which would negatively impact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Moreover, other parties may have developed technologies that may be related or competitive to our approach, and may have filed or may file patent applications, and may have received or may receive patents that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22" w:name="DSPFPageBreakArea61"/>
      <w:bookmarkStart w:id="323" w:name="DSPFPageBreakArea61"/>
      <w:bookmarkEnd w:id="32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24" w:name="DSPFPageBreak61"/>
      <w:bookmarkStart w:id="325" w:name="DSPFPageBreak61"/>
      <w:bookmarkEnd w:id="32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6" w:name="ny20014884x5_pre14a_113-risk_pg19"/>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be subject to a third-party preissuance submission of prior art to the U.S. Patent and Trademark Office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27" w:name="DSPFPageBreakArea62"/>
      <w:bookmarkStart w:id="328" w:name="DSPFPageBreakArea62"/>
      <w:bookmarkEnd w:id="32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29" w:name="DSPFPageBreak62"/>
      <w:bookmarkStart w:id="330" w:name="DSPFPageBreak62"/>
      <w:bookmarkEnd w:id="33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1" w:name="ny20014884x5_pre14a_113-risk_pg20"/>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protect the confidentiality of our trade secrets and know-how, our business and competitive position would be harmed.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U.S. patent law could diminish the value of patents in general, thereby impairing our ability to protect our product candidates.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32" w:name="DSPFPageBreakArea63"/>
      <w:bookmarkStart w:id="333" w:name="DSPFPageBreakArea63"/>
      <w:bookmarkEnd w:id="33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34" w:name="DSPFPageBreak63"/>
      <w:bookmarkStart w:id="335" w:name="DSPFPageBreak63"/>
      <w:bookmarkEnd w:id="33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6" w:name="ny20014884x5_pre14a_113-risk_pg21"/>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Third parties may initiate legal proceedings alleging that we are infringing their intellectual property rights, the outcome of which would be uncertain and could have a material adverse effect on the success of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37" w:name="DSPFPageBreakArea64"/>
      <w:bookmarkStart w:id="338" w:name="DSPFPageBreakArea64"/>
      <w:bookmarkEnd w:id="33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39" w:name="DSPFPageBreak64"/>
      <w:bookmarkStart w:id="340" w:name="DSPFPageBreak64"/>
      <w:bookmarkEnd w:id="34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1" w:name="ny20014884x5_pre14a_113-risk_pg22"/>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of these risks coming to fruition could have a material adverse impact on our business.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become involved in lawsuits to protect or enforce our patents or other intellectual property, and our issued patents covering our product candidates could be found invalid or unenforceable or could be interpreted narrowly if challenged in court.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lives of our patents may not be sufficient to effectively protect our products and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42" w:name="DSPFPageBreakArea65"/>
      <w:bookmarkStart w:id="343" w:name="DSPFPageBreakArea65"/>
      <w:bookmarkEnd w:id="34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44" w:name="DSPFPageBreak65"/>
      <w:bookmarkStart w:id="345" w:name="DSPFPageBreak65"/>
      <w:bookmarkEnd w:id="34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6" w:name="ny20014884x5_pre14a_113-risk_pg23"/>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not be successful in obtaining or maintaining necessary rights to our product candidates through acquisitions and in-licenses.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are unable to successfully obtain rights to required third-party intellectual property rights or maintain the existing intellectual property rights we have, we may have to abandon development of that program and our business and financial condition could suffer.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subject to claims by third parties asserting that our employees or we have misappropriated their intellectual property, or claiming ownership of what we regard as our own intellectual property.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47" w:name="DSPFPageBreakArea66"/>
      <w:bookmarkStart w:id="348" w:name="DSPFPageBreakArea66"/>
      <w:bookmarkEnd w:id="34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49" w:name="DSPFPageBreak66"/>
      <w:bookmarkStart w:id="350" w:name="DSPFPageBreak66"/>
      <w:bookmarkEnd w:id="35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51" w:name="ny20014884x5_pre14a_113-risk_pg24"/>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will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we do not obtain additional protection under the Hatch-Waxman Act and similar foreign legislation extending the terms of our patents for our product candidates, our business may be harmed.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52" w:name="DSPFPageBreakArea67"/>
      <w:bookmarkStart w:id="353" w:name="DSPFPageBreakArea67"/>
      <w:bookmarkEnd w:id="35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54" w:name="DSPFPageBreak67"/>
      <w:bookmarkStart w:id="355" w:name="DSPFPageBreak67"/>
      <w:bookmarkEnd w:id="35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56" w:name="ny20014884x5_pre14a_113-risk_pg25"/>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Operations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future success depends on our ability to retain key executives and to attract, retain and motivate qualified personnel.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have incurred increased costs as a result of operating as a public company, and our management will be required to devote substantial time to compliance initiatives and corporate governance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public company, we have incurred and expect to continue to incur significant legal, accounting and other expenses.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 variety of risks associated with maintaining our subsidiary in Russia or expanding operations internationally could adversely affect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our U.S. operations, we maintain a wholly owned subsidiary in Russia, Selecta (RUS). However, we are in the process of winding down these operations.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multiple, conflicting and changing laws and regulations, such as privacy regulations, tax laws, export and import restrictions, employment laws, regulatory requirements and other governmental approvals, permits and licenses; </w:t>
            </w:r>
          </w:p>
        </w:tc>
      </w:tr>
    </w:tbl>
    <w:tbl>
      <w:tblPr>
        <w:tblW w:w="9505" w:type="dxa"/>
        <w:jc w:val="left"/>
        <w:tblInd w:w="0" w:type="dxa"/>
        <w:tblLayout w:type="fixed"/>
        <w:tblCellMar>
          <w:top w:w="0" w:type="dxa"/>
          <w:left w:w="0" w:type="dxa"/>
          <w:bottom w:w="0" w:type="dxa"/>
          <w:right w:w="0" w:type="dxa"/>
        </w:tblCellMar>
      </w:tblPr>
      <w:tblGrid>
        <w:gridCol w:w="110"/>
        <w:gridCol w:w="9395"/>
      </w:tblGrid>
      <w:tr>
        <w:trPr/>
        <w:tc>
          <w:tcPr>
            <w:tcW w:w="110" w:type="dxa"/>
            <w:tcBorders/>
            <w:vAlign w:val="center"/>
          </w:tcPr>
          <w:p>
            <w:pPr>
              <w:pStyle w:val="TableContents"/>
              <w:bidi w:val="0"/>
              <w:spacing w:before="0" w:after="0"/>
              <w:jc w:val="left"/>
              <w:rPr>
                <w:color w:val="000000"/>
              </w:rPr>
            </w:pPr>
            <w:r>
              <w:rPr>
                <w:color w:val="000000"/>
              </w:rPr>
              <w:t>•</w:t>
            </w:r>
          </w:p>
        </w:tc>
        <w:tc>
          <w:tcPr>
            <w:tcW w:w="9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by us to obtain and maintain regulatory approvals for the use of our product candidates in various countries;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57" w:name="DSPFPageBreakArea68"/>
      <w:bookmarkStart w:id="358" w:name="DSPFPageBreakArea68"/>
      <w:bookmarkEnd w:id="35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59" w:name="DSPFPageBreak68"/>
      <w:bookmarkStart w:id="360" w:name="DSPFPageBreak68"/>
      <w:bookmarkEnd w:id="36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1" w:name="ny20014884x5_pre14a_113-risk_pg26"/>
        <w:bookmarkEnd w:id="361"/>
        <w:r>
          <w:rPr>
            <w:rStyle w:val="InternetLink"/>
            <w:rFonts w:ascii="Times New Roman;Times;Serif" w:hAnsi="Times New Roman;Times;Serif"/>
            <w:b/>
            <w:caps w:val="false"/>
            <w:smallCaps w:val="false"/>
            <w:color w:val="000000"/>
            <w:sz w:val="16"/>
          </w:rPr>
          <w:t>TABLE OF CONTENTS</w:t>
        </w:r>
      </w:hyperlink>
    </w:p>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additional potentially relevant third-party patent rights;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complexities and difficulties in obtaining protection of and enforcing our intellectual property rights; </w:t>
            </w:r>
          </w:p>
        </w:tc>
      </w:tr>
    </w:tbl>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difficulties in staffing and managing foreign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complexities associated with managing multiple-payor reimbursement regimes, government payors or patient self-pay systems;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limits on our ability to penetrate international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 </w:t>
            </w:r>
          </w:p>
        </w:tc>
      </w:tr>
    </w:tbl>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diplomatic and trade relationships;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challenges in enforcing our contractual and intellectual property rights, especially in those foreign countries that do not respect and protect intellectual property rights to the same extent as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 on cross-border investment, including enhanced oversight by the Committee on Foreign Investment in the United States and substantial restrictions on investment from China; </w:t>
            </w:r>
          </w:p>
        </w:tc>
      </w:tr>
    </w:tbl>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expenses including, among others, expenses for travel, translation and insurance;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risks, including use of the legal system by the government to benefit itself or affiliated entities at our expense, including expropriation of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and compliance risks that relate to maintaining accurate information and control over sales and activities that may fall within the purview of the FCPA its books and records provisions, or its anti-bribery provisions; and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that we may suffer reputational harm as a result of our operations in Russia.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of these factors could significantly harm our future international expansion and operations and, consequently, our results of operations.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62" w:name="DSPFPageBreakArea69"/>
      <w:bookmarkStart w:id="363" w:name="DSPFPageBreakArea69"/>
      <w:bookmarkEnd w:id="36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64" w:name="DSPFPageBreak69"/>
      <w:bookmarkStart w:id="365" w:name="DSPFPageBreak69"/>
      <w:bookmarkEnd w:id="36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6" w:name="ny20014884x5_pre14a_113-risk_pg27"/>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Acquisitions or joint ventures could disrupt our business, cause dilution to our stockholders and otherwise harm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disruption in our relationships with future customers or with current or future distributors or suppliers as a result of such a transaction; </w:t>
            </w:r>
          </w:p>
        </w:tc>
      </w:tr>
    </w:tbl>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liabilities related to acquired companies;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difficulties integrating acquired personnel, technologies and operations into our existing business; </w:t>
            </w:r>
          </w:p>
        </w:tc>
      </w:tr>
    </w:tbl>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management time and focus from operating our business to acquisition integration challenges;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increases in our expenses and reductions in our cash available for operations and other uses; </w:t>
            </w:r>
          </w:p>
        </w:tc>
      </w:tr>
    </w:tbl>
    <w:tbl>
      <w:tblPr>
        <w:tblW w:w="6445" w:type="dxa"/>
        <w:jc w:val="left"/>
        <w:tblInd w:w="0" w:type="dxa"/>
        <w:tblLayout w:type="fixed"/>
        <w:tblCellMar>
          <w:top w:w="0" w:type="dxa"/>
          <w:left w:w="0" w:type="dxa"/>
          <w:bottom w:w="0" w:type="dxa"/>
          <w:right w:w="0" w:type="dxa"/>
        </w:tblCellMar>
      </w:tblPr>
      <w:tblGrid>
        <w:gridCol w:w="110"/>
        <w:gridCol w:w="6335"/>
      </w:tblGrid>
      <w:tr>
        <w:trPr/>
        <w:tc>
          <w:tcPr>
            <w:tcW w:w="110" w:type="dxa"/>
            <w:tcBorders/>
            <w:vAlign w:val="center"/>
          </w:tcPr>
          <w:p>
            <w:pPr>
              <w:pStyle w:val="TableContents"/>
              <w:bidi w:val="0"/>
              <w:spacing w:before="0" w:after="0"/>
              <w:jc w:val="left"/>
              <w:rPr>
                <w:color w:val="000000"/>
              </w:rPr>
            </w:pPr>
            <w:r>
              <w:rPr>
                <w:color w:val="000000"/>
              </w:rPr>
              <w:t>•</w:t>
            </w:r>
          </w:p>
        </w:tc>
        <w:tc>
          <w:tcPr>
            <w:tcW w:w="6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possible write-offs or impairment charges relating to acquired businesses; and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develop a sales force for any additional product candidates.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67" w:name="DSPFPageBreakArea70"/>
      <w:bookmarkStart w:id="368" w:name="DSPFPageBreakArea70"/>
      <w:bookmarkEnd w:id="36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69" w:name="DSPFPageBreak70"/>
      <w:bookmarkStart w:id="370" w:name="DSPFPageBreak70"/>
      <w:bookmarkEnd w:id="37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1" w:name="ny20014884x5_pre14a_113-risk_pg28"/>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Common Stock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our Common Stock may be volatile and fluctuate substantially, which could result in substantial losses for purchasers of our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 </w:t>
      </w:r>
    </w:p>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success of competitive products or technologies;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results or progress, or changes in approach or timelines, of clinical trials of our product candidates or those of our competitors;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or discontinuation of any of our development programs;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commencement of, termination of, or any development related to any collaboration or licensing arrangement; </w:t>
            </w:r>
          </w:p>
        </w:tc>
      </w:tr>
    </w:tbl>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or legal developments in the United States and other countries;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 of new product candidates that may address our markets and make our product candidates less attractive; </w:t>
            </w:r>
          </w:p>
        </w:tc>
      </w:tr>
    </w:tbl>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physician, hospital or healthcare provider practices that may make our product candidates less useful;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by us, our collaborators or our competitors of significant acquisitions, strategic partnerships, joint ventures, collaborations or capital commitments;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 or market expectation of additional financing efforts;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or disputes concerning patent applications, issued patents or other proprietary rights;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recruitment or departure of key personnel;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level of expenses related to any of our product candidates or clinical development programs;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meet or exceed financial estimates, projections or development timelines of the investment community or that we provide to the public;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results of our efforts to discover, develop, acquire or in-license additional product candidates or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expected changes in estimates as to financial results, development timelines or recommendations by securities analysts; </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variations in our financial results or those of companies that are perceived to be similar to us;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structure of healthcare payment systems; </w:t>
            </w:r>
          </w:p>
        </w:tc>
      </w:tr>
    </w:tbl>
    <w:tbl>
      <w:tblPr>
        <w:tblW w:w="10030" w:type="dxa"/>
        <w:jc w:val="left"/>
        <w:tblInd w:w="0" w:type="dxa"/>
        <w:tblLayout w:type="fixed"/>
        <w:tblCellMar>
          <w:top w:w="0" w:type="dxa"/>
          <w:left w:w="0" w:type="dxa"/>
          <w:bottom w:w="0" w:type="dxa"/>
          <w:right w:w="0" w:type="dxa"/>
        </w:tblCellMar>
      </w:tblPr>
      <w:tblGrid>
        <w:gridCol w:w="110"/>
        <w:gridCol w:w="9920"/>
      </w:tblGrid>
      <w:tr>
        <w:trPr/>
        <w:tc>
          <w:tcPr>
            <w:tcW w:w="110" w:type="dxa"/>
            <w:tcBorders/>
            <w:vAlign w:val="center"/>
          </w:tcPr>
          <w:p>
            <w:pPr>
              <w:pStyle w:val="TableContents"/>
              <w:bidi w:val="0"/>
              <w:spacing w:before="0" w:after="0"/>
              <w:jc w:val="left"/>
              <w:rPr>
                <w:color w:val="000000"/>
              </w:rPr>
            </w:pPr>
            <w:r>
              <w:rPr>
                <w:color w:val="000000"/>
              </w:rPr>
              <w:t>•</w:t>
            </w:r>
          </w:p>
        </w:tc>
        <w:tc>
          <w:tcPr>
            <w:tcW w:w="9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sale of Common Stock by us or our stockholders in the future as well as the overall trading volume of our Common Stock;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composition of our stockholder base;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options market for shares of our Common Stock; </w:t>
            </w:r>
          </w:p>
        </w:tc>
      </w:tr>
    </w:tbl>
    <w:tbl>
      <w:tblPr>
        <w:tblW w:w="5695" w:type="dxa"/>
        <w:jc w:val="left"/>
        <w:tblInd w:w="0" w:type="dxa"/>
        <w:tblLayout w:type="fixed"/>
        <w:tblCellMar>
          <w:top w:w="0" w:type="dxa"/>
          <w:left w:w="0" w:type="dxa"/>
          <w:bottom w:w="0" w:type="dxa"/>
          <w:right w:w="0" w:type="dxa"/>
        </w:tblCellMar>
      </w:tblPr>
      <w:tblGrid>
        <w:gridCol w:w="110"/>
        <w:gridCol w:w="5585"/>
      </w:tblGrid>
      <w:tr>
        <w:trPr/>
        <w:tc>
          <w:tcPr>
            <w:tcW w:w="11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market conditions in the pharmaceutical and biotechnology sectors;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economic, industry and market conditions; and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other factors described in this “</w:t>
            </w:r>
            <w:r>
              <w:rPr>
                <w:rFonts w:ascii="Times New Roman;Times;serif" w:hAnsi="Times New Roman;Times;serif"/>
                <w:i/>
                <w:color w:val="000000"/>
                <w:sz w:val="20"/>
              </w:rPr>
              <w:t>Risk Factors</w:t>
            </w:r>
            <w:r>
              <w:rPr>
                <w:rFonts w:ascii="Times New Roman;Times;serif" w:hAnsi="Times New Roman;Times;serif"/>
                <w:color w:val="000000"/>
                <w:sz w:val="20"/>
              </w:rPr>
              <w:t xml:space="preserve">” section.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72" w:name="DSPFPageBreakArea71"/>
      <w:bookmarkStart w:id="373" w:name="DSPFPageBreakArea71"/>
      <w:bookmarkEnd w:id="37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74" w:name="DSPFPageBreak71"/>
      <w:bookmarkStart w:id="375" w:name="DSPFPageBreak71"/>
      <w:bookmarkEnd w:id="37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6" w:name="ny20014884x5_pre14a_113-risk_pg29"/>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executive officers, directors, and principal stockholders, if they choose to act together, will continue to have the ability to control or significantly influence all matters submitted to stockholders for approval.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directors and stockholders who own more than 5% of our outstanding Common Stock and their respective affiliates, in the aggregate, hold shares representing approximately 41.6% of our outstanding voting stock as of November 13, 2023, and assuming the conversion of all shares of Series A Preferred Stock into Common Stock and the completion of the Financing.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sales of a substantial number of shares of our Common Stock in the public market, or the perception in the market that the holders of a large number of shares intend to sell shares, could reduce the market price of our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Concurrently and in connection with the execution of the Merger Agreement, certain Old Cartesian securityholders, as of immediately prior to the Merger, and certain of our directors and officers as of immediately prior to the Merger entered into Lock-up Agreements with us, pursuant to which each such stockholder, will be subject to a 180-day lockup on the sale or transfer of shares of our Common Stock held by each such stockholder, at Closing, including those shares received by Old Cartesian securityholders in the Merger. Upon expiration of this 180-day lockup period, these shares will become eligible for sale in the public market.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we also entered into the RRA. Pursuant to the RRA, we are obligated to prepare and file a resale registration statement with the SEC by the Filing Deadline. We agreed to use our reasonable best efforts to cause this registration statement to be declared effective by the SEC within 45 calendar days of the Filing Deadline (or within 90 calendar days if the SEC reviews the registration statement). Once such registration statement is declared effective, the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our stockholders sell, indicate an intention to sell, or it is perceived that they will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our charter documents and under Delaware law and the terms of some of our contracts could make an acquisition of us more difficult and may prevent attempts by our stockholders to replace or remove our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Provisions in our Current Charter and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77" w:name="DSPFPageBreakArea72"/>
      <w:bookmarkStart w:id="378" w:name="DSPFPageBreakArea72"/>
      <w:bookmarkEnd w:id="37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79" w:name="DSPFPageBreak72"/>
      <w:bookmarkStart w:id="380" w:name="DSPFPageBreak72"/>
      <w:bookmarkEnd w:id="38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1" w:name="ny20014884x5_pre14a_113-risk_pg30"/>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discouraging lawsuits against our directors, officers, employees and agents as it may limit any stockholder’s ability to bring a claim in a judicial forum that such stockholder finds favorable for disputes with us or our directors, officers, employees or agents.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Certificate of Designation) (“Fundamental Transaction”)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Certificate of Designation may make it more difficult for us to enter into any of the aforementioned transactions.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have been in the past and may in the future be subject to securities class action lawsuits.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August 3, 2020, a stockholder of Selecta Biosciences, Inc. filed a stockholder derivative action, purportedly on behalf of Selecta Biosciences, Inc. and against certain current and former members of the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While we intend to vigorously defend against any demands which we believe to be without merit, there can be no assurance as to the outcome of any stockholder litigation. Unfavorable outcomes in securities class action litigation could require us to pay extensive damages, which could delay or prevent our ability to develop our product candidates and harm our operations.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Factors Relating to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There is no guarantee that the Merger will increase stockholder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2023 we merged with Old Cartesian. We cannot guarantee that implementing the Merger and related transactions will not impair stockholder value or otherwise adversely affect our business. The Merger poses significant integration challenges between our businesses and management teams which could result in management and business disruptions, any of which could harm our results of operation, business prospects, and impair the value of the Merger to our stockholders.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Pursuant to the terms of the Merger Agreement, we are required to recommend that our stockholders approve the conversion of all outstanding shares of our Series A Preferred Stock into shares of our Common Stock. We cannot guarantee that our stockholders will approve this matter, and if they fail to do so we may be required to settle such shares in cash and our operations may be materially harmed.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we agreed to call and hold a meeting of our stockholders to obtain the requisite approvals for the conversion of all outstanding shares of Series A Preferred Stock to be issued in the Merger and Financing into shares of our Common Stock, as required by the Nasdaq listing rules, and, if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82" w:name="DSPFPageBreakArea73"/>
      <w:bookmarkStart w:id="383" w:name="DSPFPageBreakArea73"/>
      <w:bookmarkEnd w:id="38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84" w:name="DSPFPageBreak73"/>
      <w:bookmarkStart w:id="385" w:name="DSPFPageBreak73"/>
      <w:bookmarkEnd w:id="38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6" w:name="ny20014884x5_pre14a_113-risk_pg31"/>
        <w:bookmarkEnd w:id="3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is not obtained at that meeting, to seek to obtain such approvals at an annual or special stockholders meeting to be held at least every six months thereafter until such approval is obtained, which would be time consuming and costly. Additionally, if our stockholders do not approve the conversion of our Series A Preferred Stock within 18 months from the date of the Closing, then the holders of our Series A Preferred Stock will be entitled to elect to have their shares of Series A Preferred Stock redeemed for cash at a price per share equal to the ten-day trailing average closing trading price of the Common Stock at such time, as described in our Certificate of Designation relating to the Series A Preferred Stock. If we are forced to cash settle a significant amount of the Series A Preferred Stock, it could materially affect our results of operations.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failure to successfully integrate the businesses of Selecta and Cartesian in the expected timeframe would adversely affect the combined Company’s future results.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integrate the operations of Selecta and Cartesian will depend, in part, on the combined Company’s ability to realize the anticipated benefits and cost savings from the Merger. If the combined Company is not able to achieve these objectives within the anticipated time frame, or at all, the anticipated benefits and cost savings of the Merger may not be realized fully, or at all, or may take longer to realize than expected, and the value of our common shares may be adversely affected. In addition, the integration of our and Cartesian’s respective businesses will be a time-consuming and expensive process. Proper planning and effective and timely implementation will be critical to avoid any significant disruption to the combined Company’s operations. It is possible that the integration process could result in the loss of key employees, the disruption of its ongoing business or the identification of inconsistencies in standards, controls, procedures and policies that adversely affect its ability to maintain relationships with customers, suppliers, distributors, creditors, lessors, clinical trial investigators or managers or to achieve the anticipated benefits of the Merger. Delays encountered in the integration process could have a material adverse effect on the combined Company’s revenues, expenses, operating results and financial condition, including the value of its common shares.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future results will suffer if the combined Company does not effectively manage its expanded operations.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 Merger, we will become a larger company and our business will become more complex. There can be no assurance that we will effectively manage the increased complexity without experiencing operating inefficiencies or control deficiencies. Significant management time and effort is required to effectively manage the increased complexity of the combined Company and our failure to successfully do so could have a material adverse effect on our business, financial condition, results of operations and growth prospects. In addition, as a result of the Merger, our financial statements and results of operations in prior years may not provide meaningful guidance to form an assessment of the prospects or potential success of the combined Company’s future business operations.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to incur substantial expenses related to the integration of Old Cartesian.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to incur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may potentially incur significant severance expenses as a result of the Merger. While we and Old Cartesian have assumed that a certain level of expenses will be incurred, there are many factors beyond their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Merger, and the amount and timing of such charges are uncertain at present.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87" w:name="DSPFPageBreakArea74"/>
      <w:bookmarkStart w:id="388" w:name="DSPFPageBreakArea74"/>
      <w:bookmarkEnd w:id="38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89" w:name="DSPFPageBreak74"/>
      <w:bookmarkStart w:id="390" w:name="DSPFPageBreak74"/>
      <w:bookmarkEnd w:id="39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91" w:name="ny20014884x5_pre14a_114-bus_pg1"/>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2" w:name="tBUS"/>
      <w:bookmarkEnd w:id="392"/>
      <w:r>
        <w:rPr>
          <w:rFonts w:ascii="Times New Roman;Times;serif" w:hAnsi="Times New Roman;Times;serif"/>
          <w:b/>
          <w:color w:val="000000"/>
          <w:sz w:val="20"/>
        </w:rPr>
        <w:t>BUSINESS</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(“MG”), a chronic autoimmune disease that causes disabling muscle weakness and fatigue, we observed that our lead product candidate, Descartes-08, generated a deep and durable clinical benefit.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Autoimmune diseases, where the immune system mistakenly attacks the body, are a family of more than 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immunoglobulin neonatal receptor, FcRn, must also typically be administered continually. We believe there is a significant unmet need for outpatient treatments, completed over a short period of time, that provide deep, durable clinical benefit.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Cell therapies have the potential to provide this benefit, but conventional cell therapies that use DNA are associated with toxicities, including cytokine release syndrome,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our mRNA cell therapies have the potential to deliver deep, durable clinical benefit to a broad group of patients with autoimmune diseases because they can be administered over a short period of time, in an outpatient setting, and without pre-treatment chemotherapy.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leveraging our proprietary technology and manufacturing platform, RNA Armory®, to develop mRNA cell therapies for autoimmune diseases across three modalities. Our mRNA CAR-T modality is a personalized approach that collects a patient’s T-cells and uses mRNA to introduce a chimeric antigen receptor (“CAR”) into the cell. The CAR redirects the T-cells to target and destroy pathogenic self-reactive cells. Our mRNA MSC modality is an allogeneic approach that introduces one or more mRNAs into donor-sourced mesenchymal stem cells (“MSCs”), enabling them to produce proteins that target key pathways involved in autoimmunity. These cells are banked and are designed to be administered off-the-shelf to any patient. Our mRNA </w:t>
      </w:r>
      <w:r>
        <w:rPr>
          <w:rFonts w:ascii="Times New Roman;Times;serif" w:hAnsi="Times New Roman;Times;serif"/>
          <w:i/>
          <w:color w:val="000000"/>
          <w:sz w:val="20"/>
        </w:rPr>
        <w:t>in situ</w:t>
      </w:r>
      <w:r>
        <w:rPr>
          <w:rFonts w:ascii="Times New Roman;Times;serif" w:hAnsi="Times New Roman;Times;serif"/>
          <w:color w:val="000000"/>
          <w:sz w:val="20"/>
        </w:rPr>
        <w:t xml:space="preserve"> modality is designed to deliver mRNA into a patient’s lymph node to generate CAR-T cells and other proteins that target autoimmunity. The figure below illustrates each modality.</w:t>
      </w:r>
    </w:p>
    <w:p>
      <w:pPr>
        <w:pStyle w:val="TextBody"/>
        <w:bidi w:val="0"/>
        <w:spacing w:before="295" w:after="283"/>
        <w:jc w:val="center"/>
        <w:rPr>
          <w:color w:val="000000"/>
        </w:rPr>
      </w:pPr>
      <w:r>
        <w:rPr>
          <w:color w:val="000000"/>
        </w:rPr>
        <w:drawing>
          <wp:inline distT="0" distB="0" distL="0" distR="0">
            <wp:extent cx="5686425" cy="2581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86425" cy="2581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93" w:name="DSPFPageBreakArea75"/>
      <w:bookmarkStart w:id="394" w:name="DSPFPageBreakArea75"/>
      <w:bookmarkEnd w:id="39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95" w:name="DSPFPageBreak75"/>
      <w:bookmarkStart w:id="396" w:name="DSPFPageBreak75"/>
      <w:bookmarkEnd w:id="39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97" w:name="ny20014884x5_pre14a_114-bus_pg2"/>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table below summarizes key information about our development pipeline.</w:t>
      </w:r>
    </w:p>
    <w:p>
      <w:pPr>
        <w:pStyle w:val="TextBody"/>
        <w:bidi w:val="0"/>
        <w:spacing w:before="295" w:after="283"/>
        <w:jc w:val="center"/>
        <w:rPr>
          <w:color w:val="000000"/>
        </w:rPr>
      </w:pPr>
      <w:r>
        <w:rPr>
          <w:color w:val="000000"/>
        </w:rPr>
        <w:drawing>
          <wp:inline distT="0" distB="0" distL="0" distR="0">
            <wp:extent cx="5686425" cy="2400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86425" cy="2400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lead product candidate, Descartes-08, is an autologous mRNA CAR-T directed against the B cell maturation antigen (“BCMA”) that we are developing for the treatment of autoimmune diseases. Descartes-08 has been granted Orphan Drug Designation by the U.S. Food and Drug Administration (“FDA”) for the treatment of MG. Descartes-08 was observed to be safe and well-tolerated in a Phase 1b/2a trial of 14 patients with MG who received outpatient treatment without pre-treatment chemotherapy. All seven participants who received six once-weekly infusions at the highest dose continued to experience marked and long-lasting clinical improvement across validated MG disease scoring systems at month nine follow-up. At month 12, five of these seven participants maintained clinically meaningful improvement. One participant, who lost response after one year, experienced rapid improvement in clinical scores after re-treatment, which was ongoing at month six of follow-up. Clinical responses correlated with large reductions in autoantibody titers. We are currently enrolling in a Phase 2b randomized, double-blind, placebo-controlled trial in patients with MG, for which we expect to report topline results in mid-2024.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also developing Descartes-08 for the treatment of other autoimmune diseases. We have received FDA allowance for our investigational new drug application (“IND”) for a Phase 2 trial of Descartes-08 for the treatment of patients with systemic lupus erythematosus (“SLE”), a chronic autoimmune disease that causes systemic inflammation affecting multiple organ systems. We expect this Phase 2 trial to initiate in the first half of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Descartes-15 is our next-generation autologous anti-BCMA mRNA CAR-T. In preclinical studies, we have observed Descartes-15 to be 10-fold more potent than Descartes-08. We intend to test the safety of Descartes-08 in an open label, single-arm Phase 1 trial in patients with relapsed/refractory multiple myeloma. This program has already received IND allowance from the FDA and is expected to enroll the first patient in the first half of 2024. We expect that these Phase 1 trial data will inform our clinical development plan for Descartes-15 in autoimmune diseases.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Descartes-33 is an allogeneic mRNA MSC in preclinical development for treatment of autoimmune diseases. We are developing Descartes-33 to deliver a combination of therapeutic proteins that target key drivers in the pathogenesis of autoimmunity.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of Current DNA-Based Cell Therapy Treatments in Autoimmune Disease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Conventional DNA cell therapies have been associated with cytokine release syndrome, neurological toxicities and Parkinsonism, infection, risk of secondary malignancy, and death. The acute toxicities are from exponential amplification of the modified cell, and the pre-treatment chemotherapy administered to enable cell amplification.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Conventional DNA-engineered CAR-T cells are in clinical development for several autoimmune diseases. 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98" w:name="DSPFPageBreakArea76"/>
      <w:bookmarkStart w:id="399" w:name="DSPFPageBreakArea76"/>
      <w:bookmarkEnd w:id="39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00" w:name="DSPFPageBreak76"/>
      <w:bookmarkStart w:id="401" w:name="DSPFPageBreak76"/>
      <w:bookmarkEnd w:id="40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02" w:name="ny20014884x5_pre14a_114-bus_pg3"/>
        <w:bookmarkEnd w:id="4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Given these risks and requirements, conventional DNA cell therapies are administered under close monitoring in an inpatient setting, increasing their cost and limiting their reach to only the sickest patients.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Autoimmune Disease Solution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mRNA cell therapy has the potential to be a potent yet safer alternative to DNA cell therapy for treating autoimmune diseases. We believe the mRNA cell therapies we are developing have the potential to deliver deep, durable clinical benefit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mRNA CAR-T cells locate their target, become activated, and proliferate similar to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in contrast to DNA CAR-T cells, our mRNA CAR-T cells provide pharmacokinetic control. In other words, a patient’s exposure to our cells is determined by the dose. The time, course and duration of that exposure are substantially determined by 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 The graphs below contrast our mRNA cell therapy approach with that of conventional DNA cell therapy. </w:t>
      </w:r>
    </w:p>
    <w:p>
      <w:pPr>
        <w:pStyle w:val="TextBody"/>
        <w:bidi w:val="0"/>
        <w:spacing w:before="0" w:after="283"/>
        <w:jc w:val="center"/>
        <w:rPr>
          <w:color w:val="000000"/>
        </w:rPr>
      </w:pPr>
      <w:r>
        <w:rPr>
          <w:color w:val="000000"/>
        </w:rPr>
        <w:drawing>
          <wp:inline distT="0" distB="0" distL="0" distR="0">
            <wp:extent cx="5648325" cy="1714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48325" cy="1714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2023 safety cutoff date, we have administered Descartes-08 to over 60 patients suffering from one of MG, multiple myeloma, and other diseases in open-label trials on an outpatient basis, many at community clinics. We have not observed product-related cytokine release syndrome, neurotoxicity or infection of any grade. The most common product-related adverse events observed—headache, nausea and fever—were self-limited and resolved within 72 hours of onset. One participant with MG with a history of allergic reaction to biologics developed hives after the third infusion and was hospitalized for monitoring. The patient’s hives resolved completely after a brief course of steroids.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03" w:name="DSPFPageBreakArea77"/>
      <w:bookmarkStart w:id="404" w:name="DSPFPageBreakArea77"/>
      <w:bookmarkEnd w:id="40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05" w:name="DSPFPageBreak77"/>
      <w:bookmarkStart w:id="406" w:name="DSPFPageBreak77"/>
      <w:bookmarkEnd w:id="40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07" w:name="ny20014884x5_pre14a_114-bus_pg4"/>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Product Candidates</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Descartes-08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lead product candidate is Descartes-08, a potential first-in-class mRNA CAR-T. Descartes-08 targets BCMA, which exists on the surface of long-lived plasma cells (“LLPCs”) and plasmacytoid dendritic cells (“pDCs”). LLPCs, which can survive for decades, are the main producers of disease-causing autoantibodies. pDCs, which secrete type-I interferons, may also play a critical role in autoimmunity. While the lead indication for Descartes-08 is MG, we believe that Descartes-08 has potential to treat other autoimmune diseases, such as lupus.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Descartes-08 for the Treatment of MG </w:t>
      </w:r>
    </w:p>
    <w:p>
      <w:pPr>
        <w:pStyle w:val="TextBody"/>
        <w:bidi w:val="0"/>
        <w:spacing w:before="2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Overview</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Descartes-08 has been granted Orphan Drug Designation by the FDA for the treatment of MG. We chose MG as our lead indication because the pathogenesis for MG is common to many autoimmune diseases. </w:t>
      </w:r>
    </w:p>
    <w:p>
      <w:pPr>
        <w:pStyle w:val="TextBody"/>
        <w:bidi w:val="0"/>
        <w:spacing w:before="2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Background Information About MG</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MG is a rare autoimmune disease that causes debilitating muscle weakness and fatigue. It is estimated to affect over 120,000 patients in the U.S. and Europe. MG patients develop antibodies that lead to an immunological 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 </w:t>
      </w:r>
    </w:p>
    <w:p>
      <w:pPr>
        <w:pStyle w:val="TextBody"/>
        <w:bidi w:val="0"/>
        <w:spacing w:before="2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Clinical Development</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date, we have completed the Phase 1b portion of the Phase 1/2 trial of Descartes-08 in MG, as well as the primary readout of the Phase 2a portion of the trial. We continue to enroll patients to the Phase 2b portion of the trial.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primary objective of the Phase 1b portion of the trial was to determine the maximum tolerated dose of Descartes-08 for patients with MG. To assess the safety and manufacturability of Descartes-08, the product candidate was administered in three ascending doses (3.5 x106 cells/kg; 17.5 x106 cells; 52.5 x106 cells/kg) to three patients with MG. After each infusion, patients were observed for at least one week, and a higher dose level was administered if there were no significant adverse effects observed at the initial dose. We observed Descartes-08 to be well-tolerated by the three patients who participated in this portion of the trial with no cytokine release syndrome or other serious product-related adverse events.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primary objective of the Phase 2a portion of the trial was to determine the optimal dosing schedule for patients with MG using the highest dose level tested in Phase 1b (52.5 x106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have moderate-to-severe weakness affecting their muscles.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results of the Phase 2a portion of the trial, published in the </w:t>
      </w:r>
      <w:r>
        <w:rPr>
          <w:rFonts w:ascii="Times New Roman;Times;serif" w:hAnsi="Times New Roman;Times;serif"/>
          <w:i/>
          <w:color w:val="000000"/>
          <w:sz w:val="20"/>
        </w:rPr>
        <w:t>Lancet Neurology</w:t>
      </w:r>
      <w:r>
        <w:rPr>
          <w:rFonts w:ascii="Times New Roman;Times;serif" w:hAnsi="Times New Roman;Times;serif"/>
          <w:color w:val="000000"/>
          <w:sz w:val="20"/>
        </w:rPr>
        <w:t xml:space="preserve"> in July 2023, indicated that after six weekly infusions of Descartes-08, the average improvement in all disease severity scores was three-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08" w:name="DSPFPageBreakArea78"/>
      <w:bookmarkStart w:id="409" w:name="DSPFPageBreakArea78"/>
      <w:bookmarkEnd w:id="40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10" w:name="DSPFPageBreak78"/>
      <w:bookmarkStart w:id="411" w:name="DSPFPageBreak78"/>
      <w:bookmarkEnd w:id="41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12" w:name="ny20014884x5_pre14a_114-bus_pg5"/>
        <w:bookmarkEnd w:id="4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five-fold greater than what is considered clinically meaningful by expert consensus. As shown in the figure below, clinical improvements persisted in all patients at month nine, and in five of the seven remaining patients at a final, 12-month follow-up. Of the two participants who lost response, one was retreated and experienced rapid improvement in clinical scores, which was ongoing at month six of follow-up. Descartes-08 was observed to be well-tolerated with no reports of dose-limiting toxicities, cytokine release syndrome or neurotoxicity.</w:t>
      </w:r>
    </w:p>
    <w:p>
      <w:pPr>
        <w:pStyle w:val="TextBody"/>
        <w:bidi w:val="0"/>
        <w:spacing w:before="295" w:after="283"/>
        <w:jc w:val="center"/>
        <w:rPr>
          <w:color w:val="000000"/>
        </w:rPr>
      </w:pPr>
      <w:r>
        <w:rPr>
          <w:color w:val="000000"/>
        </w:rPr>
        <w:drawing>
          <wp:inline distT="0" distB="0" distL="0" distR="0">
            <wp:extent cx="5800725" cy="2943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00725" cy="2943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 D: Change from Baseline in MGC Score after initial dosing and retreatment in a participant experiencing relapse at Month 12. E: Relative change in serum anti-acetylcholine receptor antibody levels in the three participants with detectable antibodies at baseline. Each line represents one patient.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three participants with detectable anti-acetylcholine receptor antibody levels at baseline had an average 42% reduction in antibody levels by month six. These reductions deepened to 68% by month nine and persisted at month 12. In summary, we observed continued clinical improvement and autoantibody reductions after BCMA-directed mRNA CAR-T treatment for MG that persisted through the one-year follow-up period.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currently enrolling patients in the Phase 2b randomized, double-blind, placebo-controlled portion of the Phase 1/2 trial. We expect to report topline results in mid-2024. The trial, which is expected to have at least 30 completers, is designed to assess the primary endpoint of the proportion of patients achieving a five-point or greater reduction in their MGC score at day 85. Patients will receive six weekly infusions at the dose established in Phase 1b (52.5 x106 cells/kg). The trial also involves a crossover component, in which any patient originally assigned to placebo will be given the opportunity to receive Descartes-08 after completing trial treatment. Secondary endpoints are designed to assess a variety of additional clinical outcomes, including determining safety and tolerability, quantifying the clinical effect of Descartes-08 over one year, assessing changes through day 85 in QMG, MG QoL 15R, MG Composite and MG post-intervention status and comparing the effect of Descartes-08 versus placebo on MG scales through day 85 in patients who cross over from placebo to Descartes-08.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Descartes-08 for the Treatment of Systemic Lupus Erythematosus </w:t>
      </w:r>
    </w:p>
    <w:p>
      <w:pPr>
        <w:pStyle w:val="TextBody"/>
        <w:bidi w:val="0"/>
        <w:spacing w:before="3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Overview</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also developing Descartes-08 for the treatment of SLE, a chronic autoimmune disease that causes systemic inflammation which affects multiple organ systems.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13" w:name="DSPFPageBreakArea79"/>
      <w:bookmarkStart w:id="414" w:name="DSPFPageBreakArea79"/>
      <w:bookmarkEnd w:id="41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15" w:name="DSPFPageBreak79"/>
      <w:bookmarkStart w:id="416" w:name="DSPFPageBreak79"/>
      <w:bookmarkEnd w:id="41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17" w:name="ny20014884x5_pre14a_114-bus_pg6"/>
        <w:bookmarkEnd w:id="4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Background Information About Systemic Lupus Erythematosus</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 </w:t>
      </w:r>
    </w:p>
    <w:p>
      <w:pPr>
        <w:pStyle w:val="TextBody"/>
        <w:bidi w:val="0"/>
        <w:spacing w:before="3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Next Steps</w:t>
      </w:r>
      <w:r>
        <w:rPr>
          <w:rFonts w:ascii="Times New Roman;Times;serif" w:hAnsi="Times New Roman;Times;serif"/>
          <w:color w:val="000000"/>
          <w:sz w:val="20"/>
        </w:rPr>
        <w:t xml:space="preserve">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to initiate a multi-center open-label single-arm Phase 2 trial, for which we have received FDA IND allowance, in the first half of 2024. The primary objective of this trial is to evaluate the safety, tolerability, and manufacturing feasibility of Descartes-08 mRNA CAR-T cells administered as six once-weekly outpatient infusions of 52.5x106 cells/kg without pre-treatment chemotherapy in approximately 30 patients with SLE.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Descartes-15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w:t>
      </w:r>
    </w:p>
    <w:p>
      <w:pPr>
        <w:pStyle w:val="TextBody"/>
        <w:bidi w:val="0"/>
        <w:spacing w:before="295" w:after="283"/>
        <w:jc w:val="center"/>
        <w:rPr>
          <w:color w:val="000000"/>
        </w:rPr>
      </w:pPr>
      <w:r>
        <w:rPr>
          <w:color w:val="000000"/>
        </w:rPr>
        <w:drawing>
          <wp:inline distT="0" distB="0" distL="0" distR="0">
            <wp:extent cx="5686425" cy="3810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86425" cy="3810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Next Steps</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leverage our preclinical and clinical observations from the Descartes-08 development program and the Descartes-15 Phase 1 program to inform our clinical strategy for Descartes-15 for the treatment of autoimmune diseases.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18" w:name="DSPFPageBreakArea80"/>
      <w:bookmarkStart w:id="419" w:name="DSPFPageBreakArea80"/>
      <w:bookmarkEnd w:id="41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20" w:name="DSPFPageBreak80"/>
      <w:bookmarkStart w:id="421" w:name="DSPFPageBreak80"/>
      <w:bookmarkEnd w:id="42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22" w:name="ny20014884x5_pre14a_114-bus_pg7"/>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Allogeneic Product Candidate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Descartes-33 is our allogeneic mRNA MSC in preclinical development for treatment of autoimmune diseases. We are developing Descartes-33 to deliver a combination of therapeutic proteins that target key drivers in the pathogenesis of autoimmunity.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Manufacturing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established wholly-owned internal manufacturing and research and development capabilities, which allow us to optimize processes rapidly and in an iterative manner. Our manufacturing facility is located in Gaithersburg, Maryland and operates under current good manufacturing practice (“cGMP”). This facility enhances our control of product quality and production schedules and costs, allowing us to move assets from discovery to preclinical to clinical development quickly.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cGMP cell manufacturing facility, with its dedicated quality management system, is also capable of mRNA production used in Descartes-08. 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We also maintain FDA-reviewed human umbilical cord MSC cell collection and banking operations.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Intellectual Property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success depends in part on our ability to obtain, maintain, protect, defend and enforce proprietary protection for our drug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w:t>
      </w:r>
      <w:r>
        <w:rPr>
          <w:rFonts w:ascii="Times New Roman;Times;serif" w:hAnsi="Times New Roman;Times;serif"/>
          <w:i/>
          <w:color w:val="000000"/>
          <w:sz w:val="20"/>
        </w:rPr>
        <w:t>Risk factors—Risks related to intellectual property.</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2023, we had five issued patents worldwide, including two patents issued in the United States and three issued outside the United States. Our patents are set to expire on various dates in 2040 through 2043. Additionally, as of December 31, 2023, we had 14 patent applications pending worldwide, including five U.S. applications and nine applications outside the United States. In addition, we had two registered marks protecting our brand and prospective products both domestically and internationally. With respect to the Selecta legacy assets, as of December 31, 2023, we had (i) 233 issued patents worldwide, including 20 patents issued in the United States and 213 issued outside the United States, set to expire on various dates in 2032 through 2043, (ii) 476 patent applications pending worldwide, including 42 U.S. applications and 434 applications outside the United States and (iii) two registered marks.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w:t>
      </w:r>
      <w:r>
        <w:rPr>
          <w:rFonts w:ascii="Times New Roman;Times;serif" w:hAnsi="Times New Roman;Times;serif"/>
          <w:i/>
          <w:color w:val="000000"/>
          <w:sz w:val="20"/>
        </w:rPr>
        <w:t>Risk factors—Risks related to intellectual property</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23" w:name="DSPFPageBreakArea81"/>
      <w:bookmarkStart w:id="424" w:name="DSPFPageBreakArea81"/>
      <w:bookmarkEnd w:id="42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25" w:name="DSPFPageBreak81"/>
      <w:bookmarkStart w:id="426" w:name="DSPFPageBreak81"/>
      <w:bookmarkEnd w:id="42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27" w:name="ny20014884x5_pre14a_114-bus_pg8"/>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Key Agreements</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Bio-Techne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13, 2020, we entered into a Supply and License Agreement (the “Bio-Techne Agreement”) with Bio-Techne Corp. and its affiliates, which we refer to collectively as Bio-Techne, for the manufacturing and supply of certain proteins designated in the Bio-Techne Agreement (the “Products”) for incorporation into Descartes-08 for use in pre-trial research, clinical trials, process development, or clinical manufacturing. Under the Bio-Techne Agreement, Bio-Techne is obligated to manufacture and sell the Products to us at prices set forth in the Bio-Techne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Bio-Techne have each agreed to provide customary indemnification of the other party in the event of specified liabilities, and we each agreed to carry certain minimum insurance during the term of the Bio-Techne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term of the Bio-Techne Agreement is eight years, with automatic one-year renewals unless either party provides written notice of non-renewal. Bio-Techne has the right to terminate the Bio-Techne Agreement by written notice if: (i) we are late in paying an undisputed amount due to Bio-Techne; (ii) we are in material breach of any representation, warranty or covenant that cannot be cured or is not cured within a commercially reasonable period of time; (iii) we become insolvent or encounter similar circumstances; or (iv) a competitor of Bio-Techne or its affiliates acquires all or substantially all of our assets or obtains greater than 50% ownership or controls the Products or services incorporating the Products. We also may unilaterally terminate the Bio-Techne Agreement under certain circumstances set forth in the agreement.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Biogen License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8, 2023, we entered into a non-exclusive, sublicensable, worldwide, perpetual patent license agreement (the “Biogen Agreement”) with Biogen MA, Inc.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NIH License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 worldwide, exclusive license agreement with the National Institutes of Health, an agency within the U.S. Department of Health and Human Services (“NIH”), effective September 10, 2015, and as amended on December 5, 2022 (the “NIH Agreement”). Under the NIH Agreement, we were granted a license under certain NIH patents and patent applications designated in the agreement (the “NIH Patents”) to make, use, sell, offer and import products and processes within the scope of the NIH Patents for developing and manufacturing modified human T-cells for the treatment of multiple myeloma, such T-cells modified to express chimeric antigen receptors that recognize B-cell maturation antigen (“BCMA-CARs”) according to methods designated in the NIH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consideration for the licenses granted to it under the NIH Agreement, we agreed to pay (i) a one-time license royalty in connection with having received a specified amount of investor financing; (ii) a five-digit annual license fee, which shall increase to $150,000 beginning in 2025; (iii) a low single-digit royalty on net sales of any licensed products or processes under the NIH Agreement; and (iv) a low double-digit royalty on specified sublicensing income.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NIH Agreement, we are obligated to use reasonable commercial efforts to bring licensed products and licensed processes to the point of Practical Application (as defined in the NIH Agreement). Upon the first commercial sale of a licensed product or licensed process, we must use reasonable commercial efforts to make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28" w:name="DSPFPageBreakArea82"/>
      <w:bookmarkStart w:id="429" w:name="DSPFPageBreakArea82"/>
      <w:bookmarkEnd w:id="42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30" w:name="DSPFPageBreak82"/>
      <w:bookmarkStart w:id="431" w:name="DSPFPageBreak82"/>
      <w:bookmarkEnd w:id="43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2" w:name="ny20014884x5_pre14a_114-bus_pg9"/>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such licensed product or licensed process reasonably accessible to the United States public. After the first commercial sale, we must make reasonable quantities of licensed products or materials produced via licensed processes available to patient assistance programs and develop educational materials detailing the licensed products. Unless we obtain a waiver from the NIH, we must have licensed products and licensed processes manufactured substantially in the United States.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we must use reasonable commercial efforts to initiate a Phase 3 clinical trial of a licensed product by September 10, 2024, submit a new drug application (“NDA”) or biologics license application (“BLA”) by September 10, 2028, and initiate marketing of a licensed product by September 10, 2030.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NIH Agreement, we have agreed not to unreasonably deny a request by the NIH for a non-exclusive research license should the NIH enter into a future Cooperative Research and Development Agreement (“CRADA”) under the Federal Technology Transfer Act of 1986 when acquiring a license is necessary to make a CRADA project feasible. In exceptional circumstances designated in the NIH Agreement, the United States government has the right to require us to grant a responsible applicant a nonexclusive, partially exclusive, or exclusive sublicense to use the patent rights licensed under the NIH Agreement in the fields of use designated thereunder, or to grant this license itself. Prior to the first commercial sale, we are obligated to provide the NIH with reasonable quantities of licensed products made through licensed processes for research use.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NIH Agreement terminates upon the expiration of the last to expire of the patent rights licensed thereunder, if not sooner terminated. The NIH has the right to terminate the NIH Agreement, after giving written notice and providing a cure period in accordance with its terms, if we are in default of material obligations. We have the right to unilaterally terminate the NIH Agreement or any licenses in any country or territory by giving the NIH 60 days’ written notice. We agreed to indemnify the NIH against any liability arising out of our, sublicensees’ or third parties’ use of the licensed patent rights and licensed products or licensed processes developed in connection with the licensed patent rights.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NCI License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Effective September 16, 2019, we entered into a nonexclusive, worldwide license agreement (the “NCI Agreement”) with the U.S. Department of Health and Human Services, represented by the National Cancer Institute of the National Institutes of Health (“NCI”).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we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NCI Agreement terminates upon the expiration of the last to expire of the patent rights licensed thereunder, if not sooner terminated. NCI has the right to terminate this agreement, after giving written notice and providing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33" w:name="DSPFPageBreakArea83"/>
      <w:bookmarkStart w:id="434" w:name="DSPFPageBreakArea83"/>
      <w:bookmarkEnd w:id="43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35" w:name="DSPFPageBreak83"/>
      <w:bookmarkStart w:id="436" w:name="DSPFPageBreak83"/>
      <w:bookmarkEnd w:id="43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7" w:name="ny20014884x5_pre14a_114-bus_pg10"/>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 parties’ use of the licensed patent rights and licensed products or licensed processes developed in connection with the licensed patent rights.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key competitive factors affecting the success of any other tolerance or immune modulation product candidates that we develop, if approved, are likely to be their efficacy, safety, convenience, price, the level of generic competition and the availability of reimbursement from government and other third-party payors.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Descartes-08 may compete with others in the MG market, including Argenx SE, UCB S.A., Johnson &amp; Johnson, Alexion Pharmaceuticals, Inc. and Cabaletta Bio, Inc.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companies developing products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Government Regulation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our cell therapy product candidates are subject to regulation in the United States as “biologics” or “biological products”. We expect to seek approval of Descartes-08 through a single BLA reviewed by FDA’s Center for Biologics Evaluation and Research (“CBER”).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Biological products are subject to regulation under the Federal Food, Drug, and Cosmetic Act (“FD&amp;C Act”) and the Public Health Service Act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regard our mRNA-modified products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38" w:name="DSPFPageBreakArea84"/>
      <w:bookmarkStart w:id="439" w:name="DSPFPageBreakArea84"/>
      <w:bookmarkEnd w:id="43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40" w:name="DSPFPageBreak84"/>
      <w:bookmarkStart w:id="441" w:name="DSPFPageBreak84"/>
      <w:bookmarkEnd w:id="44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42" w:name="ny20014884x5_pre14a_114-bus_pg11"/>
        <w:bookmarkEnd w:id="4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Biological Products Development Process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process required by the FDA before a biologic, including a cell therapy, may be marketed in the United States is summarized below.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(“GLPs”).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(“IBC”) that reviews and oversees research utilizing recombinant or synthetic nucleic acid molecules at an institution participating in a clinical trial.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 monitored in accordance with the FDA’s regulations, including with respect to good clinical practice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Human clinical trials are typically conducted in three sequential phases that may overlap or be combined: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Phase 2. The biological product candidate is evaluated in a broader population to evaluate safety further and preliminarily evaluate the efficacy of the product for specific targeted diseases, and to determine the optimal dosing schedule.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Cell and gene therapy products may differ from the traditional clinical trial phases. For example, clinical trials for cell and gene therapy products are often structured as a hybrid Phase 1/2 study where a small group of participants with the disease are enrolled and both safety and efficacy tests are performed.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Post-approval clinical trials, sometimes referred to as Phase 4 clinical trials, may be conducted after initial marketing approval to gain additional experience from the treatment of patients in the intended therapeutic indication, particularly for long-term safety follow-up.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43" w:name="DSPFPageBreakArea85"/>
      <w:bookmarkStart w:id="444" w:name="DSPFPageBreakArea85"/>
      <w:bookmarkEnd w:id="44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45" w:name="DSPFPageBreak85"/>
      <w:bookmarkStart w:id="446" w:name="DSPFPageBreak85"/>
      <w:bookmarkEnd w:id="44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47" w:name="ny20014884x5_pre14a_114-bus_pg12"/>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Sponsors of clinical trials of FDA-regulated products, including biologics, are also required to register and disclose certain clinical trial information, which is publicly available at www.clinicaltrials.gov.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Prescription Drug Fee User Act, as amended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Within 60 days following submission of the application, the FDA conducts a preliminary review a BLA to determine whether they are sufficiently complete to permit substantive review. The FDA may request additional information before deciding whether to accept a BLA for filing. FDA may refuse to file any BLA that it deems incomplete or otherwise not reviewable and may request additional information. If the submission is 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Risk Evaluation and Mitigation Strategy (“REMS”) is necessary to assure the safe use of the biological product candidate. If the FDA concludes a REMS is needed, the sponsor of the BLA must submit a proposed REMS; the FDA will not approve the BLA without a REMS, if required.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good clinical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One of the performance goals agreed to by the FDA under PDUFA is to review 90% of standard BLAs in 10 months from the filing date and 90% of priority BLAs in six months from the filing date, whereupon a review decision is to be made. Two additional months are added to these timelines for new molecular entities. The FDA does not always meet its PDUFA goal dates for standard and priority BLAs.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Orphan Designation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the submission of a BLA, the FDA may grant orphan designation to drugs or biologics intended to treat a rare disease or condition that affects fewer than 200,000 individuals in the United States, or if it affects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48" w:name="DSPFPageBreakArea86"/>
      <w:bookmarkStart w:id="449" w:name="DSPFPageBreakArea86"/>
      <w:bookmarkEnd w:id="44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50" w:name="DSPFPageBreak86"/>
      <w:bookmarkStart w:id="451" w:name="DSPFPageBreak86"/>
      <w:bookmarkEnd w:id="45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52" w:name="ny20014884x5_pre14a_114-bus_pg13"/>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Descartes-08 has been granted Orphan Drug Designation for the treatment of MG.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Expedited Development and Review Programs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 parties, could provide the basis for enforcement actions. In addition, the FDA currently requires as a condition for accelerated approval that promotional materials be submitted prior to use, which could adversely impact the timing of the commercial launch of the product.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the provisions of The Food and Drug Safety and Innovation Act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53" w:name="DSPFPageBreakArea87"/>
      <w:bookmarkStart w:id="454" w:name="DSPFPageBreakArea87"/>
      <w:bookmarkEnd w:id="45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55" w:name="DSPFPageBreak87"/>
      <w:bookmarkStart w:id="456" w:name="DSPFPageBreak87"/>
      <w:bookmarkEnd w:id="4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57" w:name="ny20014884x5_pre14a_114-bus_pg14"/>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Fast Track, priority review, accelerated approval, and breakthrough therapy designations do not change the standards for approval and may not necessarily expedite the development or approval process.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2016, the 21st Century Cures Act established what the FDA describes as a regenerative medicine adventure therapy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Post-approval Requirements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Biosimilars and Exclusivity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Patient Protection and Affordable Care Act (“ACA”) includes a subtitle called the Biologics Price Competition and Innovation Act of 2009 (“BPCIA”), which created an abbreviated approval pathway for biological products that are biosimilar to or interchangeable with an FDA-licensed reference biological product.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the definition of “biosimilar” with regard to an mRNA-modified cell therapy has not been expressly stated in statute, regulation, or guidance, and has not been reviewed by a court. The regulatory pathway for a biosimilar to one of our products thus remains somewhat uncertain.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58" w:name="DSPFPageBreakArea88"/>
      <w:bookmarkStart w:id="459" w:name="DSPFPageBreakArea88"/>
      <w:bookmarkEnd w:id="45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60" w:name="DSPFPageBreak88"/>
      <w:bookmarkStart w:id="461" w:name="DSPFPageBreak88"/>
      <w:bookmarkEnd w:id="46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62" w:name="ny20014884x5_pre14a_114-bus_pg15"/>
        <w:bookmarkEnd w:id="4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BPCIA is complex and continues to be interpreted and implemented by the FDA. As a result, the ultimate impact, implementation and meaning of the BPCIA is subject to significant uncertainty.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Government Regulation Outside of the United States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Whether or not we obtain FDA approval for a product, we must obtain the requisite approvals from regulatory authorities in countries outside the United States prior to the commencement of clinical studies or marketing of the product in those countries.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European Economic Area (“EEA”), which is composed of the 27 member states of the European Union plus Norway, Iceland and Liechtenstein, medicinal products can only be commercialized after obtaining a Marketing Authorization (“MA”). There are two types of MAs.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EU MA, which is issued by the European Commission through the Centralized Procedure,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 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obtain regulatory approval of medical product under European Union regulatory systems, we must submit a marketing authorization application, which is similar to the U.S. BLA. The European Union also provides opportunities for market exclusivity. Upon receiving marketing authorization, “new active substances” generally receive eight years of data exclusivity, which prevents regulatory authorities in the European Union from referencing the innovator’s data to assess a generic or biosimilar application, and an additional two years of market exclusivity, during which no generic or biosimilar product can be marketed. However, there is no guarantee that a product will be considered by the European Union’s regulatory authorities to be a new active substance,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criteria for designating an “orphan medicinal product” in the European Union are similar in principle to those in the United States. Under Article 3 of Regulation (EC) 141/2000, a medicinal product may be designated as orphan if (i) it is intended for the diagnosis, prevention or treatment of a life-threatening or chronically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63" w:name="DSPFPageBreakArea89"/>
      <w:bookmarkStart w:id="464" w:name="DSPFPageBreakArea89"/>
      <w:bookmarkEnd w:id="46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65" w:name="DSPFPageBreak89"/>
      <w:bookmarkStart w:id="466" w:name="DSPFPageBreak89"/>
      <w:bookmarkEnd w:id="46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67" w:name="ny20014884x5_pre14a_114-bus_pg16"/>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debilitating condition; (ii) either (a) such condition affects no more than five in 10,000 persons in the European Union when the application is made, or (b) the product, without the benefits derived from orphan status, would not generate sufficient return in the European Union to justify investment; and (iii)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certain financial and exclusivity incentives.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When conducting clinical trials in the EU,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European Union.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Healthcare 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 parties on the other. The majority of states also similar have anti-kickback laws, which in some cases apply to items and services reimbursed by private insurance.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68" w:name="DSPFPageBreakArea90"/>
      <w:bookmarkStart w:id="469" w:name="DSPFPageBreakArea90"/>
      <w:bookmarkEnd w:id="46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70" w:name="DSPFPageBreak90"/>
      <w:bookmarkStart w:id="471" w:name="DSPFPageBreak90"/>
      <w:bookmarkEnd w:id="47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2" w:name="ny20014884x5_pre14a_114-bus_pg17"/>
        <w:bookmarkEnd w:id="4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federal Health Insurance Portability and Accountability Act of 1996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Sanctions under these federal and state fraud and abuse laws may include civil monetary penalties and criminal fines, exclusion from government healthcare programs, and imprisonment.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also be subject to data privacy and security regulation by both the federal government and the states in which we conduct our business. HIPAA, as amended by the Health Information Technology for Economic and Clinical Health Act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Coverage and Reimbursement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decision by a third-party payor not to cover our product candidates could reduce physician utilization of our products once approved and have a material adverse effect on our sales, results of operations and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73" w:name="DSPFPageBreakArea91"/>
      <w:bookmarkStart w:id="474" w:name="DSPFPageBreakArea91"/>
      <w:bookmarkEnd w:id="47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75" w:name="DSPFPageBreak91"/>
      <w:bookmarkStart w:id="476" w:name="DSPFPageBreak91"/>
      <w:bookmarkEnd w:id="47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7" w:name="ny20014884x5_pre14a_114-bus_pg18"/>
        <w:bookmarkEnd w:id="4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Healthcare Reform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primary trend in the U.S. healthcare industry and elsewhere is cost containment. Government authorities and other third-party payors have attempted to control costs by limiting coverage and the amount of reimbursement for particular medical products.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federal level, for example, the Inflation Reduction Act of 2022 (“IRA”) was signed into law. Key provisions of the IRA include the following, among others: </w:t>
      </w:r>
    </w:p>
    <w:tbl>
      <w:tblPr>
        <w:tblW w:w="10105" w:type="dxa"/>
        <w:jc w:val="left"/>
        <w:tblInd w:w="0" w:type="dxa"/>
        <w:tblLayout w:type="fixed"/>
        <w:tblCellMar>
          <w:top w:w="0" w:type="dxa"/>
          <w:left w:w="0" w:type="dxa"/>
          <w:bottom w:w="0" w:type="dxa"/>
          <w:right w:w="0" w:type="dxa"/>
        </w:tblCellMar>
      </w:tblPr>
      <w:tblGrid>
        <w:gridCol w:w="110"/>
        <w:gridCol w:w="9995"/>
      </w:tblGrid>
      <w:tr>
        <w:trPr/>
        <w:tc>
          <w:tcPr>
            <w:tcW w:w="11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IRA requires manufacturers to pay rebates for Medicare Part B and Part D drugs whose price increases exceed inflation.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IRA delays the rebate rule that would require pass through of pharmacy benefit manager rebates to beneficiaries.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IRA directs the Centers for Medicare and Medicaid Services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Manufacturers that fail to comply with the IRA may be subject to various penalties, including civil monetary penalties or a potential excise tax. The IRA permits the Secretary of Health and Human Services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Biden administration has indicated that lowering prescription drug prices is a priority. On October 14, 2022, President Biden signed an executive order to lower prescription drug costs for Americans. In response to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78" w:name="DSPFPageBreakArea92"/>
      <w:bookmarkStart w:id="479" w:name="DSPFPageBreakArea92"/>
      <w:bookmarkEnd w:id="47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80" w:name="DSPFPageBreak92"/>
      <w:bookmarkStart w:id="481" w:name="DSPFPageBreak92"/>
      <w:bookmarkEnd w:id="48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82" w:name="ny20014884x5_pre14a_114-bus_pg19"/>
        <w:bookmarkEnd w:id="4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directive, the HHS Secretary announced and the Center for Medicare and Medicaid Innovation is developing three new models intended to lower drug costs under Medicare and Medicaid, including establishing a new approach for administering outcomes-based agreements for cell and gene therapies. President Biden also signed an executive order on July 9, 2021 affirming the administration’s policy to, among other things,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In response, authorities in Canada have passed rules designed to safeguard the Canadian drug supply from shortages. On January 5, 2024, the FDA authorized Florida’s Agency for Health Care Administration’s drug importation proposal, the first step toward Florida facilitating importation of certain prescription drugs from Canada.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Employees and Human Capital Resources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2023, we had 38 employees, 26 of whom are primarily engaged in research and development activities and 12 in corporate functions. 73.6% of our employees have at least one of a Masters, PhD, or MD degree. All employees reside and work in the United States and are not represented by a labor union. We consider our employee relations to be strong and in good standing.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Property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corporate headquarters are currently located at 704 Quince Orchard Road, Gaithersburg, Maryland, and consists of 7,909 total square feet of leased office and laboratory space under a Lease Agreement, entered into on May 11, 2018, and amended on March 22, 2021 and May 3, 2021, which we refer to as amended as the Gaithersburg Lease, with 704 Quince Orchard Owner, LLC (the “Landlord”) to lease the premises specified in the Gaithersburg Lease, consisting of approximately 7,909 square feet of building space on 79,747 square feet of land.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Gaithersburg Lease provides for a fixed, low single-digit annual increase in rent and obligates us to pay a fixed, high single-digit share of operating expenses relating to the premises, during the term of the Gaithersburg Lease, which expires on January 17,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83" w:name="DSPFPageBreakArea93"/>
      <w:bookmarkStart w:id="484" w:name="DSPFPageBreakArea93"/>
      <w:bookmarkEnd w:id="48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85" w:name="DSPFPageBreak93"/>
      <w:bookmarkStart w:id="486" w:name="DSPFPageBreak93"/>
      <w:bookmarkEnd w:id="48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87" w:name="ny20014884x5_pre14a_114-bus_pg20"/>
        <w:bookmarkEnd w:id="4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Both parties have the right to terminate the Gaithersburg Lease following the occurrence of specified catastrophic events. The Landlord has the right to unilaterally terminate the Gaithersburg Lease (i) upon our default, (ii) upon a non-permitted assignment or sublease, and (iii) if the Landlord determines we made a false representation and warranty regarding never being required to take remedial action in relation to hazardous materials or never being subject to an enforcement order regarding hazardous materials.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filed our certificate of incorporation with the Secretary of State of Delaware on December 10, 2007. Our Common Stock is listed on The Nasdaq Global Market under the ticker symbol “RNAC.” On November 13, 2023, we completed the Merger, pursuant to which we issued to the stockholders of pre-Merger Cartesian that were “accredited investors,” as defined in Regulation D promulgated under the Securities Act, (A) 6,723,639 shares of Common Stock, which amount is (together with the shares underlying assumed options to purchase Common Stock) approximately 19.9% of the number of shares of Common Stock outstanding immediately prior to the Merger, and (B) 384,930.724 shares of Series A Preferred Stock, each share of which is convertible into 1,000 shares of Common Stock, subject to the approval of the Conversion Proposal. Our principal executive offices are located at 704 Quince Orchard Road, Gaithersburg, MD 20878, and our telephone number is (617) 923-1400. Our website address is https://www.cartesiantherapeutics.com/. The information contained in, or accessible through, our website does not constitute part of this proxy statement. We have included our website address in this proxy statement solely as an inactive textual reference.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88" w:name="DSPFPageBreakArea94"/>
      <w:bookmarkStart w:id="489" w:name="DSPFPageBreakArea94"/>
      <w:bookmarkEnd w:id="48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90" w:name="DSPFPageBreak94"/>
      <w:bookmarkStart w:id="491" w:name="DSPFPageBreak94"/>
      <w:bookmarkEnd w:id="49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92" w:name="ny20014884x5_pre14a_115-mda_pg1"/>
        <w:bookmarkEnd w:id="4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3" w:name="tOCM"/>
      <w:bookmarkEnd w:id="493"/>
      <w:r>
        <w:rPr>
          <w:rFonts w:ascii="Times New Roman;Times;serif" w:hAnsi="Times New Roman;Times;serif"/>
          <w:b/>
          <w:color w:val="000000"/>
          <w:sz w:val="20"/>
        </w:rPr>
        <w:t xml:space="preserve">OLD CARTESIAN’S MANAGEMENT’S DISCUSSION AND ANALYSIS OF FINANCIAL CONDITION AND RESULTS OF OPERATIONS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our Old Cartesian’s financial condition and results of operations should be read in conjunction with our audited financial statements for the years ended December 31, 2022 and 2021 and unaudited financial statements for the nine months ended September 30, 2023 and 2022 and related notes included as Annexes B and C, respectively, to this proxy statement. This discussion and other parts of this proxy statement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the “Risk Factors” section of this proxy statement. In this section, the terms “we,” “us,” “our,” and similar expressions refer to Old Cartesian unless context indicates otherwise.</w:t>
      </w:r>
      <w:r>
        <w:rPr>
          <w:rFonts w:ascii="Times New Roman;Times;serif" w:hAnsi="Times New Roman;Times;serif"/>
          <w:i/>
          <w:caps w:val="false"/>
          <w:smallCaps w:val="false"/>
          <w:color w:val="000000"/>
          <w:sz w:val="20"/>
        </w:rPr>
        <w:t xml:space="preserv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Financial Operations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date, we have financed our operations primarily through private sales of our securities and funding received from research grants. We do not have any products approved for sale and have not generated any product sales.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incurred significant operating losses since our inception. We had a net loss of $6.5 million and $3.6 million for the years ended December 31, 2022 and 2021, respectively, and a net loss of $7.8 million and $5.2 million for the nine months ended September 30, 2023 and 2022, respectively. As of September 30, 2023, we had an accumulated deficit of $33.8 million. We expect to continue to incur significant expenses and operating losses for at least the next several years as we: </w:t>
      </w:r>
    </w:p>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 the research and development of our product candidates; </w:t>
            </w:r>
          </w:p>
        </w:tc>
      </w:tr>
    </w:tbl>
    <w:tbl>
      <w:tblPr>
        <w:tblW w:w="5695" w:type="dxa"/>
        <w:jc w:val="left"/>
        <w:tblInd w:w="0" w:type="dxa"/>
        <w:tblLayout w:type="fixed"/>
        <w:tblCellMar>
          <w:top w:w="0" w:type="dxa"/>
          <w:left w:w="0" w:type="dxa"/>
          <w:bottom w:w="0" w:type="dxa"/>
          <w:right w:w="0" w:type="dxa"/>
        </w:tblCellMar>
      </w:tblPr>
      <w:tblGrid>
        <w:gridCol w:w="110"/>
        <w:gridCol w:w="5585"/>
      </w:tblGrid>
      <w:tr>
        <w:trPr/>
        <w:tc>
          <w:tcPr>
            <w:tcW w:w="11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and develop our manufacturing and distribution capacities;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discover and develop additional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to maintain and enter into collaboration, licensing and other agreements, including, but not limited to research and development, and/or commercialization agreements; </w:t>
            </w:r>
          </w:p>
        </w:tc>
      </w:tr>
    </w:tbl>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regulatory approvals for any product candidates that successfully complete clinical trials;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potentially establish a sales, marketing and distribution infrastructure and scale up internal manufacturing capabilities to commercialize any products for which we may obtain regulatory approval; </w:t>
            </w:r>
          </w:p>
        </w:tc>
      </w:tr>
    </w:tbl>
    <w:tbl>
      <w:tblPr>
        <w:tblW w:w="8890" w:type="dxa"/>
        <w:jc w:val="left"/>
        <w:tblInd w:w="0" w:type="dxa"/>
        <w:tblLayout w:type="fixed"/>
        <w:tblCellMar>
          <w:top w:w="0" w:type="dxa"/>
          <w:left w:w="0" w:type="dxa"/>
          <w:bottom w:w="0" w:type="dxa"/>
          <w:right w:w="0" w:type="dxa"/>
        </w:tblCellMar>
      </w:tblPr>
      <w:tblGrid>
        <w:gridCol w:w="110"/>
        <w:gridCol w:w="8780"/>
      </w:tblGrid>
      <w:tr>
        <w:trPr/>
        <w:tc>
          <w:tcPr>
            <w:tcW w:w="11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 expand and protect our intellectual property portfolio, including through licensing arrangements;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clinical, scientific, operational, financial and management information systems and personnel, including personnel to support our product development and potential future commercialization efforts;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any delays or encounter any issues with any of the above, including, but not limited to, failed studies, complex results, safety issues or other regulatory, manufacturing or scale-up challenges;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exposed to broad macroeconomic conditions including inflation and supply chain tightness which could result in us paying more, or being unable, to access goods and services.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94" w:name="DSPFPageBreakArea95"/>
      <w:bookmarkStart w:id="495" w:name="DSPFPageBreakArea95"/>
      <w:bookmarkEnd w:id="49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96" w:name="DSPFPageBreak95"/>
      <w:bookmarkStart w:id="497" w:name="DSPFPageBreak95"/>
      <w:bookmarkEnd w:id="49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98" w:name="ny20014884x5_pre14a_115-mda_pg2"/>
        <w:bookmarkEnd w:id="4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Until we can generate substantial product revenues, we expect to finance our cash needs primarily through equity offerings. We may be unable to raise capital when needed or on acceptable terms, if at all, which would force us to delay, limit, reduce or terminate our product development or future commercialization efforts. We will need to generate significant revenues to achieve profitability, and we may never do so.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our existing cash and cash equivalents as of September 30, 2023, combined with the cash and cash equivalents of Selecta, including the proceeds from the Financing, will enable us to fund our operating expenses and capital expenditure requirements for at least the next 12 months. We have based this estimate on assumptions that may prove to be wrong, and we could use our capital resources sooner than we currently expect.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Grant Revenue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date, we have not generated any revenue from product sales. We do not expect to generate revenue from product sales for at least the next several years. Our revenue consists primarily of grant revenue from contracts with the NIH and other government-sponsored organizations for research and development related activities that provide for payments for reimbursed costs, which may include overhead and general and administrative costs as well as a related profit margin.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Research and Development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research and development expenses primarily consist of payroll and personnel expenses, including stock-based compensation, for personnel contributing to research and development activities, clinical trial costs, laboratory supplies, outside services, and licenses and patent costs acquired to be used in research and development. Our internal research and development costs are often devoted to expanding our programs and are not necessarily allocable to a specific target.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and Administrative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consist primarily of facility costs and professional fees.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Income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income consists primarily of interest income earned on our cash and cash equivalents.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Income, Net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income, net consists primarily of payroll tax credits which are recognized as income in the period we incur payroll taxes for which the credit is earned.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99" w:name="DSPFPageBreakArea96"/>
      <w:bookmarkStart w:id="500" w:name="DSPFPageBreakArea96"/>
      <w:bookmarkEnd w:id="50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01" w:name="DSPFPageBreak96"/>
      <w:bookmarkStart w:id="502" w:name="DSPFPageBreak96"/>
      <w:bookmarkEnd w:id="50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3" w:name="ny20014884x5_pre14a_115-mda_pg3"/>
        <w:bookmarkEnd w:id="5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Nine Months Ended September 30, 2023 and 2022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results of operations for the nine months ended September 30, 2023 and 2022 (in thousands): </w:t>
      </w:r>
    </w:p>
    <w:tbl>
      <w:tblPr>
        <w:tblW w:w="6381" w:type="dxa"/>
        <w:jc w:val="left"/>
        <w:tblInd w:w="0" w:type="dxa"/>
        <w:tblLayout w:type="fixed"/>
        <w:tblCellMar>
          <w:top w:w="0" w:type="dxa"/>
          <w:left w:w="0" w:type="dxa"/>
          <w:bottom w:w="0" w:type="dxa"/>
          <w:right w:w="0" w:type="dxa"/>
        </w:tblCellMar>
      </w:tblPr>
      <w:tblGrid>
        <w:gridCol w:w="2225"/>
        <w:gridCol w:w="23"/>
        <w:gridCol w:w="23"/>
        <w:gridCol w:w="1215"/>
        <w:gridCol w:w="39"/>
        <w:gridCol w:w="39"/>
        <w:gridCol w:w="1215"/>
        <w:gridCol w:w="23"/>
        <w:gridCol w:w="23"/>
        <w:gridCol w:w="710"/>
        <w:gridCol w:w="23"/>
        <w:gridCol w:w="23"/>
        <w:gridCol w:w="800"/>
      </w:tblGrid>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0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Nine Months Ended September 30,</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center"/>
              <w:rPr>
                <w:color w:val="000000"/>
              </w:rPr>
            </w:pPr>
            <w:r>
              <w:rPr>
                <w:color w:val="000000"/>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39" w:type="dxa"/>
            <w:tcBorders>
              <w:bottom w:val="single" w:sz="2" w:space="0" w:color="FFFFFF"/>
            </w:tcBorders>
            <w:tcMar>
              <w:bottom w:w="85" w:type="dxa"/>
            </w:tcMar>
            <w:vAlign w:val="center"/>
          </w:tcPr>
          <w:p>
            <w:pPr>
              <w:pStyle w:val="TableContents"/>
              <w:bidi w:val="0"/>
              <w:spacing w:before="0" w:after="283"/>
              <w:jc w:val="left"/>
              <w:rPr/>
            </w:pPr>
            <w:r>
              <w:rPr/>
              <w:t>​</w:t>
            </w:r>
          </w:p>
        </w:tc>
        <w:tc>
          <w:tcPr>
            <w:tcW w:w="39" w:type="dxa"/>
            <w:tcBorders>
              <w:bottom w:val="single" w:sz="2" w:space="0" w:color="FFFFFF"/>
            </w:tcBorders>
            <w:tcMar>
              <w:bottom w:w="85" w:type="dxa"/>
            </w:tcMar>
            <w:vAlign w:val="center"/>
          </w:tcPr>
          <w:p>
            <w:pPr>
              <w:pStyle w:val="TableContents"/>
              <w:bidi w:val="0"/>
              <w:spacing w:before="0" w:after="283"/>
              <w:jc w:val="left"/>
              <w:rPr/>
            </w:pPr>
            <w:r>
              <w:rPr/>
              <w:t>​</w:t>
            </w:r>
          </w:p>
        </w:tc>
        <w:tc>
          <w:tcPr>
            <w:tcW w:w="12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revenue: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1,035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0"/>
              <w:jc w:val="left"/>
              <w:rPr>
                <w:color w:val="000000"/>
              </w:rPr>
            </w:pPr>
            <w:r>
              <w:rPr>
                <w:color w:val="000000"/>
              </w:rPr>
              <w:t> </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0"/>
              <w:jc w:val="left"/>
              <w:rPr>
                <w:color w:val="000000"/>
              </w:rPr>
            </w:pPr>
            <w:r>
              <w:rPr>
                <w:color w:val="000000"/>
              </w:rPr>
              <w:t> </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0"/>
              <w:jc w:val="left"/>
              <w:rPr>
                <w:color w:val="000000"/>
              </w:rPr>
            </w:pPr>
            <w:r>
              <w:rPr>
                <w:color w:val="000000"/>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6,965</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5,273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1,692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1,286</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1,069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8,251</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6,342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(8,251)</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(5,307)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(2,944)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0"/>
              <w:jc w:val="left"/>
              <w:rPr>
                <w:color w:val="000000"/>
              </w:rPr>
            </w:pPr>
            <w:r>
              <w:rPr>
                <w:color w:val="000000"/>
              </w:rPr>
              <w:t> </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311</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1455%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176</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487</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$(7,764</w:t>
            </w:r>
            <w:r>
              <w:rPr>
                <w:rFonts w:ascii="Times New Roman;Times;serif" w:hAnsi="Times New Roman;Times;serif"/>
                <w:color w:val="000000"/>
                <w:sz w:val="20"/>
              </w:rPr>
              <w:t>)</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$(5,186</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r>
    </w:tbl>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Grant Revenue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 revenue decreased by $1.0 million from $1.0 million for the nine months ended September 30, 2022 to zero for the nine months ended September 30, 2023.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Research and Development Expense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$1.7 million from $5.3 million for the nine months ended September 30, 2022 to $7.0 million for the nine months ended September 30, 2023. The increase in research and development expenses was primarily due to increases in personnel costs and expenses associated with our ongoing preclinical and clinical trial activities.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and Administrative Expense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increased by $0.2 million from $1.1 million for the nine months ended September 30, 2022 to $1.3 million for the nine months ended September 30, 2023. The increase in general and administrative expenses was primarily due to increases in facility costs and professional fees.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Income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income increased by $0.4 million from $0.1 million for the nine months ended September 30, 2022 to $0.5 million for the nine months ended September 30, 2023. The increase was primarily related to an increase in interest income and the recognition of payroll tax credits.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Net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for the nine months ended September 30, 2023 increased by $2.6 million from $5.2 million for the nine months ended September 30, 2022 to $7.8 million for the nine months ended September 30,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04" w:name="DSPFPageBreakArea97"/>
      <w:bookmarkStart w:id="505" w:name="DSPFPageBreakArea97"/>
      <w:bookmarkEnd w:id="50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06" w:name="DSPFPageBreak97"/>
      <w:bookmarkStart w:id="507" w:name="DSPFPageBreak97"/>
      <w:bookmarkEnd w:id="50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8" w:name="ny20014884x5_pre14a_115-mda_pg4"/>
        <w:bookmarkEnd w:id="5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Years Ended December 31, 2022 and 2021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results of operations for the year ended December 31, 2022 and 2021 (in thousands): </w:t>
      </w:r>
    </w:p>
    <w:tbl>
      <w:tblPr>
        <w:tblW w:w="5781" w:type="dxa"/>
        <w:jc w:val="left"/>
        <w:tblInd w:w="0" w:type="dxa"/>
        <w:tblLayout w:type="fixed"/>
        <w:tblCellMar>
          <w:top w:w="0" w:type="dxa"/>
          <w:left w:w="0" w:type="dxa"/>
          <w:bottom w:w="0" w:type="dxa"/>
          <w:right w:w="0" w:type="dxa"/>
        </w:tblCellMar>
      </w:tblPr>
      <w:tblGrid>
        <w:gridCol w:w="2225"/>
        <w:gridCol w:w="23"/>
        <w:gridCol w:w="23"/>
        <w:gridCol w:w="925"/>
        <w:gridCol w:w="29"/>
        <w:gridCol w:w="29"/>
        <w:gridCol w:w="925"/>
        <w:gridCol w:w="23"/>
        <w:gridCol w:w="23"/>
        <w:gridCol w:w="710"/>
        <w:gridCol w:w="23"/>
        <w:gridCol w:w="23"/>
        <w:gridCol w:w="800"/>
      </w:tblGrid>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90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center"/>
              <w:rPr>
                <w:color w:val="000000"/>
              </w:rPr>
            </w:pPr>
            <w:r>
              <w:rPr>
                <w:color w:val="000000"/>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2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92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Change</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revenue: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1,449</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3,337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 </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0"/>
              <w:jc w:val="left"/>
              <w:rPr>
                <w:color w:val="000000"/>
              </w:rPr>
            </w:pPr>
            <w:r>
              <w:rPr>
                <w:color w:val="000000"/>
              </w:rPr>
              <w:t> </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0"/>
              <w:jc w:val="left"/>
              <w:rPr>
                <w:color w:val="000000"/>
              </w:rPr>
            </w:pPr>
            <w:r>
              <w:rPr>
                <w:color w:val="000000"/>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6,841</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6,090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1,244</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1,006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8,085</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7,096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(6,636)</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(3,759)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1067%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146</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181</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$(6,455</w:t>
            </w:r>
            <w:r>
              <w:rPr>
                <w:rFonts w:ascii="Times New Roman;Times;serif" w:hAnsi="Times New Roman;Times;serif"/>
                <w:color w:val="000000"/>
                <w:sz w:val="2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$(3,640</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Grant Revenue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 revenue decreased by $1.9 million from $3.3 million for the year ended December 31, 2021 to $1.4 million for the year ended December 31, 2022.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Research and Development Expense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$0.8 million from $6.1 million for the year ended December 31, 2021 to $6.9 million for the year ended December 31, 2022. The increase in research and development expenses was primarily due to increases in personnel costs and expenses associated with our ongoing preclinical and clinical trial activities.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and Administrative Expense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increased by $0.2 million from $1.0 million for the year ended December 31, 2021 to $1.2 million for the year ended December 31, 2022. The increase in general and administrative expenses was primarily due to increased facility costs.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income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income increased by $0.1 million from $0.1 million for the year ended December 31, 2021 to $0.2 million for the year ended December 31, 2022. The increase was primarily related to an increase in interest income and the recognition of payroll tax credits.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Net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loss increased by $2.9 million from $3.6 million for the year ended December 31, 2021 to $6.5 million for the year ended December 31, 2022.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Liquidity and Capital Resources</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Sources of Liquidity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09" w:name="DSPFPageBreakArea98"/>
      <w:bookmarkStart w:id="510" w:name="DSPFPageBreakArea98"/>
      <w:bookmarkEnd w:id="51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11" w:name="DSPFPageBreak98"/>
      <w:bookmarkStart w:id="512" w:name="DSPFPageBreak98"/>
      <w:bookmarkEnd w:id="51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13" w:name="ny20014884x5_pre14a_115-mda_pg5"/>
        <w:bookmarkEnd w:id="5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date, we have financed our operations primarily through private sales of our securities and funding received from research grants. As of September 30, 2023, our cash and cash equivalents were $6.9 million. On November 13, 2023, we merged with Selecta. For accounting purposes, Selecta is considered the accounting acquirer with our company becoming a wholly owned subsidiary of Selecta, which, as of the merger date, changed its name to Cartesian Therapeutics, Inc. In connection with the merger, Selecta announced the Financing. With the cash from both companies at closing and the proceeds of the Financing, the combined company is expected to have a pro forma balance of cash and cash equivalents of over $110 million on hand to support the development of the Company’s pipeline through the Phase 3 trial of its lead product candidate, Descartes-08, a potential first-in-class mRNA CAR-T therapy for the treatment of MG, as well as the advancement of additional RNA cell therapy programs.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Cash Flows </w:t>
      </w:r>
    </w:p>
    <w:tbl>
      <w:tblPr>
        <w:tblW w:w="9162" w:type="dxa"/>
        <w:jc w:val="left"/>
        <w:tblInd w:w="0" w:type="dxa"/>
        <w:tblLayout w:type="fixed"/>
        <w:tblCellMar>
          <w:top w:w="0" w:type="dxa"/>
          <w:left w:w="0" w:type="dxa"/>
          <w:bottom w:w="0" w:type="dxa"/>
          <w:right w:w="0" w:type="dxa"/>
        </w:tblCellMar>
      </w:tblPr>
      <w:tblGrid>
        <w:gridCol w:w="4595"/>
        <w:gridCol w:w="23"/>
        <w:gridCol w:w="23"/>
        <w:gridCol w:w="925"/>
        <w:gridCol w:w="29"/>
        <w:gridCol w:w="29"/>
        <w:gridCol w:w="925"/>
        <w:gridCol w:w="23"/>
        <w:gridCol w:w="23"/>
        <w:gridCol w:w="1195"/>
        <w:gridCol w:w="38"/>
        <w:gridCol w:w="38"/>
        <w:gridCol w:w="1296"/>
      </w:tblGrid>
      <w:tr>
        <w:trPr/>
        <w:tc>
          <w:tcPr>
            <w:tcW w:w="4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90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67"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September 30, </w:t>
            </w:r>
          </w:p>
        </w:tc>
      </w:tr>
      <w:tr>
        <w:trPr/>
        <w:tc>
          <w:tcPr>
            <w:tcW w:w="45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2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92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9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c>
          <w:tcPr>
            <w:tcW w:w="1296"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4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(used in) and provided by: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0"/>
              <w:jc w:val="left"/>
              <w:rPr>
                <w:color w:val="000000"/>
              </w:rPr>
            </w:pPr>
            <w:r>
              <w:rPr>
                <w:color w:val="000000"/>
              </w:rPr>
              <w:t> </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0"/>
              <w:jc w:val="left"/>
              <w:rPr>
                <w:color w:val="000000"/>
              </w:rPr>
            </w:pPr>
            <w:r>
              <w:rPr>
                <w:color w:val="000000"/>
              </w:rPr>
              <w:t> </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0"/>
              <w:jc w:val="left"/>
              <w:rPr>
                <w:color w:val="000000"/>
              </w:rPr>
            </w:pPr>
            <w:r>
              <w:rPr>
                <w:color w:val="000000"/>
              </w:rPr>
              <w:t> </w:t>
            </w:r>
          </w:p>
        </w:tc>
      </w:tr>
      <w:tr>
        <w:trPr/>
        <w:tc>
          <w:tcPr>
            <w:tcW w:w="45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(3,463)</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$(4,801)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$(6,501)</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$(1,856) </w:t>
            </w:r>
          </w:p>
        </w:tc>
      </w:tr>
      <w:tr>
        <w:trPr/>
        <w:tc>
          <w:tcPr>
            <w:tcW w:w="45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(151)</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 </w:t>
            </w:r>
          </w:p>
        </w:tc>
      </w:tr>
      <w:tr>
        <w:trPr/>
        <w:tc>
          <w:tcPr>
            <w:tcW w:w="45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10,880</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4,207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1,425</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71" w:right="0" w:hanging="0"/>
              <w:jc w:val="left"/>
              <w:rPr>
                <w:color w:val="000000"/>
                <w:bdr w:val="single" w:sz="8" w:space="1" w:color="000000"/>
              </w:rPr>
            </w:pPr>
            <w:r>
              <w:rPr>
                <w:color w:val="000000"/>
                <w:bdr w:val="single" w:sz="8" w:space="1" w:color="000000"/>
              </w:rPr>
              <w:t xml:space="preserve">— </w:t>
            </w:r>
          </w:p>
        </w:tc>
      </w:tr>
      <w:tr>
        <w:trPr/>
        <w:tc>
          <w:tcPr>
            <w:tcW w:w="459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change in cash, cash equivalents, and restricted cash</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$7,266</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$(594</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$(5,126</w:t>
            </w:r>
            <w:r>
              <w:rPr>
                <w:rFonts w:ascii="Times New Roman;Times;serif" w:hAnsi="Times New Roman;Times;serif"/>
                <w:color w:val="000000"/>
                <w:sz w:val="20"/>
              </w:rPr>
              <w:t>)</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$(2,007</w:t>
            </w:r>
            <w:r>
              <w:rPr>
                <w:rFonts w:ascii="Times New Roman;Times;serif" w:hAnsi="Times New Roman;Times;serif"/>
                <w:color w:val="000000"/>
                <w:sz w:val="20"/>
              </w:rPr>
              <w:t>)</w:t>
            </w:r>
          </w:p>
        </w:tc>
      </w:tr>
    </w:tbl>
    <w:p>
      <w:pPr>
        <w:pStyle w:val="TextBody"/>
        <w:bidi w:val="0"/>
        <w:spacing w:before="2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Operating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decreased by $1.3 million from $4.8 million for the year ended December 31, 2021 to $3.5 million for the year ended December 31, 2022. The decrease in net cash used in operating activities was primarily due to the collection of accounts receivable of $2.1 million offset by a $2.9 million increase in net loss. Net cash used in operating activities increased by $4.6 million from $1.9 million for the nine months ended September 30, 2022 to $6.5 million for the nine months ended September 30, 2023. The increase in net cash used in operating activities was primarily due to a $2.6 million increase in net loss.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Investing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investing activities increased by $0.2 million from zero for the year ended December 31, 2021 to $0.2 million for the year ended December 31, 2022. The net cash used in investing activities in 2022 was to purchase equipment. Net cash used in investing activities decreased by $0.1 million from $0.2 million for the nine months ended September 30, 2022 to $0.1 million for the nine months ended September 30, 2023. The decrease in net cash used in investing activities was primarily due to a decrease in equipment purchases. </w:t>
      </w:r>
    </w:p>
    <w:p>
      <w:pPr>
        <w:pStyle w:val="TextBody"/>
        <w:bidi w:val="0"/>
        <w:spacing w:before="3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Financing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cash provided by financing activities increased by $6.7 million from $4.2 million for the year ended December 31, 2021 to $10.9 million for the year ended December 31, 2022. The net cash provided by financing activities in 2022 was primarily the result of net proceeds from the Series B-2 Preferred Stock issuance. The net cash provided by financing activities in 2021 was primarily the result of net proceeds from the Series B-1 Preferred Stock issuance. Net cash provided by financing activities increased by $1.4 million from zero for the nine months ended September 30, 2022 to $1.4 million for the nine months ended September 30, 2023. The increase in net cash provided by financing activities was primarily the result of net proceeds from the Series B-2 Preferred Stock issuance. </w:t>
      </w:r>
    </w:p>
    <w:p>
      <w:pPr>
        <w:pStyle w:val="TextBody"/>
        <w:bidi w:val="0"/>
        <w:spacing w:before="3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funding requirements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2023, we have not generated any revenue from product sales. We do not know when, or if, we will generate revenue from product sales. We will not generate revenue from product sales unless and until we obtain regulatory approval and commercialize one of our current or future product candidates. Our primary uses of capital are, and we expect will continue to be, compensation and related expenses, third-party clinical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14" w:name="DSPFPageBreakArea99"/>
      <w:bookmarkStart w:id="515" w:name="DSPFPageBreakArea99"/>
      <w:bookmarkEnd w:id="5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16" w:name="DSPFPageBreak99"/>
      <w:bookmarkStart w:id="517" w:name="DSPFPageBreak99"/>
      <w:bookmarkEnd w:id="5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18" w:name="ny20014884x5_pre14a_115-mda_pg6"/>
        <w:bookmarkEnd w:id="5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services, laboratory and related supplies, clinical costs, legal and other regulatory expenses, milestone and royalty payments for in-licenses, and general overhead costs.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2023, we had an accumulated deficit of $33.8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On November 13, 2023, we merged with Selecta. For accounting purposes, Selecta is considered the accounting acquirer with our company becoming a wholly owned subsidiary of Selecta, which, as of the date of the Merger, changed its name to Cartesian Therapeutics, Inc. In connection with the Merger, Selecta announced the Financing. With the cash from both companies at closing and the proceeds of the Financing, the combined company is expected to have a pro forma cash and cash equivalents balance of over $110 million on hand to support the development of the Company’s pipeline through the Phase 3 study of lead product candidate, Descartes-08, a potential first-in-class mRNA CAR-T therapy for the treatment of MG, as well as the advancement of additional RNA cell therapy programs.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our existing cash and cash equivalents as of September 30, 2023, combined with the cash and cash equivalents of the combined company, including the proceeds from the Financing, will enable us to fund our current planned operations for at least the next 12 months, though we may realize additional cash resources upon the achievement of certain contingent collaboration milestones and we may pursue additional cash resources through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future capital requirements will depend on many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for stockholder approval of the conversion of our Series A Preferred Stock into common stock and the amount of any associated redemptions;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collaboration agreements remaining in effect, our entering into additional collaboration agreements and our ability to achieve milestones under these agreements;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manufacturability and cost of manufacturing clinical supplies of our product candidates;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size of our headcount and associated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progress, results and costs of preclinical development, laboratory testing and clinical trials for our other product candidates;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regulatory review of our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and timing of future commercialization activities, including manufacturing, marketing, sales and distribution, for any of our product candidates for which we receive marketing approval;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revenue, if any, received from commercial sales of our product candidates for which we receive marketing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and timing of preparing, filing and prosecuting patent applications, maintaining and enforcing our intellectual property rights and defending any intellectual property-related claims; and </w:t>
            </w:r>
          </w:p>
        </w:tc>
      </w:tr>
    </w:tbl>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 of competing technological and market developments.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19" w:name="DSPFPageBreakArea100"/>
      <w:bookmarkStart w:id="520" w:name="DSPFPageBreakArea100"/>
      <w:bookmarkEnd w:id="52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21" w:name="DSPFPageBreak100"/>
      <w:bookmarkStart w:id="522" w:name="DSPFPageBreak100"/>
      <w:bookmarkEnd w:id="52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23" w:name="ny20014884x5_pre14a_115-mda_pg7"/>
        <w:bookmarkEnd w:id="5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 Accounting Pronouncements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 discussion of recently adopted or issued accounting pronouncements please see Note 2 to our interim unaudited financial statements included as Annex C to this proxy statement.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Off-Balance Sheet Arrangements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did not have, during the periods presented, and we do not currently have, any off-balance sheet arrangements, as defined under applicable SEC rules.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Policies and Use of Estimates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management’s discussion and analysis of our financial condition and results of operations is based on our financial statements, which have been prepared in accordance with U.S. GAAP. The preparation of these financial statements requires us to make estimates and judgements that affect the reported amounts of assets, liabilities, revenues and expenses, and disclosure of contingent assets and liabilities in our financial statements. Actual results may differ from these estimates under different assumptions or conditions and could have a material impact on our reported results. While our significant accounting policies are more fully described in the Notes to our financial statements included elsewhere in this proxy statement, we believe the following accounting policies to be the most critical in understanding the judgments and estimates we use in preparing our financial statements: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contracts with the NIH and other government-sponsored organizations for research and development related activities that provide for payments for reimbursed costs, which may include overhead and general and administrative costs as well as a related profit margin. We recognize grant revenue from these contracts as we perform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our balance sheets. Amounts incurred that are subject to reimbursement from the sponsor are recorded as accounts receivable in our balance sheets.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Clinical Trial Costs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Clinical trial expenses are a significant component of research and development expenses, and we outsource a significant portion of these costs to third parties.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accrued liabilities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The historical clinical accrual estimates made by us have not been materially different from the actual costs.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We have elected to account for forfeitures as they occur. Stock-based compensation expense recognized in the financial statements is based on awards that ultimately vest.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24" w:name="DSPFPageBreakArea101"/>
      <w:bookmarkStart w:id="525" w:name="DSPFPageBreakArea101"/>
      <w:bookmarkEnd w:id="52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26" w:name="DSPFPageBreak101"/>
      <w:bookmarkStart w:id="527" w:name="DSPFPageBreak101"/>
      <w:bookmarkEnd w:id="52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28" w:name="ny20014884x5_pre14a_115-mda_pg8"/>
        <w:bookmarkEnd w:id="5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Quantitative and Qualitative Disclosures About Market Risk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market risk inherent in our financial instruments and in our financial position represents the potential loss arising from adverse changes in interest rates. As of December 31, 2022 and 2021, we had cash and cash equivalents of $12.0 million and $4.7 million, respectively, consisting of non-interest and interest-bearing money market accounts and cash held in interest bearing accounts at financial institutions. Our primary exposure to market risk is interest rate sensitivity, which is affected by changes in the general level of U.S. interest rates. Due to the short-term and the low risk profile of our money market accounts, an immediate 100 basis point change in interest rates would not have a material effect on the fair market value of our cash equivalents.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29" w:name="DSPFPageBreakArea102"/>
      <w:bookmarkStart w:id="530" w:name="DSPFPageBreakArea102"/>
      <w:bookmarkEnd w:id="53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31" w:name="DSPFPageBreak102"/>
      <w:bookmarkStart w:id="532" w:name="DSPFPageBreak102"/>
      <w:bookmarkEnd w:id="53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33" w:name="ny20014884x5_pre14a_115-mda_pg9"/>
        <w:bookmarkEnd w:id="5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4" w:name="tMPA"/>
      <w:bookmarkEnd w:id="534"/>
      <w:r>
        <w:rPr>
          <w:rFonts w:ascii="Times New Roman;Times;serif" w:hAnsi="Times New Roman;Times;serif"/>
          <w:b/>
          <w:color w:val="000000"/>
          <w:sz w:val="20"/>
        </w:rPr>
        <w:t xml:space="preserve">MARKET PRICE AND DIVIDEND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Cartesian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Cartesian’s Common Stock is currently listed on the Nasdaq Global Market under the symbol “RNAC.”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the Common Stock on November 10, 2023, the last trading day before announcement of the execution of the Merger Agreement, was $0.958. As of    , 2024, the Record Date, the most recent closing price for the Common Stock was $   .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the Common Stock are urged to obtain current market quotations for the Common Stock. The market price of the Common Stock could vary significantly.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 2024, there were     holders of record of the Common Stock. The number of holders of record does not include a substantially greater number of street name holders or beneficial holders whose shares of Common Stock are held of record by banks, brokers and other financial institutions.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Cartesian has not paid any cash dividends on the Common Stock to date and does not intend to pay cash dividends. The payment of cash dividends in the future will be dependent upon Cartesian’s revenues and earnings, if any, capital requirements and general financial condition. The payment of any cash dividends will be within the discretion of the Board of Directors at such time.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Old Cartesian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Historical market price information for Old Cartesian’s capital stock is not provided because there was no public market for Old Cartesian’s capital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35" w:name="DSPFPageBreakArea103"/>
      <w:bookmarkStart w:id="536" w:name="DSPFPageBreakArea103"/>
      <w:bookmarkEnd w:id="53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37" w:name="DSPFPageBreak103"/>
      <w:bookmarkStart w:id="538" w:name="DSPFPageBreak103"/>
      <w:bookmarkEnd w:id="53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39" w:name="ny20014884x5_pre14a_116-prop1_pg1"/>
        <w:bookmarkEnd w:id="5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0" w:name="tPROP1"/>
      <w:bookmarkEnd w:id="540"/>
      <w:r>
        <w:rPr>
          <w:rFonts w:ascii="Times New Roman;Times;serif" w:hAnsi="Times New Roman;Times;serif"/>
          <w:b/>
          <w:color w:val="000000"/>
          <w:sz w:val="20"/>
        </w:rPr>
        <w:t xml:space="preserve">PROPOSAL NO. 1—CONVERSION PROPOSAL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issued 384,930.724 shares of Series A Preferred Stock in the Merger and agreed to issue 149,330.115 shares of Series A Preferred Stock in the Financing, of which 99,140.325 shares of Series A Preferred Stock have been issued to date. The Series A Preferred Stock is intended to have rights that are generally equivalent to Common Stock, except that the Series A Preferred Stock does not have the right to vote on most matters (including the election of directors). 498,260,840 shares of Common Stock are issuable upon conversion of the above-described Series A Preferred Stock, assuming the approval of Proposal No. 1 and subject to certain beneficial ownership limitations.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stockholder approval and certain beneficial ownership limitations set by each holder of Series A Preferred Stock who did not beneficially own greater than 19.9% of our Common Stock immediately prior to the Merger, each share of Series A Preferred Stock will automatically convert into 1,000 shares of Common Stock. Proposal No. 1 would provide the necessary approval to permit such conversion.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Shares Issuable Upon Conversion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 forth below is a table summarizing the issued and outstanding Series A Preferred Stock and the number of shares of Common Stock that are potentially issuable upon conversion of the Series A Preferred Stock. The sale into the public market of the underlying Common Stock could materially and adversely affect the market price of our Common Stock. See “</w:t>
      </w:r>
      <w:r>
        <w:rPr>
          <w:rFonts w:ascii="Times New Roman;Times;serif" w:hAnsi="Times New Roman;Times;serif"/>
          <w:i/>
          <w:color w:val="000000"/>
          <w:sz w:val="20"/>
        </w:rPr>
        <w:t>Risk Factors–Risk Factors Relating to the Merger—Pursuant to the terms of the Merger Agreement, we are required to recommend that our stockholders approve the conversion of all outstanding shares of our Series A Preferred Stock into shares of our Common Stock. We cannot guarantee that our stockholders will approve this matter, and if they fail to do so, we may be required to settle such shares in cash and our operations may be materially harmed</w:t>
      </w:r>
      <w:r>
        <w:rPr>
          <w:rFonts w:ascii="Times New Roman;Times;serif" w:hAnsi="Times New Roman;Times;serif"/>
          <w:color w:val="000000"/>
          <w:sz w:val="20"/>
        </w:rPr>
        <w:t xml:space="preserve">.” </w:t>
      </w:r>
    </w:p>
    <w:tbl>
      <w:tblPr>
        <w:tblW w:w="3542" w:type="dxa"/>
        <w:jc w:val="left"/>
        <w:tblInd w:w="0" w:type="dxa"/>
        <w:tblLayout w:type="fixed"/>
        <w:tblCellMar>
          <w:top w:w="0" w:type="dxa"/>
          <w:left w:w="0" w:type="dxa"/>
          <w:bottom w:w="0" w:type="dxa"/>
          <w:right w:w="0" w:type="dxa"/>
        </w:tblCellMar>
      </w:tblPr>
      <w:tblGrid>
        <w:gridCol w:w="860"/>
        <w:gridCol w:w="23"/>
        <w:gridCol w:w="23"/>
        <w:gridCol w:w="1400"/>
        <w:gridCol w:w="23"/>
        <w:gridCol w:w="23"/>
        <w:gridCol w:w="1190"/>
      </w:tblGrid>
      <w:tr>
        <w:trPr/>
        <w:tc>
          <w:tcPr>
            <w:tcW w:w="8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4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Issued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converted)</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384,930.724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384,930,724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13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149,330.115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ind w:left="3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149,330,115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498,260.839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498,260,839</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Series A Preferred Stock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Conversion.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Following stockholder approval of Proposal No. 1, effective as of 5:00 p.m. Eastern time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on the third business day after the date on which such stockholder approval is received, each share of Series A Preferred Stock will automatically convert into 1,000 shares of Common Stock, subject to certain beneficial ownership limitations, including that a holder of Series A Preferred Stock</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is prohibited from converting shares of Series A Preferred Stock into shares of Common Stock if, as a result of such conversion, such holder, together with its affiliates, would beneficially own more than a specified percentage (initially set by the holder at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a number up to 19.9% and thereafter adjusted, provided that no such adjustment exceeds 19.9%) of the total number of shares of Common Stock issued and outstanding immediately after giving effect to such conversion.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Such beneficial ownership limitation does not apply to any holder of Series A Preferred Stock who beneficially owned greater than 19.9% of our Common Stock immediately prior to the Merger.</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Voting Rights.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Except as otherwise required by law (e.g.,</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voting on a change to the authorized shares of Series A Preferred Stock or the rights of such shares as required by DGCL) and the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Certificate of Designation, (c) amend the Current Charter or other organizational documents in any manner that adversely affects any rights of the holders of Series A Preferred Stock, (d) issue further shares of Series A Preferred Stock (other than in connection with the exercise of assumed Old Cartesian Options to purchase shares of Series A Preferred Stock), (e) prior to the stockholder approval of Proposal No. 1 or at any time while at least 30% of the originally issued Series A Preferred Stock remains issued and outstanding, consummate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41" w:name="DSPFPageBreakArea104"/>
      <w:bookmarkStart w:id="542" w:name="DSPFPageBreakArea104"/>
      <w:bookmarkEnd w:id="54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43" w:name="DSPFPageBreak104"/>
      <w:bookmarkStart w:id="544" w:name="DSPFPageBreak104"/>
      <w:bookmarkEnd w:id="54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45" w:name="ny20014884x5_pre14a_116-prop1_pg2"/>
        <w:bookmarkEnd w:id="5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either (A) a Fundamental Transaction (as defined in the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Dividends</w:t>
      </w:r>
      <w:r>
        <w:rPr>
          <w:rFonts w:ascii="Times New Roman;Times;serif" w:hAnsi="Times New Roman;Times;serif"/>
          <w:i w:val="false"/>
          <w:caps w:val="false"/>
          <w:smallCaps w:val="false"/>
          <w:color w:val="000000"/>
          <w:sz w:val="20"/>
        </w:rPr>
        <w:t xml:space="preserve">. Holders of Series A Preferred Stock are entitled to receive non-cumulative dividends on shares of Series A Preferred Stock equal, on an as-if-converted-to-Common-Stock basis, and in the same form as dividends actually paid on shares of the Common Stock.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Liquidation and Dissolution.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Series A Preferred Stock ranks on parity with Common Stock upon any liquidation, dissolution or winding-up of the Company.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Preemptive Rights</w:t>
      </w:r>
      <w:r>
        <w:rPr>
          <w:rFonts w:ascii="Times New Roman;Times;serif" w:hAnsi="Times New Roman;Times;serif"/>
          <w:i w:val="false"/>
          <w:caps w:val="false"/>
          <w:smallCaps w:val="false"/>
          <w:color w:val="000000"/>
          <w:sz w:val="20"/>
        </w:rPr>
        <w:t xml:space="preserve">. The Series A Preferred Stock does not have preemptive rights.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Transferability</w:t>
      </w:r>
      <w:r>
        <w:rPr>
          <w:rFonts w:ascii="Times New Roman;Times;serif" w:hAnsi="Times New Roman;Times;serif"/>
          <w:i w:val="false"/>
          <w:caps w:val="false"/>
          <w:smallCaps w:val="false"/>
          <w:color w:val="000000"/>
          <w:sz w:val="20"/>
        </w:rPr>
        <w:t xml:space="preserve">. The Certificate of Designation does not contain any restrictions upon the transfer of the Series A Preferred Stock.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Redemption.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The Series A Preferred Stock is redeemable at the option of the holder thereof at any time following the date that is 18 months after the initial issuance of the Series A Preferred Stock, other than any shares of Series A Preferred Stock that would not be convertible into shares of Common Stock as a result of the application of the beneficial ownership limitation referred to in “</w:t>
      </w:r>
      <w:r>
        <w:rPr>
          <w:rFonts w:ascii="Times New Roman;Times;serif" w:hAnsi="Times New Roman;Times;serif"/>
          <w:i/>
          <w:color w:val="000000"/>
          <w:sz w:val="20"/>
        </w:rPr>
        <w:t>Proposal No. 1—Conversion Proposal—Description of Series A Preferred Stock—Conversion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above (without regard to the lack of obtaining the requisite stockholder approval to convert the Series A Preferred Stock into Common Stock).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Reasons for Stockholder Approval. </w:t>
      </w:r>
      <w:r>
        <w:rPr>
          <w:rFonts w:ascii="Times New Roman;Times;serif" w:hAnsi="Times New Roman;Times;serif"/>
          <w:i w:val="false"/>
          <w:caps w:val="false"/>
          <w:smallCaps w:val="false"/>
          <w:color w:val="000000"/>
          <w:sz w:val="20"/>
        </w:rPr>
        <w:t xml:space="preserve">Our Common Stock is listed on The Nasdaq Global Market, and, as such, we are subject to the applicable rules of the Nasdaq Stock Market LLC, including Nasdaq Listing Rule 5635(a), which requires stockholder approval in connection with the acquisition of another company if the Nasdaq-listed company will issue more than 20% of its common stock. For purposes of Nasdaq Listing Rule 5635(a), the issuance of any Common Stock in the Transactions would be aggregated together. Thus, in order to permit the issuance of Common Stock upon conversion of the Series A Preferred Stock, we must first obtain stockholder approval of this issuance.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Ownership Limitations. </w:t>
      </w:r>
      <w:r>
        <w:rPr>
          <w:rFonts w:ascii="Times New Roman;Times;serif" w:hAnsi="Times New Roman;Times;serif"/>
          <w:i w:val="false"/>
          <w:caps w:val="false"/>
          <w:smallCaps w:val="false"/>
          <w:color w:val="000000"/>
          <w:sz w:val="20"/>
        </w:rPr>
        <w:t xml:space="preserve">We are not seeking stockholder approval of a potential “change in control” under Nasdaq Listing Rule 5635(b), which generally prohibits Nasdaq-listed companies from issuing common stock to a stockholder in a transaction that would cause the holder to beneficially own more than 20% of the then-outstanding common stock (subject to certain exceptions). Assuming that Proposal No. 1 is approved, the Series A Preferred Stock will continue to have a beneficial ownership conversion limit that would prevent a holder of Series A Preferred Stock, other than a holder of Series A Preferred Stock who beneficially owned greater than 19.9% of our Common Stock immediately prior to the Merger from converting its shares if, as a result of such conversion, it would beneficially own a number of shares above its applicable conversion blocker (which cannot exceed 19.9% of the outstanding Common Stock).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Interests of Certain Parties. </w:t>
      </w:r>
      <w:r>
        <w:rPr>
          <w:rFonts w:ascii="Times New Roman;Times;serif" w:hAnsi="Times New Roman;Times;serif"/>
          <w:i w:val="false"/>
          <w:caps w:val="false"/>
          <w:smallCaps w:val="false"/>
          <w:color w:val="000000"/>
          <w:sz w:val="20"/>
        </w:rPr>
        <w:t xml:space="preserve">When considering our Board of Directors’ recommendation that our stockholders vote in favor of Proposal No. 1, our stockholders should be aware that certain of our directors and officers have interests in the potential conversion that are different from, or in addition to, the interests of other stockholders generally. Our directors were aware of and considered these interests, among other matters, in evaluating the Merger, and in recommending to stockholders that they approve Proposal No. 1. Our stockholders should take these interests into account in deciding whether to approve Proposal No. 1. These interests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Timothy A. Springer, a member of our Board of Directors, and TAS, an entity affiliated with Dr. Springer, purchased 148,710.488 shares of Series A Preferred Stock in the Private Placement for approximately $60 million. If Proposal No. 1 is not ever approved, Dr. Springer will be unable to convert these shares into Common Stock. Additionally, if Proposal No. 1 is not ever approved, Dr. Springer would be entitled to redeem his shares of Series A Preferred Stock for cash.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46" w:name="DSPFPageBreakArea105"/>
      <w:bookmarkStart w:id="547" w:name="DSPFPageBreakArea105"/>
      <w:bookmarkEnd w:id="54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48" w:name="DSPFPageBreak105"/>
      <w:bookmarkStart w:id="549" w:name="DSPFPageBreak105"/>
      <w:bookmarkEnd w:id="54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50" w:name="ny20014884x5_pre14a_116-prop1_pg3"/>
        <w:bookmarkEnd w:id="5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Murat Kalayoglu and Michael Singer, members of our Board of Directors, together with their affiliated entities, received a total of 61,396.558 shares of Series A Preferred Stock as consideration in the Merger and Seven One Eight Three Four Irrevocable Trust, a trust associated with Dr. Kalayoglu, purchased 619.627 shares of Series A Preferred Stock in the Financing. If Proposal No. 1 is not ever approved, Drs. Kalayoglu and Singer and their affiliated entities will be unable to convert these shares into Common Stock. Additionally, if Proposal No. 1 is not ever approved, each of Drs. Kalayoglu and Singer would be entitled to redeem his shares of Series A Preferred Stock for cash (other than any shares of Series A Preferred Stock that would not be convertible due to the beneficial ownership limitation applicable to such 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directors and officers collectively beneficially own 349,234,822 shares of our Series A Preferred Stock, assuming the conversion of all outstanding shares of Series A Preferred Stock into Common Stock. If Proposal No. 1 is not approved within 18 months of November 15, 2023, holders of the Series A Preferred Stock, other than any shares of Series A Preferred Stock that would not be convertible into shares of Common Stock as a result of the application of the beneficial ownership limitation, will be entitled to redeem such shares for an amount in cash equal to the ten-day trailing average closing price of the Common Stock. To the extent any such redemptions occur, the result would be a reduction in the amount of cash available to the Company to fund operations, which may cause the value of the Common Stock to decline.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shares of Common Stock representing a majority of the votes cast on the matter is required for the approval of Proposal No. 1, subject to the separate tabulation of votes described in “</w:t>
      </w:r>
      <w:r>
        <w:rPr>
          <w:rFonts w:ascii="Times New Roman;Times;serif" w:hAnsi="Times New Roman;Times;serif"/>
          <w:i/>
          <w:color w:val="000000"/>
          <w:sz w:val="20"/>
        </w:rPr>
        <w:t>Questions and Answers About the Special Meeting—How many votes can be cast by all stockholders?</w:t>
      </w:r>
      <w:r>
        <w:rPr>
          <w:rFonts w:ascii="Times New Roman;Times;serif" w:hAnsi="Times New Roman;Times;serif"/>
          <w:color w:val="000000"/>
          <w:sz w:val="20"/>
        </w:rPr>
        <w:t xml:space="preserve">” set forth above.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THAT OUR STOCKHOLDERS VOTE “FOR” THE PROPOSAL NO. 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51" w:name="DSPFPageBreakArea106"/>
      <w:bookmarkStart w:id="552" w:name="DSPFPageBreakArea106"/>
      <w:bookmarkEnd w:id="55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53" w:name="DSPFPageBreak106"/>
      <w:bookmarkStart w:id="554" w:name="DSPFPageBreak106"/>
      <w:bookmarkEnd w:id="55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55" w:name="ny20014884x5_pre14a_117-prop2_pg1"/>
        <w:bookmarkEnd w:id="5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6" w:name="tPROP2"/>
      <w:bookmarkEnd w:id="556"/>
      <w:r>
        <w:rPr>
          <w:rFonts w:ascii="Times New Roman;Times;serif" w:hAnsi="Times New Roman;Times;serif"/>
          <w:b/>
          <w:color w:val="000000"/>
          <w:sz w:val="20"/>
        </w:rPr>
        <w:t>PROPOSAL NO. 2—REVERSE STOCK SPLIT PROPOSAL</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31, 2024 the Board of Directors unanimously approved and recommended that our stockholders approve an amendment to our Current Charter to effect a reverse stock split of our issued and outstanding Common Stock using a ratio in the range of 1-for-20 and 1-for-30, with the specific ratio and the implementation and timing of such reverse stock split to be determined at the discretion of the Board of Directors. If Proposal No. 2 is approved, the Board of Directors may determine to effect the reverse stock split at any time prior to the date of the 2024 annual meeting of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not change the number of authorized shares of Common Stock, the terms of our Common Stock or the relative voting power of our stockholders. Because the number of authorized shares will not be reduced, the number of authorized but unissued shares of our Common Stock will materially increase and will be available for reissuance by the Company. The reverse stock split, if effected, would affect all of our holders of Common Stock uniformly. If effected, the reverse stock split would also adjust the ratio into which the Series A Preferred Stock converts into Common Stock at the same ratio as the underlying Common Stock is adjusted.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receiving stockholder approval of a reverse stock split, the Board of Directors will have the authority, but not the obligation, to elect, in its sole discretion, without further action on the part of our stockholders and as it determines to be in our and our stockholders’ best interests, to effect the reverse stock split and, if so, to select the reverse stock split ratio from within the approved range of ratios described above, each ratio within such range having been approved by our stockholders. We believe that enabling the Board of Directors to select the ratio from within the stated range will provide us with the flexibility to implement the reverse stock split in a manner designed to maximize the anticipated benefits for our stockholders. In determining the ratio following the receipt of stockholder approval, the Board of Directors may consider, among other factors, the following: </w:t>
      </w:r>
    </w:p>
    <w:tbl>
      <w:tblPr>
        <w:tblW w:w="5845" w:type="dxa"/>
        <w:jc w:val="left"/>
        <w:tblInd w:w="0" w:type="dxa"/>
        <w:tblLayout w:type="fixed"/>
        <w:tblCellMar>
          <w:top w:w="0" w:type="dxa"/>
          <w:left w:w="0" w:type="dxa"/>
          <w:bottom w:w="0" w:type="dxa"/>
          <w:right w:w="0" w:type="dxa"/>
        </w:tblCellMar>
      </w:tblPr>
      <w:tblGrid>
        <w:gridCol w:w="110"/>
        <w:gridCol w:w="5735"/>
      </w:tblGrid>
      <w:tr>
        <w:trPr/>
        <w:tc>
          <w:tcPr>
            <w:tcW w:w="11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trading price and trading volume of our Common Stock; </w:t>
            </w:r>
          </w:p>
        </w:tc>
      </w:tr>
    </w:tbl>
    <w:tbl>
      <w:tblPr>
        <w:tblW w:w="4750" w:type="dxa"/>
        <w:jc w:val="left"/>
        <w:tblInd w:w="0" w:type="dxa"/>
        <w:tblLayout w:type="fixed"/>
        <w:tblCellMar>
          <w:top w:w="0" w:type="dxa"/>
          <w:left w:w="0" w:type="dxa"/>
          <w:bottom w:w="0" w:type="dxa"/>
          <w:right w:w="0" w:type="dxa"/>
        </w:tblCellMar>
      </w:tblPr>
      <w:tblGrid>
        <w:gridCol w:w="110"/>
        <w:gridCol w:w="4640"/>
      </w:tblGrid>
      <w:tr>
        <w:trPr/>
        <w:tc>
          <w:tcPr>
            <w:tcW w:w="11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outstanding shares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then-prevailing trading price and trading volume of our Common Stock and the anticipated impact of a reverse stock split on the trading market for our Common Stock;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continued listing requirements of the Nasdaq Global Market;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anticipated impact of a particular ratio on our ability to reduce administrative and transactional costs;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general market and economic conditions.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Proposal No. 2 is approved by the stockholders and the Board of Directors determines to implement a reverse stock split, we will file an amendment to our Current Charter (the “Amendment”) with the Delaware Secretary of State. This description of the Amendment is qualified in its entirety by reference to the complete text of the Amendment, which is attached as Annex A to this proxy statement and incorporated into this proposal by reference. You are strongly encouraged to read the actual text of the Amendment. The proposed Amendment is subject to revision for such changes as may be required by the DGCL and any other changes consistent with Proposal No. 2 that we may deem necessary or appropriate.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Proposal No. 2 is approved by the stockholders and a reverse stock split is implemented by the Board of Directors, no less than 20 and no more than 30 shares of issued and outstanding Common Stock, as determined by the Board of Directors, will be combined into one share of Common Stock; and shares of issued and outstanding Common Stock will be combined at the same ratio. Holders will receive a cash payment, in lieu of any fractional share. See the section below titled “</w:t>
      </w:r>
      <w:r>
        <w:rPr>
          <w:rFonts w:ascii="Times New Roman;Times;serif" w:hAnsi="Times New Roman;Times;serif"/>
          <w:i/>
          <w:color w:val="000000"/>
          <w:sz w:val="20"/>
        </w:rPr>
        <w:t>Proposal No. 2—Reverse Stock Split Proposal—Principal Effects of Reverse Stock Split—Fractional Shares</w:t>
      </w:r>
      <w:r>
        <w:rPr>
          <w:rFonts w:ascii="Times New Roman;Times;serif" w:hAnsi="Times New Roman;Times;serif"/>
          <w:color w:val="000000"/>
          <w:sz w:val="20"/>
        </w:rPr>
        <w:t xml:space="preserve">” for more information. The Amendment, if adopted, will include only the reverse stock split ratio determined by the Board of Directors to be in the best interest of the Company and its stockholders and all of the other ratios approved by our stockholders within the proposed range will be abandoned.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57" w:name="DSPFPageBreakArea107"/>
      <w:bookmarkStart w:id="558" w:name="DSPFPageBreakArea107"/>
      <w:bookmarkEnd w:id="55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59" w:name="DSPFPageBreak107"/>
      <w:bookmarkStart w:id="560" w:name="DSPFPageBreak107"/>
      <w:bookmarkEnd w:id="56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61" w:name="ny20014884x5_pre14a_117-prop2_pg2"/>
        <w:bookmarkEnd w:id="5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and Reasons for a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are seeking, and the Board of Directors has recommended, approval for Proposal No. 2 primarily to provide the Board of Directors with authority to effect a reverse stock split to maintain our listing on the Nasdaq Global Market. However, we cannot provide assurance that a reverse stock split would achieve its intended or desired benefits, and we strongly encourage you to review the discussion below under “</w:t>
      </w:r>
      <w:r>
        <w:rPr>
          <w:rFonts w:ascii="Times New Roman;Times;serif" w:hAnsi="Times New Roman;Times;serif"/>
          <w:i/>
          <w:color w:val="000000"/>
          <w:sz w:val="20"/>
        </w:rPr>
        <w:t>Proposal No. 2—Reverse Stock Split Proposal—Risks and Potential Disadvantages Associated with a Reverse Stock Split</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Nasdaq Continued Listing Requirements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Nasdaq Listing Rule 5450(a)(1) requires that the average closing price of a listed company’s common stock not fall below $1.00 per share over a consecutive 30 business day period. If we were to fail to satisfy this rule and regain compliance within the specified cure period, our Common Stock would be subject to delisting. If our Common Stock is delisted from the Nasdaq Global Market, or if the per-share price of our Common Stock otherwise declines, our ability to raise or access additional necessary capital through equity or debt financing, or use our shares for business development or other corporate initiatives would be significantly impaired, and the ownership dilution to stockholders caused by our issuing equity in financing or other transactions would be significantly increased.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Investment Considerations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we believe that a reverse stock split could make our Common Stock more attractive to a broader range of institutional and other investors. In particular, many brokerage houses, institutional investors and investment funds have internal policies and practices that may prohibit them from investing in low-priced stocks or discourage individual brokers from recommending low-priced stocks to their customers. Moreover, because brokers’ commissions on low-priced stocks generally represent a relatively high percentage of the stock price, transaction costs would represent a higher percentage of total share value, which could result in decreased trading volume and increased volatility in the trading price of our Common Stock. We believe that a reverse stock split could make our Common Stock a more attractive investment for many investors, which could enhance the liquidity of our Common Stock.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Potential Disadvantages Associated with a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believes that a reverse stock split is a potentially effective means to increase the per-share market price of our Common Stock and thus enable our compliance with Nasdaq's minimum share price requirement. However, there are a number of risks and potential disadvantages associated with a reverse stock split,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cannot predict the effect of a reverse stock split upon the market price for shares of our Common Stock, and the success of similar reverse stock splits for companies in like circumstances has varied. Some investors may have a negative view of a reverse stock split. Recently, the equity markets have experienced and continue to experience substantial volatility due to, among other factors, volatility in the financial sector, and the wars in Ukraine and the Levant. The principal purpose of a reverse stock split would be to increase the trading price of our Common Stock to meet Nasdaq's minimum share price requirement. However, the effect of a reverse stock split on the market price of our Common Stock cannot be predicted with any certainty, and we cannot assure you that a reverse stock split will accomplish this objective for any meaningful period of time, or at all. Even if a reverse stock split has a positive effect on the market price for shares of our Common Stock, performance of our business and financial results, general economic conditions and the market perception of our business, and other adverse factors which may not be in our control could lead to a decrease in the price of our Common Stock following a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62" w:name="DSPFPageBreakArea108"/>
      <w:bookmarkStart w:id="563" w:name="DSPFPageBreakArea108"/>
      <w:bookmarkEnd w:id="56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64" w:name="DSPFPageBreak108"/>
      <w:bookmarkStart w:id="565" w:name="DSPFPageBreak108"/>
      <w:bookmarkEnd w:id="56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66" w:name="ny20014884x5_pre14a_117-prop2_pg3"/>
        <w:bookmarkEnd w:id="5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brokerage houses,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a reverse stock split and there can be no assurance that a reverse stock split, if completed, will result in the intended benefits described above.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Even if a reverse stock split does result in an increased market price per share of our Common Stock, the market price per share following a reverse stock split may not increase in proportion to the reduction of the number of shares of our Common Stock outstanding before the implementation of a reverse stock split. Accordingly, even with an increased market price per share, the total market capitalization of shares of our Common Stock after a reverse stock split could be lower than the total market capitalization before a reverse stock split. Also, even if there is an initial increase in the market price per share of our Common Stock after a reverse stock split, the market price may not remain at that level due to factors described in this Proposal No. 2 or other factors, including the risks described in our Annual Report on Form 10-K for the year ended December 31, 2022, as updated in reports we subsequently file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reverse stock split is implemented and the market price of shares of our Common Stock then declines, the percentage decline may be greater than would occur in the absence of a reverse stock split due to decreased liquidity in the market for our Common Stock. If the market price of shares of our Common Stock declines after a reverse stock split, the percentage decline as an absolute number and as a percentage of our overall market capitalization may be greater than would occur in the absence of a reverse stock split. Accordingly, the total market capitalization of our Common Stock following a reverse stock split could be lower than the total market capitalization before a reverse stock split.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Procedures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reverse stock split would become effective upon the filing of the Amendment with the Delaware Secretary of State. The exact timing of the filing of the Amendment, if it is filed, would be determined by the Board of Directors based on its evaluation as to when such action would be in our and our stockholders’ best interests. In addition, the Board of Directors reserves the right, notwithstanding stockholder approval and without further action by the stockholders, to elect not to proceed with a reverse stock split if, at any time prior to filing the Amendment, the Board of Directors determines in its sole discretion that it is not in our best interest and the best interest of our stockholders to proceed with a reverse stock split. Following are descriptions of how a reverse stock split would be implemented for beneficial holders, registered book entry holders, and certificated holders.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Beneficial Holders</w:t>
      </w:r>
      <w:r>
        <w:rPr>
          <w:rFonts w:ascii="Times New Roman;Times;serif" w:hAnsi="Times New Roman;Times;serif"/>
          <w:i w:val="false"/>
          <w:caps w:val="false"/>
          <w:smallCaps w:val="false"/>
          <w:color w:val="000000"/>
          <w:sz w:val="20"/>
        </w:rPr>
        <w:t xml:space="preserve">. Upon the implementation of a reverse stock split, we intend to treat shares held by stockholders through a broker, bank or other agent in the same manner as registered stockholders whose shares are registered in their names. Brokers, banks and other agents would be instructed to effect a reverse stock split for their beneficial holders holding our Common Stock in street name. However, these brokers, banks and other agents may have different procedures than registered stockholders for processing a reverse stock split. Stockholders who hold shares of our Common Stock with a broker, bank or other agent and who have any questions in this regard are strongly encouraged to contact their brokers, banks or other agents for more information.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Registered Book Entry Holders</w:t>
      </w:r>
      <w:r>
        <w:rPr>
          <w:rFonts w:ascii="Times New Roman;Times;serif" w:hAnsi="Times New Roman;Times;serif"/>
          <w:i w:val="false"/>
          <w:caps w:val="false"/>
          <w:smallCaps w:val="false"/>
          <w:color w:val="000000"/>
          <w:sz w:val="20"/>
        </w:rPr>
        <w:t xml:space="preserve">. Certain of our registered holders of Common Stock may hold some or all of their shares electronically in book-entry form with Equiniti, our transfer agent. These stockholders do not have stock certificates evidencing their ownership of the Common Stock. They are, however, provided with a statement reflecting the number of shares registered in their accounts. If a reverse stock split is implemented, stockholders who hold shares electronically in book-entry form with Equiniti would not need to take action to receive whole shares of post-reverse split Common Stock as the exchange will be automatic.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Certificated Holders</w:t>
      </w:r>
      <w:r>
        <w:rPr>
          <w:rFonts w:ascii="Times New Roman;Times;serif" w:hAnsi="Times New Roman;Times;serif"/>
          <w:i w:val="false"/>
          <w:caps w:val="false"/>
          <w:smallCaps w:val="false"/>
          <w:color w:val="000000"/>
          <w:sz w:val="20"/>
        </w:rPr>
        <w:t xml:space="preserve">. If a reverse stock split is implemented, stockholders holding shares of our Common Stock in certificated form would be sent a letter of transmittal by Equiniti following the reverse stock split. The letter of transmittal would contain instructions on how a stockholder should surrender their certificate(s) representing shares of our Common Stock (the “Old Certificates”) to Equiniti in exchange for certificates representing the appropriate number of whole shares of post-reverse split Common Stock (the “New Certificates”). No New Certificates would be issued to a stockholder until such stockholder delivered to Equiniti all Old Certificates, together with a properly completed and executed letter of transmittal, or a notification that the Old Certificates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67" w:name="DSPFPageBreakArea109"/>
      <w:bookmarkStart w:id="568" w:name="DSPFPageBreakArea109"/>
      <w:bookmarkEnd w:id="56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69" w:name="DSPFPageBreak109"/>
      <w:bookmarkStart w:id="570" w:name="DSPFPageBreak109"/>
      <w:bookmarkEnd w:id="57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1" w:name="ny20014884x5_pre14a_117-prop2_pg4"/>
        <w:bookmarkEnd w:id="5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have been lost, stolen or destroyed and the execution of an agreement satisfactory to us to indemnify us for any loss incurred by it in connection with such Old Certificates. No stockholder would be required to pay a transfer or other fee to exchange their Old Certificates. Stockholders would then receive one or more New Certificate(s) representing the number of whole shares of Common Stock they are entitled to as a result of a reverse stock split, subject to the treatment of fractional shares described below. Until surrendered, we would deem outstanding Old Certificates held by stockholders to be canceled and only to represent the number of whole shares of post-reverse split Common Stock to which these stockholders are entitled and the right to receive cash in lieu of any fractional shares as described below. Any Old Certificates submitted for exchange, whether because of a sale, transfer or other disposition of stock, would automatically be exchanged for New Certificates. If an Old Certificate has a restrictive legend on it, the New Certificate would be issued with the same restrictive legends that are on the Old Certificate. If a reverse stock split is implemented, we expect that Equiniti would act as the exchange agent for purposes of implementing the exchange of stock certificates. No service charges would be payable by holders of shares of Common Stock in connection with the exchange of certificates. We would bear all such expenses.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SHOULD NOT DESTROY ANY STOCK CERTIFICATES. STOCKHOLDERS SHOULD NOT SUBMIT STOCK CERTIFICATES FOR EXCHANGE UNLESS AND UNTIL REQUESTED TO DO SO, AND THEN STOCK CERTIFICATES SHOULD BE SUBMITTED ONLY IN THE MANNER INSTRUCTED. STOCK CERTIFICATES SHOULD NOT BE SUBMITTED DIRECTLY TO THE COMPANY.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Principal Effects of Reverse Stock Split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Outstanding Shares of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Depending on the ratio for a reverse stock split determined by the Board of Directors, a minimum of 20 and a maximum of 30 shares of issued and outstanding Common Stock would be combined into one new share of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Current Charter provides that upon any reclassification or combination of outstanding shares of Common Stock, all outstanding shares of Common Stock will be concurrently and proportionately reclassified or combined in a manner that maintains the same proportionate equity ownership and voting rights among the holders of outstanding Common Stock and the holders of outstanding Common Stock on the record date for the reclassification or combination.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actual number of shares issued after giving effect to a reverse stock split, if implemented, would depend on the reverse stock split ratio that is ultimately selected by the Board of Directors. A reverse stock split would affect all holders of our Common Stock uniformly and would not affect any stockholder’s percentage ownership interest in the Company, except that, as described below in the section titled “</w:t>
      </w:r>
      <w:r>
        <w:rPr>
          <w:rFonts w:ascii="Times New Roman;Times;serif" w:hAnsi="Times New Roman;Times;serif"/>
          <w:i/>
          <w:color w:val="000000"/>
          <w:sz w:val="20"/>
        </w:rPr>
        <w:t>Proposal No. 2—Reverse Stock Split Proposal—Principal Effects of Reverse Stock Split—Fractional Shares</w:t>
      </w:r>
      <w:r>
        <w:rPr>
          <w:rFonts w:ascii="Times New Roman;Times;serif" w:hAnsi="Times New Roman;Times;serif"/>
          <w:color w:val="000000"/>
          <w:sz w:val="20"/>
        </w:rPr>
        <w:t xml:space="preserve">,” stockholders of record otherwise entitled to a fractional share, as a result of a reverse stock split, would instead receive an amount in cash. In addition, a reverse stock split would not affect any stockholder’s proportionate voting power, except for adjustments that may result from the treatment of fractional shares as described below. A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Increase in Authorized Shares of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reducing the number of shares outstanding without reducing the number of shares of available but unissued Common Stock, a reverse stock split will increase the number of authorized but unissued shares of Common Stock that may be issued. We may use authorized shares in connection with the financing of future mergers or acquisitions.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reverse stock split would not have any dilutive effect on our stockholders, a reverse stock split without a reduction in the number of shares authorized for issuance would reduce the proportion of shares owned by our stockholders relative to the number of shares authorized for issuance, giving the Board of Directors an effective increase in the authorized shares available for issuance, in its discretion. The Board of Directors from time to time may deem it to be in the best interests of the Company and our stockholders to enter into transactions and other ventures that may include the issuance of shares of our Common Stock. If the Board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72" w:name="DSPFPageBreakArea110"/>
      <w:bookmarkStart w:id="573" w:name="DSPFPageBreakArea110"/>
      <w:bookmarkEnd w:id="57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74" w:name="DSPFPageBreak110"/>
      <w:bookmarkStart w:id="575" w:name="DSPFPageBreak110"/>
      <w:bookmarkEnd w:id="57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6" w:name="ny20014884x5_pre14a_117-prop2_pg5"/>
        <w:bookmarkEnd w:id="5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Directors authorizes the issuance of additional shares subsequent to the reverse stock split described above, the dilution to the ownership interest of our existing stockholders may be greater than would occur had the reverse stock split not been effected. Many stock issuances not involving equity compensation do not require stockholder approval, and the Board of Directors generally seeks approval of our stockholders in connection with a proposed issuance only if required at that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reverse stock split would not have any effect on the number of authorized shares of Series A Preferred Stock, which would remain at 10,000,000 shares of Series A Preferred Stock, par value $0.0001 per share. However, if effected, the reverse stock split would also adjust the ratio into which the Series A Preferred Stock converts into Common Stock at the same ratio as the underlying Common Stock is adjusted.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Fractional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would not issue fractional shares in connection with a reverse stock split. Therefore, we would not issue certificates representing fractional shares resulting from the reverse stock split because the stockholder owns a number of shares of our Common Stock not evenly divisible by the ratio.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Equiniti will aggregate all fractional shares of Common Stock and sell them as soon as practicable after the effective time of the reverse stock split at the then-prevailing prices on the open market, on behalf of those stockholders who would otherwise be entitled to receive a fractional share of Common Stock as a result of the reverse stock split. We expect that Equiniti will conduct the sale in an orderly fashion at a reasonable pace and that it may take several days to sell all of the aggregated fractional shares of our Common Stock (the “Aggregated Fractional Shares”). After Equiniti’s completion of such sale, stockholders who would have been entitled to a fractional share of Common Stock will instead receive a cash payment from Equiniti in an amount equal to their respective pro rata shares of the total proceeds of that sale (the “Total Sale Proceeds”) and, where shares of Common Stock are held in certificated form, upon the surrender of the holder’s Old Certificates.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Common Stock would receive, in lieu of any fractional share, an amount in cash (without interest) equal to such fraction multiplied by a share price equal to the Total Sale Proceeds divided by the Aggregated Fractional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will not be entitled to receive interest for the period of time between the effective time of the reverse stock split and the date payment is made for their fractional share interest. You should also be aware that, under the escheat laws of certain jurisdictions, sums due for fractional interests that are not timely claimed after the funds are made available may be required to be paid to the designated agent for each such jurisdiction. Thereafter, stockholders otherwise entitled to receive such funds may have to obtain the funds directly from the state to which they were paid.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Effects on Equity Compensation Plans and Awards and Warrants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 reverse stock split is implemented, proportionate adjustments would generally be made in accordance with applicable tax laws with regard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 share exercise price of, and the number of shares issuable upon exercise of, outstanding stock options issued under our equity compensation plans;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deliverable upon vesting and settlement of outstanding restricted stock units;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reserved for issuance under our Old Cartesian Plan, Selecta 2016 Incentive Award Plan, and our 2016 Employee Stock Purchase Plan;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strike price and the number of shares issuable upon exercise of warrants entitling the holders to receive shares of our Common Stock.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case of options or other rights to acquire shares of our Common Stock, these adjustments would result in approximately the same aggregate price required under such options or other rights upon exercise, conversion, or settlement, and approximately the same value of shares of Common Stock being delivered upon such exercise, conversion, or settlement, immediately following a reverse stock split as was the case immediately preceding such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case of our outstanding warrants, the number of shares issuable under the warrants will be proportionately decreased and the exercise price of each warrant proportionately increased.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77" w:name="DSPFPageBreakArea111"/>
      <w:bookmarkStart w:id="578" w:name="DSPFPageBreakArea111"/>
      <w:bookmarkEnd w:id="57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79" w:name="DSPFPageBreak111"/>
      <w:bookmarkStart w:id="580" w:name="DSPFPageBreak111"/>
      <w:bookmarkEnd w:id="58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81" w:name="ny20014884x5_pre14a_117-prop2_pg6"/>
        <w:bookmarkEnd w:id="5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issuable upon exercise or vesting of outstanding equity awards, options and warrants and the per-share exercise or purchase price related thereto, if any, would be equitably adjusted in accordance with the terms of our applicable equity incentive plans, or such stock option grants or warrants, as the case may be, which may include rounding the number of shares of Common Stock issuable down to the nearest whole share or the payment of cash for fractional shares.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Exchange Act Registration; Nasdaq Listing; CUSIP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registered under Section 12(b) of the Exchange Act, and we are subject to periodic reporting and other requirements of the Exchange Act. The implementation of a reverse stock split would not affect the registration of our Common Stock under the Exchange Act or our reporting or other requirements under the Exchange Act.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listed on the Nasdaq Global Market under the trading symbol “RNAC.” If our Common Stock remains listed on the Nasdaq Global Market up to the time of a reverse stock split, then immediately following the reverse stock split our Common Stock would continue to be listed on the Nasdaq Global Market under the same symbol.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Following a reverse stock split, our Common Stock would have a new Committee on Uniform Securities Identification Procedures (“CUSIP”) number, which is a number used to identify our equity securities, and stock certificates with the older CUSIP number will need to be exchanged for stock certificates with the new CUSIP number by following the procedures described above.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Accounting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of a reverse stock split would not affect the per-share par value of our Common Stock, which will remain $0.0001, or the total capital attributable to Common Stock plus the additional paid-in capital account on our balance sheet. However, the capital attributable specifically to our Common Stock would be reduced proportionally depending on the reverse stock split ratio, and the additional paid-in capital account would be increased by an equal and offsetting amount. Also, if a reverse stock split is implemented, reported per-share net income or loss would be higher because there will be fewer shares of our Common Stock outstanding. A reverse stock split would be reflected retroactively for all periods presented in our financial statements. We do not anticipate that any other material accounting consequences, including changes to the amount of stock-based compensation expense to be recognized in any period, would arise as a result of a reverse stock split.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Federal Income Tax Consequences of a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describes certain material U.S. federal income tax considerations of a reverse stock split expected to apply generally to U.S. Holders of our Common Stock. This description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us or our stockholders as described in this section. No ruling from the IRS has been or will be requested in connection with a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attempt has been made to comment on all U.S. federal income tax consequences of a reverse stock split that may be relevant to particular U.S. Holders, including holders: (i) that are subject to special tax rules such as dealers, brokers and traders in securities, mutual funds, regulated investment companies, real estate investment trusts, insurance companies, banks or other financial institutions or tax-exempt entities; (ii) that hold their shares as a hedge or as part of a hedging, straddle, “conversion transaction,” “synthetic security,” integrated investment or any risk reduction strategy; (iii) that are partnerships, S corporations, or other pass-through entities or arrangements treated as partnerships for U.S. federal income tax purposes or investors in such pass-through entities; or (iv) that do not hold their shares as capital assets for U.S. federal income tax purposes (generally, property held for investment within the meaning of Section 1221 of the Code).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the tax consequences of a reverse stock split under state, local and non-U.S. tax laws. The discussion assumes that for U.S. federal income tax purposes, a reverse stock split will not be integrated, or otherwise treated as part of a unified transaction, with any other transaction. Furthermore, the following discussion does not address the tax consequences of transactions effectuated before, after or at the same time as a reverse stock split, whether or not they are in connection with a reverse stock split.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82" w:name="DSPFPageBreakArea112"/>
      <w:bookmarkStart w:id="583" w:name="DSPFPageBreakArea112"/>
      <w:bookmarkEnd w:id="58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84" w:name="DSPFPageBreak112"/>
      <w:bookmarkStart w:id="585" w:name="DSPFPageBreak112"/>
      <w:bookmarkEnd w:id="58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86" w:name="ny20014884x5_pre14a_117-prop2_pg7"/>
        <w:bookmarkEnd w:id="5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STOCK ARE ADVISED TO CONSULT THEIR OWN TAX ADVISORS REGARDING THE U.S. FEDERAL INCOME TAX CONSEQUENCES OF A REVERSE STOCK SPLIT IN LIGHT OF THEIR PERSONAL CIRCUMSTANCES AND THE CONSEQUENCES OF A REVERSE STOCK SPLIT UNDER OTHER FEDERAL, STATE, LOCAL AND FOREIGN TAX 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 assumptions above, a reverse stock split will be treated as a tax-free recapitalization for U.S. federal income tax purposes. Accordingly, if a reverse stock split is adopted: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receives a reduced number of shares of our Common Stock pursuant to such reverse stock split will not recognize any gain or loss, except with respect to the amount of cash (if any) received in respect of a fractional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Holder’s aggregate tax basis in such holder’s shares of Common Stock received in such reverse stock split will equal the aggregate tax basis of such stockholder’s shares of Common Stock held immediately before such reverse stock split and exchanged therefor, but not including the aggregate tax basis of shares surrendered in exchange for cash received in respect of a fractional share of Common Stock, as applicable;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Holder’s holding period of shares of our Common Stock received in such reverse stock split will include the holding period of the pre-reverse stock split shares of Common Stock exchanged therefor;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receives cash in lieu of a fractional share of Common Stock generally will recognize gain or loss equal to the difference (if any) between the amount of cash received and the U.S. Holder’s tax basis in the shares of Common Stock, respectively, surrendered therefor. Such capital gain or loss generally will be long-term capital gain or loss if the U.S. Holder’s holding period for the shares of our Common Stock surrendered in the reverse stock split exceeds one year at the effective time of the reverse stock split. Long-term capital gains of non-corporate U.S. Holders are generally subject to preferential tax rates. There are limitations on the deductibility of capital losses under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determining the tax basis and holding period of shares of our Common Stock received in a reverse stock split, U.S. Holders that acquired different blocks of shares of our Common Stock at different times for different prices must calculate their basis and holding periods separately for each identifiable block of such stock exchanged in the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of our stockholders may be required to attach a statement to their tax returns for the year in which a reverse stock split is consummated that contains the information listed in applicable Treasury Regulations. All of our stockholders are advised to consult their own tax advisors with respect to the applicable reporting requirements.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shares of Common Stock representing a majority of the votes cast on the matter is required for the approval of Proposal No. 2.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THAT OUR STOCKHOLDERS VOTE “FOR” THE APPROVAL OF PROPOSAL NO. 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87" w:name="DSPFPageBreakArea113"/>
      <w:bookmarkStart w:id="588" w:name="DSPFPageBreakArea113"/>
      <w:bookmarkEnd w:id="58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89" w:name="DSPFPageBreak113"/>
      <w:bookmarkStart w:id="590" w:name="DSPFPageBreak113"/>
      <w:bookmarkEnd w:id="59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91" w:name="ny20014884x5_pre14a_118-prop3_pg1"/>
        <w:bookmarkEnd w:id="5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2" w:name="tPROP3"/>
      <w:bookmarkEnd w:id="592"/>
      <w:r>
        <w:rPr>
          <w:rFonts w:ascii="Times New Roman;Times;serif" w:hAnsi="Times New Roman;Times;serif"/>
          <w:b/>
          <w:color w:val="000000"/>
          <w:sz w:val="20"/>
        </w:rPr>
        <w:t xml:space="preserve">PROPOSAL NO. 3—APPROVAL OF ADJOURNMENT OF THE SPECIAL MEETING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fail to receive a sufficient number of votes to approve Proposal Nos. 1 or 2, we may propose to adjourn or postpone the Special Meeting. We currently do not intend to propose adjournment or postponement at the Special Meeting if there are sufficient votes to approve Proposal Nos. 1 and 2.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Vote Required; Recommendation of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 quorum is present at the Special Meeting, the affirmative vote of the holders of shares of Common Stock representing a majority of the votes cast on the matter is required for the approval of Proposal No. 3. If a quorum is not present at the Special Meeting, the affirmative vote of the holders of a majority of the shares of Common Stock present at the Special Meeting or represented by proxy is required for the approval of Proposal No. 3.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THAT OUR STOCKHOLDERS VOTE “FOR” PROPOSAL NO. 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93" w:name="DSPFPageBreakArea114"/>
      <w:bookmarkStart w:id="594" w:name="DSPFPageBreakArea114"/>
      <w:bookmarkEnd w:id="59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95" w:name="DSPFPageBreak114"/>
      <w:bookmarkStart w:id="596" w:name="DSPFPageBreak114"/>
      <w:bookmarkEnd w:id="59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97" w:name="ny20014884x5_pre14a_119-stock_pg1"/>
        <w:bookmarkEnd w:id="5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8" w:name="tDOC"/>
      <w:bookmarkEnd w:id="598"/>
      <w:r>
        <w:rPr>
          <w:rFonts w:ascii="Times New Roman;Times;serif" w:hAnsi="Times New Roman;Times;serif"/>
          <w:b/>
          <w:color w:val="000000"/>
          <w:sz w:val="20"/>
        </w:rPr>
        <w:t xml:space="preserve">DESCRIPTION OF CAPITAL STOCK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of our capital stock is not complete and may not contain all the information important to ownership in our capital stock. This description is summarized from, and qualified in its entirety by reference to, our Current Charter and Bylaws, and the applicable provisions of the DGCL.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our authorized capital stock consists of 360,000,000 shares, comprised of 350,000,000 shares of Common Stock, $0.0001 par value per share, and 10,000,000 shares of Preferred Stock, $0.0001 par value per share. As of January 24, 2024, there were 161,927,821 shares of our Common Stock outstanding and 484,690.676 shares of Series A Preferred Stock outstanding.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Market under the symbol “RNAC.”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Voting Rights</w:t>
      </w:r>
      <w:r>
        <w:rPr>
          <w:rFonts w:ascii="Times New Roman;Times;serif" w:hAnsi="Times New Roman;Times;serif"/>
          <w:i w:val="false"/>
          <w:caps w:val="false"/>
          <w:smallCaps w:val="false"/>
          <w:color w:val="000000"/>
          <w:sz w:val="20"/>
        </w:rPr>
        <w:t xml:space="preserve">. 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Current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Current Charter.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Rights upon Liquidation</w:t>
      </w:r>
      <w:r>
        <w:rPr>
          <w:rFonts w:ascii="Times New Roman;Times;serif" w:hAnsi="Times New Roman;Times;serif"/>
          <w:i w:val="false"/>
          <w:caps w:val="false"/>
          <w:smallCaps w:val="false"/>
          <w:color w:val="000000"/>
          <w:sz w:val="20"/>
        </w:rPr>
        <w:t xml:space="preserve">. 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 Rights. </w:t>
      </w:r>
      <w:r>
        <w:rPr>
          <w:rFonts w:ascii="Times New Roman;Times;serif" w:hAnsi="Times New Roman;Times;serif"/>
          <w:i w:val="false"/>
          <w:caps w:val="false"/>
          <w:smallCaps w:val="false"/>
          <w:color w:val="000000"/>
          <w:sz w:val="20"/>
        </w:rPr>
        <w:t xml:space="preserve">Holders of Common Stock are entitled to receive proportionately any dividends as may be declared by the Board of Directors, subject to any preferential dividend rights of outstanding Preferred Stock.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Other Rights</w:t>
      </w:r>
      <w:r>
        <w:rPr>
          <w:rFonts w:ascii="Times New Roman;Times;serif" w:hAnsi="Times New Roman;Times;serif"/>
          <w:i w:val="false"/>
          <w:caps w:val="false"/>
          <w:smallCaps w:val="false"/>
          <w:color w:val="000000"/>
          <w:sz w:val="20"/>
        </w:rPr>
        <w:t xml:space="preserve">.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Transfer Agent.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transfer agent and registrar for our Common Stock is Equiniti.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Current Charter, the Board of Directors is authorized,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this prospectus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w:t>
      </w:r>
    </w:p>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and stated value;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offered; </w:t>
            </w:r>
          </w:p>
        </w:tc>
      </w:tr>
    </w:tbl>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liquidation preference per share;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99" w:name="DSPFPageBreakArea115"/>
      <w:bookmarkStart w:id="600" w:name="DSPFPageBreakArea115"/>
      <w:bookmarkEnd w:id="60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01" w:name="DSPFPageBreak115"/>
      <w:bookmarkStart w:id="602" w:name="DSPFPageBreak115"/>
      <w:bookmarkEnd w:id="60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3" w:name="ny20014884x5_pre14a_119-stock_pg2"/>
        <w:bookmarkEnd w:id="603"/>
        <w:r>
          <w:rPr>
            <w:rStyle w:val="InternetLink"/>
            <w:rFonts w:ascii="Times New Roman;Times;Serif" w:hAnsi="Times New Roman;Times;Serif"/>
            <w:b/>
            <w:caps w:val="false"/>
            <w:smallCaps w:val="false"/>
            <w:color w:val="000000"/>
            <w:sz w:val="16"/>
          </w:rPr>
          <w:t>TABLE OF CONTENTS</w:t>
        </w:r>
      </w:hyperlink>
    </w:p>
    <w:tbl>
      <w:tblPr>
        <w:tblW w:w="2470" w:type="dxa"/>
        <w:jc w:val="left"/>
        <w:tblInd w:w="0" w:type="dxa"/>
        <w:tblLayout w:type="fixed"/>
        <w:tblCellMar>
          <w:top w:w="0" w:type="dxa"/>
          <w:left w:w="0" w:type="dxa"/>
          <w:bottom w:w="0" w:type="dxa"/>
          <w:right w:w="0" w:type="dxa"/>
        </w:tblCellMar>
      </w:tblPr>
      <w:tblGrid>
        <w:gridCol w:w="110"/>
        <w:gridCol w:w="2360"/>
      </w:tblGrid>
      <w:tr>
        <w:trPr/>
        <w:tc>
          <w:tcPr>
            <w:tcW w:w="110" w:type="dxa"/>
            <w:tcBorders/>
            <w:vAlign w:val="center"/>
          </w:tcPr>
          <w:p>
            <w:pPr>
              <w:pStyle w:val="TableContents"/>
              <w:bidi w:val="0"/>
              <w:spacing w:before="0" w:after="0"/>
              <w:jc w:val="left"/>
              <w:rPr>
                <w:color w:val="000000"/>
              </w:rPr>
            </w:pPr>
            <w:r>
              <w:rPr>
                <w:color w:val="000000"/>
              </w:rPr>
              <w:t>•</w:t>
            </w:r>
          </w:p>
        </w:tc>
        <w:tc>
          <w:tcPr>
            <w:tcW w:w="2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price per share;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dividend rate(s), period(s) and/or payment date(s) or method(s) of calculation for dividends;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dividends are cumulative or non-cumulative and, if cumulative, the date from which dividends will accumulate;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right, if any, to defer payment of dividends and the maximum length of such deferral period;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auction and remarketing, if any;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for a sinking fund, if 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 for redemption or repurchase, if applicable, and any restrictions on our ability to exercise those redemption and repurchase rights; </w:t>
            </w:r>
          </w:p>
        </w:tc>
      </w:tr>
    </w:tbl>
    <w:tbl>
      <w:tblPr>
        <w:tblW w:w="5935" w:type="dxa"/>
        <w:jc w:val="left"/>
        <w:tblInd w:w="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listing of the Preferred Stock on any securities exchange or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if applicable, upon which the Preferred Stock will be convertible into Common Stock, including the conversion price (or manner of calculation) and conversion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Preferred Stock will be exchangeable into debt securities, and, if applicable, the exchange price, or how it will be calculated, and the exchange period;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rights, if any, of the Preferred Stock; </w:t>
            </w:r>
          </w:p>
        </w:tc>
      </w:tr>
    </w:tbl>
    <w:tbl>
      <w:tblPr>
        <w:tblW w:w="2215" w:type="dxa"/>
        <w:jc w:val="left"/>
        <w:tblInd w:w="0" w:type="dxa"/>
        <w:tblLayout w:type="fixed"/>
        <w:tblCellMar>
          <w:top w:w="0" w:type="dxa"/>
          <w:left w:w="0" w:type="dxa"/>
          <w:bottom w:w="0" w:type="dxa"/>
          <w:right w:w="0" w:type="dxa"/>
        </w:tblCellMar>
      </w:tblPr>
      <w:tblGrid>
        <w:gridCol w:w="110"/>
        <w:gridCol w:w="2105"/>
      </w:tblGrid>
      <w:tr>
        <w:trPr/>
        <w:tc>
          <w:tcPr>
            <w:tcW w:w="110" w:type="dxa"/>
            <w:tcBorders/>
            <w:vAlign w:val="center"/>
          </w:tcPr>
          <w:p>
            <w:pPr>
              <w:pStyle w:val="TableContents"/>
              <w:bidi w:val="0"/>
              <w:spacing w:before="0" w:after="0"/>
              <w:jc w:val="left"/>
              <w:rPr>
                <w:color w:val="000000"/>
              </w:rPr>
            </w:pPr>
            <w:r>
              <w:rPr>
                <w:color w:val="000000"/>
              </w:rPr>
              <w:t>•</w:t>
            </w:r>
          </w:p>
        </w:tc>
        <w:tc>
          <w:tcPr>
            <w:tcW w:w="2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preemptive rights, if any;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transfer, sale or other assignment, if any;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interests in the Preferred Stock will be represented by depositary shares; </w:t>
            </w:r>
          </w:p>
        </w:tc>
      </w:tr>
    </w:tbl>
    <w:tbl>
      <w:tblPr>
        <w:tblW w:w="9505" w:type="dxa"/>
        <w:jc w:val="left"/>
        <w:tblInd w:w="0" w:type="dxa"/>
        <w:tblLayout w:type="fixed"/>
        <w:tblCellMar>
          <w:top w:w="0" w:type="dxa"/>
          <w:left w:w="0" w:type="dxa"/>
          <w:bottom w:w="0" w:type="dxa"/>
          <w:right w:w="0" w:type="dxa"/>
        </w:tblCellMar>
      </w:tblPr>
      <w:tblGrid>
        <w:gridCol w:w="110"/>
        <w:gridCol w:w="9395"/>
      </w:tblGrid>
      <w:tr>
        <w:trPr/>
        <w:tc>
          <w:tcPr>
            <w:tcW w:w="110" w:type="dxa"/>
            <w:tcBorders/>
            <w:vAlign w:val="center"/>
          </w:tcPr>
          <w:p>
            <w:pPr>
              <w:pStyle w:val="TableContents"/>
              <w:bidi w:val="0"/>
              <w:spacing w:before="0" w:after="0"/>
              <w:jc w:val="left"/>
              <w:rPr>
                <w:color w:val="000000"/>
              </w:rPr>
            </w:pPr>
            <w:r>
              <w:rPr>
                <w:color w:val="000000"/>
              </w:rPr>
              <w:t>•</w:t>
            </w:r>
          </w:p>
        </w:tc>
        <w:tc>
          <w:tcPr>
            <w:tcW w:w="9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discussion of any material and/or special U.S. federal income tax considerations applicable to the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relative ranking and preferences of the Preferred Stock as to dividend rights and rights upon the liquidation, dissolution or winding up of our affairs;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specific terms, preferences, rights, limitations or restrictions of the Preferred Stock.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can also increase or decrease the number of shares of any series of Preferred Stock, but not below the number of shares of that series then outstanding, without any further vote or action by our stockholders. The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holders of Common Stock will receive dividend payments and payments upon liquidation. We have no current plan to issue any shares of Preferred Stock other than the shares of our Series A Preferred Stock that were issued in connection with the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description of the rights, preferences and privileges of the Series A Preferred Stock is set forth above under the caption, “</w:t>
      </w:r>
      <w:r>
        <w:rPr>
          <w:rFonts w:ascii="Times New Roman;Times;serif" w:hAnsi="Times New Roman;Times;serif"/>
          <w:i/>
          <w:color w:val="000000"/>
          <w:sz w:val="20"/>
        </w:rPr>
        <w:t>Proposal No. 1—Conversion Proposal—Description of Series A Preferred Stock</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holders of Common Stock or their transferees are entitled to the following rights with respect to the registration of such shares for public resale under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04" w:name="DSPFPageBreakArea116"/>
      <w:bookmarkStart w:id="605" w:name="DSPFPageBreakArea116"/>
      <w:bookmarkEnd w:id="60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06" w:name="DSPFPageBreak116"/>
      <w:bookmarkStart w:id="607" w:name="DSPFPageBreak116"/>
      <w:bookmarkEnd w:id="60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8" w:name="ny20014884x5_pre14a_119-stock_pg3"/>
        <w:bookmarkEnd w:id="6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registration rights are granted pursuant to the RRA we entered into in connection with the Merger, and a registration rights agreement (as amended, the “2020 Registration Rights Agreement”) we entered into in connection with the private placement of 5,416,390 shares of our Common Stock (the “2020 Private Placement”), which closed on July 31, 2020.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RRA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our entry into the Financing, we entered into the RRA, pursuant to which we agreed to prepare and file a resale registration statement with the SEC within 90 calendar days following November 15, 2023, with respect to the shares of Common Stock underlying the Series A Preferred Stock issued in the Financing and the Common Stock and Series A Preferred Stock issued to the signatories to the RRA in the Merger. We also agreed to use our commercially reasonable efforts to cause such registration statement to be declared effective by the SEC by March 29, 2024 (or by May 13, 2024 if the SEC reviews the registration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RRA.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Cartesian to be in compliance with the current public information required thereunder and without volume or manner-of-sale restrictions, pursuant to a written opinion letter of counsel for Cartesian to such effect, addressed, delivered and reasonably acceptable to the Company’s transfer agent.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2020 Registration Rights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registrable securities under the 2020 Registration Rights Agreement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Piggyback Registration Rights</w:t>
      </w:r>
      <w:r>
        <w:rPr>
          <w:rFonts w:ascii="Times New Roman;Times;serif" w:hAnsi="Times New Roman;Times;serif"/>
          <w:i w:val="false"/>
          <w:caps w:val="false"/>
          <w:smallCaps w:val="false"/>
          <w:color w:val="000000"/>
          <w:sz w:val="20"/>
        </w:rPr>
        <w:t xml:space="preserve">. Any time we propose to register any shares of our Common Stock under the 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Demand Registration Rights</w:t>
      </w:r>
      <w:r>
        <w:rPr>
          <w:rFonts w:ascii="Times New Roman;Times;serif" w:hAnsi="Times New Roman;Times;serif"/>
          <w:i w:val="false"/>
          <w:caps w:val="false"/>
          <w:smallCaps w:val="false"/>
          <w:color w:val="000000"/>
          <w:sz w:val="20"/>
        </w:rPr>
        <w:t xml:space="preserve">. If the holders of registrable securities request in writing that we effect a registration with respect to all of the registrable securities, we will be required to effect such registration.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Expenses</w:t>
      </w:r>
      <w:r>
        <w:rPr>
          <w:rFonts w:ascii="Times New Roman;Times;serif" w:hAnsi="Times New Roman;Times;serif"/>
          <w:i w:val="false"/>
          <w:caps w:val="false"/>
          <w:smallCaps w:val="false"/>
          <w:color w:val="000000"/>
          <w:sz w:val="20"/>
        </w:rPr>
        <w:t xml:space="preserve">. 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Termination of Registration Rights</w:t>
      </w:r>
      <w:r>
        <w:rPr>
          <w:rFonts w:ascii="Times New Roman;Times;serif" w:hAnsi="Times New Roman;Times;serif"/>
          <w:i w:val="false"/>
          <w:caps w:val="false"/>
          <w:smallCaps w:val="false"/>
          <w:color w:val="000000"/>
          <w:sz w:val="20"/>
        </w:rPr>
        <w:t xml:space="preserve">. The registration rights terminate upon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Delaware Law and Our Current Charter and Bylaws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Some provisions of the DGCL, our Current Charter and our Bylaws could make the following transactions more difficult: an acquisition of us by means of a tender offer; an acquisition of us by means of a proxy contest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09" w:name="DSPFPageBreakArea117"/>
      <w:bookmarkStart w:id="610" w:name="DSPFPageBreakArea117"/>
      <w:bookmarkEnd w:id="61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11" w:name="DSPFPageBreak117"/>
      <w:bookmarkStart w:id="612" w:name="DSPFPageBreak117"/>
      <w:bookmarkEnd w:id="61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3" w:name="ny20014884x5_pre14a_119-stock_pg4"/>
        <w:bookmarkEnd w:id="6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summarized below, are intended to discourage coercive takeover practices and inadequate takeover bids. These provisions are also designed to encourage persons seeking to acquire control of us to first negotiate with the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Undesignated Preferred Stock</w:t>
      </w:r>
      <w:r>
        <w:rPr>
          <w:rFonts w:ascii="Times New Roman;Times;serif" w:hAnsi="Times New Roman;Times;serif"/>
          <w:i w:val="false"/>
          <w:caps w:val="false"/>
          <w:smallCaps w:val="false"/>
          <w:color w:val="000000"/>
          <w:sz w:val="20"/>
        </w:rPr>
        <w:t xml:space="preserve">. The ability of the Board of Directors, without action by the stockholders, to issue up to 10,000,000 shares of undesignated Preferred Stock with voting or other rights or preferences as designated by the Board of Directors could impede the success of any attempt to effect a change in control of us. These and other provisions may have the effect of deferring hostile takeovers or delaying changes in control or management of our Company.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Meetings</w:t>
      </w:r>
      <w:r>
        <w:rPr>
          <w:rFonts w:ascii="Times New Roman;Times;serif" w:hAnsi="Times New Roman;Times;serif"/>
          <w:i w:val="false"/>
          <w:caps w:val="false"/>
          <w:smallCaps w:val="false"/>
          <w:color w:val="000000"/>
          <w:sz w:val="20"/>
        </w:rPr>
        <w:t xml:space="preserve">. Our Bylaws provide that a special meeting of stockholders may be called only by our chairman of the Board of Directors, chief executive officer or president (in the absence of a chief executive officer), or by a resolution adopted by a majority of our Board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Requirements for Advance Notification of Stockholder Nominations and Proposals</w:t>
      </w:r>
      <w:r>
        <w:rPr>
          <w:rFonts w:ascii="Times New Roman;Times;serif" w:hAnsi="Times New Roman;Times;serif"/>
          <w:i w:val="false"/>
          <w:caps w:val="false"/>
          <w:smallCaps w:val="false"/>
          <w:color w:val="000000"/>
          <w:sz w:val="20"/>
        </w:rPr>
        <w:t xml:space="preserve">. 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Elimination of Stockholder Action by Written Consent</w:t>
      </w:r>
      <w:r>
        <w:rPr>
          <w:rFonts w:ascii="Times New Roman;Times;serif" w:hAnsi="Times New Roman;Times;serif"/>
          <w:i w:val="false"/>
          <w:caps w:val="false"/>
          <w:smallCaps w:val="false"/>
          <w:color w:val="000000"/>
          <w:sz w:val="20"/>
        </w:rPr>
        <w:t xml:space="preserve">. Our Current Charter eliminates the right of stockholders to act by written consent without a meeting.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Staggered Board</w:t>
      </w:r>
      <w:r>
        <w:rPr>
          <w:rFonts w:ascii="Times New Roman;Times;serif" w:hAnsi="Times New Roman;Times;serif"/>
          <w:i w:val="false"/>
          <w:caps w:val="false"/>
          <w:smallCaps w:val="false"/>
          <w:color w:val="000000"/>
          <w:sz w:val="20"/>
        </w:rPr>
        <w:t xml:space="preserve">. The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Removal of Directors</w:t>
      </w:r>
      <w:r>
        <w:rPr>
          <w:rFonts w:ascii="Times New Roman;Times;serif" w:hAnsi="Times New Roman;Times;serif"/>
          <w:i w:val="false"/>
          <w:caps w:val="false"/>
          <w:smallCaps w:val="false"/>
          <w:color w:val="000000"/>
          <w:sz w:val="20"/>
        </w:rPr>
        <w:t xml:space="preserve">. Our Current Charter provides that no member of the Board of Directors may be removed from office by our stockholders except for cause and, in addition to any other vote required by law, upon the approval of the holders of at least two-thirds in voting power of the outstanding shares of Common Stock entitled to vote in the election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Stockholders Not Entitled to Cumulative Voting</w:t>
      </w:r>
      <w:r>
        <w:rPr>
          <w:rFonts w:ascii="Times New Roman;Times;serif" w:hAnsi="Times New Roman;Times;serif"/>
          <w:i w:val="false"/>
          <w:caps w:val="false"/>
          <w:smallCaps w:val="false"/>
          <w:color w:val="000000"/>
          <w:sz w:val="20"/>
        </w:rPr>
        <w:t xml:space="preserve">. Our Current Charter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Delaware Anti-Takeover Statute</w:t>
      </w:r>
      <w:r>
        <w:rPr>
          <w:rFonts w:ascii="Times New Roman;Times;serif" w:hAnsi="Times New Roman;Times;serif"/>
          <w:i w:val="false"/>
          <w:caps w:val="false"/>
          <w:smallCaps w:val="false"/>
          <w:color w:val="000000"/>
          <w:sz w:val="20"/>
        </w:rPr>
        <w:t xml:space="preserve">. 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Choice of Forum</w:t>
      </w:r>
      <w:r>
        <w:rPr>
          <w:rFonts w:ascii="Times New Roman;Times;serif" w:hAnsi="Times New Roman;Times;serif"/>
          <w:i w:val="false"/>
          <w:caps w:val="false"/>
          <w:smallCaps w:val="false"/>
          <w:color w:val="000000"/>
          <w:sz w:val="20"/>
        </w:rPr>
        <w:t xml:space="preserve">. Our Current Charter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14" w:name="DSPFPageBreakArea118"/>
      <w:bookmarkStart w:id="615" w:name="DSPFPageBreakArea118"/>
      <w:bookmarkEnd w:id="6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16" w:name="DSPFPageBreak118"/>
      <w:bookmarkStart w:id="617" w:name="DSPFPageBreak118"/>
      <w:bookmarkEnd w:id="6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8" w:name="ny20014884x5_pre14a_119-stock_pg5"/>
        <w:bookmarkEnd w:id="6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claim against us arising pursuant to any provision of the DGCL or our Current Charter or Bylaws; or (4) any action asserting a claim governed by the internal affairs doctrine. Our Current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Current Charter is inapplicable or unenforceable if it is challenged in a proceeding or otherwise.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Amendment of Current Charter</w:t>
      </w:r>
      <w:r>
        <w:rPr>
          <w:rFonts w:ascii="Times New Roman;Times;serif" w:hAnsi="Times New Roman;Times;serif"/>
          <w:i w:val="false"/>
          <w:caps w:val="false"/>
          <w:smallCaps w:val="false"/>
          <w:color w:val="000000"/>
          <w:sz w:val="20"/>
        </w:rPr>
        <w:t xml:space="preserve">. The amendment of any of the above provisions in our Current Charter, except for the provision making it possible for the Board of Directors to issue Preferred Stock and the provision prohibiting cumulative voting, would require approval by holders of at least two-thirds in voting power of the outstanding shares of stock entitled to vote thereon.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the DGCL, our Current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the Board of Directors and management. It is possible that these provisions could make it more difficult to accomplish transactions that stockholders may otherwise deem to be in their best interest.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Common Stock is Equiniti. The transfer agent’s address is 6201 15th Avenue, Brooklyn, New York 11219, and its telephone number is (800) 937-5449.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Listing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Common Stock is listed on the Nasdaq Global Market under the symbol “RNAC.”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19" w:name="DSPFPageBreakArea119"/>
      <w:bookmarkStart w:id="620" w:name="DSPFPageBreakArea119"/>
      <w:bookmarkEnd w:id="62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21" w:name="DSPFPageBreak119"/>
      <w:bookmarkStart w:id="622" w:name="DSPFPageBreak119"/>
      <w:bookmarkEnd w:id="62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3" w:name="ny20014884x5_pre14a_120-management_pg1"/>
        <w:bookmarkEnd w:id="6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4" w:name="tMAD"/>
      <w:bookmarkEnd w:id="624"/>
      <w:r>
        <w:rPr>
          <w:rFonts w:ascii="Times New Roman;Times;serif" w:hAnsi="Times New Roman;Times;serif"/>
          <w:b/>
          <w:color w:val="000000"/>
          <w:sz w:val="20"/>
        </w:rPr>
        <w:t xml:space="preserve">MANAGEMENT AND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Following completion of the Merger, our executive officers and directors, and their positions and ages as of December 31, 2023, are set forth below: </w:t>
      </w:r>
    </w:p>
    <w:tbl>
      <w:tblPr>
        <w:tblW w:w="6647" w:type="dxa"/>
        <w:jc w:val="left"/>
        <w:tblInd w:w="0" w:type="dxa"/>
        <w:tblLayout w:type="fixed"/>
        <w:tblCellMar>
          <w:top w:w="0" w:type="dxa"/>
          <w:left w:w="0" w:type="dxa"/>
          <w:bottom w:w="85" w:type="dxa"/>
          <w:right w:w="0" w:type="dxa"/>
        </w:tblCellMar>
      </w:tblPr>
      <w:tblGrid>
        <w:gridCol w:w="2360"/>
        <w:gridCol w:w="23"/>
        <w:gridCol w:w="23"/>
        <w:gridCol w:w="305"/>
        <w:gridCol w:w="23"/>
        <w:gridCol w:w="23"/>
        <w:gridCol w:w="3890"/>
      </w:tblGrid>
      <w:tr>
        <w:trPr/>
        <w:tc>
          <w:tcPr>
            <w:tcW w:w="236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Carsten Brunn,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Director </w:t>
            </w:r>
          </w:p>
        </w:tc>
      </w:tr>
      <w:tr>
        <w:trPr/>
        <w:tc>
          <w:tcPr>
            <w:tcW w:w="23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Blaine Davis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8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Metin Kurtoglu, MD,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Operating Officer </w:t>
            </w:r>
          </w:p>
        </w:tc>
      </w:tr>
      <w:tr>
        <w:trPr/>
        <w:tc>
          <w:tcPr>
            <w:tcW w:w="23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Milos Miljkovic, MD,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8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Medical Officer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Jewell,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rPr/>
        <w:tc>
          <w:tcPr>
            <w:tcW w:w="23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Carrie S. Cox</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8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of the Board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C. Barabe</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Nishan de Silva, MD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8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Murat Kalayoglu, MD,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Aymeric Sallin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8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Singer, MD,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Springer,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8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Zenner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Information regarding our directors and officers prior to the Merger is set forth in the proxy statement relating to our 2023 annual meeting of stockholders, which is incorporated by reference 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Officers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Metin Kurtoglu</w:t>
      </w:r>
      <w:r>
        <w:rPr>
          <w:rFonts w:ascii="Times New Roman;Times;serif" w:hAnsi="Times New Roman;Times;serif"/>
          <w:b w:val="false"/>
          <w:color w:val="000000"/>
          <w:sz w:val="20"/>
        </w:rPr>
        <w:t xml:space="preserve">. Dr. Kurtoglu is the Chief Operating Officer of the Company. Dr. Kurtoglu’s clinical and basic science research career spans over 20 years and has focused on developing novel targets for drug-resistant cancer cells and cancer stem cells, including multiple myeloma. He has also been an investigator in various cancer immunotherapy trials. Dr. Kurtoglu is a medical oncologist board certified in internal medicine. He completed his residency and graduate training at the University of Miami, and clinical and research fellowship at the NCI / NIH. Prior to becoming the Company’s Chief Operating Officer, Dr. Kurtoglu served as the Chief Operating Officer (since 2021), Chief Medical Officer and Chief GMP Manufacturing (from 2019 to 2021) and Chief Medical Officer (from 2016 to 2019) of Old Cartesian.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Milos Miljkovic</w:t>
      </w:r>
      <w:r>
        <w:rPr>
          <w:rFonts w:ascii="Times New Roman;Times;serif" w:hAnsi="Times New Roman;Times;serif"/>
          <w:b w:val="false"/>
          <w:color w:val="000000"/>
          <w:sz w:val="20"/>
        </w:rPr>
        <w:t xml:space="preserve">. Dr. Miljkovic is the Chief Medical Officer of the Company. He is board-certified in hematology, medical oncology, and internal medicine. Prior to becoming Old Cartesian’s Chief Medical Officer in 2021, he served at the National Cancer Institute as an Assistant Research Physician (from 2017 to 2021), Chief Fellow, Hematology/Oncology (from 2016 to 2017) and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 Jewell</w:t>
      </w:r>
      <w:r>
        <w:rPr>
          <w:rFonts w:ascii="Times New Roman;Times;serif" w:hAnsi="Times New Roman;Times;serif"/>
          <w:b w:val="false"/>
          <w:color w:val="000000"/>
          <w:sz w:val="20"/>
        </w:rPr>
        <w:t xml:space="preserve">. Dr. Jewell is the Chief Scientific Officer of the Company.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 Prior to assuming his role as the Company’s Chief Scientific Officer, Dr. Jewell served as the Chief Scientific Officer of Old Cartesian since 2023 and previously collaborated with Old Cartesian through sponsored research. Dr. Jewell established his laboratory at the University of Maryland in 2012, where he was promoted to Associate Professor in 2017 and to Full Professor in 2020.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25" w:name="DSPFPageBreakArea120"/>
      <w:bookmarkStart w:id="626" w:name="DSPFPageBreakArea120"/>
      <w:bookmarkEnd w:id="62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27" w:name="DSPFPageBreak120"/>
      <w:bookmarkStart w:id="628" w:name="DSPFPageBreak120"/>
      <w:bookmarkEnd w:id="62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9" w:name="ny20014884x5_pre14a_120-management_pg2"/>
        <w:bookmarkEnd w:id="6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Directors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Murat Kalayoglu</w:t>
      </w:r>
      <w:r>
        <w:rPr>
          <w:rFonts w:ascii="Times New Roman;Times;serif" w:hAnsi="Times New Roman;Times;serif"/>
          <w:b w:val="false"/>
          <w:color w:val="000000"/>
          <w:sz w:val="20"/>
        </w:rPr>
        <w:t xml:space="preserve">. Dr. Kalayoglu co-founded and served as Chief Executive Officer of Cartesian Therapeutics, Inc., 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Michael S. Singer</w:t>
      </w:r>
      <w:r>
        <w:rPr>
          <w:rFonts w:ascii="Times New Roman;Times;serif" w:hAnsi="Times New Roman;Times;serif"/>
          <w:b w:val="false"/>
          <w:color w:val="000000"/>
          <w:sz w:val="20"/>
        </w:rPr>
        <w:t xml:space="preserve">. Dr. Singer co-founded and served as Chief Scientific Officer, later Chief Strategy Officer, and Chairman of the Board of Cartesian Therapeutics, Inc.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 Dr. Singer received his B.S. in biology, M.Phil and Ph.D. in neuroscience, and M.D. from Yale University and completed internship and residency at Harvard. He is a registered U.S. patent agent.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30" w:name="DSPFPageBreakArea121"/>
      <w:bookmarkStart w:id="631" w:name="DSPFPageBreakArea121"/>
      <w:bookmarkEnd w:id="63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32" w:name="DSPFPageBreak121"/>
      <w:bookmarkStart w:id="633" w:name="DSPFPageBreak121"/>
      <w:bookmarkEnd w:id="63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34" w:name="ny20014884x5_pre14a_121-principal_pg1"/>
        <w:bookmarkEnd w:id="6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5" w:name="tPS"/>
      <w:bookmarkEnd w:id="635"/>
      <w:r>
        <w:rPr>
          <w:rFonts w:ascii="Times New Roman;Times;serif" w:hAnsi="Times New Roman;Times;serif"/>
          <w:b/>
          <w:color w:val="000000"/>
          <w:sz w:val="20"/>
        </w:rPr>
        <w:t xml:space="preserve">PRINCIPAL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January 15,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161,927,821 shares of Common Stock outstanding as of January 15, 2024. In computing the number of shares beneficially owned by a person and the percentage ownership of that person, shares of Common Stock subject to options, warrants or other rights held by such person that are currently exercisable or will become exercisable within 60 days of January 15, 2024 are considered outstanding, although these shares are not considered outstanding for purposes of computing the percentage ownership of any other person. Although the conversion limitations on the Series A Preferred Stock prevent the Series A Preferred Stock from converting into Common Stock until approval of Proposal No. 1, we are separately presenting below beneficial ownership assuming the conversion of all shares of Series A Preferred Stock into Common Stock. The numbers presented below do not give effect to the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 </w:t>
      </w:r>
    </w:p>
    <w:tbl>
      <w:tblPr>
        <w:tblW w:w="10205" w:type="dxa"/>
        <w:jc w:val="left"/>
        <w:tblInd w:w="0" w:type="dxa"/>
        <w:tblLayout w:type="fixed"/>
        <w:tblCellMar>
          <w:top w:w="0" w:type="dxa"/>
          <w:left w:w="0" w:type="dxa"/>
          <w:bottom w:w="0" w:type="dxa"/>
          <w:right w:w="0" w:type="dxa"/>
        </w:tblCellMar>
      </w:tblPr>
      <w:tblGrid>
        <w:gridCol w:w="5911"/>
        <w:gridCol w:w="23"/>
        <w:gridCol w:w="23"/>
        <w:gridCol w:w="950"/>
        <w:gridCol w:w="23"/>
        <w:gridCol w:w="23"/>
        <w:gridCol w:w="1044"/>
        <w:gridCol w:w="23"/>
        <w:gridCol w:w="23"/>
        <w:gridCol w:w="1055"/>
        <w:gridCol w:w="23"/>
        <w:gridCol w:w="23"/>
        <w:gridCol w:w="1061"/>
      </w:tblGrid>
      <w:tr>
        <w:trPr/>
        <w:tc>
          <w:tcPr>
            <w:tcW w:w="5911"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040"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 Conversion of 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162"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Full Conversion of 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tc>
      </w:tr>
      <w:tr>
        <w:trPr/>
        <w:tc>
          <w:tcPr>
            <w:tcW w:w="5911"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5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44"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5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61"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911"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5% Stockholders: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0"/>
              <w:jc w:val="left"/>
              <w:rPr>
                <w:color w:val="000000"/>
              </w:rPr>
            </w:pPr>
            <w:r>
              <w:rPr>
                <w:color w:val="000000"/>
              </w:rPr>
              <w:t> </w:t>
            </w:r>
          </w:p>
        </w:tc>
      </w:tr>
      <w:tr>
        <w:trPr/>
        <w:tc>
          <w:tcPr>
            <w:tcW w:w="591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Timothy A. Springer, Ph.D.(1)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44,242,842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26.2%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192,953,330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31.3 %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Murat Kalayoglu, MD, Ph.D.(2)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3,574,104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121,267,076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 </w:t>
            </w:r>
          </w:p>
        </w:tc>
      </w:tr>
      <w:tr>
        <w:trPr/>
        <w:tc>
          <w:tcPr>
            <w:tcW w:w="591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Schooner Century Fund LLC(3)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1,554,064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90,524,422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Armistice Capital, LLC(4)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9,375,000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9,375,000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5911"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Named Executive Officers and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0"/>
              <w:jc w:val="left"/>
              <w:rPr>
                <w:color w:val="000000"/>
              </w:rPr>
            </w:pPr>
            <w:r>
              <w:rPr>
                <w:color w:val="000000"/>
              </w:rPr>
              <w:t>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Carsten Brunn, Ph.D.(5)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261,956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261,956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Blaine Davis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Jewell, Ph.D.(6)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2,717,358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Metin Kurtoglu, MD, Ph.D.(7)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7,056,150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Milos Miljkovic, MD(8)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1,282,936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Carrie S. Cox(9)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259,498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259,498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C. Barabe(10)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Nishan de Silva, M.D., M.B.A.(11)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Murat Kalayoglu, MD, Ph.D.(2)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3,574,104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121,267,076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 </w:t>
            </w:r>
          </w:p>
        </w:tc>
      </w:tr>
      <w:tr>
        <w:trPr/>
        <w:tc>
          <w:tcPr>
            <w:tcW w:w="591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Aymeric Sallin(12)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Singer, MD, Ph.D.(13)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460,060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23,073,593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 </w:t>
            </w:r>
          </w:p>
        </w:tc>
      </w:tr>
      <w:tr>
        <w:trPr/>
        <w:tc>
          <w:tcPr>
            <w:tcW w:w="591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A. Springer, Ph.D.(1)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44,242,842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26.2%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192,953,330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 </w:t>
            </w:r>
          </w:p>
        </w:tc>
      </w:tr>
      <w:tr>
        <w:trPr/>
        <w:tc>
          <w:tcPr>
            <w:tcW w:w="5911"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Zenner(14)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67,914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67,914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11"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executive officers, directors and director nominees as a group (13 persons)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49,161,385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ind w:left="294" w:right="0" w:hanging="0"/>
              <w:jc w:val="left"/>
              <w:rPr>
                <w:rFonts w:ascii="Times New Roman;Times;serif" w:hAnsi="Times New Roman;Times;serif"/>
                <w:b/>
                <w:color w:val="000000"/>
                <w:sz w:val="20"/>
              </w:rPr>
            </w:pPr>
            <w:r>
              <w:rPr>
                <w:rFonts w:ascii="Times New Roman;Times;serif" w:hAnsi="Times New Roman;Times;serif"/>
                <w:b/>
                <w:color w:val="000000"/>
                <w:sz w:val="20"/>
              </w:rPr>
              <w:t>29.2%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349,234,822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ind w:left="294" w:right="0" w:hanging="0"/>
              <w:jc w:val="left"/>
              <w:rPr>
                <w:rFonts w:ascii="Times New Roman;Times;serif" w:hAnsi="Times New Roman;Times;serif"/>
                <w:b/>
                <w:color w:val="000000"/>
                <w:sz w:val="20"/>
              </w:rPr>
            </w:pPr>
            <w:r>
              <w:rPr>
                <w:rFonts w:ascii="Times New Roman;Times;serif" w:hAnsi="Times New Roman;Times;serif"/>
                <w:b/>
                <w:color w:val="000000"/>
                <w:sz w:val="20"/>
              </w:rPr>
              <w:t>56.9%</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beneficial ownership of less than one percent.</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13D/A filed with the SEC on November 17, 2023 and other information known to us, consists of (i) 7,293,625 shares of Common Stock held directly by Timothy A. Springer, Ph.D., a member of our Board, (ii) 123,925,407 shares of Common Stock issuable upon conversion of shares of Series A Preferred Stock held directly by Timothy A. Springer, Ph.D., (iii) 12,666 shares of Common Stock issuable upon exercise of outstanding options within 60 days of January 15, 2024 and held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36" w:name="DSPFPageBreakArea122"/>
      <w:bookmarkStart w:id="637" w:name="DSPFPageBreakArea122"/>
      <w:bookmarkEnd w:id="63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38" w:name="DSPFPageBreak122"/>
      <w:bookmarkStart w:id="639" w:name="DSPFPageBreak122"/>
      <w:bookmarkEnd w:id="63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0" w:name="ny20014884x5_pre14a_121-principal_pg2"/>
        <w:bookmarkEnd w:id="64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directly by Timothy A. Springer, Ph.D., (iv) 29,868,490 shares of Common Stock held by TAS Partners LLC (“TAS”) directly, (v) 24,785,081 shares of Common Stock issuable upon conversion of shares of Series A Preferred Stock held by TAS, (vi) 6,981,643 shares of Common Stock issuable upon exercise of underlying warrants exercisable within 60 days of January 15, 2024 held by TAS directly, and (vii) 86,418 shares of Common Stock held by Dr. Chafen Lu, Dr.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13D filed with the SEC on November 22, 2023 and other information known to us, consists of (i) 257,739 shares of Common Stock held directly by Murat Kalayoglu, MD, Ph.D., a member of our Board, (ii) up to 14,755,609 shares of Common Stock issuable upon conversion of shares of Series A Preferred Stock held directly by Murat Kalayoglu, MD, Ph.D., (iii) 12,666 shares of Common Stock issuable upon exercise of outstanding options within 60 days of January 15, 2024 and held directly by Murat Kalayoglu, MD, Ph.D., (iv) 3,303,699 shares of Common Stock held by Seven One Eight Three Four Irrevocable Trust directly, and (v) up to 189,756,394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 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117,692,972 shares of Common Stock issuable upon conversion of the shares of Series A Preferred Stock held by Dr. Kalayoglu and Seven One Eight Three Four Irrevocable Trust, and assume neither Dr. Kalayoglu nor Seven One Eight Three Four Irrevocable Trust converts any shares of Series A Preferred Stock beyond such limitation.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information known to us, consists of (i) 1,554,064 shares of Common Stock held by Schooner Century Fund LLC and (ii) 88,970,358 shares of Common Stock issuable upon conversion of shares of Series A Preferred Stock held by Schooner Century Fund LLC.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information known to us, consists of 9,375,000 shares of Common Stock issuable upon exercise of underlying warrants exercisable within 60 days of January 15, 2024 held by Armistice Capital Master Fund Ltd. Armistice Capital, LLC is the general partner of Armistice Capital Master Fund Ltd. The principal business address of Armistice Capital Master Fund Ltd. is 510 Madison Avenue, New York, NY 10022. </w:t>
            </w:r>
          </w:p>
        </w:tc>
      </w:tr>
    </w:tbl>
    <w:tbl>
      <w:tblPr>
        <w:tblW w:w="5395" w:type="dxa"/>
        <w:jc w:val="left"/>
        <w:tblInd w:w="0" w:type="dxa"/>
        <w:tblLayout w:type="fixed"/>
        <w:tblCellMar>
          <w:top w:w="0" w:type="dxa"/>
          <w:left w:w="0" w:type="dxa"/>
          <w:bottom w:w="0" w:type="dxa"/>
          <w:right w:w="0" w:type="dxa"/>
        </w:tblCellMar>
      </w:tblPr>
      <w:tblGrid>
        <w:gridCol w:w="230"/>
        <w:gridCol w:w="51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51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261,956 shares of Common Stock held by Dr. Brunn directly.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2,717,358 shares of Common Stock issuable upon exercise of outstanding options to purchase shares of Series A Preferred Stock within 60 days of January 15, 2024, assuming the conversion of Series A Preferred Stock into Common Stock.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7,056,150 shares of Common Stock issuable upon exercise of outstanding options to purchase shares of Series A Preferred Stock within 60 days of January 15, 2024, assuming the conversion of Series A Preferred Stock into Common Stock.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1,282,936 shares of Common Stock issuable upon exercise of outstanding options within 60 days of January 15, 2024, assuming the conversion of Series A Preferred Stock into Common Stock.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212,881 shares of Common Stock, (ii) 32,840 shares of Common Stock underlying warrants exercisable within 60 days of January 15, 2024, and (iii) 13,777 shares of Common Stock issuable upon exercise of outstanding options within 60 days of January 15, 2024, in each case held by Ms. Cox directly.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250,013 shares of Common Stock and (ii) 12,666 shares of Common Stock issuable upon exercise of outstanding options within 60 days of January 15, 2024, in each case held by Mr. Barabe directly.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7,000 shares of Common Stock and (ii) 12,666 shares of Common Stock issuable upon exercise of outstanding options within 60 days of January 15, 2024, in each case held by Dr. de Silva directly.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12,666 shares of Common Stock issuable upon exercise of outstanding options within 60 days of January 15, 2024 held by Mr. Sallin directly.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110,123 shares of Common Stock held by Dr. Singer directly, (ii) 197,663 shares of Common Stock held by Thirsty Brook 2010 Irrevocable Trust, a trust for which Dr. Singer is a trustee, that Dr. Singer has the right to acquire pursuant to a right of substitution in exchange for assets with an equal value to such shares, (iii) 29,212 shares of Common Stock held by Singer Asefzadeh Family Holding Trust, a trust for which Dr. Singer is a trustee and beneficiary, (iv) 3,670 shares of Common Stock held by Bakezilla 2019 Irrevocable Trust, a trust for which Dr. Singer is a trustee and beneficiary, (v) 7,616 shares of Common Stock held by Dr. Baharak Asefzadeh, Dr. Singer’s spouse, (vi) 49,555 shares of Common Stock held by a minor child of Dr. Singer through a custodial account established pursuant to the Uniform Transfer to Minors Act (“UTMA”) for which Dr. Singer serves as custodian, (vii) 49,555 shares of Common Stock held by a minor child of Dr. Singer through a custodial account established pursuant to the UTMA for which Dr. Singer serves as custodian, (viii) 3,304,559 shares of Common Stock issuable upon conversion of shares of Series A Preferred Stock held by Dr. Singer directly, (ix) 11,316,263 shares of Common Stock issuable upon conversion of Series A Preferred Stock held by Thirsty Brook 2010 Irrevocable Trust, (x) 1,672,389 shares of Common Stock issuable upon conversion of Series A Preferred Stock held by Singer Asefzadeh Family Holding Trust, (xi) 210,152 shares of Common Stock issuable upon conversion of Series A Preferred Stock held by Bakezilla 2019 Irrevocable Trust, (xii) 436,066 shares of Common Stock issuable upon conversion of Series A Preferred Stock held by Dr. Asefzadeh, (xiii) 2,837,052 shares of Common Stock issuable upon conversion of Series A Preferred Stock held by a minor child of Dr. Singer through a custodial account established pursuant to the UTMA for which Dr. Singer serves as custodian, (xiv) 2,837,052 shares of Common Stock issuable upon conversion of Series A Preferred Stock held by a minor child of Dr. Singer through a custodial account established pursuant to the UTMA for which Dr. Singer serves as custodian, and (xv) 12,666 shares of Common Stock issuable upon exercise of outstanding options within 60 days of January 15, 2024 held by Dr. Singer directly.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55,248 shares of Common Stock and (ii) 12,666 shares of Common Stock issuable upon exercise of outstanding options within 60 days of January 15, 2024 held by Mr. Zenner directly.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41" w:name="DSPFPageBreakArea123"/>
      <w:bookmarkStart w:id="642" w:name="DSPFPageBreakArea123"/>
      <w:bookmarkEnd w:id="64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43" w:name="DSPFPageBreak123"/>
      <w:bookmarkStart w:id="644" w:name="DSPFPageBreak123"/>
      <w:bookmarkEnd w:id="64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5" w:name="ny20014884x5_pre14a_122-info_pg1"/>
        <w:bookmarkEnd w:id="6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6" w:name="tWYC"/>
      <w:bookmarkEnd w:id="646"/>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file reports, proxy statements and other information with the SEC as required by the Exchange Act. You can review our electronically filed reports, proxy and information statements on the SEC’s website at http://www.sec.gov or on our website at https://www.cartesiantherapeutics.com/. Information included on our web site is not a part of this proxy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this proxy statement or on information to which we have referred you. We have not authorized anyone else to provide you with any information. A representative of our independent registered public accounting firm, Ernst &amp; Young LLP, is not expected to be present at the virtual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have more questions about this proxy statement or how to submit your proxy, or if you need additional copies of this proxy statement or the enclosed proxy card or voting instructions, please contact our proxy solicitor Morrow at: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call toll free: (800) 662-5200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(203) 658-9400 </w:t>
      </w:r>
    </w:p>
    <w:p>
      <w:pPr>
        <w:pStyle w:val="TextBody"/>
        <w:bidi w:val="0"/>
        <w:spacing w:before="410" w:after="283"/>
        <w:jc w:val="center"/>
        <w:rPr>
          <w:rFonts w:ascii="Times New Roman;Times;serif" w:hAnsi="Times New Roman;Times;serif"/>
          <w:b/>
          <w:color w:val="000000"/>
          <w:sz w:val="20"/>
        </w:rPr>
      </w:pPr>
      <w:bookmarkStart w:id="647" w:name="tIIB"/>
      <w:bookmarkEnd w:id="647"/>
      <w:r>
        <w:rPr>
          <w:rFonts w:ascii="Times New Roman;Times;serif" w:hAnsi="Times New Roman;Times;serif"/>
          <w:b/>
          <w:color w:val="000000"/>
          <w:sz w:val="20"/>
        </w:rPr>
        <w:t xml:space="preserve">INFORMATION INCORPORATED BY REFERENCE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into this proxy statement the information in documents we file with the SEC, which means that we can disclose important information to you by referring you to those documents. The information incorporated by reference is considered to be a part of this proxy statement and should be read with the same care. When we update the information contained in documents that have been incorporated by reference by making future filings with the SEC, the information incorporated by reference into this proxy statement is considered to be automatically updated and superseded. In other words, in all cases, if you are considering whether to rely on information contained in this proxy statement or information incorporated by reference into this proxy statement, you should rely on the information contained in the document that was filed later. We incorporate by reference (other than any information furnished to, rather than filed with, the SEC, unless expressly stated otherwise therein) the documents listed below (File No. 001-37798), which are considered to be a part of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documents are incorporated by reference into this proxy statement: </w:t>
      </w:r>
    </w:p>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fiscal year ended December 31, 2022, filed with the SEC on </w:t>
            </w:r>
            <w:hyperlink r:id="rId9">
              <w:r>
                <w:rPr>
                  <w:rStyle w:val="InternetLink"/>
                  <w:rFonts w:ascii="Times New Roman;Times;serif" w:hAnsi="Times New Roman;Times;serif"/>
                  <w:color w:val="000080"/>
                  <w:sz w:val="20"/>
                </w:rPr>
                <w:t>March 2, 2023</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information specifically incorporated by reference into our Annual Report on Form 10-K from our Definitive Proxy Statement on Schedule 14A, filed with the SEC on </w:t>
            </w:r>
            <w:hyperlink r:id="rId10">
              <w:r>
                <w:rPr>
                  <w:rStyle w:val="InternetLink"/>
                  <w:rFonts w:ascii="Times New Roman;Times;serif" w:hAnsi="Times New Roman;Times;serif"/>
                  <w:color w:val="000080"/>
                  <w:sz w:val="20"/>
                </w:rPr>
                <w:t>April 28, 2023</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Reports on Form 10-Q for the quarters ended March 31, 2023, June 30, 2023, and September 30, 2023 filed with the SEC on </w:t>
            </w:r>
            <w:hyperlink r:id="rId11">
              <w:r>
                <w:rPr>
                  <w:rStyle w:val="InternetLink"/>
                  <w:rFonts w:ascii="Times New Roman;Times;serif" w:hAnsi="Times New Roman;Times;serif"/>
                  <w:color w:val="000080"/>
                  <w:sz w:val="20"/>
                </w:rPr>
                <w:t>May 4, 2023</w:t>
              </w:r>
            </w:hyperlink>
            <w:r>
              <w:rPr>
                <w:rFonts w:ascii="Times New Roman;Times;serif" w:hAnsi="Times New Roman;Times;serif"/>
                <w:color w:val="000000"/>
                <w:sz w:val="20"/>
              </w:rPr>
              <w:t xml:space="preserve">, </w:t>
            </w:r>
            <w:hyperlink r:id="rId12">
              <w:r>
                <w:rPr>
                  <w:rStyle w:val="InternetLink"/>
                  <w:rFonts w:ascii="Times New Roman;Times;serif" w:hAnsi="Times New Roman;Times;serif"/>
                  <w:color w:val="000080"/>
                  <w:sz w:val="20"/>
                </w:rPr>
                <w:t>August 17, 2023</w:t>
              </w:r>
            </w:hyperlink>
            <w:r>
              <w:rPr>
                <w:rFonts w:ascii="Times New Roman;Times;serif" w:hAnsi="Times New Roman;Times;serif"/>
                <w:color w:val="000000"/>
                <w:sz w:val="20"/>
              </w:rPr>
              <w:t xml:space="preserve">, and </w:t>
            </w:r>
            <w:hyperlink r:id="rId13">
              <w:r>
                <w:rPr>
                  <w:rStyle w:val="InternetLink"/>
                  <w:rFonts w:ascii="Times New Roman;Times;serif" w:hAnsi="Times New Roman;Times;serif"/>
                  <w:color w:val="000080"/>
                  <w:sz w:val="20"/>
                </w:rPr>
                <w:t>November 13, 2023</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Reports on Form 8-K filed on </w:t>
            </w:r>
            <w:hyperlink r:id="rId14">
              <w:r>
                <w:rPr>
                  <w:rStyle w:val="InternetLink"/>
                  <w:rFonts w:ascii="Times New Roman;Times;serif" w:hAnsi="Times New Roman;Times;serif"/>
                  <w:color w:val="000080"/>
                  <w:sz w:val="20"/>
                </w:rPr>
                <w:t>January 9, 2023</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March 21, 2023</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April 4, 2023</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June 16, 2023</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September 13, 2023</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September 25, 2023</w:t>
              </w:r>
            </w:hyperlink>
            <w:r>
              <w:rPr>
                <w:rFonts w:ascii="Times New Roman;Times;serif" w:hAnsi="Times New Roman;Times;serif"/>
                <w:color w:val="000000"/>
                <w:sz w:val="20"/>
              </w:rPr>
              <w:t xml:space="preserve">, </w:t>
            </w:r>
            <w:hyperlink r:id="rId20">
              <w:r>
                <w:rPr>
                  <w:rStyle w:val="InternetLink"/>
                  <w:rFonts w:ascii="Times New Roman;Times;serif" w:hAnsi="Times New Roman;Times;serif"/>
                  <w:color w:val="000080"/>
                  <w:sz w:val="20"/>
                </w:rPr>
                <w:t>October 31, 2023</w:t>
              </w:r>
            </w:hyperlink>
            <w:r>
              <w:rPr>
                <w:rFonts w:ascii="Times New Roman;Times;serif" w:hAnsi="Times New Roman;Times;serif"/>
                <w:color w:val="000000"/>
                <w:sz w:val="20"/>
              </w:rPr>
              <w:t xml:space="preserve">, </w:t>
            </w:r>
            <w:hyperlink r:id="rId21">
              <w:r>
                <w:rPr>
                  <w:rStyle w:val="InternetLink"/>
                  <w:rFonts w:ascii="Times New Roman;Times;serif" w:hAnsi="Times New Roman;Times;serif"/>
                  <w:color w:val="000080"/>
                  <w:sz w:val="20"/>
                </w:rPr>
                <w:t>November 13, 2023</w:t>
              </w:r>
            </w:hyperlink>
            <w:r>
              <w:rPr>
                <w:rFonts w:ascii="Times New Roman;Times;serif" w:hAnsi="Times New Roman;Times;serif"/>
                <w:color w:val="000000"/>
                <w:sz w:val="20"/>
              </w:rPr>
              <w:t xml:space="preserve"> (as amended on </w:t>
            </w:r>
            <w:hyperlink r:id="rId22">
              <w:r>
                <w:rPr>
                  <w:rStyle w:val="InternetLink"/>
                  <w:rFonts w:ascii="Times New Roman;Times;serif" w:hAnsi="Times New Roman;Times;serif"/>
                  <w:color w:val="000080"/>
                  <w:sz w:val="20"/>
                </w:rPr>
                <w:t>January 23, 2024</w:t>
              </w:r>
            </w:hyperlink>
            <w:r>
              <w:rPr>
                <w:rFonts w:ascii="Times New Roman;Times;serif" w:hAnsi="Times New Roman;Times;serif"/>
                <w:color w:val="000000"/>
                <w:sz w:val="20"/>
              </w:rPr>
              <w:t xml:space="preserve">), </w:t>
            </w:r>
            <w:hyperlink r:id="rId23">
              <w:r>
                <w:rPr>
                  <w:rStyle w:val="InternetLink"/>
                  <w:rFonts w:ascii="Times New Roman;Times;serif" w:hAnsi="Times New Roman;Times;serif"/>
                  <w:color w:val="000080"/>
                  <w:sz w:val="20"/>
                </w:rPr>
                <w:t>November 27, 2023</w:t>
              </w:r>
            </w:hyperlink>
            <w:r>
              <w:rPr>
                <w:rFonts w:ascii="Times New Roman;Times;serif" w:hAnsi="Times New Roman;Times;serif"/>
                <w:color w:val="000000"/>
                <w:sz w:val="20"/>
              </w:rPr>
              <w:t xml:space="preserve">, and </w:t>
            </w:r>
            <w:hyperlink r:id="rId24">
              <w:r>
                <w:rPr>
                  <w:rStyle w:val="InternetLink"/>
                  <w:rFonts w:ascii="Times New Roman;Times;serif" w:hAnsi="Times New Roman;Times;serif"/>
                  <w:color w:val="000080"/>
                  <w:sz w:val="20"/>
                </w:rPr>
                <w:t>January 19, 2024</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all reports and other documents that we subsequently file pursuant to Sections 13(a), 13(c), 14 or 15(d) of the Exchange Act, after the date of this proxy statement and prior to the Special Meeting will be deemed to be incorporated by reference into this proxy statement and to be part of this proxy statement from the date of the filing of such reports and documents.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delivering to our stockholders with this proxy statement the aforementioned Annual Report on Form 10-K in accordance with Item 13(b)(2) of Schedule 14A.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48" w:name="DSPFPageBreakArea124"/>
      <w:bookmarkStart w:id="649" w:name="DSPFPageBreakArea124"/>
      <w:bookmarkEnd w:id="64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50" w:name="DSPFPageBreak124"/>
      <w:bookmarkStart w:id="651" w:name="DSPFPageBreak124"/>
      <w:bookmarkEnd w:id="65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52" w:name="ny20014884x5_pre14a_122-info_pg2"/>
        <w:bookmarkEnd w:id="6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Documents incorporated by reference are also available, without charge, and will be provided by first class mail or other prompt means within one business day of receipt of a properly made request. You may obtain documents incorporated by reference in this proxy statement (not including exhibits to the information that is incorporated by reference unless such exhibits are specifically incorporated by reference into the information that the proxy statement incorporates) by requesting them in writing or by telephone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Cartesian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704 Quince Orchard Road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Gaithersburg, Maryland 20878</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(617) 923-1400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NOT AUTHORIZED ANYONE TO GIVE YOU ANY INFORMATION OR TO MAKE ANY REPRESENTATION ABOUT THE PROPOSALS OR US THAT IS DIFFERENT FROM OR ADDS TO THE INFORMATION CONTAINED IN THIS PROXY STATEMENT OR IN THE DOCUMENTS WE HAVE PUBLICLY FILED WITH THE SEC. WE ARE NOT RESPONSIBLE FOR, AND CAN PROVIDE NO ASSURANCES AS TO THE RELIABILITY OF, ANY INFORMATION OTHER THAN THE INFORMATION CONTAINED OR INCORPORATED BY REFERENCE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53" w:name="DSPFPageBreakArea125"/>
      <w:bookmarkStart w:id="654" w:name="DSPFPageBreakArea125"/>
      <w:bookmarkEnd w:id="65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55" w:name="DSPFPageBreak125"/>
      <w:bookmarkStart w:id="656" w:name="DSPFPageBreak125"/>
      <w:bookmarkEnd w:id="6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57" w:name="ny20014884x5_pre14a_122-info_pg3"/>
        <w:bookmarkEnd w:id="6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8" w:name="tHOS"/>
      <w:bookmarkEnd w:id="658"/>
      <w:r>
        <w:rPr>
          <w:rFonts w:ascii="Times New Roman;Times;serif" w:hAnsi="Times New Roman;Times;serif"/>
          <w:b/>
          <w:color w:val="000000"/>
          <w:sz w:val="20"/>
        </w:rPr>
        <w:t xml:space="preserve">HOUSEHOLDING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undertake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currently a stockholder sharing an address with another stockholder and received more than one copy of proxy materials, but wish to receive only one copy of future proxy materials for your household, please contact Broadridge at the above phone number or address.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59" w:name="DSPFPageBreakArea126"/>
      <w:bookmarkStart w:id="660" w:name="DSPFPageBreakArea126"/>
      <w:bookmarkEnd w:id="66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61" w:name="DSPFPageBreak126"/>
      <w:bookmarkStart w:id="662" w:name="DSPFPageBreak126"/>
      <w:bookmarkEnd w:id="66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63" w:name="ny20014884x5_pre14a_122-info_pg4"/>
        <w:bookmarkEnd w:id="6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4" w:name="tSP"/>
      <w:bookmarkEnd w:id="664"/>
      <w:r>
        <w:rPr>
          <w:rFonts w:ascii="Times New Roman;Times;serif" w:hAnsi="Times New Roman;Times;serif"/>
          <w:b/>
          <w:color w:val="000000"/>
          <w:sz w:val="20"/>
        </w:rPr>
        <w:t xml:space="preserve">STOCKHOLDER PROPOSALS </w:t>
      </w:r>
    </w:p>
    <w:p>
      <w:pPr>
        <w:pStyle w:val="TextBody"/>
        <w:bidi w:val="0"/>
        <w:spacing w:lineRule="auto" w:line="240"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Stockholder Proposals or Nominations to be Brought Before the Annual Meeting. </w:t>
      </w:r>
      <w:r>
        <w:rPr>
          <w:rFonts w:ascii="Times New Roman;Times;serif" w:hAnsi="Times New Roman;Times;serif"/>
          <w:i w:val="false"/>
          <w:caps w:val="false"/>
          <w:smallCaps w:val="false"/>
          <w:color w:val="000000"/>
          <w:sz w:val="20"/>
        </w:rPr>
        <w:t>Stockholders intending to present a proposal at the 2024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day and not later than the close of business on the 90th</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day prior to the anniversary of the preceding year’s annual meeting. Therefore, the Company must receive notice of such a proposal or nomination for the 2024 Annual Meeting of Stockholders no earlier than the close of business on February 16, 2024 and no later than the close of business on March 18, 2024. The notice must contain the information required by the Bylaws, a copy of which is available upon request to our Secretary. In the event that the date of the 2024 Annual Meeting of Stockholders is more than 30 days before or more than 60 days after June 16, 2024, then our Secretary must receive such written notice not earlier than the close of business on the 120th</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day prior to the 2024 Annual Meeting of Stockholders and not later than the close of business on the 90th</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day prior to the 2024 Annual Meeting of Stockholders or, if later, the 10th</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2024 Annual Meeting of Stockholders must also comply with all applicable requirements of Rule 14a-19 under the Exchange Act. The advance notice requirement under Rule 14a-19 does not override or supersede the longer advance notice requirement under our Bylaws.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reserve the right to reject, rule out of order, or take other appropriate action with respect to any proposal that does not comply with these or other applicable requirements.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Requirements for Stockholder Proposals to be Considered for Inclusion in the Company’s Proxy Materials for the 2024 Annual Meeting of Stockholders.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Any stockholder who wishes to submit a proposal for inclusion in our proxy materials must comply with Rule 14a-8 promulgated under the Exchange Act. For such proposals to be included in our proxy materials for presentation at our 2024 Annual Meeting of Stockholders, all applicable requirements of Rule 14a-8 must be satisfied, and we must have received such proposals no later than December 29, 2023 at our offices at 704 Quince Orchard Road, Gaithersburg, Maryland 20878, Attn: Secretary. </w:t>
      </w:r>
    </w:p>
    <w:p>
      <w:pPr>
        <w:pStyle w:val="TextBody"/>
        <w:bidi w:val="0"/>
        <w:spacing w:before="410" w:after="283"/>
        <w:jc w:val="center"/>
        <w:rPr>
          <w:rFonts w:ascii="Times New Roman;Times;serif" w:hAnsi="Times New Roman;Times;serif"/>
          <w:b/>
          <w:color w:val="000000"/>
          <w:sz w:val="20"/>
        </w:rPr>
      </w:pPr>
      <w:bookmarkStart w:id="665" w:name="tOM"/>
      <w:bookmarkEnd w:id="665"/>
      <w:r>
        <w:rPr>
          <w:rFonts w:ascii="Times New Roman;Times;serif" w:hAnsi="Times New Roman;Times;serif"/>
          <w:b/>
          <w:color w:val="000000"/>
          <w:sz w:val="20"/>
        </w:rPr>
        <w:t xml:space="preserve">OTHER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Board of Directors does not know of any other matters to be brought before the Special Meeting. If any other matters not mentioned in this proxy statement are properly brought before the Special Meeting, the individuals named in the enclosed proxy card intend to use their discretionary voting authority under the proxy card to vote the proxy card in accordance with their best judgment on those matters.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66" w:name="DSPFPageBreakArea127"/>
      <w:bookmarkStart w:id="667" w:name="DSPFPageBreakArea127"/>
      <w:bookmarkEnd w:id="66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68" w:name="DSPFPageBreak127"/>
      <w:bookmarkStart w:id="669" w:name="DSPFPageBreak127"/>
      <w:bookmarkEnd w:id="66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70" w:name="ny20014884x5_pre14a_300-annexa_pg1"/>
        <w:bookmarkEnd w:id="6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71" w:name="tAXA"/>
      <w:bookmarkEnd w:id="671"/>
      <w:r>
        <w:rPr>
          <w:rFonts w:ascii="Times New Roman;Times;serif" w:hAnsi="Times New Roman;Times;serif"/>
          <w:b/>
          <w:color w:val="000000"/>
          <w:sz w:val="20"/>
        </w:rPr>
        <w:t>Annex A</w:t>
      </w:r>
    </w:p>
    <w:p>
      <w:pPr>
        <w:pStyle w:val="TextBody"/>
        <w:bidi w:val="0"/>
        <w:spacing w:before="110" w:after="283"/>
        <w:jc w:val="center"/>
        <w:rPr>
          <w:rFonts w:ascii="Times New Roman;Times;serif" w:hAnsi="Times New Roman;Times;serif"/>
          <w:color w:val="000000"/>
          <w:sz w:val="20"/>
        </w:rPr>
      </w:pPr>
      <w:r>
        <w:rPr>
          <w:rFonts w:ascii="Times New Roman;Times;serif" w:hAnsi="Times New Roman;Times;serif"/>
          <w:color w:val="000000"/>
          <w:sz w:val="20"/>
        </w:rPr>
        <w:t xml:space="preserve">Annex A: Proposed Charter Amendment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OF THE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AS AMENDED, OF CARTESIAN THERAPEUTICS, INC.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242 of the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General Corporation Law of the State of Delaware)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Cartesian Therapeutics, Inc. (the “Corporation”), a corporation organized and existing under and by virtue of the provisions of the General Corporation Law of the State of Delaware (the “General Corporation Law”),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DOES HEREBY CERTIFY: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resolution was duly adopted by the Board of Directors of the Corporation pursuant to Section 242 of the General Corporation Law proposing an amendment of the Restated Certificate of Incorporation, as amended, and declaring the advisability of said amendment of the Restated Certificate of Incorporation, as amended, and authorizing the appropriate officers of the Corporation to solicit the approval of the stockholders therefor. On [•], 2024, the stockholders of the Corporation duly approved said proposed amendment at the Corporation’s Special Meeting of Stockholders in accordance with Section 242 of the General Corporation Law. The resolution setting forth the amendment pursuant to the terms approved by the Corporation’s Board of Directors, acting pursuant to the authority delegated by the Corporation’s stockholders, is as follows: </w:t>
            </w:r>
          </w:p>
        </w:tc>
      </w:tr>
    </w:tbl>
    <w:p>
      <w:pPr>
        <w:pStyle w:val="TextBody"/>
        <w:bidi w:val="0"/>
        <w:spacing w:before="120" w:after="283"/>
        <w:ind w:left="1200" w:right="0" w:hanging="0"/>
        <w:jc w:val="left"/>
        <w:rPr>
          <w:rFonts w:ascii="Times New Roman;Times;serif" w:hAnsi="Times New Roman;Times;serif"/>
          <w:b/>
          <w:color w:val="000000"/>
          <w:sz w:val="20"/>
        </w:rPr>
      </w:pPr>
      <w:r>
        <w:rPr>
          <w:rFonts w:ascii="Times New Roman;Times;serif" w:hAnsi="Times New Roman;Times;serif"/>
          <w:b/>
          <w:color w:val="000000"/>
          <w:sz w:val="20"/>
        </w:rPr>
        <w:t>RESOLVED</w:t>
      </w:r>
      <w:r>
        <w:rPr>
          <w:rFonts w:ascii="Times New Roman;Times;serif" w:hAnsi="Times New Roman;Times;serif"/>
          <w:b w:val="false"/>
          <w:color w:val="000000"/>
          <w:sz w:val="20"/>
        </w:rPr>
        <w:t xml:space="preserve">: that the following paragraph is inserted at the end of Article FOURTH of the Restated Certificate of Incorporation of the Corporation, as amended: </w:t>
      </w:r>
    </w:p>
    <w:p>
      <w:pPr>
        <w:pStyle w:val="TextBody"/>
        <w:bidi w:val="0"/>
        <w:spacing w:before="120"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General Corporation Law of the State of Delaware, at [•] Eastern Time on the date of filing (the “</w:t>
      </w:r>
      <w:r>
        <w:rPr>
          <w:rFonts w:ascii="Times New Roman;Times;serif" w:hAnsi="Times New Roman;Times;serif"/>
          <w:b/>
          <w:i/>
          <w:color w:val="000000"/>
          <w:sz w:val="20"/>
        </w:rPr>
        <w:t>Reverse Stock Split Effective Time</w:t>
      </w:r>
      <w:r>
        <w:rPr>
          <w:rFonts w:ascii="Times New Roman;Times;serif" w:hAnsi="Times New Roman;Times;serif"/>
          <w:color w:val="000000"/>
          <w:sz w:val="20"/>
        </w:rPr>
        <w:t>”) of this Certificate of Amendment, each [•] shares of Common Stock issued and outstanding immediately prior to the Reverse Stock Split Effective Time shall be combined into one validly issued, fully paid and non-assessable share of Common Stock, without any further action by the Corporation or the holder thereof, subject to the treatment of fractional share interests as described below (the “</w:t>
      </w:r>
      <w:r>
        <w:rPr>
          <w:rFonts w:ascii="Times New Roman;Times;serif" w:hAnsi="Times New Roman;Times;serif"/>
          <w:b/>
          <w:i/>
          <w:color w:val="000000"/>
          <w:sz w:val="20"/>
        </w:rPr>
        <w:t>Reverse Stock Split</w:t>
      </w:r>
      <w:r>
        <w:rPr>
          <w:rFonts w:ascii="Times New Roman;Times;serif" w:hAnsi="Times New Roman;Times;serif"/>
          <w:color w:val="000000"/>
          <w:sz w:val="20"/>
        </w:rPr>
        <w:t>”). No fractional shares shall be issued in connection with the Reverse Stock Split. In lieu of fractional shares of Common Stock, the Corporation’s transfer agent shall aggregate all fractional shares of Common Stock and sell them as soon as practicable after the Reverse Stock Split Effective Time at the then-prevailing prices on the open market, on behalf of those stockholders who would otherwise be entitled to receive a fractional share of Common Stock, and after the transfer agent’s completion of such sale, such stockholders shall receive a cash payment (without interest)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Reverse Stock Split Effective Time represented shares of Common Stock (each, an “</w:t>
      </w:r>
      <w:r>
        <w:rPr>
          <w:rFonts w:ascii="Times New Roman;Times;serif" w:hAnsi="Times New Roman;Times;serif"/>
          <w:b/>
          <w:i/>
          <w:color w:val="000000"/>
          <w:sz w:val="20"/>
        </w:rPr>
        <w:t>Old Certificate</w:t>
      </w:r>
      <w:r>
        <w:rPr>
          <w:rFonts w:ascii="Times New Roman;Times;serif" w:hAnsi="Times New Roman;Times;serif"/>
          <w:color w:val="000000"/>
          <w:sz w:val="20"/>
        </w:rPr>
        <w:t xml:space="preserve">”) shall thereafter represent that number of shares into which the shares of Common Stock, represented by the Old Certificate shall have been combined, subject to the elimination of fractional share interests as described above. As soon as practicable following the Reverse Stock Split Effective Time, the Corporation will notify its stockholders holding shares of Common Stock in certificated form to transmit their Old Certificates to the transfer agent, and upon surrender of such Old Certificates or notification by the holder that such Old Certificates have been lost, stolen or destroyed and the execution of an agreement satisfactory to the Corporation to indemnify the Corporation for any loss incurred by it in connection with such Old Certificates, the Corporation will cause the transfer agent to issue new certificates representing the appropriate number of whole shares following the Reverse Stock Split for every one share of Common Stock, transmitted and held of record as of the Reverse Stock Split Effective Time.” </w:t>
      </w:r>
    </w:p>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This Certificate of Amendment has been duly adopted by the stockholders of the Corporation in accordance with the provisions of Section 242 of the General Corporation Law, and shall be effective as of [•] Eastern Time on [•]. Except as herein amended, all other provisions of the Restated Certificate of Incorporation, as amended, remain in full force and effect. </w:t>
            </w:r>
          </w:p>
        </w:tc>
      </w:tr>
    </w:tbl>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[Remainder of page intentionally blank]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72" w:name="DSPFPageBreakArea128"/>
      <w:bookmarkStart w:id="673" w:name="DSPFPageBreakArea128"/>
      <w:bookmarkEnd w:id="67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74" w:name="DSPFPageBreak128"/>
      <w:bookmarkStart w:id="675" w:name="DSPFPageBreak128"/>
      <w:bookmarkEnd w:id="67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76" w:name="ny20014884x5_pre14a_300-annexa_pg2"/>
        <w:bookmarkEnd w:id="6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this Corporation has caused this Certificate of Amendment of the Restated Certificate of Incorporation, as amended, to be signed by its President and Chief Executive Officer this [</w:t>
      </w:r>
      <w:r>
        <w:rPr>
          <w:rFonts w:ascii="Times New Roman;Times;serif" w:hAnsi="Times New Roman;Times;serif"/>
          <w:b/>
          <w:color w:val="000000"/>
          <w:sz w:val="20"/>
          <w:u w:val="single"/>
        </w:rPr>
        <w:t>  </w:t>
      </w:r>
      <w:r>
        <w:rPr>
          <w:rFonts w:ascii="Times New Roman;Times;serif" w:hAnsi="Times New Roman;Times;serif"/>
          <w:b w:val="false"/>
          <w:color w:val="000000"/>
          <w:sz w:val="20"/>
        </w:rPr>
        <w:t>] day of [</w:t>
      </w:r>
      <w:r>
        <w:rPr>
          <w:rFonts w:ascii="Times New Roman;Times;serif" w:hAnsi="Times New Roman;Times;serif"/>
          <w:b/>
          <w:color w:val="000000"/>
          <w:sz w:val="20"/>
          <w:u w:val="single"/>
        </w:rPr>
        <w:t>  </w:t>
      </w:r>
      <w:r>
        <w:rPr>
          <w:rFonts w:ascii="Times New Roman;Times;serif" w:hAnsi="Times New Roman;Times;serif"/>
          <w:b w:val="false"/>
          <w:color w:val="000000"/>
          <w:sz w:val="20"/>
        </w:rPr>
        <w:t>], 202[</w:t>
      </w:r>
      <w:r>
        <w:rPr>
          <w:rFonts w:ascii="Times New Roman;Times;serif" w:hAnsi="Times New Roman;Times;serif"/>
          <w:b/>
          <w:color w:val="000000"/>
          <w:sz w:val="20"/>
        </w:rPr>
        <w:t>•</w:t>
      </w:r>
      <w:r>
        <w:rPr>
          <w:rFonts w:ascii="Times New Roman;Times;serif" w:hAnsi="Times New Roman;Times;serif"/>
          <w:b w:val="false"/>
          <w:color w:val="000000"/>
          <w:sz w:val="20"/>
        </w:rPr>
        <w:t xml:space="preserve">]. </w:t>
      </w:r>
    </w:p>
    <w:tbl>
      <w:tblPr>
        <w:tblW w:w="3711" w:type="dxa"/>
        <w:jc w:val="left"/>
        <w:tblInd w:w="0" w:type="dxa"/>
        <w:tblLayout w:type="fixed"/>
        <w:tblCellMar>
          <w:top w:w="0" w:type="dxa"/>
          <w:left w:w="0" w:type="dxa"/>
          <w:bottom w:w="0" w:type="dxa"/>
          <w:right w:w="0" w:type="dxa"/>
        </w:tblCellMar>
      </w:tblPr>
      <w:tblGrid>
        <w:gridCol w:w="75"/>
        <w:gridCol w:w="23"/>
        <w:gridCol w:w="23"/>
        <w:gridCol w:w="359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590" w:type="dxa"/>
            <w:tcBorders>
              <w:bottom w:val="single" w:sz="8" w:space="0" w:color="000000"/>
            </w:tcBorders>
            <w:tcMar>
              <w:bottom w:w="85" w:type="dxa"/>
            </w:tcMar>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Cartesian Therapeutics, Inc.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Carsten Brunn, Ph.D.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 and Chief Executive Officer</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77" w:name="DSPFPageBreakArea129"/>
      <w:bookmarkStart w:id="678" w:name="DSPFPageBreakArea129"/>
      <w:bookmarkEnd w:id="67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79" w:name="DSPFPageBreak129"/>
      <w:bookmarkStart w:id="680" w:name="DSPFPageBreak129"/>
      <w:bookmarkEnd w:id="68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81" w:name="ny20014884x5_pre14a_301-annexb_pg1"/>
        <w:bookmarkEnd w:id="6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82" w:name="tAXB"/>
      <w:bookmarkEnd w:id="682"/>
      <w:r>
        <w:rPr>
          <w:rFonts w:ascii="Times New Roman;Times;serif" w:hAnsi="Times New Roman;Times;serif"/>
          <w:b/>
          <w:color w:val="000000"/>
          <w:sz w:val="20"/>
        </w:rPr>
        <w:t xml:space="preserve">Annex B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Independent Auditor’s Report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Cartesian Therapeutics,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704 Quince Orchard Road</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Gaithersburg, MD 20878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audited the financial statements of Cartesian Therapeutics, Inc. (the Company), which comprise the balance sheets as of December 31, 2022 and 2021, and the related statements of operations and comprehensive loss, preferred stock and stockholders’ deficit, and cash flows for the years then ended, and the related notes to the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for Opinion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Responsibilities of Management for the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Auditor’s Responsibilities for the Audit of the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performing an audit in accordance with GAAS, we: </w:t>
      </w:r>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Exercise professional judgment and maintain professional skepticism throughout the audit.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83" w:name="DSPFPageBreakArea130"/>
      <w:bookmarkStart w:id="684" w:name="DSPFPageBreakArea130"/>
      <w:bookmarkEnd w:id="68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85" w:name="DSPFPageBreak130"/>
      <w:bookmarkStart w:id="686" w:name="DSPFPageBreak130"/>
      <w:bookmarkEnd w:id="68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87" w:name="ny20014884x5_pre14a_301-annexb_pg2"/>
        <w:bookmarkEnd w:id="6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 the appropriateness of accounting policies used and the reasonableness of significant accounting estimates made by management, as well as evaluate the overall presentation of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BDO USA, P.C.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Potomac, Maryland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January 23,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88" w:name="DSPFPageBreakArea131"/>
      <w:bookmarkStart w:id="689" w:name="DSPFPageBreakArea131"/>
      <w:bookmarkEnd w:id="68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90" w:name="DSPFPageBreak131"/>
      <w:bookmarkStart w:id="691" w:name="DSPFPageBreak131"/>
      <w:bookmarkEnd w:id="69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92" w:name="ny20014884x5_pre14a_301-annexb_pg3"/>
        <w:bookmarkEnd w:id="6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(Amounts in thousands, except share data) </w:t>
      </w:r>
    </w:p>
    <w:tbl>
      <w:tblPr>
        <w:tblW w:w="10205" w:type="dxa"/>
        <w:jc w:val="left"/>
        <w:tblInd w:w="0" w:type="dxa"/>
        <w:tblLayout w:type="fixed"/>
        <w:tblCellMar>
          <w:top w:w="0" w:type="dxa"/>
          <w:left w:w="0" w:type="dxa"/>
          <w:bottom w:w="0" w:type="dxa"/>
          <w:right w:w="0" w:type="dxa"/>
        </w:tblCellMar>
      </w:tblPr>
      <w:tblGrid>
        <w:gridCol w:w="7683"/>
        <w:gridCol w:w="23"/>
        <w:gridCol w:w="23"/>
        <w:gridCol w:w="1196"/>
        <w:gridCol w:w="23"/>
        <w:gridCol w:w="23"/>
        <w:gridCol w:w="1234"/>
      </w:tblGrid>
      <w:tr>
        <w:trPr/>
        <w:tc>
          <w:tcPr>
            <w:tcW w:w="768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96"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34"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2021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0"/>
              <w:jc w:val="left"/>
              <w:rPr>
                <w:color w:val="000000"/>
              </w:rPr>
            </w:pPr>
            <w:r>
              <w:rPr>
                <w:color w:val="000000"/>
              </w:rPr>
              <w:t>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0"/>
              <w:jc w:val="left"/>
              <w:rPr>
                <w:color w:val="000000"/>
              </w:rPr>
            </w:pPr>
            <w:r>
              <w:rPr>
                <w:color w:val="000000"/>
              </w:rPr>
              <w:t>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12,001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4,735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994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3,129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Payroll tax credit receivable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351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50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$13,405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$8,139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0"/>
              <w:jc w:val="left"/>
              <w:rPr>
                <w:color w:val="000000"/>
              </w:rPr>
            </w:pPr>
            <w:r>
              <w:rPr>
                <w:color w:val="000000"/>
              </w:rPr>
              <w:t>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197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983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1,195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deposit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$14,610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$9,668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preferred stock and stockholders’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0"/>
              <w:jc w:val="left"/>
              <w:rPr>
                <w:color w:val="000000"/>
              </w:rPr>
            </w:pPr>
            <w:r>
              <w:rPr>
                <w:color w:val="000000"/>
              </w:rPr>
              <w:t>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0"/>
              <w:jc w:val="left"/>
              <w:rPr>
                <w:color w:val="000000"/>
              </w:rPr>
            </w:pPr>
            <w:r>
              <w:rPr>
                <w:color w:val="000000"/>
              </w:rPr>
              <w:t>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172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NIH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949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978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$1,638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$1,267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0"/>
              <w:jc w:val="left"/>
              <w:rPr>
                <w:color w:val="000000"/>
              </w:rPr>
            </w:pPr>
            <w:r>
              <w:rPr>
                <w:color w:val="000000"/>
              </w:rPr>
              <w:t>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NIH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345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liability, net of current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1,108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$2,518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$2,720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0"/>
              <w:jc w:val="left"/>
              <w:rPr>
                <w:color w:val="000000"/>
              </w:rPr>
            </w:pPr>
            <w:r>
              <w:rPr>
                <w:color w:val="000000"/>
              </w:rPr>
              <w:t> </w:t>
            </w:r>
          </w:p>
        </w:tc>
      </w:tr>
      <w:tr>
        <w:trPr/>
        <w:tc>
          <w:tcPr>
            <w:tcW w:w="768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A Preferred Stock; $0.01 par value, 220 authorized, 219.125 issued and outstanding as of December 31, 2022 and December 31, 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9,623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9,623 </w:t>
            </w:r>
          </w:p>
        </w:tc>
      </w:tr>
      <w:tr>
        <w:trPr/>
        <w:tc>
          <w:tcPr>
            <w:tcW w:w="768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B Preferred Stock; $0.01 par value, 110 authorized, 109.267 issued and outstanding as of December 31, 2022 and December 31, 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7,128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7,128 </w:t>
            </w:r>
          </w:p>
        </w:tc>
      </w:tr>
      <w:tr>
        <w:trPr/>
        <w:tc>
          <w:tcPr>
            <w:tcW w:w="768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B-1 Preferred Stock; $0.01 par value, 77 authorized, 65.017 issued and outstanding as of December 31, 2022 and December 31, 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3,162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3,162 </w:t>
            </w:r>
          </w:p>
        </w:tc>
      </w:tr>
      <w:tr>
        <w:trPr/>
        <w:tc>
          <w:tcPr>
            <w:tcW w:w="768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B-2 Preferred Stock; $0.01 par value, 195 authorized, 193.644 issued and outstanding as of December 31, 2022 and none authorized, issued and outstanding as of December 31, 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12,144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B-2 Preferred Stock Subscription Receivable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(1,333)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deficit: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0"/>
              <w:jc w:val="left"/>
              <w:rPr>
                <w:color w:val="000000"/>
              </w:rPr>
            </w:pPr>
            <w:r>
              <w:rPr>
                <w:color w:val="000000"/>
              </w:rPr>
              <w:t> </w:t>
            </w:r>
          </w:p>
        </w:tc>
      </w:tr>
      <w:tr>
        <w:trPr/>
        <w:tc>
          <w:tcPr>
            <w:tcW w:w="768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$0.01 par value, 3,200 authorized, 1,240.625 issued and outstanding as of December 31, 2022 and 1,237.625 issued and outstanding as of December 31, 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7,432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6,644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(26,064</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(19,609</w:t>
            </w:r>
            <w:r>
              <w:rPr>
                <w:rFonts w:ascii="Times New Roman;Times;serif" w:hAnsi="Times New Roman;Times;serif"/>
                <w:color w:val="000000"/>
                <w:sz w:val="20"/>
              </w:rPr>
              <w:t xml:space="preserve">) </w:t>
            </w:r>
          </w:p>
        </w:tc>
      </w:tr>
      <w:tr>
        <w:trPr/>
        <w:tc>
          <w:tcPr>
            <w:tcW w:w="7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$(18,632</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$(12,965</w:t>
            </w:r>
            <w:r>
              <w:rPr>
                <w:rFonts w:ascii="Times New Roman;Times;serif" w:hAnsi="Times New Roman;Times;serif"/>
                <w:color w:val="000000"/>
                <w:sz w:val="20"/>
              </w:rPr>
              <w:t xml:space="preserve">) </w:t>
            </w:r>
          </w:p>
        </w:tc>
      </w:tr>
      <w:tr>
        <w:trPr/>
        <w:tc>
          <w:tcPr>
            <w:tcW w:w="76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preferred stock and stockholders’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$14,610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$9,668</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93" w:name="DSPFPageBreakArea132"/>
      <w:bookmarkStart w:id="694" w:name="DSPFPageBreakArea132"/>
      <w:bookmarkEnd w:id="69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95" w:name="DSPFPageBreak132"/>
      <w:bookmarkStart w:id="696" w:name="DSPFPageBreak132"/>
      <w:bookmarkEnd w:id="69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97" w:name="ny20014884x5_pre14a_301-annexb_pg4"/>
        <w:bookmarkEnd w:id="6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Statements of Operations and Comprehensive Loss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(Amounts in thousands) </w:t>
      </w:r>
    </w:p>
    <w:tbl>
      <w:tblPr>
        <w:tblW w:w="4239" w:type="dxa"/>
        <w:jc w:val="left"/>
        <w:tblInd w:w="0" w:type="dxa"/>
        <w:tblLayout w:type="fixed"/>
        <w:tblCellMar>
          <w:top w:w="0" w:type="dxa"/>
          <w:left w:w="0" w:type="dxa"/>
          <w:bottom w:w="0" w:type="dxa"/>
          <w:right w:w="0" w:type="dxa"/>
        </w:tblCellMar>
      </w:tblPr>
      <w:tblGrid>
        <w:gridCol w:w="2225"/>
        <w:gridCol w:w="23"/>
        <w:gridCol w:w="23"/>
        <w:gridCol w:w="944"/>
        <w:gridCol w:w="30"/>
        <w:gridCol w:w="30"/>
        <w:gridCol w:w="964"/>
      </w:tblGrid>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96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44"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30" w:type="dxa"/>
            <w:tcBorders>
              <w:bottom w:val="single" w:sz="2" w:space="0" w:color="FFFFFF"/>
            </w:tcBorders>
            <w:tcMar>
              <w:bottom w:w="85" w:type="dxa"/>
            </w:tcMar>
            <w:vAlign w:val="center"/>
          </w:tcPr>
          <w:p>
            <w:pPr>
              <w:pStyle w:val="TableContents"/>
              <w:bidi w:val="0"/>
              <w:spacing w:before="0" w:after="283"/>
              <w:jc w:val="left"/>
              <w:rPr/>
            </w:pPr>
            <w:r>
              <w:rPr/>
              <w:t>​</w:t>
            </w:r>
          </w:p>
        </w:tc>
        <w:tc>
          <w:tcPr>
            <w:tcW w:w="30" w:type="dxa"/>
            <w:tcBorders>
              <w:bottom w:val="single" w:sz="2" w:space="0" w:color="FFFFFF"/>
            </w:tcBorders>
            <w:tcMar>
              <w:bottom w:w="85" w:type="dxa"/>
            </w:tcMar>
            <w:vAlign w:val="center"/>
          </w:tcPr>
          <w:p>
            <w:pPr>
              <w:pStyle w:val="TableContents"/>
              <w:bidi w:val="0"/>
              <w:spacing w:before="0" w:after="283"/>
              <w:jc w:val="left"/>
              <w:rPr/>
            </w:pPr>
            <w:r>
              <w:rPr/>
              <w:t>​</w:t>
            </w:r>
          </w:p>
        </w:tc>
        <w:tc>
          <w:tcPr>
            <w:tcW w:w="964"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revenue: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1,449</w:t>
            </w:r>
          </w:p>
        </w:tc>
        <w:tc>
          <w:tcPr>
            <w:tcW w:w="30" w:type="dxa"/>
            <w:tcBorders/>
            <w:shd w:fill="CCEEFF" w:val="clear"/>
            <w:vAlign w:val="center"/>
          </w:tcPr>
          <w:p>
            <w:pPr>
              <w:pStyle w:val="TableContents"/>
              <w:bidi w:val="0"/>
              <w:spacing w:before="0" w:after="283"/>
              <w:jc w:val="left"/>
              <w:rPr/>
            </w:pPr>
            <w:r>
              <w:rPr/>
              <w:t>​</w:t>
            </w:r>
          </w:p>
        </w:tc>
        <w:tc>
          <w:tcPr>
            <w:tcW w:w="30"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3,337 </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0"/>
              <w:jc w:val="left"/>
              <w:rPr>
                <w:color w:val="000000"/>
              </w:rPr>
            </w:pPr>
            <w:r>
              <w:rPr>
                <w:color w:val="000000"/>
              </w:rPr>
              <w:t> </w:t>
            </w:r>
          </w:p>
        </w:tc>
        <w:tc>
          <w:tcPr>
            <w:tcW w:w="30" w:type="dxa"/>
            <w:tcBorders/>
            <w:shd w:fill="CCEEFF" w:val="clear"/>
            <w:vAlign w:val="center"/>
          </w:tcPr>
          <w:p>
            <w:pPr>
              <w:pStyle w:val="TableContents"/>
              <w:bidi w:val="0"/>
              <w:spacing w:before="0" w:after="283"/>
              <w:jc w:val="left"/>
              <w:rPr/>
            </w:pPr>
            <w:r>
              <w:rPr/>
              <w:t>​</w:t>
            </w:r>
          </w:p>
        </w:tc>
        <w:tc>
          <w:tcPr>
            <w:tcW w:w="30"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0"/>
              <w:jc w:val="left"/>
              <w:rPr>
                <w:color w:val="000000"/>
              </w:rPr>
            </w:pPr>
            <w:r>
              <w:rPr>
                <w:color w:val="000000"/>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6,841</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6,090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1,244</w:t>
            </w:r>
          </w:p>
        </w:tc>
        <w:tc>
          <w:tcPr>
            <w:tcW w:w="30" w:type="dxa"/>
            <w:tcBorders/>
            <w:shd w:fill="CCEEFF" w:val="clear"/>
            <w:vAlign w:val="center"/>
          </w:tcPr>
          <w:p>
            <w:pPr>
              <w:pStyle w:val="TableContents"/>
              <w:bidi w:val="0"/>
              <w:spacing w:before="0" w:after="283"/>
              <w:jc w:val="left"/>
              <w:rPr/>
            </w:pPr>
            <w:r>
              <w:rPr/>
              <w:t>​</w:t>
            </w:r>
          </w:p>
        </w:tc>
        <w:tc>
          <w:tcPr>
            <w:tcW w:w="30"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1,006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8,085</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7,096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(6,636)</w:t>
            </w:r>
          </w:p>
        </w:tc>
        <w:tc>
          <w:tcPr>
            <w:tcW w:w="30" w:type="dxa"/>
            <w:tcBorders/>
            <w:shd w:fill="CCEEFF" w:val="clear"/>
            <w:vAlign w:val="center"/>
          </w:tcPr>
          <w:p>
            <w:pPr>
              <w:pStyle w:val="TableContents"/>
              <w:bidi w:val="0"/>
              <w:spacing w:before="0" w:after="283"/>
              <w:jc w:val="left"/>
              <w:rPr/>
            </w:pPr>
            <w:r>
              <w:rPr/>
              <w:t>​</w:t>
            </w:r>
          </w:p>
        </w:tc>
        <w:tc>
          <w:tcPr>
            <w:tcW w:w="30"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(3,759)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30" w:type="dxa"/>
            <w:tcBorders/>
            <w:shd w:fill="CCEEFF" w:val="clear"/>
            <w:vAlign w:val="center"/>
          </w:tcPr>
          <w:p>
            <w:pPr>
              <w:pStyle w:val="TableContents"/>
              <w:bidi w:val="0"/>
              <w:spacing w:before="0" w:after="283"/>
              <w:jc w:val="left"/>
              <w:rPr/>
            </w:pPr>
            <w:r>
              <w:rPr/>
              <w:t>​</w:t>
            </w:r>
          </w:p>
        </w:tc>
        <w:tc>
          <w:tcPr>
            <w:tcW w:w="30"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146</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116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181</w:t>
            </w:r>
          </w:p>
        </w:tc>
        <w:tc>
          <w:tcPr>
            <w:tcW w:w="30" w:type="dxa"/>
            <w:tcBorders/>
            <w:shd w:fill="CCEEFF" w:val="clear"/>
            <w:vAlign w:val="center"/>
          </w:tcPr>
          <w:p>
            <w:pPr>
              <w:pStyle w:val="TableContents"/>
              <w:bidi w:val="0"/>
              <w:spacing w:before="0" w:after="283"/>
              <w:jc w:val="left"/>
              <w:rPr/>
            </w:pPr>
            <w:r>
              <w:rPr/>
              <w:t>​</w:t>
            </w:r>
          </w:p>
        </w:tc>
        <w:tc>
          <w:tcPr>
            <w:tcW w:w="30"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119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$(6,455</w:t>
            </w:r>
            <w:r>
              <w:rPr>
                <w:rFonts w:ascii="Times New Roman;Times;serif" w:hAnsi="Times New Roman;Times;serif"/>
                <w:color w:val="000000"/>
                <w:sz w:val="20"/>
              </w:rPr>
              <w:t>)</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$(3,640</w:t>
            </w:r>
            <w:r>
              <w:rPr>
                <w:rFonts w:ascii="Times New Roman;Times;serif" w:hAnsi="Times New Roman;Times;serif"/>
                <w:color w:val="000000"/>
                <w:sz w:val="20"/>
              </w:rPr>
              <w:t>)</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98" w:name="DSPFPageBreakArea133"/>
      <w:bookmarkStart w:id="699" w:name="DSPFPageBreakArea133"/>
      <w:bookmarkEnd w:id="69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00" w:name="DSPFPageBreak133"/>
      <w:bookmarkStart w:id="701" w:name="DSPFPageBreak133"/>
      <w:bookmarkEnd w:id="70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02" w:name="ny20014884x5_pre14a_301-annexb_pg5"/>
        <w:bookmarkEnd w:id="7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Statements of Preferred Stock and Stockholders’ Deficit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(Amounts in thousands, except share data) </w:t>
      </w:r>
    </w:p>
    <w:tbl>
      <w:tblPr>
        <w:tblW w:w="10206" w:type="dxa"/>
        <w:jc w:val="left"/>
        <w:tblInd w:w="0" w:type="dxa"/>
        <w:tblLayout w:type="fixed"/>
        <w:tblCellMar>
          <w:top w:w="0" w:type="dxa"/>
          <w:left w:w="0" w:type="dxa"/>
          <w:bottom w:w="0" w:type="dxa"/>
          <w:right w:w="0" w:type="dxa"/>
        </w:tblCellMar>
      </w:tblPr>
      <w:tblGrid>
        <w:gridCol w:w="693"/>
        <w:gridCol w:w="23"/>
        <w:gridCol w:w="23"/>
        <w:gridCol w:w="410"/>
        <w:gridCol w:w="23"/>
        <w:gridCol w:w="23"/>
        <w:gridCol w:w="440"/>
        <w:gridCol w:w="23"/>
        <w:gridCol w:w="23"/>
        <w:gridCol w:w="410"/>
        <w:gridCol w:w="23"/>
        <w:gridCol w:w="23"/>
        <w:gridCol w:w="440"/>
        <w:gridCol w:w="23"/>
        <w:gridCol w:w="23"/>
        <w:gridCol w:w="365"/>
        <w:gridCol w:w="23"/>
        <w:gridCol w:w="23"/>
        <w:gridCol w:w="440"/>
        <w:gridCol w:w="23"/>
        <w:gridCol w:w="23"/>
        <w:gridCol w:w="410"/>
        <w:gridCol w:w="23"/>
        <w:gridCol w:w="23"/>
        <w:gridCol w:w="440"/>
        <w:gridCol w:w="23"/>
        <w:gridCol w:w="23"/>
        <w:gridCol w:w="650"/>
        <w:gridCol w:w="23"/>
        <w:gridCol w:w="23"/>
        <w:gridCol w:w="455"/>
        <w:gridCol w:w="23"/>
        <w:gridCol w:w="23"/>
        <w:gridCol w:w="440"/>
        <w:gridCol w:w="23"/>
        <w:gridCol w:w="23"/>
        <w:gridCol w:w="455"/>
        <w:gridCol w:w="23"/>
        <w:gridCol w:w="23"/>
        <w:gridCol w:w="440"/>
        <w:gridCol w:w="23"/>
        <w:gridCol w:w="23"/>
        <w:gridCol w:w="500"/>
        <w:gridCol w:w="23"/>
        <w:gridCol w:w="23"/>
        <w:gridCol w:w="440"/>
        <w:gridCol w:w="23"/>
        <w:gridCol w:w="23"/>
        <w:gridCol w:w="545"/>
        <w:gridCol w:w="23"/>
        <w:gridCol w:w="23"/>
        <w:gridCol w:w="710"/>
        <w:gridCol w:w="23"/>
        <w:gridCol w:w="23"/>
        <w:gridCol w:w="695"/>
      </w:tblGrid>
      <w:tr>
        <w:trPr/>
        <w:tc>
          <w:tcPr>
            <w:tcW w:w="69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A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B-1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B-2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650"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B-2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Stock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Subscription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Receivable</w:t>
            </w:r>
          </w:p>
        </w:tc>
        <w:tc>
          <w:tcPr>
            <w:tcW w:w="23" w:type="dxa"/>
            <w:vMerge w:val="restart"/>
            <w:tcBorders>
              <w:bottom w:val="single" w:sz="2" w:space="0" w:color="FFFFFF"/>
              <w:right w:val="single" w:sz="8" w:space="0" w:color="000000"/>
            </w:tcBorders>
            <w:tcMar>
              <w:bottom w:w="85" w:type="dxa"/>
              <w:right w:w="28"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4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A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4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8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Common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545"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Additional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Paid-In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Capital</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710"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Accumulated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Deficit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695"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Total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Stockholders’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Deficit </w:t>
            </w:r>
          </w:p>
        </w:tc>
      </w:tr>
      <w:tr>
        <w:trPr/>
        <w:tc>
          <w:tcPr>
            <w:tcW w:w="69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650"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right w:val="single" w:sz="8" w:space="0" w:color="000000"/>
            </w:tcBorders>
            <w:tcMar>
              <w:bottom w:w="85" w:type="dxa"/>
              <w:right w:w="28" w:type="dxa"/>
            </w:tcMar>
            <w:vAlign w:val="center"/>
          </w:tcPr>
          <w:p>
            <w:pPr>
              <w:pStyle w:val="Normal"/>
              <w:bidi w:val="0"/>
              <w:jc w:val="left"/>
              <w:rPr/>
            </w:pPr>
            <w:r>
              <w:rPr/>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5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5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Amount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545"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710"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695" w:type="dxa"/>
            <w:vMerge w:val="continue"/>
            <w:tcBorders>
              <w:bottom w:val="single" w:sz="8" w:space="0" w:color="000000"/>
            </w:tcBorders>
            <w:tcMar>
              <w:bottom w:w="85" w:type="dxa"/>
            </w:tcMar>
            <w:vAlign w:val="center"/>
          </w:tcPr>
          <w:p>
            <w:pPr>
              <w:pStyle w:val="Normal"/>
              <w:bidi w:val="0"/>
              <w:jc w:val="left"/>
              <w:rPr/>
            </w:pPr>
            <w:r>
              <w:rPr/>
            </w:r>
          </w:p>
        </w:tc>
      </w:tr>
      <w:tr>
        <w:trPr/>
        <w:tc>
          <w:tcPr>
            <w:tcW w:w="693" w:type="dxa"/>
            <w:tcBorders/>
            <w:shd w:fill="CCEEFF" w:val="clear"/>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Balance at December 31, 2020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169.125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109.267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1,287.625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$20,909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$(15,319</w:t>
            </w:r>
            <w:r>
              <w:rPr>
                <w:rFonts w:ascii="Times New Roman;Times;serif" w:hAnsi="Times New Roman;Times;serif"/>
                <w:color w:val="000000"/>
                <w:sz w:val="12"/>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 xml:space="preserve">$5,590 </w:t>
            </w:r>
          </w:p>
        </w:tc>
      </w:tr>
      <w:tr>
        <w:trPr/>
        <w:tc>
          <w:tcPr>
            <w:tcW w:w="693" w:type="dxa"/>
            <w:tcBorders/>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Issuance of Series B-1 Preferred Stock, net of $16 of issuance costs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rFonts w:ascii="Times New Roman;Times;serif" w:hAnsi="Times New Roman;Times;serif"/>
                <w:color w:val="000000"/>
                <w:sz w:val="12"/>
              </w:rPr>
            </w:pPr>
            <w:r>
              <w:rPr>
                <w:rFonts w:ascii="Times New Roman;Times;serif" w:hAnsi="Times New Roman;Times;serif"/>
                <w:color w:val="000000"/>
                <w:sz w:val="12"/>
              </w:rPr>
              <w:t>65.017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5" w:right="0" w:hanging="0"/>
              <w:jc w:val="left"/>
              <w:rPr>
                <w:rFonts w:ascii="Times New Roman;Times;serif" w:hAnsi="Times New Roman;Times;serif"/>
                <w:color w:val="000000"/>
                <w:sz w:val="12"/>
              </w:rPr>
            </w:pPr>
            <w:r>
              <w:rPr>
                <w:rFonts w:ascii="Times New Roman;Times;serif" w:hAnsi="Times New Roman;Times;serif"/>
                <w:color w:val="000000"/>
                <w:sz w:val="12"/>
              </w:rPr>
              <w:t>4,207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59"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1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41" w:right="0" w:hanging="0"/>
              <w:jc w:val="left"/>
              <w:rPr>
                <w:color w:val="000000"/>
              </w:rPr>
            </w:pPr>
            <w:r>
              <w:rPr>
                <w:color w:val="000000"/>
              </w:rPr>
              <w:t xml:space="preserve">— </w:t>
            </w:r>
          </w:p>
        </w:tc>
      </w:tr>
      <w:tr>
        <w:trPr/>
        <w:tc>
          <w:tcPr>
            <w:tcW w:w="693" w:type="dxa"/>
            <w:tcBorders/>
            <w:shd w:fill="CCEEFF" w:val="clear"/>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Exchange of Common Stock to Series A Preferred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50.000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rPr>
            </w:pPr>
            <w:r>
              <w:rPr>
                <w:rFonts w:ascii="Times New Roman;Times;serif" w:hAnsi="Times New Roman;Times;serif"/>
                <w:color w:val="000000"/>
                <w:sz w:val="12"/>
              </w:rPr>
              <w:t>2,196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2"/>
              </w:rPr>
            </w:pPr>
            <w:r>
              <w:rPr>
                <w:rFonts w:ascii="Times New Roman;Times;serif" w:hAnsi="Times New Roman;Times;serif"/>
                <w:color w:val="000000"/>
                <w:sz w:val="12"/>
              </w:rPr>
              <w:t>(1,045)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(50.000)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2"/>
              </w:rPr>
            </w:pPr>
            <w:r>
              <w:rPr>
                <w:rFonts w:ascii="Times New Roman;Times;serif" w:hAnsi="Times New Roman;Times;serif"/>
                <w:color w:val="000000"/>
                <w:sz w:val="12"/>
              </w:rPr>
              <w:t>(500)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rPr>
              <w:t>(650)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(1,150) </w:t>
            </w:r>
          </w:p>
        </w:tc>
      </w:tr>
      <w:tr>
        <w:trPr/>
        <w:tc>
          <w:tcPr>
            <w:tcW w:w="693" w:type="dxa"/>
            <w:tcBorders/>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Reclassification of Series A and Series B Preferred Stock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169.125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rPr>
            </w:pPr>
            <w:r>
              <w:rPr>
                <w:rFonts w:ascii="Times New Roman;Times;serif" w:hAnsi="Times New Roman;Times;serif"/>
                <w:color w:val="000000"/>
                <w:sz w:val="12"/>
              </w:rPr>
              <w:t>7,427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109.267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rPr>
            </w:pPr>
            <w:r>
              <w:rPr>
                <w:rFonts w:ascii="Times New Roman;Times;serif" w:hAnsi="Times New Roman;Times;serif"/>
                <w:color w:val="000000"/>
                <w:sz w:val="12"/>
              </w:rPr>
              <w:t>7,128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(169.125)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(109.267)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59" w:right="0" w:hanging="0"/>
              <w:jc w:val="left"/>
              <w:rPr>
                <w:rFonts w:ascii="Times New Roman;Times;serif" w:hAnsi="Times New Roman;Times;serif"/>
                <w:color w:val="000000"/>
                <w:sz w:val="12"/>
              </w:rPr>
            </w:pPr>
            <w:r>
              <w:rPr>
                <w:rFonts w:ascii="Times New Roman;Times;serif" w:hAnsi="Times New Roman;Times;serif"/>
                <w:color w:val="000000"/>
                <w:sz w:val="12"/>
              </w:rPr>
              <w:t>(14,555)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1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(14,555) </w:t>
            </w:r>
          </w:p>
        </w:tc>
      </w:tr>
      <w:tr>
        <w:trPr/>
        <w:tc>
          <w:tcPr>
            <w:tcW w:w="693" w:type="dxa"/>
            <w:tcBorders/>
            <w:shd w:fill="CCEEFF" w:val="clear"/>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Stock-based compensation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2"/>
              </w:rPr>
            </w:pPr>
            <w:r>
              <w:rPr>
                <w:rFonts w:ascii="Times New Roman;Times;serif" w:hAnsi="Times New Roman;Times;serif"/>
                <w:color w:val="000000"/>
                <w:sz w:val="12"/>
              </w:rPr>
              <w:t>790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790 </w:t>
            </w:r>
          </w:p>
        </w:tc>
      </w:tr>
      <w:tr>
        <w:trPr/>
        <w:tc>
          <w:tcPr>
            <w:tcW w:w="693"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5"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144" w:right="0" w:hanging="0"/>
              <w:jc w:val="left"/>
              <w:rPr>
                <w:color w:val="000000"/>
                <w:bdr w:val="single" w:sz="8" w:space="1" w:color="000000"/>
              </w:rPr>
            </w:pPr>
            <w:r>
              <w:rPr>
                <w:color w:val="000000"/>
                <w:bdr w:val="single" w:sz="8" w:space="1" w:color="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59"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(3,640</w:t>
            </w:r>
            <w:r>
              <w:rPr>
                <w:rFonts w:ascii="Times New Roman;Times;serif" w:hAnsi="Times New Roman;Times;serif"/>
                <w:color w:val="000000"/>
                <w:sz w:val="1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(3,640</w:t>
            </w:r>
            <w:r>
              <w:rPr>
                <w:rFonts w:ascii="Times New Roman;Times;serif" w:hAnsi="Times New Roman;Times;serif"/>
                <w:color w:val="000000"/>
                <w:sz w:val="12"/>
              </w:rPr>
              <w:t xml:space="preserve">) </w:t>
            </w:r>
          </w:p>
        </w:tc>
      </w:tr>
      <w:tr>
        <w:trPr/>
        <w:tc>
          <w:tcPr>
            <w:tcW w:w="693" w:type="dxa"/>
            <w:tcBorders/>
            <w:shd w:fill="CCEEFF" w:val="clear"/>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Balance at December 31, 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219.125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$9,623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109.267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$7,128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65.017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$3,162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1,237.625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$6,644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$(19,609</w:t>
            </w:r>
            <w:r>
              <w:rPr>
                <w:rFonts w:ascii="Times New Roman;Times;serif" w:hAnsi="Times New Roman;Times;serif"/>
                <w:color w:val="000000"/>
                <w:sz w:val="12"/>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$(12,965</w:t>
            </w:r>
            <w:r>
              <w:rPr>
                <w:rFonts w:ascii="Times New Roman;Times;serif" w:hAnsi="Times New Roman;Times;serif"/>
                <w:color w:val="000000"/>
                <w:sz w:val="12"/>
              </w:rPr>
              <w:t xml:space="preserve">) </w:t>
            </w:r>
          </w:p>
        </w:tc>
      </w:tr>
      <w:tr>
        <w:trPr/>
        <w:tc>
          <w:tcPr>
            <w:tcW w:w="693" w:type="dxa"/>
            <w:tcBorders/>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Issuance of Series B-2 Preferred Stock, net of $24 of issuance costs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193.644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rFonts w:ascii="Times New Roman;Times;serif" w:hAnsi="Times New Roman;Times;serif"/>
                <w:color w:val="000000"/>
                <w:sz w:val="12"/>
              </w:rPr>
            </w:pPr>
            <w:r>
              <w:rPr>
                <w:rFonts w:ascii="Times New Roman;Times;serif" w:hAnsi="Times New Roman;Times;serif"/>
                <w:color w:val="000000"/>
                <w:sz w:val="12"/>
              </w:rPr>
              <w:t>12,144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144" w:right="0" w:hanging="0"/>
              <w:jc w:val="left"/>
              <w:rPr>
                <w:rFonts w:ascii="Times New Roman;Times;serif" w:hAnsi="Times New Roman;Times;serif"/>
                <w:color w:val="000000"/>
                <w:sz w:val="12"/>
              </w:rPr>
            </w:pPr>
            <w:r>
              <w:rPr>
                <w:rFonts w:ascii="Times New Roman;Times;serif" w:hAnsi="Times New Roman;Times;serif"/>
                <w:color w:val="000000"/>
                <w:sz w:val="12"/>
              </w:rPr>
              <w:t>(1,333)</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59"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1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41" w:right="0" w:hanging="0"/>
              <w:jc w:val="left"/>
              <w:rPr>
                <w:color w:val="000000"/>
              </w:rPr>
            </w:pPr>
            <w:r>
              <w:rPr>
                <w:color w:val="000000"/>
              </w:rPr>
              <w:t xml:space="preserve">— </w:t>
            </w:r>
          </w:p>
        </w:tc>
      </w:tr>
      <w:tr>
        <w:trPr/>
        <w:tc>
          <w:tcPr>
            <w:tcW w:w="693" w:type="dxa"/>
            <w:tcBorders/>
            <w:shd w:fill="CCEEFF" w:val="clear"/>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Stock-based compensation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2"/>
              </w:rPr>
            </w:pPr>
            <w:r>
              <w:rPr>
                <w:rFonts w:ascii="Times New Roman;Times;serif" w:hAnsi="Times New Roman;Times;serif"/>
                <w:color w:val="000000"/>
                <w:sz w:val="12"/>
              </w:rPr>
              <w:t>719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719 </w:t>
            </w:r>
          </w:p>
        </w:tc>
      </w:tr>
      <w:tr>
        <w:trPr/>
        <w:tc>
          <w:tcPr>
            <w:tcW w:w="693" w:type="dxa"/>
            <w:tcBorders/>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Exercise of options to purchase common stock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59" w:right="0" w:hanging="0"/>
              <w:jc w:val="left"/>
              <w:rPr>
                <w:rFonts w:ascii="Times New Roman;Times;serif" w:hAnsi="Times New Roman;Times;serif"/>
                <w:color w:val="000000"/>
                <w:sz w:val="12"/>
              </w:rPr>
            </w:pPr>
            <w:r>
              <w:rPr>
                <w:rFonts w:ascii="Times New Roman;Times;serif" w:hAnsi="Times New Roman;Times;serif"/>
                <w:color w:val="000000"/>
                <w:sz w:val="12"/>
              </w:rPr>
              <w:t>69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1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69 </w:t>
            </w:r>
          </w:p>
        </w:tc>
      </w:tr>
      <w:tr>
        <w:trPr/>
        <w:tc>
          <w:tcPr>
            <w:tcW w:w="6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Net loss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25"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144" w:right="0" w:hanging="0"/>
              <w:jc w:val="left"/>
              <w:rPr>
                <w:color w:val="000000"/>
                <w:bdr w:val="single" w:sz="8" w:space="1" w:color="000000"/>
              </w:rPr>
            </w:pPr>
            <w:r>
              <w:rPr>
                <w:color w:val="000000"/>
                <w:bdr w:val="single" w:sz="8" w:space="1" w:color="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59"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(6,455</w:t>
            </w:r>
            <w:r>
              <w:rPr>
                <w:rFonts w:ascii="Times New Roman;Times;serif" w:hAnsi="Times New Roman;Times;serif"/>
                <w:color w:val="000000"/>
                <w:sz w:val="12"/>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(6,455</w:t>
            </w:r>
            <w:r>
              <w:rPr>
                <w:rFonts w:ascii="Times New Roman;Times;serif" w:hAnsi="Times New Roman;Times;serif"/>
                <w:color w:val="000000"/>
                <w:sz w:val="12"/>
              </w:rPr>
              <w:t xml:space="preserve">) </w:t>
            </w:r>
          </w:p>
        </w:tc>
      </w:tr>
      <w:tr>
        <w:trPr/>
        <w:tc>
          <w:tcPr>
            <w:tcW w:w="693" w:type="dxa"/>
            <w:tcBorders/>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Balance at December 31, 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219.125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$9,623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109.267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$7,128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65.017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$3,162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193.644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$12,144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144"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$(1,333</w:t>
            </w:r>
            <w:r>
              <w:rPr>
                <w:rFonts w:ascii="Times New Roman;Times;serif" w:hAnsi="Times New Roman;Times;serif"/>
                <w:color w:val="000000"/>
                <w:sz w:val="12"/>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1,240.625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59"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$7,432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$(26,064</w:t>
            </w:r>
            <w:r>
              <w:rPr>
                <w:rFonts w:ascii="Times New Roman;Times;serif" w:hAnsi="Times New Roman;Times;serif"/>
                <w:color w:val="000000"/>
                <w:sz w:val="1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$(18,632</w:t>
            </w:r>
            <w:r>
              <w:rPr>
                <w:rFonts w:ascii="Times New Roman;Times;serif" w:hAnsi="Times New Roman;Times;serif"/>
                <w:color w:val="000000"/>
                <w:sz w:val="12"/>
              </w:rPr>
              <w:t>)</w:t>
            </w:r>
          </w:p>
        </w:tc>
      </w:tr>
    </w:tbl>
    <w:p>
      <w:pPr>
        <w:pStyle w:val="TextBody"/>
        <w:bidi w:val="0"/>
        <w:spacing w:before="189" w:after="283"/>
        <w:ind w:left="60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03" w:name="DSPFPageBreakArea134"/>
      <w:bookmarkStart w:id="704" w:name="DSPFPageBreakArea134"/>
      <w:bookmarkEnd w:id="70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05" w:name="DSPFPageBreak134"/>
      <w:bookmarkStart w:id="706" w:name="DSPFPageBreak134"/>
      <w:bookmarkEnd w:id="70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07" w:name="ny20014884x5_pre14a_301-annexb_pg6"/>
        <w:bookmarkEnd w:id="7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Statements of Cash Flows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(Amounts in thousands) </w:t>
      </w:r>
    </w:p>
    <w:tbl>
      <w:tblPr>
        <w:tblW w:w="7855" w:type="dxa"/>
        <w:jc w:val="left"/>
        <w:tblInd w:w="0" w:type="dxa"/>
        <w:tblLayout w:type="fixed"/>
        <w:tblCellMar>
          <w:top w:w="0" w:type="dxa"/>
          <w:left w:w="0" w:type="dxa"/>
          <w:bottom w:w="0" w:type="dxa"/>
          <w:right w:w="0" w:type="dxa"/>
        </w:tblCellMar>
      </w:tblPr>
      <w:tblGrid>
        <w:gridCol w:w="5885"/>
        <w:gridCol w:w="23"/>
        <w:gridCol w:w="23"/>
        <w:gridCol w:w="895"/>
        <w:gridCol w:w="29"/>
        <w:gridCol w:w="29"/>
        <w:gridCol w:w="971"/>
      </w:tblGrid>
      <w:tr>
        <w:trPr/>
        <w:tc>
          <w:tcPr>
            <w:tcW w:w="58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924"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58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971"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0"/>
              <w:jc w:val="left"/>
              <w:rPr>
                <w:color w:val="000000"/>
              </w:rPr>
            </w:pPr>
            <w:r>
              <w:rPr>
                <w:color w:val="000000"/>
              </w:rPr>
              <w:t> </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(6,455)</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$(3,640)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0"/>
              <w:jc w:val="left"/>
              <w:rPr>
                <w:color w:val="000000"/>
              </w:rPr>
            </w:pPr>
            <w:r>
              <w:rPr>
                <w:color w:val="000000"/>
              </w:rPr>
              <w:t> </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112</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5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212</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 </w:t>
            </w:r>
          </w:p>
        </w:tc>
      </w:tr>
      <w:tr>
        <w:trPr/>
        <w:tc>
          <w:tcPr>
            <w:tcW w:w="5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719</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790 </w:t>
            </w:r>
          </w:p>
        </w:tc>
      </w:tr>
      <w:tr>
        <w:trPr/>
        <w:tc>
          <w:tcPr>
            <w:tcW w:w="5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0"/>
              <w:jc w:val="left"/>
              <w:rPr>
                <w:color w:val="000000"/>
              </w:rPr>
            </w:pPr>
            <w:r>
              <w:rPr>
                <w:color w:val="000000"/>
              </w:rPr>
              <w:t> </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2,135</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(2,135) </w:t>
            </w:r>
          </w:p>
        </w:tc>
      </w:tr>
      <w:tr>
        <w:trPr/>
        <w:tc>
          <w:tcPr>
            <w:tcW w:w="588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Payroll tax credit receivable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88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(172)</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(117)</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 </w:t>
            </w:r>
          </w:p>
        </w:tc>
      </w:tr>
      <w:tr>
        <w:trPr/>
        <w:tc>
          <w:tcPr>
            <w:tcW w:w="588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NIH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116</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122</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(32</w:t>
            </w:r>
            <w:r>
              <w:rPr>
                <w:rFonts w:ascii="Times New Roman;Times;serif" w:hAnsi="Times New Roman;Times;serif"/>
                <w:color w:val="000000"/>
                <w:sz w:val="20"/>
              </w:rPr>
              <w:t xml:space="preserve">) </w:t>
            </w:r>
          </w:p>
        </w:tc>
      </w:tr>
      <w:tr>
        <w:trPr/>
        <w:tc>
          <w:tcPr>
            <w:tcW w:w="5885" w:type="dxa"/>
            <w:tcBorders/>
            <w:shd w:fill="CCEEFF" w:val="clear"/>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(3,463</w:t>
            </w:r>
            <w:r>
              <w:rPr>
                <w:rFonts w:ascii="Times New Roman;Times;serif" w:hAnsi="Times New Roman;Times;serif"/>
                <w:color w:val="000000"/>
                <w:sz w:val="20"/>
              </w:rPr>
              <w:t>)</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(4,801</w:t>
            </w:r>
            <w:r>
              <w:rPr>
                <w:rFonts w:ascii="Times New Roman;Times;serif" w:hAnsi="Times New Roman;Times;serif"/>
                <w:color w:val="000000"/>
                <w:sz w:val="20"/>
              </w:rPr>
              <w:t xml:space="preserve">)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0"/>
              <w:jc w:val="left"/>
              <w:rPr>
                <w:color w:val="000000"/>
              </w:rPr>
            </w:pPr>
            <w:r>
              <w:rPr>
                <w:color w:val="000000"/>
              </w:rPr>
              <w:t>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(151</w:t>
            </w:r>
            <w:r>
              <w:rPr>
                <w:rFonts w:ascii="Times New Roman;Times;serif" w:hAnsi="Times New Roman;Times;serif"/>
                <w:color w:val="000000"/>
                <w:sz w:val="20"/>
              </w:rPr>
              <w:t>)</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color w:val="000000"/>
                <w:bdr w:val="single" w:sz="8" w:space="1" w:color="000000"/>
              </w:rPr>
            </w:pPr>
            <w:r>
              <w:rPr>
                <w:color w:val="000000"/>
                <w:bdr w:val="single" w:sz="8" w:space="1" w:color="000000"/>
              </w:rPr>
              <w:t xml:space="preserve">— </w:t>
            </w:r>
          </w:p>
        </w:tc>
      </w:tr>
      <w:tr>
        <w:trPr/>
        <w:tc>
          <w:tcPr>
            <w:tcW w:w="5885" w:type="dxa"/>
            <w:tcBorders/>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(151</w:t>
            </w:r>
            <w:r>
              <w:rPr>
                <w:rFonts w:ascii="Times New Roman;Times;serif" w:hAnsi="Times New Roman;Times;serif"/>
                <w:color w:val="000000"/>
                <w:sz w:val="2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color w:val="000000"/>
                <w:bdr w:val="single" w:sz="8" w:space="1" w:color="000000"/>
              </w:rPr>
            </w:pPr>
            <w:r>
              <w:rPr>
                <w:color w:val="000000"/>
                <w:bdr w:val="single" w:sz="8" w:space="1" w:color="000000"/>
              </w:rPr>
              <w:t xml:space="preserve">—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0"/>
              <w:jc w:val="left"/>
              <w:rPr>
                <w:color w:val="000000"/>
              </w:rPr>
            </w:pPr>
            <w:r>
              <w:rPr>
                <w:color w:val="000000"/>
              </w:rPr>
              <w:t> </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issuance of Series B-1 Preferred Stock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color w:val="000000"/>
              </w:rPr>
            </w:pPr>
            <w:r>
              <w:rPr>
                <w:color w:val="00000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4,207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issuance of Series B-2 Preferred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10,811</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color w:val="000000"/>
              </w:rPr>
            </w:pPr>
            <w:r>
              <w:rPr>
                <w:color w:val="000000"/>
              </w:rPr>
              <w:t xml:space="preserve">—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exercise of stock options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69</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color w:val="000000"/>
                <w:bdr w:val="single" w:sz="8" w:space="1" w:color="000000"/>
              </w:rPr>
            </w:pPr>
            <w:r>
              <w:rPr>
                <w:color w:val="000000"/>
                <w:bdr w:val="single" w:sz="8" w:space="1" w:color="000000"/>
              </w:rPr>
              <w:t xml:space="preserve">— </w:t>
            </w:r>
          </w:p>
        </w:tc>
      </w:tr>
      <w:tr>
        <w:trPr/>
        <w:tc>
          <w:tcPr>
            <w:tcW w:w="5885" w:type="dxa"/>
            <w:tcBorders/>
            <w:shd w:fill="CCEEFF" w:val="clear"/>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10,880</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4,207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 and cash equivalents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7,266</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(594)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 at beginning of period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4,735</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5,329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 at end of period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$12,001</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$4,735 </w:t>
            </w:r>
          </w:p>
        </w:tc>
      </w:tr>
      <w:tr>
        <w:trPr/>
        <w:tc>
          <w:tcPr>
            <w:tcW w:w="588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0"/>
              <w:jc w:val="left"/>
              <w:rPr>
                <w:color w:val="000000"/>
              </w:rPr>
            </w:pPr>
            <w:r>
              <w:rPr>
                <w:color w:val="000000"/>
              </w:rPr>
              <w:t> </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Noncash investing and financing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0"/>
              <w:jc w:val="left"/>
              <w:rPr>
                <w:color w:val="000000"/>
              </w:rPr>
            </w:pPr>
            <w:r>
              <w:rPr>
                <w:color w:val="000000"/>
              </w:rPr>
              <w:t>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Issuance of Series B-2 Preferred Stock subscription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1,333</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of equipment not yet paid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151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 in right-of-use asset due to lease modification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893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 in lease liability due to lease modification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893</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financial statements.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08" w:name="DSPFPageBreakArea135"/>
      <w:bookmarkStart w:id="709" w:name="DSPFPageBreakArea135"/>
      <w:bookmarkEnd w:id="70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10" w:name="DSPFPageBreak135"/>
      <w:bookmarkStart w:id="711" w:name="DSPFPageBreak135"/>
      <w:bookmarkEnd w:id="71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12" w:name="ny20014884x5_pre14a_301-annexb_pg7"/>
        <w:bookmarkEnd w:id="7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Financial Statements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Description of the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Cartesian Therapeutics, Inc. (the Company) is a clinical-stage cell therapy company engaged in the research and development of therapies for autoimmune diseases. The Company was incorporated in Delaware in December 2010, and is based in Gaithersburg, Maryland.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Management’s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2022, the Company’s cash and cash equivalents were $12.0 million. On November 13, 2023, the Company merged with Selecta Biosciences, Inc. (Selecta). See Note 14 for further details.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are prepared in accordance with U.S. generally accepted accounting principles (GAAP) and pursuant to the applicable rules and regulations of the Securities and Exchange Commission (SEC).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Use of Estimates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conformity with U.S. GAAP requires the Company’s management to make estimates and assumptions that affect the reported amounts of assets and liabilities, the disclosure of contingent assets and liabilities as of the date of the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financial statements, management used significant estimates in the following areas, among others: the valuation of the Company’s common stock and estimating accrued research and development expenses. The Company assesses the above estimates on an ongoing basis; however, actual results could materially differ from those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13" w:name="DSPFPageBreakArea136"/>
      <w:bookmarkStart w:id="714" w:name="DSPFPageBreakArea136"/>
      <w:bookmarkEnd w:id="71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15" w:name="DSPFPageBreak136"/>
      <w:bookmarkStart w:id="716" w:name="DSPFPageBreak136"/>
      <w:bookmarkEnd w:id="71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17" w:name="ny20014884x5_pre14a_301-annexb_pg8"/>
        <w:bookmarkEnd w:id="7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Equivalents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equivalents include all highly liquid investments maturing within 90 days from the date of purchase. As of December 31, 2022 and 2021, the Company’s cash held in money market funds and certificate of deposits were classified as cash and cash equivalents on the accompanying balance sheets.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Concentrations of Credit Risk and Off-Balance Sheet Risk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of Financial Instruments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financial instruments consist mainly of cash and cash equivalents, accounts receivable, and accounts payable. The carrying amounts of cash and cash equivalents, prepaid assets, accounts receivable, and accounts payable approximate their estimated fair value due to their short-term maturities.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Level 1</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Level 1 inputs are quoted prices in active markets for identical assets or liabilities that the reporting entity has the ability to access at the</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measurement date.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Level 2</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Level 2 inputs are inputs other than quoted prices included within Level 1 that are observable for the asset or liability, either directly or</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indirectly. If the asset or liability has a specified (contractual) term, a Level 2 input must be observable for substantially the full term of the asset or liability.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Level 3</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Level 3 inputs are unobservable inputs for the asset or liability in which there is little, if any, market activity for the asset or liability at</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the measurement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Accounts Receivable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accounts receivable due from contracts from government sponsored organizations. Amounts payable to the Company are recorded in accounts receivable when the Company’s right to consideration is unconditional. There is no allowance for doubtful accounts at December 31, 2022 or 2021. No account receivable balances were written off during the years ended December 31, 2022 or 2021.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Property and Equipment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are recorded at cost and depreciated using the straight-line method over the estimated useful lives of the respective assets, which is generally five years for laboratory equipment. Maintenance and repairs, which do not improve or extend the life of the respective assets, are charged to operations as incurred.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18" w:name="DSPFPageBreakArea137"/>
      <w:bookmarkStart w:id="719" w:name="DSPFPageBreakArea137"/>
      <w:bookmarkEnd w:id="71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20" w:name="DSPFPageBreak137"/>
      <w:bookmarkStart w:id="721" w:name="DSPFPageBreak137"/>
      <w:bookmarkEnd w:id="72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22" w:name="ny20014884x5_pre14a_301-annexb_pg9"/>
        <w:bookmarkEnd w:id="7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Impairment of Long-Lived Assets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No impairment loss has been recorded during the years ended December 31, 2022 or 2021.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Revenue Recognition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contracts with the Department of Health and Human Services National Institute of Health (NIH) and other government-sponsored organizations for research and development related activities that provide for payments for reimbursed costs, which may include overhead and general and administrative costs as well as a related profit margin. The Company recognizes grant revenue from these contracts as it performs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the Company’s balance sheets. Amounts incurred that are subject to reimbursement from the sponsor are recorded as accounts receivable on the Company’s balance sheets.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Research and Development Costs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Costs related to research, design and development of cellular therapies are charged to research and development expense as incurred unless there is an alternative future use in other research and development projects. Research and development costs include, but are not limited to, payroll and personnel expenses, including stock-based compensation, for personnel contributing to research and development activities, laboratory supplies, outside services, and licenses and patent costs acquired to be used in research and development. Payments made prior to the receipt of goods or services to be used in research and development are deferred and recognized as expense in the period in which the related goods are received or services are rendered. License costs are expensed as research and development upon execution of the license agreement unless there is an alternative future use.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Clinical Trial Costs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Clinical trial expenses are a significant component of research and development expenses, and the Company outsources a significant portion of these costs to third parties. Third party clinical trial expenses include patient costs and costs for management of the trial.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accrued liabilities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Payroll Tax Credits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generated research and development payroll tax credits under the provisions of the Internal Revenue Code. The Company adopted a policy to account for such government assistance as income when all conditions imposed by the government to be entitled to receive the funding have been substantially met.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23" w:name="DSPFPageBreakArea138"/>
      <w:bookmarkStart w:id="724" w:name="DSPFPageBreakArea138"/>
      <w:bookmarkEnd w:id="72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25" w:name="DSPFPageBreak138"/>
      <w:bookmarkStart w:id="726" w:name="DSPFPageBreak138"/>
      <w:bookmarkEnd w:id="72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27" w:name="ny20014884x5_pre14a_301-annexb_pg10"/>
        <w:bookmarkEnd w:id="7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Therefore, the Company recognizes, as income, payroll tax credits in the period it incurs payroll taxes for which the credit is earned. Amounts recognized that have not been collected from the government are recorded as a receivable on the Company’s balance sheets. The Company recognized income of $126,160 and $114,797 during the years ended December 31, 2022 and 2021, respectively. As of December 31, 2022 and 2021, the Company has a receivable balance of $351,116 and $224,956, respectively.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records all preferred stock at their respective fair values on the dates of issuance less issuance costs. The Company classifies its preferred stock outside of stockholders’ deficit when the redemption of such shares is outside the Company’s control. The Company does not adjust the carrying values of the preferred stock to the liquidation preferences of such stock until such time as a deemed liquidation event is probable of occurring.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Issuance Costs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issuance costs, consisting primarily of legal expenses, are capitalized until stock is issued, at which time the costs are recorded in stockholders’ equity as a reduction of additional paid-in-capital generated as a result of the issuance.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Stock-Based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The Company has elected to account for forfeitures as they occur. Stock-based compensation expense recognized in the financial statements is based on awards that ultimately vest.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calculates the fair value of its common stock by considering independent valuations by a third-party valuation specialist and considers factors it believes are material to the valuation process, including but not limited to, the price at which recent equity was issued by the Company to independent third parties or transacted between third parties, actual and projected financial results, risks, prospects, economic and market conditions, and estimates of weighted average cost of capital. The Company believes the combination of these factors provides an appropriate estimate of the expected fair value of the Company and reflects the best estimate of the fair value of the Company’s common stock at each grant date.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accounts for its leases in accordance with ASC Topic 842, Leases (ASC 842), and determines whether the arrangement is or contains a lease based on the unique facts and circumstances present.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28" w:name="DSPFPageBreakArea139"/>
      <w:bookmarkStart w:id="729" w:name="DSPFPageBreakArea139"/>
      <w:bookmarkEnd w:id="72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30" w:name="DSPFPageBreak139"/>
      <w:bookmarkStart w:id="731" w:name="DSPFPageBreak139"/>
      <w:bookmarkEnd w:id="73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2" w:name="ny20014884x5_pre14a_301-annexb_pg11"/>
        <w:bookmarkEnd w:id="7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Recent Accounting Pronouncements</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Recently Adopted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August 2020, the FASB issued ASU 2020-06, Debt – Debt with Conversion and Other Options (Subtopic 470-20) and Derivatives and Hedging – Contracts in Entity’s Own Equity (Subtopic 815-40). ASU 2020-06 simplifies the accounting for certain financial instruments with characteristics of liabilities and equity, including convertible instruments and contracts on an entity’s own equity. The Company has adopted ASU 2020-06 as of January 1, 2021 using the full retrospective method. The adoption of ASU 2020-06 had no impact on the Company’s financial statements and disclosures.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Not Yet Adopted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June 2016, the FASB issued ASU 2016-13, Financial Instruments-Credit Losses (Topic 326), Measurement of Credit Losses on Financial Instruments. Subsequently, in November 2018, the FASB issued ASU 2018-19, Codification Improvements to Topic 326, Financial Instruments-Credit Losses.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Fair Value Measurements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assets and liabilities that are measured at fair value on a recurring basis as of December 31, 2022 and 2021 (in thousands): </w:t>
      </w:r>
    </w:p>
    <w:tbl>
      <w:tblPr>
        <w:tblW w:w="6824" w:type="dxa"/>
        <w:jc w:val="left"/>
        <w:tblInd w:w="0" w:type="dxa"/>
        <w:tblLayout w:type="fixed"/>
        <w:tblCellMar>
          <w:top w:w="0" w:type="dxa"/>
          <w:left w:w="0" w:type="dxa"/>
          <w:bottom w:w="0" w:type="dxa"/>
          <w:right w:w="0" w:type="dxa"/>
        </w:tblCellMar>
      </w:tblPr>
      <w:tblGrid>
        <w:gridCol w:w="4310"/>
        <w:gridCol w:w="23"/>
        <w:gridCol w:w="23"/>
        <w:gridCol w:w="590"/>
        <w:gridCol w:w="23"/>
        <w:gridCol w:w="23"/>
        <w:gridCol w:w="590"/>
        <w:gridCol w:w="23"/>
        <w:gridCol w:w="23"/>
        <w:gridCol w:w="545"/>
        <w:gridCol w:w="23"/>
        <w:gridCol w:w="23"/>
        <w:gridCol w:w="605"/>
      </w:tblGrid>
      <w:tr>
        <w:trPr/>
        <w:tc>
          <w:tcPr>
            <w:tcW w:w="43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468"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2022 </w:t>
            </w:r>
          </w:p>
        </w:tc>
      </w:tr>
      <w:tr>
        <w:trPr/>
        <w:tc>
          <w:tcPr>
            <w:tcW w:w="43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3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 (included in cash equivalents)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3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deposit (included in cash equivalents)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color w:val="000000"/>
                <w:bdr w:val="single" w:sz="8" w:space="1" w:color="000000"/>
              </w:rPr>
            </w:pPr>
            <w:r>
              <w:rPr>
                <w:color w:val="000000"/>
                <w:bdr w:val="single" w:sz="8" w:space="1" w:color="000000"/>
              </w:rPr>
              <w:t xml:space="preserve">—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431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0"/>
              <w:jc w:val="left"/>
              <w:rPr>
                <w:color w:val="000000"/>
              </w:rPr>
            </w:pPr>
            <w:r>
              <w:rPr>
                <w:color w:val="000000"/>
              </w:rPr>
              <w:t> </w:t>
            </w:r>
          </w:p>
        </w:tc>
      </w:tr>
      <w:tr>
        <w:trPr/>
        <w:tc>
          <w:tcPr>
            <w:tcW w:w="43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Contingent payment to NIH</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$461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$461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$461</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33" w:name="DSPFPageBreakArea140"/>
      <w:bookmarkStart w:id="734" w:name="DSPFPageBreakArea140"/>
      <w:bookmarkEnd w:id="73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35" w:name="DSPFPageBreak140"/>
      <w:bookmarkStart w:id="736" w:name="DSPFPageBreak140"/>
      <w:bookmarkEnd w:id="73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7" w:name="ny20014884x5_pre14a_301-annexb_pg12"/>
        <w:bookmarkEnd w:id="737"/>
        <w:r>
          <w:rPr>
            <w:rStyle w:val="InternetLink"/>
            <w:rFonts w:ascii="Times New Roman;Times;Serif" w:hAnsi="Times New Roman;Times;Serif"/>
            <w:b/>
            <w:caps w:val="false"/>
            <w:smallCaps w:val="false"/>
            <w:color w:val="000000"/>
            <w:sz w:val="16"/>
          </w:rPr>
          <w:t>TABLE OF CONTENTS</w:t>
        </w:r>
      </w:hyperlink>
    </w:p>
    <w:tbl>
      <w:tblPr>
        <w:tblW w:w="6899" w:type="dxa"/>
        <w:jc w:val="left"/>
        <w:tblInd w:w="0" w:type="dxa"/>
        <w:tblLayout w:type="fixed"/>
        <w:tblCellMar>
          <w:top w:w="0" w:type="dxa"/>
          <w:left w:w="0" w:type="dxa"/>
          <w:bottom w:w="0" w:type="dxa"/>
          <w:right w:w="0" w:type="dxa"/>
        </w:tblCellMar>
      </w:tblPr>
      <w:tblGrid>
        <w:gridCol w:w="4385"/>
        <w:gridCol w:w="23"/>
        <w:gridCol w:w="23"/>
        <w:gridCol w:w="590"/>
        <w:gridCol w:w="23"/>
        <w:gridCol w:w="23"/>
        <w:gridCol w:w="590"/>
        <w:gridCol w:w="23"/>
        <w:gridCol w:w="23"/>
        <w:gridCol w:w="545"/>
        <w:gridCol w:w="23"/>
        <w:gridCol w:w="23"/>
        <w:gridCol w:w="605"/>
      </w:tblGrid>
      <w:tr>
        <w:trPr/>
        <w:tc>
          <w:tcPr>
            <w:tcW w:w="43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468"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2021 </w:t>
            </w:r>
          </w:p>
        </w:tc>
      </w:tr>
      <w:tr>
        <w:trPr/>
        <w:tc>
          <w:tcPr>
            <w:tcW w:w="43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4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3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 (included in cash equivalents)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$4,502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$4,502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3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deposits (included in cash equivalents)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color w:val="000000"/>
                <w:bdr w:val="single" w:sz="8" w:space="1" w:color="000000"/>
              </w:rPr>
            </w:pPr>
            <w:r>
              <w:rPr>
                <w:color w:val="000000"/>
                <w:bdr w:val="single" w:sz="8" w:space="1" w:color="000000"/>
              </w:rPr>
              <w:t xml:space="preserve">— </w:t>
            </w:r>
          </w:p>
        </w:tc>
      </w:tr>
      <w:tr>
        <w:trPr/>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$4,527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$4,527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438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0"/>
              <w:jc w:val="left"/>
              <w:rPr>
                <w:color w:val="000000"/>
              </w:rPr>
            </w:pPr>
            <w:r>
              <w:rPr>
                <w:color w:val="000000"/>
              </w:rPr>
              <w:t> </w:t>
            </w:r>
          </w:p>
        </w:tc>
      </w:tr>
      <w:tr>
        <w:trPr/>
        <w:tc>
          <w:tcPr>
            <w:tcW w:w="43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Contingent payment to NIH</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$345 </w:t>
            </w:r>
          </w:p>
        </w:tc>
      </w:tr>
      <w:tr>
        <w:trPr/>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$345</w:t>
            </w:r>
          </w:p>
        </w:tc>
      </w:tr>
    </w:tbl>
    <w:p>
      <w:pPr>
        <w:pStyle w:val="TextBody"/>
        <w:bidi w:val="0"/>
        <w:spacing w:before="27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payment to NIH that is contingent upon certain liquidity or financing events (See Note 13) was based on significant inputs not observable in the market, including estimates regarding the probability of certain future events and outcomes and estimates regarding timing of those events and outcomes, with an applied discount representative of time value, that represents a Level 3 measurement within the fair value hierarchy. The following table summarizes the change in the fair value of the Company’s contingent payment to NIH, which is classified within the Level 3 fair value hierarchy (in thousands): </w:t>
      </w:r>
    </w:p>
    <w:tbl>
      <w:tblPr>
        <w:tblW w:w="4706" w:type="dxa"/>
        <w:jc w:val="left"/>
        <w:tblInd w:w="0" w:type="dxa"/>
        <w:tblLayout w:type="fixed"/>
        <w:tblCellMar>
          <w:top w:w="0" w:type="dxa"/>
          <w:left w:w="0" w:type="dxa"/>
          <w:bottom w:w="0" w:type="dxa"/>
          <w:right w:w="0" w:type="dxa"/>
        </w:tblCellMar>
      </w:tblPr>
      <w:tblGrid>
        <w:gridCol w:w="4160"/>
        <w:gridCol w:w="23"/>
        <w:gridCol w:w="23"/>
        <w:gridCol w:w="500"/>
      </w:tblGrid>
      <w:tr>
        <w:trPr/>
        <w:tc>
          <w:tcPr>
            <w:tcW w:w="41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$266 </w:t>
            </w:r>
          </w:p>
        </w:tc>
      </w:tr>
      <w:tr>
        <w:trPr/>
        <w:tc>
          <w:tcPr>
            <w:tcW w:w="4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contingent payment to NIH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79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$345 </w:t>
            </w:r>
          </w:p>
        </w:tc>
      </w:tr>
      <w:tr>
        <w:trPr/>
        <w:tc>
          <w:tcPr>
            <w:tcW w:w="4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contingent payment to NIH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116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within the fair value hierarchy during the years ended December 31, 2022 or 2021.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Property and Equipment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consist of the following (in thousands): </w:t>
      </w:r>
    </w:p>
    <w:tbl>
      <w:tblPr>
        <w:tblW w:w="3655" w:type="dxa"/>
        <w:jc w:val="left"/>
        <w:tblInd w:w="0" w:type="dxa"/>
        <w:tblLayout w:type="fixed"/>
        <w:tblCellMar>
          <w:top w:w="0" w:type="dxa"/>
          <w:left w:w="0" w:type="dxa"/>
          <w:bottom w:w="0" w:type="dxa"/>
          <w:right w:w="0" w:type="dxa"/>
        </w:tblCellMar>
      </w:tblPr>
      <w:tblGrid>
        <w:gridCol w:w="2540"/>
        <w:gridCol w:w="23"/>
        <w:gridCol w:w="23"/>
        <w:gridCol w:w="479"/>
        <w:gridCol w:w="24"/>
        <w:gridCol w:w="24"/>
        <w:gridCol w:w="542"/>
      </w:tblGrid>
      <w:tr>
        <w:trPr/>
        <w:tc>
          <w:tcPr>
            <w:tcW w:w="2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69"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2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79"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54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equipment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779</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779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(582</w:t>
            </w:r>
            <w:r>
              <w:rPr>
                <w:rFonts w:ascii="Times New Roman;Times;serif" w:hAnsi="Times New Roman;Times;serif"/>
                <w:color w:val="000000"/>
                <w:sz w:val="20"/>
              </w:rPr>
              <w:t>)</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(470</w:t>
            </w:r>
            <w:r>
              <w:rPr>
                <w:rFonts w:ascii="Times New Roman;Times;serif" w:hAnsi="Times New Roman;Times;serif"/>
                <w:color w:val="000000"/>
                <w:sz w:val="20"/>
              </w:rPr>
              <w:t xml:space="preserve">) </w:t>
            </w:r>
          </w:p>
        </w:tc>
      </w:tr>
      <w:tr>
        <w:trPr/>
        <w:tc>
          <w:tcPr>
            <w:tcW w:w="25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$197</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$309</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Depreciation expense was approximately $112,000 and $123,000 for the years ended December 31, 2022 and 2021, respectively.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Accrued Expenses and Other Current Liabilities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Accrued expenses and other current liabilities consist of the following (in thousands): </w:t>
      </w:r>
    </w:p>
    <w:tbl>
      <w:tblPr>
        <w:tblW w:w="5138" w:type="dxa"/>
        <w:jc w:val="left"/>
        <w:tblInd w:w="0" w:type="dxa"/>
        <w:tblLayout w:type="fixed"/>
        <w:tblCellMar>
          <w:top w:w="0" w:type="dxa"/>
          <w:left w:w="0" w:type="dxa"/>
          <w:bottom w:w="0" w:type="dxa"/>
          <w:right w:w="0" w:type="dxa"/>
        </w:tblCellMar>
      </w:tblPr>
      <w:tblGrid>
        <w:gridCol w:w="4025"/>
        <w:gridCol w:w="23"/>
        <w:gridCol w:w="23"/>
        <w:gridCol w:w="477"/>
        <w:gridCol w:w="24"/>
        <w:gridCol w:w="24"/>
        <w:gridCol w:w="542"/>
      </w:tblGrid>
      <w:tr>
        <w:trPr/>
        <w:tc>
          <w:tcPr>
            <w:tcW w:w="40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67"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0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77"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54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external research and development costs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$758</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professional and consulting services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7" w:type="dxa"/>
            <w:tcBorders/>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42" w:type="dxa"/>
            <w:tcBorders/>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98</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equipment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7" w:type="dxa"/>
            <w:tcBorders/>
            <w:vAlign w:val="center"/>
          </w:tcPr>
          <w:p>
            <w:pPr>
              <w:pStyle w:val="TableContents"/>
              <w:bidi w:val="0"/>
              <w:spacing w:before="0" w:after="283"/>
              <w:ind w:left="6" w:right="0" w:hanging="0"/>
              <w:jc w:val="left"/>
              <w:rPr>
                <w:color w:val="000000"/>
              </w:rPr>
            </w:pPr>
            <w:r>
              <w:rPr>
                <w:color w:val="000000"/>
              </w:rPr>
              <w:t>—</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42" w:type="dxa"/>
            <w:tcBorders/>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40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7" w:type="dxa"/>
            <w:tcBorders/>
            <w:vAlign w:val="center"/>
          </w:tcPr>
          <w:p>
            <w:pPr>
              <w:pStyle w:val="TableContents"/>
              <w:bidi w:val="0"/>
              <w:spacing w:before="0" w:after="283"/>
              <w:ind w:left="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$949</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42" w:type="dxa"/>
            <w:tcBorders/>
            <w:vAlign w:val="center"/>
          </w:tcPr>
          <w:p>
            <w:pPr>
              <w:pStyle w:val="TableContents"/>
              <w:bidi w:val="0"/>
              <w:spacing w:before="0" w:after="283"/>
              <w:ind w:left="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$978</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38" w:name="DSPFPageBreakArea141"/>
      <w:bookmarkStart w:id="739" w:name="DSPFPageBreakArea141"/>
      <w:bookmarkEnd w:id="73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40" w:name="DSPFPageBreak141"/>
      <w:bookmarkStart w:id="741" w:name="DSPFPageBreak141"/>
      <w:bookmarkEnd w:id="74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42" w:name="ny20014884x5_pre14a_301-annexb_pg13"/>
        <w:bookmarkEnd w:id="7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Leases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 The Company paid the landlord a security deposit of $25,000 which is included in long term assets on the Company’s balance sheets.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years ended December 31, 2022 and 2021, the components of lease costs were as follows (in thousands): </w:t>
      </w:r>
    </w:p>
    <w:tbl>
      <w:tblPr>
        <w:tblW w:w="2783" w:type="dxa"/>
        <w:jc w:val="left"/>
        <w:tblInd w:w="0" w:type="dxa"/>
        <w:tblLayout w:type="fixed"/>
        <w:tblCellMar>
          <w:top w:w="0" w:type="dxa"/>
          <w:left w:w="0" w:type="dxa"/>
          <w:bottom w:w="0" w:type="dxa"/>
          <w:right w:w="0" w:type="dxa"/>
        </w:tblCellMar>
      </w:tblPr>
      <w:tblGrid>
        <w:gridCol w:w="1670"/>
        <w:gridCol w:w="23"/>
        <w:gridCol w:w="23"/>
        <w:gridCol w:w="477"/>
        <w:gridCol w:w="24"/>
        <w:gridCol w:w="24"/>
        <w:gridCol w:w="542"/>
      </w:tblGrid>
      <w:tr>
        <w:trPr/>
        <w:tc>
          <w:tcPr>
            <w:tcW w:w="16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67"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6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77"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54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$299</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7" w:type="dxa"/>
            <w:tcBorders/>
            <w:vAlign w:val="center"/>
          </w:tcPr>
          <w:p>
            <w:pPr>
              <w:pStyle w:val="TableContents"/>
              <w:bidi w:val="0"/>
              <w:spacing w:before="0" w:after="283"/>
              <w:ind w:left="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147</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42" w:type="dxa"/>
            <w:tcBorders/>
            <w:vAlign w:val="center"/>
          </w:tcPr>
          <w:p>
            <w:pPr>
              <w:pStyle w:val="TableContents"/>
              <w:bidi w:val="0"/>
              <w:spacing w:before="0" w:after="283"/>
              <w:ind w:left="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57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cost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$446</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$248</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maturity of the Company’s operating lease liabilities as of December 31, 2022 were as follows (in thousands): </w:t>
      </w:r>
    </w:p>
    <w:tbl>
      <w:tblPr>
        <w:tblW w:w="4211" w:type="dxa"/>
        <w:jc w:val="left"/>
        <w:tblInd w:w="0" w:type="dxa"/>
        <w:tblLayout w:type="fixed"/>
        <w:tblCellMar>
          <w:top w:w="0" w:type="dxa"/>
          <w:left w:w="0" w:type="dxa"/>
          <w:bottom w:w="0" w:type="dxa"/>
          <w:right w:w="0" w:type="dxa"/>
        </w:tblCellMar>
      </w:tblPr>
      <w:tblGrid>
        <w:gridCol w:w="3095"/>
        <w:gridCol w:w="23"/>
        <w:gridCol w:w="23"/>
        <w:gridCol w:w="1070"/>
      </w:tblGrid>
      <w:tr>
        <w:trPr/>
        <w:tc>
          <w:tcPr>
            <w:tcW w:w="30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7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300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97" w:right="0" w:hanging="0"/>
              <w:jc w:val="left"/>
              <w:rPr>
                <w:color w:val="000000"/>
                <w:bdr w:val="single" w:sz="8" w:space="1" w:color="000000"/>
              </w:rPr>
            </w:pPr>
            <w:r>
              <w:rPr>
                <w:color w:val="000000"/>
                <w:bdr w:val="single" w:sz="8" w:space="1" w:color="000000"/>
              </w:rPr>
              <w:t xml:space="preserve">—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future minimum lease payments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1,283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(175</w:t>
            </w:r>
            <w:r>
              <w:rPr>
                <w:rFonts w:ascii="Times New Roman;Times;serif" w:hAnsi="Times New Roman;Times;serif"/>
                <w:color w:val="000000"/>
                <w:sz w:val="20"/>
              </w:rPr>
              <w:t xml:space="preserve">)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lease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$1,108</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supplemental disclosure for the statement of cash flows related to operating leases were as follows (in thousands): </w:t>
      </w:r>
    </w:p>
    <w:tbl>
      <w:tblPr>
        <w:tblW w:w="6895" w:type="dxa"/>
        <w:jc w:val="left"/>
        <w:tblInd w:w="0" w:type="dxa"/>
        <w:tblLayout w:type="fixed"/>
        <w:tblCellMar>
          <w:top w:w="0" w:type="dxa"/>
          <w:left w:w="0" w:type="dxa"/>
          <w:bottom w:w="0" w:type="dxa"/>
          <w:right w:w="0" w:type="dxa"/>
        </w:tblCellMar>
      </w:tblPr>
      <w:tblGrid>
        <w:gridCol w:w="5780"/>
        <w:gridCol w:w="23"/>
        <w:gridCol w:w="23"/>
        <w:gridCol w:w="500"/>
        <w:gridCol w:w="25"/>
        <w:gridCol w:w="25"/>
        <w:gridCol w:w="519"/>
      </w:tblGrid>
      <w:tr>
        <w:trPr/>
        <w:tc>
          <w:tcPr>
            <w:tcW w:w="57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69"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7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5" w:type="dxa"/>
            <w:tcBorders>
              <w:bottom w:val="single" w:sz="2" w:space="0" w:color="FFFFFF"/>
            </w:tcBorders>
            <w:tcMar>
              <w:bottom w:w="85" w:type="dxa"/>
            </w:tcMar>
            <w:vAlign w:val="center"/>
          </w:tcPr>
          <w:p>
            <w:pPr>
              <w:pStyle w:val="TableContents"/>
              <w:bidi w:val="0"/>
              <w:spacing w:before="0" w:after="283"/>
              <w:jc w:val="left"/>
              <w:rPr/>
            </w:pPr>
            <w:r>
              <w:rPr/>
              <w:t>​</w:t>
            </w:r>
          </w:p>
        </w:tc>
        <w:tc>
          <w:tcPr>
            <w:tcW w:w="25" w:type="dxa"/>
            <w:tcBorders>
              <w:bottom w:val="single" w:sz="2" w:space="0" w:color="FFFFFF"/>
            </w:tcBorders>
            <w:tcMar>
              <w:bottom w:w="85" w:type="dxa"/>
            </w:tcMar>
            <w:vAlign w:val="center"/>
          </w:tcPr>
          <w:p>
            <w:pPr>
              <w:pStyle w:val="TableContents"/>
              <w:bidi w:val="0"/>
              <w:spacing w:before="0" w:after="283"/>
              <w:jc w:val="left"/>
              <w:rPr/>
            </w:pPr>
            <w:r>
              <w:rPr/>
              <w:t>​</w:t>
            </w:r>
          </w:p>
        </w:tc>
        <w:tc>
          <w:tcPr>
            <w:tcW w:w="519"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$260</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519"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$172</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the initial recording of the right-of-use asset and lease liability, which were non-cash, the changes in the Company’s right-of-use asset and lease liability for the years ended December 31, 2022 and 2021 are reflected in the non-cash lease expense and accrued expenses and other liabilities, respectively, in the statements of cash flows.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additional information related to operating leases: </w:t>
      </w:r>
    </w:p>
    <w:tbl>
      <w:tblPr>
        <w:tblW w:w="4982" w:type="dxa"/>
        <w:jc w:val="left"/>
        <w:tblInd w:w="0" w:type="dxa"/>
        <w:tblLayout w:type="fixed"/>
        <w:tblCellMar>
          <w:top w:w="0" w:type="dxa"/>
          <w:left w:w="0" w:type="dxa"/>
          <w:bottom w:w="0" w:type="dxa"/>
          <w:right w:w="0" w:type="dxa"/>
        </w:tblCellMar>
      </w:tblPr>
      <w:tblGrid>
        <w:gridCol w:w="3245"/>
        <w:gridCol w:w="23"/>
        <w:gridCol w:w="23"/>
        <w:gridCol w:w="740"/>
        <w:gridCol w:w="23"/>
        <w:gridCol w:w="23"/>
        <w:gridCol w:w="905"/>
      </w:tblGrid>
      <w:tr>
        <w:trPr/>
        <w:tc>
          <w:tcPr>
            <w:tcW w:w="32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69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32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4.1 years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5.08 years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7.3 %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7.3 %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26, 2021, the Company amended its Restated Certificate of Incorporation, to increase its authorized shares to 407 shares of preferred stock, $0.01 par value per share. In 2021, the Company issued 65.017 shares of Series B-1 preferred stock, with a par value of $0.01, at a price of $64,961.92 per share for consideration totaling $4,223,778. Upon the issuance of the Series B-1 Preferred Stock in January 2021, the Company reclassified its Series A and Series B Preferred Stock to temporary equity because such stock is redeemable upon the occurrence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43" w:name="DSPFPageBreakArea142"/>
      <w:bookmarkStart w:id="744" w:name="DSPFPageBreakArea142"/>
      <w:bookmarkEnd w:id="74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45" w:name="DSPFPageBreak142"/>
      <w:bookmarkStart w:id="746" w:name="DSPFPageBreak142"/>
      <w:bookmarkEnd w:id="74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47" w:name="ny20014884x5_pre14a_301-annexb_pg14"/>
        <w:bookmarkEnd w:id="7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certain events that are not solely within the control of the issuer. The reclassification to temporary equity of Series A and Series B Preferred Stock was recorded at the fair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Contemporaneous with the Series B-1 Preferred Stock offering, one of the Company’s investors converted 50 shares of common stock into 50 shares of Series A Preferred Stock. The Company recorded the Series A Preferred Stock at fair value. The difference between the fair value of the Series A Preferred Stock and the fair value of the common stock at the date of the exchange was recorded as a Series B-1 Preferred Stock issuance cost. The difference between the original issuance price and the fair value of the common stock at the date of the exchange was recorded as an adjustment to retained earnings.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12, 2022, the Company amended its Restated Certificate of Incorporation to increase its authorized shares to 602 shares of Preferred Stock. In December 2022, the Company issued 193.644 shares of Series B-2 preferred stock, with a par value of $0.01, at a price of $62,833.19 per share for consideration totaling $12,167,170. Cash consideration received in December 2022 was $10,834,164. The remaining $1,333,006 is included in stock subscription receivable on the accompanying December 31, 2022 balance sheet. The stock subscription receivable was collected in January 2023.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preferred stock has the following characteristics: </w:t>
      </w:r>
    </w:p>
    <w:p>
      <w:pPr>
        <w:pStyle w:val="TextBody"/>
        <w:bidi w:val="0"/>
        <w:spacing w:before="3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Conversion Features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Preferred stockholders may voluntarily convert any or all of their preferred shares into common shares at any time at a price determined by dividing the original issue price by the conversion price for each series of preferred stock. There are provisions which require adjustment to this conversion price in the event of certain dilution events. However, In the event of a liquidation, dissolution or winding up of the Company or a deemed liquidation event, the conversion rights shall terminate.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either (a) the closing of the sale of shares of common stock to the public at a price of at least $62,833.19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underwriting discount and commissions) to the Company or (b) the date and time, or the occurrence of an event, specified by vote or written consent of at least seventy- five percent (51%) of the outstanding preferred stock, voting as a single class, then (i) all outstanding shares of preferred stock shall automatically be converted into shares of common stock, at the then effective conversion rate and (ii) such shares may not be reissued by the Company. </w:t>
      </w:r>
    </w:p>
    <w:p>
      <w:pPr>
        <w:pStyle w:val="TextBody"/>
        <w:bidi w:val="0"/>
        <w:spacing w:before="3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any matter presented to the stockholders of the Company for their action or consideration at any meeting of stockholders of the Company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holders of record of the shares of preferred stock, exclusively and as a separate class, are entitled to elect one (1) director of the Company and the holders of record of common stock, exclusively and as a separate class, are entitled to elect one (1) director of the Company. The holders of record of common stock and preferred stock, exclusively and voting together as a single class, are entitled to elect the balance of the total number of directors of the Company. </w:t>
      </w:r>
    </w:p>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Dividends may be paid at the Board of Directors’ discretion. However, the preferred stockholders are entitled to receive dividends prior to payment of dividends to common stockholders. </w:t>
      </w:r>
    </w:p>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Liquidation Preference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liquidation of the Company (whether voluntary or not), each preferred stockholder shall be entitled to be paid prior to common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48" w:name="DSPFPageBreakArea143"/>
      <w:bookmarkStart w:id="749" w:name="DSPFPageBreakArea143"/>
      <w:bookmarkEnd w:id="74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50" w:name="DSPFPageBreak143"/>
      <w:bookmarkStart w:id="751" w:name="DSPFPageBreak143"/>
      <w:bookmarkEnd w:id="75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52" w:name="ny20014884x5_pre14a_301-annexb_pg15"/>
        <w:bookmarkEnd w:id="7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Redemption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preferred stock is not redeemable at the option of the holder or the Company, except in accordance with a deemed liquidation event.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January 26, 2021, the Company amended its Restated Certificate of Incorporation, to increase its authorized shares to 3,200 shares of Common Stock, par value $0.01 per share.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voting, dividend and liquidation rights of the common stockholders are subject to and qualified by the rights, powers and preferences of the preferred stock. The common stock has the following characteristics: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common stockholders are entitled to one vote for each share of common stock held with respect to all matters voted on by the stockholders of the Company.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common stockholders are entitled to receive dividends, if and when declared by the Board of Directors. Through December 31, 2022, no dividends have been declared or paid on common stock.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Liquidation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liquidation of the Company, the common stockholders are entitled to receive all assets of the Company available for distribution to such stockholders.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Stock-Based Compensation Expense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April 2021, the Company repriced and reissued all its prior stock option awards with an exercise price above $23,005 per share to an exercise price of $23,005 per share (the 2021 Repricing). The Company accounted for the 2021 repricing as a modification for accounting purposes. For options vested at the modification date, the Company immediately recognized the difference between the fair value of the modification award and its original grant date value. For unvested awards at the modification date, the Company recognized the sum of the unrecognized compensation cost of the shares plus the incremental fair value of the modified award over the remaining service period. Additionally, in October 2022, the Company modified a stock option held by an option holder upon termination of their employment by the Company. The stock option was modified to accelerate vesting. The aggregate amount of expense recognized in connection with these modifications was approximately $8,000 and $305,000 for the years ended December 31, 2022 and 2021,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by classification included within the statements of operations and comprehensive income (loss) was as follows (in thousands): </w:t>
      </w:r>
    </w:p>
    <w:tbl>
      <w:tblPr>
        <w:tblW w:w="4478" w:type="dxa"/>
        <w:jc w:val="left"/>
        <w:tblInd w:w="0" w:type="dxa"/>
        <w:tblLayout w:type="fixed"/>
        <w:tblCellMar>
          <w:top w:w="0" w:type="dxa"/>
          <w:left w:w="0" w:type="dxa"/>
          <w:bottom w:w="0" w:type="dxa"/>
          <w:right w:w="0" w:type="dxa"/>
        </w:tblCellMar>
      </w:tblPr>
      <w:tblGrid>
        <w:gridCol w:w="3365"/>
        <w:gridCol w:w="23"/>
        <w:gridCol w:w="23"/>
        <w:gridCol w:w="477"/>
        <w:gridCol w:w="24"/>
        <w:gridCol w:w="24"/>
        <w:gridCol w:w="542"/>
      </w:tblGrid>
      <w:tr>
        <w:trPr/>
        <w:tc>
          <w:tcPr>
            <w:tcW w:w="33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67"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33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77"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54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$719</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$790 </w:t>
            </w:r>
          </w:p>
        </w:tc>
      </w:tr>
      <w:tr>
        <w:trPr/>
        <w:tc>
          <w:tcPr>
            <w:tcW w:w="33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7" w:type="dxa"/>
            <w:tcBorders/>
            <w:vAlign w:val="center"/>
          </w:tcPr>
          <w:p>
            <w:pPr>
              <w:pStyle w:val="TableContents"/>
              <w:bidi w:val="0"/>
              <w:spacing w:before="0" w:after="283"/>
              <w:ind w:left="6" w:right="0" w:hanging="0"/>
              <w:jc w:val="left"/>
              <w:rPr>
                <w:color w:val="000000"/>
                <w:bdr w:val="single" w:sz="8" w:space="1" w:color="000000"/>
              </w:rPr>
            </w:pPr>
            <w:r>
              <w:rPr>
                <w:color w:val="000000"/>
                <w:bdr w:val="single" w:sz="8" w:space="1" w:color="000000"/>
              </w:rPr>
              <w:t>—</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542" w:type="dxa"/>
            <w:tcBorders/>
            <w:vAlign w:val="center"/>
          </w:tcPr>
          <w:p>
            <w:pPr>
              <w:pStyle w:val="TableContents"/>
              <w:bidi w:val="0"/>
              <w:spacing w:before="0" w:after="283"/>
              <w:ind w:left="6" w:right="0" w:hanging="0"/>
              <w:jc w:val="left"/>
              <w:rPr>
                <w:color w:val="000000"/>
                <w:bdr w:val="single" w:sz="8" w:space="1" w:color="000000"/>
              </w:rPr>
            </w:pPr>
            <w:r>
              <w:rPr>
                <w:color w:val="000000"/>
                <w:bdr w:val="single" w:sz="8" w:space="1" w:color="000000"/>
              </w:rPr>
              <w:t xml:space="preserve">—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$719</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$790</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53" w:name="DSPFPageBreakArea144"/>
      <w:bookmarkStart w:id="754" w:name="DSPFPageBreakArea144"/>
      <w:bookmarkEnd w:id="75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55" w:name="DSPFPageBreak144"/>
      <w:bookmarkStart w:id="756" w:name="DSPFPageBreak144"/>
      <w:bookmarkEnd w:id="7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57" w:name="ny20014884x5_pre14a_301-annexb_pg16"/>
        <w:bookmarkEnd w:id="7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estimated grant date fair values of employee stock option awards granted under the 2016 Plan were calculated using the Black-Scholes option pricing model, based on the following range of assumptions: </w:t>
      </w:r>
    </w:p>
    <w:tbl>
      <w:tblPr>
        <w:tblW w:w="5027" w:type="dxa"/>
        <w:jc w:val="left"/>
        <w:tblInd w:w="0" w:type="dxa"/>
        <w:tblLayout w:type="fixed"/>
        <w:tblCellMar>
          <w:top w:w="0" w:type="dxa"/>
          <w:left w:w="0" w:type="dxa"/>
          <w:bottom w:w="0" w:type="dxa"/>
          <w:right w:w="0" w:type="dxa"/>
        </w:tblCellMar>
      </w:tblPr>
      <w:tblGrid>
        <w:gridCol w:w="2285"/>
        <w:gridCol w:w="23"/>
        <w:gridCol w:w="23"/>
        <w:gridCol w:w="1220"/>
        <w:gridCol w:w="23"/>
        <w:gridCol w:w="23"/>
        <w:gridCol w:w="1430"/>
      </w:tblGrid>
      <w:tr>
        <w:trPr/>
        <w:tc>
          <w:tcPr>
            <w:tcW w:w="22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2696" w:type="dxa"/>
            <w:gridSpan w:val="4"/>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22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1220"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1430"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1.13% - 1.96%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0.85% - 1.45% </w:t>
            </w:r>
          </w:p>
        </w:tc>
      </w:tr>
      <w:tr>
        <w:trPr/>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right"/>
              <w:rPr>
                <w:color w:val="000000"/>
              </w:rPr>
            </w:pPr>
            <w:r>
              <w:rPr>
                <w:color w:val="000000"/>
              </w:rPr>
              <w:t xml:space="preserve">—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1.0 - 7.0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5.0 - 7.0 </w:t>
            </w:r>
          </w:p>
        </w:tc>
      </w:tr>
      <w:tr>
        <w:trPr/>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95 %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95 %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of common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$23,005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$23,005 - 64,962</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weighted average grant date fair value of stock options granted to employees during the years ended December 31, 2022 and 2021 was $16,862 and $27,881,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2022, total unrecognized compensation expense related to unvested employee stock options was approximately $969,000, which is expected to be recognized over a weighted average period of 2.13 years.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stock option activity under the 2016 Plan and includes the effect to the 2021 Repricing: </w:t>
      </w:r>
    </w:p>
    <w:tbl>
      <w:tblPr>
        <w:tblW w:w="10064" w:type="dxa"/>
        <w:jc w:val="left"/>
        <w:tblInd w:w="0" w:type="dxa"/>
        <w:tblLayout w:type="fixed"/>
        <w:tblCellMar>
          <w:top w:w="0" w:type="dxa"/>
          <w:left w:w="0" w:type="dxa"/>
          <w:bottom w:w="0" w:type="dxa"/>
          <w:right w:w="0" w:type="dxa"/>
        </w:tblCellMar>
      </w:tblPr>
      <w:tblGrid>
        <w:gridCol w:w="4115"/>
        <w:gridCol w:w="23"/>
        <w:gridCol w:w="23"/>
        <w:gridCol w:w="845"/>
        <w:gridCol w:w="23"/>
        <w:gridCol w:w="23"/>
        <w:gridCol w:w="2420"/>
        <w:gridCol w:w="23"/>
        <w:gridCol w:w="23"/>
        <w:gridCol w:w="1400"/>
        <w:gridCol w:w="23"/>
        <w:gridCol w:w="23"/>
        <w:gridCol w:w="1100"/>
      </w:tblGrid>
      <w:tr>
        <w:trPr/>
        <w:tc>
          <w:tcPr>
            <w:tcW w:w="41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845"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2420"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1400"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years)</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1100"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December 31, 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153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20" w:type="dxa"/>
            <w:tcBorders/>
            <w:shd w:fill="CCEEFF" w:val="clear"/>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$18,755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7.88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$650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$23,005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0"/>
              <w:jc w:val="left"/>
              <w:rPr>
                <w:color w:val="000000"/>
              </w:rPr>
            </w:pPr>
            <w:r>
              <w:rPr>
                <w:color w:val="000000"/>
              </w:rPr>
              <w:t>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20" w:type="dxa"/>
            <w:tcBorders/>
            <w:shd w:fill="CCEEFF" w:val="clear"/>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$23,005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0"/>
              <w:jc w:val="left"/>
              <w:rPr>
                <w:color w:val="000000"/>
              </w:rPr>
            </w:pPr>
            <w:r>
              <w:rPr>
                <w:color w:val="000000"/>
              </w:rPr>
              <w:t>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$23,005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0"/>
              <w:jc w:val="left"/>
              <w:rPr>
                <w:color w:val="000000"/>
              </w:rPr>
            </w:pPr>
            <w:r>
              <w:rPr>
                <w:color w:val="000000"/>
              </w:rPr>
              <w:t>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20" w:type="dxa"/>
            <w:tcBorders/>
            <w:shd w:fill="CCEEFF" w:val="clear"/>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$18,727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6.90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$425</w:t>
            </w:r>
          </w:p>
        </w:tc>
      </w:tr>
      <w:tr>
        <w:trPr/>
        <w:tc>
          <w:tcPr>
            <w:tcW w:w="41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0"/>
              <w:jc w:val="left"/>
              <w:rPr>
                <w:color w:val="000000"/>
              </w:rPr>
            </w:pPr>
            <w:r>
              <w:rPr>
                <w:color w:val="000000"/>
              </w:rPr>
              <w:t>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at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110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20" w:type="dxa"/>
            <w:tcBorders/>
            <w:shd w:fill="CCEEFF" w:val="clear"/>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$17,094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6.25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 </w:t>
            </w:r>
          </w:p>
        </w:tc>
      </w:tr>
      <w:tr>
        <w:trPr/>
        <w:tc>
          <w:tcPr>
            <w:tcW w:w="411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Vested and expected to vest at December 31, 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152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$18,727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6.90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$425</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Income Taxes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income tax provision shown on the statements of income for the years ended December 31, 2022 and 2021 consists of the following (in thousands): </w:t>
      </w:r>
    </w:p>
    <w:tbl>
      <w:tblPr>
        <w:tblW w:w="2544" w:type="dxa"/>
        <w:jc w:val="left"/>
        <w:tblInd w:w="0" w:type="dxa"/>
        <w:tblLayout w:type="fixed"/>
        <w:tblCellMar>
          <w:top w:w="0" w:type="dxa"/>
          <w:left w:w="0" w:type="dxa"/>
          <w:bottom w:w="0" w:type="dxa"/>
          <w:right w:w="0" w:type="dxa"/>
        </w:tblCellMar>
      </w:tblPr>
      <w:tblGrid>
        <w:gridCol w:w="1430"/>
        <w:gridCol w:w="23"/>
        <w:gridCol w:w="23"/>
        <w:gridCol w:w="494"/>
        <w:gridCol w:w="29"/>
        <w:gridCol w:w="29"/>
        <w:gridCol w:w="516"/>
      </w:tblGrid>
      <w:tr>
        <w:trPr/>
        <w:tc>
          <w:tcPr>
            <w:tcW w:w="14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1068" w:type="dxa"/>
            <w:gridSpan w:val="4"/>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4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494"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9" w:type="dxa"/>
            <w:tcBorders>
              <w:bottom w:val="single" w:sz="2" w:space="0" w:color="FFFFFF"/>
            </w:tcBorders>
            <w:tcMar>
              <w:bottom w:w="80" w:type="dxa"/>
            </w:tcMar>
            <w:vAlign w:val="center"/>
          </w:tcPr>
          <w:p>
            <w:pPr>
              <w:pStyle w:val="TableContents"/>
              <w:bidi w:val="0"/>
              <w:spacing w:before="0" w:after="283"/>
              <w:jc w:val="left"/>
              <w:rPr/>
            </w:pPr>
            <w:r>
              <w:rPr/>
              <w:t>​</w:t>
            </w:r>
          </w:p>
        </w:tc>
        <w:tc>
          <w:tcPr>
            <w:tcW w:w="29" w:type="dxa"/>
            <w:tcBorders>
              <w:bottom w:val="single" w:sz="2" w:space="0" w:color="FFFFFF"/>
            </w:tcBorders>
            <w:tcMar>
              <w:bottom w:w="80" w:type="dxa"/>
            </w:tcMar>
            <w:vAlign w:val="center"/>
          </w:tcPr>
          <w:p>
            <w:pPr>
              <w:pStyle w:val="TableContents"/>
              <w:bidi w:val="0"/>
              <w:spacing w:before="0" w:after="283"/>
              <w:jc w:val="left"/>
              <w:rPr/>
            </w:pPr>
            <w:r>
              <w:rPr/>
              <w:t>​</w:t>
            </w:r>
          </w:p>
        </w:tc>
        <w:tc>
          <w:tcPr>
            <w:tcW w:w="516" w:type="dxa"/>
            <w:tcBorders>
              <w:bottom w:val="single" w:sz="8" w:space="0" w:color="000000"/>
            </w:tcBorders>
            <w:tcMar>
              <w:bottom w:w="8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Federal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94"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516"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4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283"/>
              <w:ind w:left="56" w:right="0" w:hanging="0"/>
              <w:jc w:val="left"/>
              <w:rPr>
                <w:color w:val="000000"/>
              </w:rPr>
            </w:pPr>
            <w:r>
              <w:rPr>
                <w:color w:val="00000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516" w:type="dxa"/>
            <w:tcBorders/>
            <w:vAlign w:val="center"/>
          </w:tcPr>
          <w:p>
            <w:pPr>
              <w:pStyle w:val="TableContents"/>
              <w:bidi w:val="0"/>
              <w:spacing w:before="0" w:after="283"/>
              <w:ind w:left="56" w:right="0" w:hanging="0"/>
              <w:jc w:val="left"/>
              <w:rPr>
                <w:color w:val="000000"/>
              </w:rPr>
            </w:pPr>
            <w:r>
              <w:rPr>
                <w:color w:val="000000"/>
              </w:rPr>
              <w:t xml:space="preserve">— </w:t>
            </w:r>
          </w:p>
        </w:tc>
      </w:tr>
      <w:tr>
        <w:trPr/>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Federal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94"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516" w:type="dxa"/>
            <w:tcBorders/>
            <w:shd w:fill="CCEEFF" w:val="clear"/>
            <w:vAlign w:val="center"/>
          </w:tcPr>
          <w:p>
            <w:pPr>
              <w:pStyle w:val="TableContents"/>
              <w:bidi w:val="0"/>
              <w:spacing w:before="0" w:after="283"/>
              <w:ind w:left="56" w:right="0" w:hanging="0"/>
              <w:jc w:val="left"/>
              <w:rPr>
                <w:color w:val="000000"/>
              </w:rPr>
            </w:pPr>
            <w:r>
              <w:rPr>
                <w:color w:val="000000"/>
              </w:rPr>
              <w:t xml:space="preserve">— </w:t>
            </w:r>
          </w:p>
        </w:tc>
      </w:tr>
      <w:tr>
        <w:trPr/>
        <w:tc>
          <w:tcPr>
            <w:tcW w:w="14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283"/>
              <w:ind w:left="56" w:right="0" w:hanging="0"/>
              <w:jc w:val="left"/>
              <w:rPr>
                <w:color w:val="000000"/>
                <w:bdr w:val="single" w:sz="8" w:space="1" w:color="000000"/>
              </w:rPr>
            </w:pPr>
            <w:r>
              <w:rPr>
                <w:color w:val="000000"/>
                <w:bdr w:val="single" w:sz="8" w:space="1" w:color="00000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516" w:type="dxa"/>
            <w:tcBorders/>
            <w:vAlign w:val="center"/>
          </w:tcPr>
          <w:p>
            <w:pPr>
              <w:pStyle w:val="TableContents"/>
              <w:bidi w:val="0"/>
              <w:spacing w:before="0" w:after="283"/>
              <w:ind w:left="56" w:right="0" w:hanging="0"/>
              <w:jc w:val="left"/>
              <w:rPr>
                <w:color w:val="000000"/>
                <w:bdr w:val="single" w:sz="8" w:space="1" w:color="000000"/>
              </w:rPr>
            </w:pPr>
            <w:r>
              <w:rPr>
                <w:color w:val="000000"/>
                <w:bdr w:val="single" w:sz="8" w:space="1" w:color="000000"/>
              </w:rPr>
              <w:t xml:space="preserve">— </w:t>
            </w:r>
          </w:p>
        </w:tc>
      </w:tr>
      <w:tr>
        <w:trPr/>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94"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516"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58" w:name="DSPFPageBreakArea145"/>
      <w:bookmarkStart w:id="759" w:name="DSPFPageBreakArea145"/>
      <w:bookmarkEnd w:id="75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60" w:name="DSPFPageBreak145"/>
      <w:bookmarkStart w:id="761" w:name="DSPFPageBreak145"/>
      <w:bookmarkEnd w:id="76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62" w:name="ny20014884x5_pre14a_301-annexb_pg17"/>
        <w:bookmarkEnd w:id="7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summary of difference between income tax benefit for the year ended December 31, 2022 and 2021, computed by applying the statutory federal income tax rate to earnings before taxes: </w:t>
      </w:r>
    </w:p>
    <w:tbl>
      <w:tblPr>
        <w:tblW w:w="6002" w:type="dxa"/>
        <w:jc w:val="left"/>
        <w:tblInd w:w="0" w:type="dxa"/>
        <w:tblLayout w:type="fixed"/>
        <w:tblCellMar>
          <w:top w:w="0" w:type="dxa"/>
          <w:left w:w="0" w:type="dxa"/>
          <w:bottom w:w="0" w:type="dxa"/>
          <w:right w:w="0" w:type="dxa"/>
        </w:tblCellMar>
      </w:tblPr>
      <w:tblGrid>
        <w:gridCol w:w="4430"/>
        <w:gridCol w:w="23"/>
        <w:gridCol w:w="23"/>
        <w:gridCol w:w="710"/>
        <w:gridCol w:w="23"/>
        <w:gridCol w:w="23"/>
        <w:gridCol w:w="770"/>
      </w:tblGrid>
      <w:tr>
        <w:trPr/>
        <w:tc>
          <w:tcPr>
            <w:tcW w:w="44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52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4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7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before Income Tax</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$(6,455)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$(3,640)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provision (benefit) at federal statutory rate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(764)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tax (net of federal benefit)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(237)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Based Compensation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items and other permanent differences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Adjustments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Valuation Allowance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2,096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845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(516</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 xml:space="preserve">—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Tax Provision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Company’s effective tax rate for the years ended December 31, 2022 and 2021 was 0.0%, primarily due to the full valuation allowance.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tax effects of temporary differences that give rise to the Company’s net deferred tax assets are as follows (in thousands): </w:t>
      </w:r>
    </w:p>
    <w:tbl>
      <w:tblPr>
        <w:tblW w:w="5447" w:type="dxa"/>
        <w:jc w:val="left"/>
        <w:tblInd w:w="0" w:type="dxa"/>
        <w:tblLayout w:type="fixed"/>
        <w:tblCellMar>
          <w:top w:w="0" w:type="dxa"/>
          <w:left w:w="0" w:type="dxa"/>
          <w:bottom w:w="0" w:type="dxa"/>
          <w:right w:w="0" w:type="dxa"/>
        </w:tblCellMar>
      </w:tblPr>
      <w:tblGrid>
        <w:gridCol w:w="4085"/>
        <w:gridCol w:w="23"/>
        <w:gridCol w:w="23"/>
        <w:gridCol w:w="605"/>
        <w:gridCol w:w="23"/>
        <w:gridCol w:w="23"/>
        <w:gridCol w:w="665"/>
      </w:tblGrid>
      <w:tr>
        <w:trPr/>
        <w:tc>
          <w:tcPr>
            <w:tcW w:w="40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31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0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0"/>
              <w:jc w:val="left"/>
              <w:rPr>
                <w:color w:val="000000"/>
              </w:rPr>
            </w:pPr>
            <w:r>
              <w:rPr>
                <w:color w:val="000000"/>
              </w:rPr>
              <w:t>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 carryforwards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5,012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352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based compensation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Charitable contribution carryforward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Accrual to cash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 carryforward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784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268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deferred tax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$7,218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$5,724</w:t>
            </w:r>
          </w:p>
        </w:tc>
      </w:tr>
      <w:tr>
        <w:trPr/>
        <w:tc>
          <w:tcPr>
            <w:tcW w:w="408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0"/>
              <w:jc w:val="left"/>
              <w:rPr>
                <w:color w:val="000000"/>
              </w:rPr>
            </w:pPr>
            <w:r>
              <w:rPr>
                <w:color w:val="000000"/>
              </w:rPr>
              <w:t>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0"/>
              <w:jc w:val="left"/>
              <w:rPr>
                <w:color w:val="000000"/>
              </w:rPr>
            </w:pPr>
            <w:r>
              <w:rPr>
                <w:color w:val="000000"/>
              </w:rPr>
              <w:t>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Accrual to cash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(513</w:t>
            </w:r>
            <w:r>
              <w:rPr>
                <w:rFonts w:ascii="Times New Roman;Times;serif" w:hAnsi="Times New Roman;Times;serif"/>
                <w:color w:val="000000"/>
                <w:sz w:val="2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(271</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(329</w:t>
            </w:r>
            <w:r>
              <w:rPr>
                <w:rFonts w:ascii="Times New Roman;Times;serif" w:hAnsi="Times New Roman;Times;serif"/>
                <w:color w:val="000000"/>
                <w:sz w:val="2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deferred tax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(325</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(927</w:t>
            </w:r>
            <w:r>
              <w:rPr>
                <w:rFonts w:ascii="Times New Roman;Times;serif" w:hAnsi="Times New Roman;Times;serif"/>
                <w:color w:val="000000"/>
                <w:sz w:val="2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assets before valuation allowance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6,894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4,798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Valuation allowance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(6,894</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(4,798</w:t>
            </w:r>
            <w:r>
              <w:rPr>
                <w:rFonts w:ascii="Times New Roman;Times;serif" w:hAnsi="Times New Roman;Times;serif"/>
                <w:color w:val="000000"/>
                <w:sz w:val="2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provided a full valuation allowance against its net deferred tax assets, as the Company believes that it is more likely than not that the deferred tax assets will not be realized. As of December 31, 2022, the Company has a net operating loss carryforward totaling $17.2 million (gross) that may be offset against future taxable income, of which $17.0 million can be carried forward indefinitely but will be subject to an 80% limitation. The Company has $0.5 million and $0.0 million, respectively, of federal and state research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63" w:name="DSPFPageBreakArea146"/>
      <w:bookmarkStart w:id="764" w:name="DSPFPageBreakArea146"/>
      <w:bookmarkEnd w:id="76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65" w:name="DSPFPageBreak146"/>
      <w:bookmarkStart w:id="766" w:name="DSPFPageBreak146"/>
      <w:bookmarkEnd w:id="76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67" w:name="ny20014884x5_pre14a_301-annexb_pg18"/>
        <w:bookmarkEnd w:id="7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development tax credit carryforwards, which will expire at various times through 2038. Utilization of the NOL carryforwards and research credit carryforwards may be subject to a substantial annual limitation under Section 382 of the Internal Revenue Code of 1986, as amended (the Code), and similar state law due to ownership changes that could occur in the future.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applies ASC 740, </w:t>
      </w:r>
      <w:r>
        <w:rPr>
          <w:rFonts w:ascii="Times New Roman;Times;serif" w:hAnsi="Times New Roman;Times;serif"/>
          <w:i/>
          <w:color w:val="000000"/>
          <w:sz w:val="20"/>
        </w:rPr>
        <w:t>Income Taxe</w:t>
      </w:r>
      <w:r>
        <w:rPr>
          <w:rFonts w:ascii="Times New Roman;Times;serif" w:hAnsi="Times New Roman;Times;serif"/>
          <w:color w:val="000000"/>
          <w:sz w:val="20"/>
        </w:rPr>
        <w:t xml:space="preserve">s to uncertain tax positions. As of the adoption date and through December 31, 2022, the Company had no unrecognized tax benefits or related interest and penalties accrued. The Company files income tax returns in the U.S. federal and Maryland jurisdictions. The Company is no longer subject to U.S. federal and Maryland income tax examinations by tax authorities for years before 2019. There are currently no federal, state or foreign audits in progress.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Commitments and Contingencies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2022, the Company was not a party to any litigation that could have a material effect on the Company’s business, financial position, results of operations or cash flows. The Company is a party in various other contractual disputes and potential claims arising from the ordinary course of business. The Company does not believe that the resolution of these matters will have a material adverse effect on the Company’s business, financial position, results of operations or cash flows.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Defined Contribution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each of the years ended December 31, 2022 and 2021, respectively.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License Agreements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National Institutes of Health – multiple myeloma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$460,758 and $345,322 as of December 31, 2022 and 2021, respectively. The associated expense was recorded as research and development expense in the respective periods. The Company estimated the liability at each balance sheet date as the present value of the probability weighted contingent payment amounts. In November 2023, the Company entered into a merger agreement with Selecta (see Subsequent Events note below), whereby the Company elected to pay $579,000 to the NIH in full satisfaction of the royalty provision. Payment was made in December 2023.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National Institutes of Health - autoimmune diseases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68" w:name="DSPFPageBreakArea147"/>
      <w:bookmarkStart w:id="769" w:name="DSPFPageBreakArea147"/>
      <w:bookmarkEnd w:id="76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70" w:name="DSPFPageBreak147"/>
      <w:bookmarkStart w:id="771" w:name="DSPFPageBreak147"/>
      <w:bookmarkEnd w:id="77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72" w:name="ny20014884x5_pre14a_301-annexb_pg19"/>
        <w:bookmarkEnd w:id="7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Subsequent Events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73" w:name="DSPFPageBreakArea148"/>
      <w:bookmarkStart w:id="774" w:name="DSPFPageBreakArea148"/>
      <w:bookmarkEnd w:id="77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75" w:name="DSPFPageBreak148"/>
      <w:bookmarkStart w:id="776" w:name="DSPFPageBreak148"/>
      <w:bookmarkEnd w:id="77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77" w:name="ny20014884x5_pre14a_302-annexc_pg1"/>
        <w:bookmarkEnd w:id="7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78" w:name="tAXC"/>
      <w:bookmarkEnd w:id="778"/>
      <w:r>
        <w:rPr>
          <w:rFonts w:ascii="Times New Roman;Times;serif" w:hAnsi="Times New Roman;Times;serif"/>
          <w:b/>
          <w:color w:val="000000"/>
          <w:sz w:val="20"/>
        </w:rPr>
        <w:t xml:space="preserve">Annex 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(Amounts in thousands, except share data)</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7610"/>
        <w:gridCol w:w="23"/>
        <w:gridCol w:w="23"/>
        <w:gridCol w:w="1255"/>
        <w:gridCol w:w="23"/>
        <w:gridCol w:w="23"/>
        <w:gridCol w:w="1248"/>
      </w:tblGrid>
      <w:tr>
        <w:trPr/>
        <w:tc>
          <w:tcPr>
            <w:tcW w:w="76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5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September 30, 2023</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48"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2022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0"/>
              <w:jc w:val="left"/>
              <w:rPr>
                <w:color w:val="000000"/>
              </w:rPr>
            </w:pPr>
            <w:r>
              <w:rPr>
                <w:color w:val="000000"/>
              </w:rPr>
              <w:t>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0"/>
              <w:jc w:val="left"/>
              <w:rPr>
                <w:color w:val="000000"/>
              </w:rPr>
            </w:pPr>
            <w:r>
              <w:rPr>
                <w:color w:val="000000"/>
              </w:rPr>
              <w:t>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6,875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12,001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994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994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Payroll tax credit receivable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248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59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$8,168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$13,405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0"/>
              <w:jc w:val="left"/>
              <w:rPr>
                <w:color w:val="000000"/>
              </w:rPr>
            </w:pPr>
            <w:r>
              <w:rPr>
                <w:color w:val="000000"/>
              </w:rPr>
              <w:t>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228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891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983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deposit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$14,610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preferred stock and stockholders’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0"/>
              <w:jc w:val="left"/>
              <w:rPr>
                <w:color w:val="000000"/>
              </w:rPr>
            </w:pPr>
            <w:r>
              <w:rPr>
                <w:color w:val="000000"/>
              </w:rPr>
              <w:t>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0"/>
              <w:jc w:val="left"/>
              <w:rPr>
                <w:color w:val="000000"/>
              </w:rPr>
            </w:pPr>
            <w:r>
              <w:rPr>
                <w:color w:val="000000"/>
              </w:rPr>
              <w:t>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228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NIH liability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569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1,513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949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$2,355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$1,638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Non-current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0"/>
              <w:jc w:val="left"/>
              <w:rPr>
                <w:color w:val="000000"/>
              </w:rPr>
            </w:pPr>
            <w:r>
              <w:rPr>
                <w:color w:val="000000"/>
              </w:rPr>
              <w:t>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liability, net of current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743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880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$3,098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$2,518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0"/>
              <w:jc w:val="left"/>
              <w:rPr>
                <w:color w:val="000000"/>
              </w:rPr>
            </w:pPr>
            <w:r>
              <w:rPr>
                <w:color w:val="000000"/>
              </w:rPr>
              <w:t> </w:t>
            </w:r>
          </w:p>
        </w:tc>
      </w:tr>
      <w:tr>
        <w:trPr/>
        <w:tc>
          <w:tcPr>
            <w:tcW w:w="76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A Preferred Stock; $0.01 par value, 220 authorized, 219.125 issued and outstanding as of September 30, 2023 and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9,623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9,623 </w:t>
            </w:r>
          </w:p>
        </w:tc>
      </w:tr>
      <w:tr>
        <w:trPr/>
        <w:tc>
          <w:tcPr>
            <w:tcW w:w="761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B Preferred Stock; $0.01 par value, 110 authorized, 109.267 issued and outstanding as of September 30, 2023 and December 31, 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7,128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7,128 </w:t>
            </w:r>
          </w:p>
        </w:tc>
      </w:tr>
      <w:tr>
        <w:trPr/>
        <w:tc>
          <w:tcPr>
            <w:tcW w:w="76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B-1 Preferred Stock; $0.01 par value, 77 authorized, 65.017 issued and outstanding as of September 30, 2023 and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3,162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3,162 </w:t>
            </w:r>
          </w:p>
        </w:tc>
      </w:tr>
      <w:tr>
        <w:trPr/>
        <w:tc>
          <w:tcPr>
            <w:tcW w:w="761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B-2 Preferred Stock; $0.01 par value, 195 authorized, 193.644 issued and outstanding as of September 30, 2023 and December 31, 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12,144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12,144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B-2 Preferred Stock Subscription Receivable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deficit: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0"/>
              <w:jc w:val="left"/>
              <w:rPr>
                <w:color w:val="000000"/>
              </w:rPr>
            </w:pPr>
            <w:r>
              <w:rPr>
                <w:color w:val="000000"/>
              </w:rPr>
              <w:t> </w:t>
            </w:r>
          </w:p>
        </w:tc>
      </w:tr>
      <w:tr>
        <w:trPr/>
        <w:tc>
          <w:tcPr>
            <w:tcW w:w="76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$0.01 par value, 3,200 authorized, 1,244.625 issued and outstanding as of September 30, 2023 and 1,240.625 issued and outstanding as of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7,985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7,432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(33,828</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(26,064</w:t>
            </w:r>
            <w:r>
              <w:rPr>
                <w:rFonts w:ascii="Times New Roman;Times;serif" w:hAnsi="Times New Roman;Times;serif"/>
                <w:color w:val="000000"/>
                <w:sz w:val="20"/>
              </w:rPr>
              <w:t xml:space="preserve">) </w:t>
            </w:r>
          </w:p>
        </w:tc>
      </w:tr>
      <w:tr>
        <w:trPr/>
        <w:tc>
          <w:tcPr>
            <w:tcW w:w="7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$(25,843</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$(18,632</w:t>
            </w:r>
            <w:r>
              <w:rPr>
                <w:rFonts w:ascii="Times New Roman;Times;serif" w:hAnsi="Times New Roman;Times;serif"/>
                <w:color w:val="000000"/>
                <w:sz w:val="20"/>
              </w:rPr>
              <w:t xml:space="preserve">) </w:t>
            </w:r>
          </w:p>
        </w:tc>
      </w:tr>
      <w:tr>
        <w:trPr/>
        <w:tc>
          <w:tcPr>
            <w:tcW w:w="7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preferred stock and stockholders’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ind w:left="3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$9,312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$14,610</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79" w:name="DSPFPageBreakArea149"/>
      <w:bookmarkStart w:id="780" w:name="DSPFPageBreakArea149"/>
      <w:bookmarkEnd w:id="78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81" w:name="DSPFPageBreak149"/>
      <w:bookmarkStart w:id="782" w:name="DSPFPageBreak149"/>
      <w:bookmarkEnd w:id="78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3" w:name="ny20014884x5_pre14a_302-annexc_pg2"/>
        <w:bookmarkEnd w:id="7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Statements of Operations and Comprehensive Loss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(Amounts in thousands)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4839" w:type="dxa"/>
        <w:jc w:val="left"/>
        <w:tblInd w:w="0" w:type="dxa"/>
        <w:tblLayout w:type="fixed"/>
        <w:tblCellMar>
          <w:top w:w="0" w:type="dxa"/>
          <w:left w:w="0" w:type="dxa"/>
          <w:bottom w:w="0" w:type="dxa"/>
          <w:right w:w="0" w:type="dxa"/>
        </w:tblCellMar>
      </w:tblPr>
      <w:tblGrid>
        <w:gridCol w:w="2225"/>
        <w:gridCol w:w="23"/>
        <w:gridCol w:w="23"/>
        <w:gridCol w:w="1232"/>
        <w:gridCol w:w="39"/>
        <w:gridCol w:w="39"/>
        <w:gridCol w:w="1258"/>
      </w:tblGrid>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6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September 30, </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3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39" w:type="dxa"/>
            <w:tcBorders>
              <w:bottom w:val="single" w:sz="2" w:space="0" w:color="FFFFFF"/>
            </w:tcBorders>
            <w:tcMar>
              <w:bottom w:w="85" w:type="dxa"/>
            </w:tcMar>
            <w:vAlign w:val="center"/>
          </w:tcPr>
          <w:p>
            <w:pPr>
              <w:pStyle w:val="TableContents"/>
              <w:bidi w:val="0"/>
              <w:spacing w:before="0" w:after="283"/>
              <w:jc w:val="left"/>
              <w:rPr/>
            </w:pPr>
            <w:r>
              <w:rPr/>
              <w:t>​</w:t>
            </w:r>
          </w:p>
        </w:tc>
        <w:tc>
          <w:tcPr>
            <w:tcW w:w="39" w:type="dxa"/>
            <w:tcBorders>
              <w:bottom w:val="single" w:sz="2" w:space="0" w:color="FFFFFF"/>
            </w:tcBorders>
            <w:tcMar>
              <w:bottom w:w="85" w:type="dxa"/>
            </w:tcMar>
            <w:vAlign w:val="center"/>
          </w:tcPr>
          <w:p>
            <w:pPr>
              <w:pStyle w:val="TableContents"/>
              <w:bidi w:val="0"/>
              <w:spacing w:before="0" w:after="283"/>
              <w:jc w:val="left"/>
              <w:rPr/>
            </w:pPr>
            <w:r>
              <w:rPr/>
              <w:t>​</w:t>
            </w:r>
          </w:p>
        </w:tc>
        <w:tc>
          <w:tcPr>
            <w:tcW w:w="1258"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revenue: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1,035</w:t>
            </w:r>
          </w:p>
        </w:tc>
      </w:tr>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0"/>
              <w:jc w:val="left"/>
              <w:rPr>
                <w:color w:val="000000"/>
              </w:rPr>
            </w:pPr>
            <w:r>
              <w:rPr>
                <w:color w:val="000000"/>
              </w:rPr>
              <w:t> </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0"/>
              <w:jc w:val="left"/>
              <w:rPr>
                <w:color w:val="000000"/>
              </w:rPr>
            </w:pPr>
            <w:r>
              <w:rPr>
                <w:color w:val="000000"/>
              </w:rPr>
              <w:t> </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0"/>
              <w:jc w:val="left"/>
              <w:rPr>
                <w:color w:val="000000"/>
              </w:rPr>
            </w:pPr>
            <w:r>
              <w:rPr>
                <w:color w:val="000000"/>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6,965</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5,273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1,286</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1,069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8,251</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6,342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(8,251)</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(5,307)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0"/>
              <w:jc w:val="left"/>
              <w:rPr>
                <w:color w:val="000000"/>
              </w:rPr>
            </w:pPr>
            <w:r>
              <w:rPr>
                <w:color w:val="000000"/>
              </w:rPr>
              <w:t> </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0"/>
              <w:jc w:val="left"/>
              <w:rPr>
                <w:color w:val="000000"/>
              </w:rPr>
            </w:pPr>
            <w:r>
              <w:rPr>
                <w:color w:val="000000"/>
              </w:rPr>
              <w:t>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311</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176</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101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487</w:t>
            </w:r>
          </w:p>
        </w:tc>
        <w:tc>
          <w:tcPr>
            <w:tcW w:w="39" w:type="dxa"/>
            <w:tcBorders/>
            <w:shd w:fill="CCEEFF" w:val="clear"/>
            <w:vAlign w:val="center"/>
          </w:tcPr>
          <w:p>
            <w:pPr>
              <w:pStyle w:val="TableContents"/>
              <w:bidi w:val="0"/>
              <w:spacing w:before="0" w:after="283"/>
              <w:jc w:val="left"/>
              <w:rPr/>
            </w:pPr>
            <w:r>
              <w:rPr/>
              <w:t>​</w:t>
            </w:r>
          </w:p>
        </w:tc>
        <w:tc>
          <w:tcPr>
            <w:tcW w:w="3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121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$(7,764</w:t>
            </w:r>
            <w:r>
              <w:rPr>
                <w:rFonts w:ascii="Times New Roman;Times;serif" w:hAnsi="Times New Roman;Times;serif"/>
                <w:color w:val="000000"/>
                <w:sz w:val="20"/>
              </w:rPr>
              <w:t>)</w:t>
            </w:r>
          </w:p>
        </w:tc>
        <w:tc>
          <w:tcPr>
            <w:tcW w:w="39" w:type="dxa"/>
            <w:tcBorders/>
            <w:vAlign w:val="center"/>
          </w:tcPr>
          <w:p>
            <w:pPr>
              <w:pStyle w:val="TableContents"/>
              <w:bidi w:val="0"/>
              <w:spacing w:before="0" w:after="283"/>
              <w:jc w:val="left"/>
              <w:rPr/>
            </w:pPr>
            <w:r>
              <w:rPr/>
              <w:t>​</w:t>
            </w:r>
          </w:p>
        </w:tc>
        <w:tc>
          <w:tcPr>
            <w:tcW w:w="39"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$(5,186</w:t>
            </w:r>
            <w:r>
              <w:rPr>
                <w:rFonts w:ascii="Times New Roman;Times;serif" w:hAnsi="Times New Roman;Times;serif"/>
                <w:color w:val="000000"/>
                <w:sz w:val="20"/>
              </w:rPr>
              <w:t>)</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84" w:name="DSPFPageBreakArea150"/>
      <w:bookmarkStart w:id="785" w:name="DSPFPageBreakArea150"/>
      <w:bookmarkEnd w:id="78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86" w:name="DSPFPageBreak150"/>
      <w:bookmarkStart w:id="787" w:name="DSPFPageBreak150"/>
      <w:bookmarkEnd w:id="78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8" w:name="ny20014884x5_pre14a_302-annexc_pg3"/>
        <w:bookmarkEnd w:id="7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Statements of Preferred Stock and Stockholders’ Deficit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(Amounts in thousands, except share amounts)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853"/>
        <w:gridCol w:w="23"/>
        <w:gridCol w:w="23"/>
        <w:gridCol w:w="410"/>
        <w:gridCol w:w="23"/>
        <w:gridCol w:w="23"/>
        <w:gridCol w:w="440"/>
        <w:gridCol w:w="23"/>
        <w:gridCol w:w="23"/>
        <w:gridCol w:w="410"/>
        <w:gridCol w:w="23"/>
        <w:gridCol w:w="23"/>
        <w:gridCol w:w="440"/>
        <w:gridCol w:w="23"/>
        <w:gridCol w:w="23"/>
        <w:gridCol w:w="365"/>
        <w:gridCol w:w="23"/>
        <w:gridCol w:w="23"/>
        <w:gridCol w:w="440"/>
        <w:gridCol w:w="23"/>
        <w:gridCol w:w="23"/>
        <w:gridCol w:w="410"/>
        <w:gridCol w:w="23"/>
        <w:gridCol w:w="23"/>
        <w:gridCol w:w="440"/>
        <w:gridCol w:w="23"/>
        <w:gridCol w:w="23"/>
        <w:gridCol w:w="652"/>
        <w:gridCol w:w="23"/>
        <w:gridCol w:w="23"/>
        <w:gridCol w:w="365"/>
        <w:gridCol w:w="23"/>
        <w:gridCol w:w="23"/>
        <w:gridCol w:w="440"/>
        <w:gridCol w:w="23"/>
        <w:gridCol w:w="23"/>
        <w:gridCol w:w="365"/>
        <w:gridCol w:w="23"/>
        <w:gridCol w:w="23"/>
        <w:gridCol w:w="440"/>
        <w:gridCol w:w="23"/>
        <w:gridCol w:w="23"/>
        <w:gridCol w:w="500"/>
        <w:gridCol w:w="23"/>
        <w:gridCol w:w="23"/>
        <w:gridCol w:w="442"/>
        <w:gridCol w:w="23"/>
        <w:gridCol w:w="23"/>
        <w:gridCol w:w="547"/>
        <w:gridCol w:w="23"/>
        <w:gridCol w:w="23"/>
        <w:gridCol w:w="712"/>
        <w:gridCol w:w="23"/>
        <w:gridCol w:w="23"/>
        <w:gridCol w:w="706"/>
      </w:tblGrid>
      <w:tr>
        <w:trPr/>
        <w:tc>
          <w:tcPr>
            <w:tcW w:w="85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A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B-1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B-2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652"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B-2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Stock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Subscription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Receivable</w:t>
            </w:r>
          </w:p>
        </w:tc>
        <w:tc>
          <w:tcPr>
            <w:tcW w:w="23" w:type="dxa"/>
            <w:vMerge w:val="restart"/>
            <w:tcBorders>
              <w:bottom w:val="single" w:sz="2" w:space="0" w:color="FFFFFF"/>
              <w:right w:val="single" w:sz="8" w:space="0" w:color="000000"/>
            </w:tcBorders>
            <w:tcMar>
              <w:bottom w:w="85" w:type="dxa"/>
              <w:right w:w="28"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A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8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Common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547"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Additional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Paid-In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Capital</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712"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Accumulated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Deficit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706"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Total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Stockholders’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Deficit </w:t>
            </w:r>
          </w:p>
        </w:tc>
      </w:tr>
      <w:tr>
        <w:trPr/>
        <w:tc>
          <w:tcPr>
            <w:tcW w:w="85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652"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right w:val="single" w:sz="8" w:space="0" w:color="000000"/>
            </w:tcBorders>
            <w:tcMar>
              <w:bottom w:w="85" w:type="dxa"/>
              <w:right w:w="28" w:type="dxa"/>
            </w:tcMar>
            <w:vAlign w:val="center"/>
          </w:tcPr>
          <w:p>
            <w:pPr>
              <w:pStyle w:val="Normal"/>
              <w:bidi w:val="0"/>
              <w:jc w:val="left"/>
              <w:rPr/>
            </w:pPr>
            <w:r>
              <w:rPr/>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Amount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547"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712"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706" w:type="dxa"/>
            <w:vMerge w:val="continue"/>
            <w:tcBorders>
              <w:bottom w:val="single" w:sz="8" w:space="0" w:color="000000"/>
            </w:tcBorders>
            <w:tcMar>
              <w:bottom w:w="85" w:type="dxa"/>
            </w:tcMar>
            <w:vAlign w:val="center"/>
          </w:tcPr>
          <w:p>
            <w:pPr>
              <w:pStyle w:val="Normal"/>
              <w:bidi w:val="0"/>
              <w:jc w:val="left"/>
              <w:rPr/>
            </w:pPr>
            <w:r>
              <w:rPr/>
            </w:r>
          </w:p>
        </w:tc>
      </w:tr>
      <w:tr>
        <w:trPr/>
        <w:tc>
          <w:tcPr>
            <w:tcW w:w="853" w:type="dxa"/>
            <w:tcBorders/>
            <w:shd w:fill="CCEEFF" w:val="clear"/>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Balance at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219.125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$9,623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109.267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$7,128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65.017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$3,162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193.644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$12,144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$(1,333</w:t>
            </w:r>
            <w:r>
              <w:rPr>
                <w:rFonts w:ascii="Times New Roman;Times;serif" w:hAnsi="Times New Roman;Times;serif"/>
                <w:color w:val="000000"/>
                <w:sz w:val="12"/>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1,240.625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$7,432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$(26,064</w:t>
            </w:r>
            <w:r>
              <w:rPr>
                <w:rFonts w:ascii="Times New Roman;Times;serif" w:hAnsi="Times New Roman;Times;serif"/>
                <w:color w:val="000000"/>
                <w:sz w:val="12"/>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$(18,632</w:t>
            </w:r>
            <w:r>
              <w:rPr>
                <w:rFonts w:ascii="Times New Roman;Times;serif" w:hAnsi="Times New Roman;Times;serif"/>
                <w:color w:val="000000"/>
                <w:sz w:val="12"/>
              </w:rPr>
              <w:t xml:space="preserve">) </w:t>
            </w:r>
          </w:p>
        </w:tc>
      </w:tr>
      <w:tr>
        <w:trPr/>
        <w:tc>
          <w:tcPr>
            <w:tcW w:w="853" w:type="dxa"/>
            <w:tcBorders/>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Subscription Receivable from preferred stockholders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ind w:left="144" w:right="0" w:hanging="0"/>
              <w:jc w:val="left"/>
              <w:rPr>
                <w:rFonts w:ascii="Times New Roman;Times;serif" w:hAnsi="Times New Roman;Times;serif"/>
                <w:color w:val="000000"/>
                <w:sz w:val="12"/>
              </w:rPr>
            </w:pPr>
            <w:r>
              <w:rPr>
                <w:rFonts w:ascii="Times New Roman;Times;serif" w:hAnsi="Times New Roman;Times;serif"/>
                <w:color w:val="000000"/>
                <w:sz w:val="12"/>
              </w:rPr>
              <w:t>1,333</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2"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11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ind w:left="1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141" w:right="0" w:hanging="0"/>
              <w:jc w:val="left"/>
              <w:rPr>
                <w:color w:val="000000"/>
              </w:rPr>
            </w:pPr>
            <w:r>
              <w:rPr>
                <w:color w:val="000000"/>
              </w:rPr>
              <w:t xml:space="preserve">— </w:t>
            </w:r>
          </w:p>
        </w:tc>
      </w:tr>
      <w:tr>
        <w:trPr/>
        <w:tc>
          <w:tcPr>
            <w:tcW w:w="853" w:type="dxa"/>
            <w:tcBorders/>
            <w:shd w:fill="CCEEFF" w:val="clear"/>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Stock-based compensation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7"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2"/>
              </w:rPr>
            </w:pPr>
            <w:r>
              <w:rPr>
                <w:rFonts w:ascii="Times New Roman;Times;serif" w:hAnsi="Times New Roman;Times;serif"/>
                <w:color w:val="000000"/>
                <w:sz w:val="12"/>
              </w:rPr>
              <w:t>461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461 </w:t>
            </w:r>
          </w:p>
        </w:tc>
      </w:tr>
      <w:tr>
        <w:trPr/>
        <w:tc>
          <w:tcPr>
            <w:tcW w:w="853" w:type="dxa"/>
            <w:tcBorders/>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 xml:space="preserve">Exercise of options to purchase common </w:t>
            </w:r>
          </w:p>
          <w:p>
            <w:pPr>
              <w:pStyle w:val="TableContents"/>
              <w:bidi w:val="0"/>
              <w:spacing w:before="0" w:after="283"/>
              <w:ind w:left="122" w:right="0" w:hanging="0"/>
              <w:jc w:val="left"/>
              <w:rPr>
                <w:rFonts w:ascii="Times New Roman;Times;serif" w:hAnsi="Times New Roman;Times;serif"/>
                <w:color w:val="000000"/>
                <w:sz w:val="12"/>
              </w:rPr>
            </w:pPr>
            <w:r>
              <w:rPr>
                <w:rFonts w:ascii="Times New Roman;Times;serif" w:hAnsi="Times New Roman;Times;serif"/>
                <w:color w:val="000000"/>
                <w:sz w:val="12"/>
              </w:rPr>
              <w:t>stock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ind w:left="144" w:right="0" w:hanging="0"/>
              <w:jc w:val="left"/>
              <w:rPr>
                <w:color w:val="000000"/>
              </w:rPr>
            </w:pPr>
            <w:r>
              <w:rPr>
                <w:color w:val="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4.000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2"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110" w:right="0" w:hanging="0"/>
              <w:jc w:val="left"/>
              <w:rPr>
                <w:rFonts w:ascii="Times New Roman;Times;serif" w:hAnsi="Times New Roman;Times;serif"/>
                <w:color w:val="000000"/>
                <w:sz w:val="12"/>
              </w:rPr>
            </w:pPr>
            <w:r>
              <w:rPr>
                <w:rFonts w:ascii="Times New Roman;Times;serif" w:hAnsi="Times New Roman;Times;serif"/>
                <w:color w:val="000000"/>
                <w:sz w:val="12"/>
              </w:rPr>
              <w:t>92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ind w:left="1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92 </w:t>
            </w:r>
          </w:p>
        </w:tc>
      </w:tr>
      <w:tr>
        <w:trPr/>
        <w:tc>
          <w:tcPr>
            <w:tcW w:w="8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Net loss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5"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ind w:left="144" w:right="0" w:hanging="0"/>
              <w:jc w:val="left"/>
              <w:rPr>
                <w:color w:val="000000"/>
                <w:bdr w:val="single" w:sz="8" w:space="1" w:color="000000"/>
              </w:rPr>
            </w:pPr>
            <w:r>
              <w:rPr>
                <w:color w:val="000000"/>
                <w:bdr w:val="single" w:sz="8" w:space="1" w:color="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7" w:type="dxa"/>
            <w:tcBorders/>
            <w:shd w:fill="CCEEFF" w:val="clear"/>
            <w:vAlign w:val="center"/>
          </w:tcPr>
          <w:p>
            <w:pPr>
              <w:pStyle w:val="TableContents"/>
              <w:bidi w:val="0"/>
              <w:spacing w:before="0" w:after="283"/>
              <w:ind w:left="11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(7,764</w:t>
            </w:r>
            <w:r>
              <w:rPr>
                <w:rFonts w:ascii="Times New Roman;Times;serif" w:hAnsi="Times New Roman;Times;serif"/>
                <w:color w:val="000000"/>
                <w:sz w:val="12"/>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(7,764</w:t>
            </w:r>
            <w:r>
              <w:rPr>
                <w:rFonts w:ascii="Times New Roman;Times;serif" w:hAnsi="Times New Roman;Times;serif"/>
                <w:color w:val="000000"/>
                <w:sz w:val="12"/>
              </w:rPr>
              <w:t xml:space="preserve">) </w:t>
            </w:r>
          </w:p>
        </w:tc>
      </w:tr>
      <w:tr>
        <w:trPr/>
        <w:tc>
          <w:tcPr>
            <w:tcW w:w="853" w:type="dxa"/>
            <w:tcBorders/>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Balance at September 30,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219.125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$9,623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109.267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$7,128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65.017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$3,162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193.644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5"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$12,144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ind w:left="144"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1,244.625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2"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11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$7,985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$(33,828</w:t>
            </w:r>
            <w:r>
              <w:rPr>
                <w:rFonts w:ascii="Times New Roman;Times;serif" w:hAnsi="Times New Roman;Times;serif"/>
                <w:color w:val="000000"/>
                <w:sz w:val="1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141"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$(25,843</w:t>
            </w:r>
            <w:r>
              <w:rPr>
                <w:rFonts w:ascii="Times New Roman;Times;serif" w:hAnsi="Times New Roman;Times;serif"/>
                <w:color w:val="000000"/>
                <w:sz w:val="12"/>
              </w:rPr>
              <w:t>)</w:t>
            </w:r>
          </w:p>
        </w:tc>
      </w:tr>
    </w:tbl>
    <w:tbl>
      <w:tblPr>
        <w:tblW w:w="10205" w:type="dxa"/>
        <w:jc w:val="left"/>
        <w:tblInd w:w="0" w:type="dxa"/>
        <w:tblLayout w:type="fixed"/>
        <w:tblCellMar>
          <w:top w:w="0" w:type="dxa"/>
          <w:left w:w="0" w:type="dxa"/>
          <w:bottom w:w="0" w:type="dxa"/>
          <w:right w:w="0" w:type="dxa"/>
        </w:tblCellMar>
      </w:tblPr>
      <w:tblGrid>
        <w:gridCol w:w="866"/>
        <w:gridCol w:w="23"/>
        <w:gridCol w:w="23"/>
        <w:gridCol w:w="410"/>
        <w:gridCol w:w="23"/>
        <w:gridCol w:w="23"/>
        <w:gridCol w:w="440"/>
        <w:gridCol w:w="23"/>
        <w:gridCol w:w="23"/>
        <w:gridCol w:w="410"/>
        <w:gridCol w:w="23"/>
        <w:gridCol w:w="23"/>
        <w:gridCol w:w="440"/>
        <w:gridCol w:w="23"/>
        <w:gridCol w:w="23"/>
        <w:gridCol w:w="365"/>
        <w:gridCol w:w="23"/>
        <w:gridCol w:w="23"/>
        <w:gridCol w:w="440"/>
        <w:gridCol w:w="23"/>
        <w:gridCol w:w="23"/>
        <w:gridCol w:w="365"/>
        <w:gridCol w:w="23"/>
        <w:gridCol w:w="23"/>
        <w:gridCol w:w="440"/>
        <w:gridCol w:w="23"/>
        <w:gridCol w:w="23"/>
        <w:gridCol w:w="655"/>
        <w:gridCol w:w="23"/>
        <w:gridCol w:w="23"/>
        <w:gridCol w:w="365"/>
        <w:gridCol w:w="23"/>
        <w:gridCol w:w="23"/>
        <w:gridCol w:w="440"/>
        <w:gridCol w:w="23"/>
        <w:gridCol w:w="23"/>
        <w:gridCol w:w="365"/>
        <w:gridCol w:w="23"/>
        <w:gridCol w:w="23"/>
        <w:gridCol w:w="440"/>
        <w:gridCol w:w="23"/>
        <w:gridCol w:w="23"/>
        <w:gridCol w:w="500"/>
        <w:gridCol w:w="23"/>
        <w:gridCol w:w="23"/>
        <w:gridCol w:w="445"/>
        <w:gridCol w:w="23"/>
        <w:gridCol w:w="23"/>
        <w:gridCol w:w="550"/>
        <w:gridCol w:w="23"/>
        <w:gridCol w:w="23"/>
        <w:gridCol w:w="715"/>
        <w:gridCol w:w="23"/>
        <w:gridCol w:w="23"/>
        <w:gridCol w:w="726"/>
      </w:tblGrid>
      <w:tr>
        <w:trPr/>
        <w:tc>
          <w:tcPr>
            <w:tcW w:w="86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A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B-1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B-2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655"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B-2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Stock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Subscription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Receivable</w:t>
            </w:r>
          </w:p>
        </w:tc>
        <w:tc>
          <w:tcPr>
            <w:tcW w:w="23" w:type="dxa"/>
            <w:vMerge w:val="restart"/>
            <w:tcBorders>
              <w:bottom w:val="single" w:sz="2" w:space="0" w:color="FFFFFF"/>
              <w:right w:val="single" w:sz="8" w:space="0" w:color="000000"/>
            </w:tcBorders>
            <w:tcMar>
              <w:bottom w:w="85" w:type="dxa"/>
              <w:right w:w="28"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A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5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Series B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Preferred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9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Common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Stock</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550"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Additional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Paid-In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Capital</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715"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Accumulated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Deficit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85" w:type="dxa"/>
            </w:tcMar>
            <w:vAlign w:val="center"/>
          </w:tcPr>
          <w:p>
            <w:pPr>
              <w:pStyle w:val="TableContents"/>
              <w:bidi w:val="0"/>
              <w:spacing w:before="0" w:after="283"/>
              <w:jc w:val="left"/>
              <w:rPr/>
            </w:pPr>
            <w:r>
              <w:rPr/>
              <w:t>​</w:t>
            </w:r>
          </w:p>
        </w:tc>
        <w:tc>
          <w:tcPr>
            <w:tcW w:w="726" w:type="dxa"/>
            <w:vMerge w:val="restart"/>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Total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Shareholders’ </w:t>
            </w:r>
          </w:p>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Deficit </w:t>
            </w:r>
          </w:p>
        </w:tc>
      </w:tr>
      <w:tr>
        <w:trPr/>
        <w:tc>
          <w:tcPr>
            <w:tcW w:w="86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655"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right w:val="single" w:sz="8" w:space="0" w:color="000000"/>
            </w:tcBorders>
            <w:tcMar>
              <w:bottom w:w="85" w:type="dxa"/>
              <w:right w:w="28" w:type="dxa"/>
            </w:tcMar>
            <w:vAlign w:val="center"/>
          </w:tcPr>
          <w:p>
            <w:pPr>
              <w:pStyle w:val="Normal"/>
              <w:bidi w:val="0"/>
              <w:jc w:val="left"/>
              <w:rPr/>
            </w:pPr>
            <w:r>
              <w:rPr/>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Amount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2"/>
              </w:rPr>
            </w:pPr>
            <w:r>
              <w:rPr>
                <w:rFonts w:ascii="Times New Roman;Times;serif" w:hAnsi="Times New Roman;Times;serif"/>
                <w:b/>
                <w:color w:val="000000"/>
                <w:sz w:val="12"/>
              </w:rPr>
              <w:t xml:space="preserve">Amount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550"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715" w:type="dxa"/>
            <w:vMerge w:val="continue"/>
            <w:tcBorders>
              <w:bottom w:val="single" w:sz="8" w:space="0" w:color="000000"/>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23" w:type="dxa"/>
            <w:vMerge w:val="continue"/>
            <w:tcBorders>
              <w:bottom w:val="single" w:sz="2" w:space="0" w:color="FFFFFF"/>
            </w:tcBorders>
            <w:tcMar>
              <w:bottom w:w="85" w:type="dxa"/>
            </w:tcMar>
            <w:vAlign w:val="center"/>
          </w:tcPr>
          <w:p>
            <w:pPr>
              <w:pStyle w:val="Normal"/>
              <w:bidi w:val="0"/>
              <w:jc w:val="left"/>
              <w:rPr/>
            </w:pPr>
            <w:r>
              <w:rPr/>
            </w:r>
          </w:p>
        </w:tc>
        <w:tc>
          <w:tcPr>
            <w:tcW w:w="726" w:type="dxa"/>
            <w:vMerge w:val="continue"/>
            <w:tcBorders>
              <w:bottom w:val="single" w:sz="8" w:space="0" w:color="000000"/>
            </w:tcBorders>
            <w:tcMar>
              <w:bottom w:w="85" w:type="dxa"/>
            </w:tcMar>
            <w:vAlign w:val="center"/>
          </w:tcPr>
          <w:p>
            <w:pPr>
              <w:pStyle w:val="Normal"/>
              <w:bidi w:val="0"/>
              <w:jc w:val="left"/>
              <w:rPr/>
            </w:pPr>
            <w:r>
              <w:rPr/>
            </w:r>
          </w:p>
        </w:tc>
      </w:tr>
      <w:tr>
        <w:trPr/>
        <w:tc>
          <w:tcPr>
            <w:tcW w:w="866" w:type="dxa"/>
            <w:tcBorders/>
            <w:shd w:fill="CCEEFF" w:val="clear"/>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Balance at December 31, 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219.125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$9,623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109.267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$7,128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65.017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$3,162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1,237.625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5"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$6,644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$(19,609</w:t>
            </w:r>
            <w:r>
              <w:rPr>
                <w:rFonts w:ascii="Times New Roman;Times;serif" w:hAnsi="Times New Roman;Times;serif"/>
                <w:color w:val="000000"/>
                <w:sz w:val="12"/>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$(12,965</w:t>
            </w:r>
            <w:r>
              <w:rPr>
                <w:rFonts w:ascii="Times New Roman;Times;serif" w:hAnsi="Times New Roman;Times;serif"/>
                <w:color w:val="000000"/>
                <w:sz w:val="12"/>
              </w:rPr>
              <w:t xml:space="preserve">) </w:t>
            </w:r>
          </w:p>
        </w:tc>
      </w:tr>
      <w:tr>
        <w:trPr/>
        <w:tc>
          <w:tcPr>
            <w:tcW w:w="866" w:type="dxa"/>
            <w:tcBorders/>
            <w:vAlign w:val="center"/>
          </w:tcPr>
          <w:p>
            <w:pPr>
              <w:pStyle w:val="TableContents"/>
              <w:bidi w:val="0"/>
              <w:spacing w:before="0" w:after="283"/>
              <w:ind w:left="122" w:right="0" w:hanging="122"/>
              <w:jc w:val="left"/>
              <w:rPr>
                <w:rFonts w:ascii="Times New Roman;Times;serif" w:hAnsi="Times New Roman;Times;serif"/>
                <w:color w:val="000000"/>
                <w:sz w:val="12"/>
              </w:rPr>
            </w:pPr>
            <w:r>
              <w:rPr>
                <w:rFonts w:ascii="Times New Roman;Times;serif" w:hAnsi="Times New Roman;Times;serif"/>
                <w:color w:val="000000"/>
                <w:sz w:val="12"/>
              </w:rPr>
              <w:t>Stock-based compensation expense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5" w:type="dxa"/>
            <w:tcBorders/>
            <w:vAlign w:val="center"/>
          </w:tcPr>
          <w:p>
            <w:pPr>
              <w:pStyle w:val="TableContents"/>
              <w:bidi w:val="0"/>
              <w:spacing w:before="0" w:after="283"/>
              <w:ind w:left="241" w:right="0" w:hanging="0"/>
              <w:jc w:val="left"/>
              <w:rPr>
                <w:color w:val="000000"/>
              </w:rPr>
            </w:pPr>
            <w:r>
              <w:rPr>
                <w:color w:val="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5" w:type="dxa"/>
            <w:tcBorders/>
            <w:vAlign w:val="center"/>
          </w:tcPr>
          <w:p>
            <w:pPr>
              <w:pStyle w:val="TableContents"/>
              <w:bidi w:val="0"/>
              <w:spacing w:before="0" w:after="283"/>
              <w:ind w:left="12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50" w:type="dxa"/>
            <w:tcBorders/>
            <w:vAlign w:val="center"/>
          </w:tcPr>
          <w:p>
            <w:pPr>
              <w:pStyle w:val="TableContents"/>
              <w:bidi w:val="0"/>
              <w:spacing w:before="0" w:after="283"/>
              <w:ind w:left="110" w:right="0" w:hanging="0"/>
              <w:jc w:val="left"/>
              <w:rPr>
                <w:rFonts w:ascii="Times New Roman;Times;serif" w:hAnsi="Times New Roman;Times;serif"/>
                <w:color w:val="000000"/>
                <w:sz w:val="12"/>
              </w:rPr>
            </w:pPr>
            <w:r>
              <w:rPr>
                <w:rFonts w:ascii="Times New Roman;Times;serif" w:hAnsi="Times New Roman;Times;serif"/>
                <w:color w:val="000000"/>
                <w:sz w:val="12"/>
              </w:rPr>
              <w:t>579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283"/>
              <w:ind w:left="1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283"/>
              <w:ind w:left="146" w:right="0" w:hanging="0"/>
              <w:jc w:val="left"/>
              <w:rPr>
                <w:rFonts w:ascii="Times New Roman;Times;serif" w:hAnsi="Times New Roman;Times;serif"/>
                <w:color w:val="000000"/>
                <w:sz w:val="12"/>
              </w:rPr>
            </w:pPr>
            <w:r>
              <w:rPr>
                <w:rFonts w:ascii="Times New Roman;Times;serif" w:hAnsi="Times New Roman;Times;serif"/>
                <w:color w:val="000000"/>
                <w:sz w:val="12"/>
              </w:rPr>
              <w:t xml:space="preserve">579 </w:t>
            </w:r>
          </w:p>
        </w:tc>
      </w:tr>
      <w:tr>
        <w:trPr/>
        <w:tc>
          <w:tcPr>
            <w:tcW w:w="8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2"/>
              </w:rPr>
            </w:pPr>
            <w:r>
              <w:rPr>
                <w:rFonts w:ascii="Times New Roman;Times;serif" w:hAnsi="Times New Roman;Times;serif"/>
                <w:color w:val="000000"/>
                <w:sz w:val="12"/>
              </w:rPr>
              <w:t>Net loss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7"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46"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ind w:left="241" w:right="0" w:hanging="0"/>
              <w:jc w:val="left"/>
              <w:rPr>
                <w:color w:val="000000"/>
                <w:bdr w:val="single" w:sz="8" w:space="1" w:color="000000"/>
              </w:rPr>
            </w:pPr>
            <w:r>
              <w:rPr>
                <w:color w:val="000000"/>
                <w:bdr w:val="single" w:sz="8" w:space="1" w:color="000000"/>
              </w:rPr>
              <w:t>—</w:t>
            </w:r>
          </w:p>
        </w:tc>
        <w:tc>
          <w:tcPr>
            <w:tcW w:w="23"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5" w:type="dxa"/>
            <w:tcBorders/>
            <w:shd w:fill="CCEEFF" w:val="clear"/>
            <w:vAlign w:val="center"/>
          </w:tcPr>
          <w:p>
            <w:pPr>
              <w:pStyle w:val="TableContents"/>
              <w:bidi w:val="0"/>
              <w:spacing w:before="0" w:after="283"/>
              <w:ind w:left="12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ind w:left="110"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(5,186</w:t>
            </w:r>
            <w:r>
              <w:rPr>
                <w:rFonts w:ascii="Times New Roman;Times;serif" w:hAnsi="Times New Roman;Times;serif"/>
                <w:color w:val="000000"/>
                <w:sz w:val="12"/>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(5,186</w:t>
            </w:r>
            <w:r>
              <w:rPr>
                <w:rFonts w:ascii="Times New Roman;Times;serif" w:hAnsi="Times New Roman;Times;serif"/>
                <w:color w:val="000000"/>
                <w:sz w:val="12"/>
              </w:rPr>
              <w:t xml:space="preserve">) </w:t>
            </w:r>
          </w:p>
        </w:tc>
      </w:tr>
      <w:tr>
        <w:trPr/>
        <w:tc>
          <w:tcPr>
            <w:tcW w:w="866" w:type="dxa"/>
            <w:tcBorders/>
            <w:vAlign w:val="center"/>
          </w:tcPr>
          <w:p>
            <w:pPr>
              <w:pStyle w:val="TableContents"/>
              <w:bidi w:val="0"/>
              <w:spacing w:before="0" w:after="283"/>
              <w:ind w:left="122" w:right="0" w:hanging="122"/>
              <w:jc w:val="left"/>
              <w:rPr>
                <w:rFonts w:ascii="Times New Roman;Times;serif" w:hAnsi="Times New Roman;Times;serif"/>
                <w:b/>
                <w:color w:val="000000"/>
                <w:sz w:val="12"/>
              </w:rPr>
            </w:pPr>
            <w:r>
              <w:rPr>
                <w:rFonts w:ascii="Times New Roman;Times;serif" w:hAnsi="Times New Roman;Times;serif"/>
                <w:b/>
                <w:color w:val="000000"/>
                <w:sz w:val="12"/>
              </w:rPr>
              <w:t>Balance at September 30, 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219.125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$9,623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109.267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$7,128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7"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65.017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46"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$3,162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5" w:type="dxa"/>
            <w:tcBorders/>
            <w:vAlign w:val="center"/>
          </w:tcPr>
          <w:p>
            <w:pPr>
              <w:pStyle w:val="TableContents"/>
              <w:bidi w:val="0"/>
              <w:spacing w:before="0" w:after="283"/>
              <w:ind w:left="241"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right w:val="single" w:sz="8" w:space="0" w:color="000000"/>
            </w:tcBorders>
            <w:tcMar>
              <w:right w:w="2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ind w:left="114"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1,237.625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5" w:type="dxa"/>
            <w:tcBorders/>
            <w:vAlign w:val="center"/>
          </w:tcPr>
          <w:p>
            <w:pPr>
              <w:pStyle w:val="TableContents"/>
              <w:bidi w:val="0"/>
              <w:spacing w:before="0" w:after="283"/>
              <w:ind w:left="122"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50" w:type="dxa"/>
            <w:tcBorders/>
            <w:vAlign w:val="center"/>
          </w:tcPr>
          <w:p>
            <w:pPr>
              <w:pStyle w:val="TableContents"/>
              <w:bidi w:val="0"/>
              <w:spacing w:before="0" w:after="283"/>
              <w:ind w:left="110" w:right="0" w:hanging="0"/>
              <w:jc w:val="left"/>
              <w:rPr>
                <w:rFonts w:ascii="Times New Roman;Times;serif" w:hAnsi="Times New Roman;Times;serif"/>
                <w:color w:val="000000"/>
                <w:sz w:val="12"/>
                <w:bdr w:val="single" w:sz="8" w:space="1" w:color="000000"/>
              </w:rPr>
            </w:pPr>
            <w:r>
              <w:rPr>
                <w:rFonts w:ascii="Times New Roman;Times;serif" w:hAnsi="Times New Roman;Times;serif"/>
                <w:color w:val="000000"/>
                <w:sz w:val="12"/>
                <w:bdr w:val="single" w:sz="8" w:space="1" w:color="000000"/>
              </w:rPr>
              <w:t>$7,223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283"/>
              <w:ind w:left="127"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$(24,795</w:t>
            </w:r>
            <w:r>
              <w:rPr>
                <w:rFonts w:ascii="Times New Roman;Times;serif" w:hAnsi="Times New Roman;Times;serif"/>
                <w:color w:val="000000"/>
                <w:sz w:val="12"/>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283"/>
              <w:ind w:left="146" w:right="0" w:hanging="0"/>
              <w:jc w:val="left"/>
              <w:rPr>
                <w:rFonts w:ascii="Times New Roman;Times;serif" w:hAnsi="Times New Roman;Times;serif"/>
                <w:color w:val="000000"/>
                <w:sz w:val="12"/>
              </w:rPr>
            </w:pPr>
            <w:r>
              <w:rPr>
                <w:rFonts w:ascii="Times New Roman;Times;serif" w:hAnsi="Times New Roman;Times;serif"/>
                <w:color w:val="000000"/>
                <w:sz w:val="12"/>
                <w:bdr w:val="single" w:sz="8" w:space="1" w:color="000000"/>
              </w:rPr>
              <w:t>$(17,572</w:t>
            </w:r>
            <w:r>
              <w:rPr>
                <w:rFonts w:ascii="Times New Roman;Times;serif" w:hAnsi="Times New Roman;Times;serif"/>
                <w:color w:val="000000"/>
                <w:sz w:val="12"/>
              </w:rPr>
              <w:t>)</w:t>
            </w:r>
          </w:p>
        </w:tc>
      </w:tr>
    </w:tbl>
    <w:p>
      <w:pPr>
        <w:pStyle w:val="TextBody"/>
        <w:bidi w:val="0"/>
        <w:spacing w:before="189" w:after="283"/>
        <w:ind w:left="60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financial statements.</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89" w:name="DSPFPageBreakArea151"/>
      <w:bookmarkStart w:id="790" w:name="DSPFPageBreakArea151"/>
      <w:bookmarkEnd w:id="79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91" w:name="DSPFPageBreak151"/>
      <w:bookmarkStart w:id="792" w:name="DSPFPageBreak151"/>
      <w:bookmarkEnd w:id="79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93" w:name="ny20014884x5_pre14a_302-annexc_pg4"/>
        <w:bookmarkEnd w:id="7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Statements of Cash Flows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(Amounts in thousands)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8498" w:type="dxa"/>
        <w:jc w:val="left"/>
        <w:tblInd w:w="0" w:type="dxa"/>
        <w:tblLayout w:type="fixed"/>
        <w:tblCellMar>
          <w:top w:w="0" w:type="dxa"/>
          <w:left w:w="0" w:type="dxa"/>
          <w:bottom w:w="0" w:type="dxa"/>
          <w:right w:w="0" w:type="dxa"/>
        </w:tblCellMar>
      </w:tblPr>
      <w:tblGrid>
        <w:gridCol w:w="5885"/>
        <w:gridCol w:w="23"/>
        <w:gridCol w:w="23"/>
        <w:gridCol w:w="1195"/>
        <w:gridCol w:w="38"/>
        <w:gridCol w:w="38"/>
        <w:gridCol w:w="1296"/>
      </w:tblGrid>
      <w:tr>
        <w:trPr/>
        <w:tc>
          <w:tcPr>
            <w:tcW w:w="58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67"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September 30, </w:t>
            </w:r>
          </w:p>
        </w:tc>
      </w:tr>
      <w:tr>
        <w:trPr/>
        <w:tc>
          <w:tcPr>
            <w:tcW w:w="58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9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c>
          <w:tcPr>
            <w:tcW w:w="1296"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0"/>
              <w:jc w:val="left"/>
              <w:rPr>
                <w:color w:val="000000"/>
              </w:rPr>
            </w:pPr>
            <w:r>
              <w:rPr>
                <w:color w:val="000000"/>
              </w:rPr>
              <w:t> </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(7,764)</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$(5,186)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0"/>
              <w:jc w:val="left"/>
              <w:rPr>
                <w:color w:val="000000"/>
              </w:rPr>
            </w:pPr>
            <w:r>
              <w:rPr>
                <w:color w:val="000000"/>
              </w:rPr>
              <w:t> </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 </w:t>
            </w:r>
          </w:p>
        </w:tc>
      </w:tr>
      <w:tr>
        <w:trPr/>
        <w:tc>
          <w:tcPr>
            <w:tcW w:w="5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 </w:t>
            </w:r>
          </w:p>
        </w:tc>
      </w:tr>
      <w:tr>
        <w:trPr/>
        <w:tc>
          <w:tcPr>
            <w:tcW w:w="5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579 </w:t>
            </w:r>
          </w:p>
        </w:tc>
      </w:tr>
      <w:tr>
        <w:trPr/>
        <w:tc>
          <w:tcPr>
            <w:tcW w:w="5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0"/>
              <w:jc w:val="left"/>
              <w:rPr>
                <w:color w:val="000000"/>
              </w:rPr>
            </w:pPr>
            <w:r>
              <w:rPr>
                <w:color w:val="000000"/>
              </w:rPr>
              <w:t> </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color w:val="000000"/>
              </w:rPr>
            </w:pPr>
            <w:r>
              <w:rPr>
                <w:color w:val="000000"/>
              </w:rPr>
              <w:t>—</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2,377 </w:t>
            </w:r>
          </w:p>
        </w:tc>
      </w:tr>
      <w:tr>
        <w:trPr/>
        <w:tc>
          <w:tcPr>
            <w:tcW w:w="588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Payroll tax credit receivable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588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color w:val="000000"/>
              </w:rPr>
            </w:pPr>
            <w:r>
              <w:rPr>
                <w:color w:val="000000"/>
              </w:rPr>
              <w:t>—</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r>
      <w:tr>
        <w:trPr/>
        <w:tc>
          <w:tcPr>
            <w:tcW w:w="588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NIH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588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514</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240 </w:t>
            </w:r>
          </w:p>
        </w:tc>
      </w:tr>
      <w:tr>
        <w:trPr/>
        <w:tc>
          <w:tcPr>
            <w:tcW w:w="5885" w:type="dxa"/>
            <w:tcBorders/>
            <w:shd w:fill="CCEEFF" w:val="clear"/>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(6,501</w:t>
            </w:r>
            <w:r>
              <w:rPr>
                <w:rFonts w:ascii="Times New Roman;Times;serif" w:hAnsi="Times New Roman;Times;serif"/>
                <w:color w:val="000000"/>
                <w:sz w:val="20"/>
              </w:rPr>
              <w:t>)</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(1,856</w:t>
            </w:r>
            <w:r>
              <w:rPr>
                <w:rFonts w:ascii="Times New Roman;Times;serif" w:hAnsi="Times New Roman;Times;serif"/>
                <w:color w:val="000000"/>
                <w:sz w:val="20"/>
              </w:rPr>
              <w:t xml:space="preserve">)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0"/>
              <w:jc w:val="left"/>
              <w:rPr>
                <w:color w:val="000000"/>
              </w:rPr>
            </w:pPr>
            <w:r>
              <w:rPr>
                <w:color w:val="000000"/>
              </w:rPr>
              <w:t> </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0"/>
              <w:jc w:val="left"/>
              <w:rPr>
                <w:color w:val="000000"/>
              </w:rPr>
            </w:pPr>
            <w:r>
              <w:rPr>
                <w:color w:val="000000"/>
              </w:rPr>
              <w:t>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(50</w:t>
            </w:r>
            <w:r>
              <w:rPr>
                <w:rFonts w:ascii="Times New Roman;Times;serif" w:hAnsi="Times New Roman;Times;serif"/>
                <w:color w:val="000000"/>
                <w:sz w:val="20"/>
              </w:rPr>
              <w:t>)</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(151</w:t>
            </w:r>
            <w:r>
              <w:rPr>
                <w:rFonts w:ascii="Times New Roman;Times;serif" w:hAnsi="Times New Roman;Times;serif"/>
                <w:color w:val="000000"/>
                <w:sz w:val="20"/>
              </w:rPr>
              <w:t xml:space="preserve">) </w:t>
            </w:r>
          </w:p>
        </w:tc>
      </w:tr>
      <w:tr>
        <w:trPr/>
        <w:tc>
          <w:tcPr>
            <w:tcW w:w="5885" w:type="dxa"/>
            <w:tcBorders/>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(50</w:t>
            </w:r>
            <w:r>
              <w:rPr>
                <w:rFonts w:ascii="Times New Roman;Times;serif" w:hAnsi="Times New Roman;Times;serif"/>
                <w:color w:val="000000"/>
                <w:sz w:val="20"/>
              </w:rPr>
              <w:t>)</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(151</w:t>
            </w:r>
            <w:r>
              <w:rPr>
                <w:rFonts w:ascii="Times New Roman;Times;serif" w:hAnsi="Times New Roman;Times;serif"/>
                <w:color w:val="000000"/>
                <w:sz w:val="20"/>
              </w:rPr>
              <w:t xml:space="preserve">)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0"/>
              <w:jc w:val="left"/>
              <w:rPr>
                <w:color w:val="000000"/>
              </w:rPr>
            </w:pPr>
            <w:r>
              <w:rPr>
                <w:color w:val="000000"/>
              </w:rPr>
              <w:t> </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issuance of Series B-2 Preferred Stock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1,333</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color w:val="000000"/>
              </w:rPr>
            </w:pPr>
            <w:r>
              <w:rPr>
                <w:color w:val="000000"/>
              </w:rPr>
              <w:t xml:space="preserve">—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exercise of stock options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92</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color w:val="000000"/>
                <w:bdr w:val="single" w:sz="8" w:space="1" w:color="000000"/>
              </w:rPr>
            </w:pPr>
            <w:r>
              <w:rPr>
                <w:color w:val="000000"/>
                <w:bdr w:val="single" w:sz="8" w:space="1" w:color="000000"/>
              </w:rPr>
              <w:t xml:space="preserve">— </w:t>
            </w:r>
          </w:p>
        </w:tc>
      </w:tr>
      <w:tr>
        <w:trPr/>
        <w:tc>
          <w:tcPr>
            <w:tcW w:w="5885" w:type="dxa"/>
            <w:tcBorders/>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1,425</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color w:val="000000"/>
                <w:bdr w:val="single" w:sz="8" w:space="1" w:color="000000"/>
              </w:rPr>
            </w:pPr>
            <w:r>
              <w:rPr>
                <w:color w:val="000000"/>
                <w:bdr w:val="single" w:sz="8" w:space="1" w:color="000000"/>
              </w:rPr>
              <w:t xml:space="preserve">—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 and cash equivalents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(5,126)</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 at beginning of period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12,001</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4,735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 at end of period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$6,875</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$2,728 </w:t>
            </w:r>
          </w:p>
        </w:tc>
      </w:tr>
      <w:tr>
        <w:trPr/>
        <w:tc>
          <w:tcPr>
            <w:tcW w:w="58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0"/>
              <w:jc w:val="left"/>
              <w:rPr>
                <w:color w:val="000000"/>
              </w:rPr>
            </w:pPr>
            <w:r>
              <w:rPr>
                <w:color w:val="000000"/>
              </w:rPr>
              <w:t> </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0"/>
              <w:jc w:val="left"/>
              <w:rPr>
                <w:color w:val="000000"/>
              </w:rPr>
            </w:pPr>
            <w:r>
              <w:rPr>
                <w:color w:val="000000"/>
              </w:rPr>
              <w:t> </w:t>
            </w:r>
          </w:p>
        </w:tc>
      </w:tr>
      <w:tr>
        <w:trPr/>
        <w:tc>
          <w:tcPr>
            <w:tcW w:w="58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Noncash investing and financing activities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0"/>
              <w:jc w:val="left"/>
              <w:rPr>
                <w:color w:val="000000"/>
              </w:rPr>
            </w:pPr>
            <w:r>
              <w:rPr>
                <w:color w:val="000000"/>
              </w:rPr>
              <w:t> </w:t>
            </w:r>
          </w:p>
        </w:tc>
        <w:tc>
          <w:tcPr>
            <w:tcW w:w="38" w:type="dxa"/>
            <w:tcBorders/>
            <w:shd w:fill="CCEEFF" w:val="clear"/>
            <w:vAlign w:val="center"/>
          </w:tcPr>
          <w:p>
            <w:pPr>
              <w:pStyle w:val="TableContents"/>
              <w:bidi w:val="0"/>
              <w:spacing w:before="0" w:after="283"/>
              <w:jc w:val="left"/>
              <w:rPr/>
            </w:pPr>
            <w:r>
              <w:rPr/>
              <w:t>​</w:t>
            </w:r>
          </w:p>
        </w:tc>
        <w:tc>
          <w:tcPr>
            <w:tcW w:w="38"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0"/>
              <w:jc w:val="left"/>
              <w:rPr>
                <w:color w:val="000000"/>
              </w:rPr>
            </w:pPr>
            <w:r>
              <w:rPr>
                <w:color w:val="000000"/>
              </w:rPr>
              <w:t> </w:t>
            </w:r>
          </w:p>
        </w:tc>
      </w:tr>
      <w:tr>
        <w:trPr/>
        <w:tc>
          <w:tcPr>
            <w:tcW w:w="5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of equipment not yet paid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38"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94" w:name="DSPFPageBreakArea152"/>
      <w:bookmarkStart w:id="795" w:name="DSPFPageBreakArea152"/>
      <w:bookmarkEnd w:id="79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96" w:name="DSPFPageBreak152"/>
      <w:bookmarkStart w:id="797" w:name="DSPFPageBreak152"/>
      <w:bookmarkEnd w:id="79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98" w:name="ny20014884x5_pre14a_302-annexc_pg5"/>
        <w:bookmarkEnd w:id="7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Cartesian Therapeutics,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Financial Statements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Description of the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Cartesian Therapeutics, Inc. (the Company) is a clinical-stage cell therapy company engaged in the research and development of therapies for autoimmune diseases. The Company was incorporated in Delaware in December 2010, and is based in Gaithersburg, Maryland.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Unaudited Interim Financial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unaudited financial statements for the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financial statements should be read in conjunction with the Company’s audited financial statements and the notes thereto for the year ended December 31, 2022. The unaudited interim financial statements have been prepared on the same basis as the audited financial statements. In the opinion of management, the accompanying unaudited interim financial statements contain all adjustments that are necessary for a fair statement of the Company’s financial position as of September 30, 2023 and December 31, 2022, the results of operations for the nine months ended September 30, 2023 and 2022, and cash flows for the nine months ended September 30, 2023 and 2022. Such adjustments are of a normal and recurring nature. The results of operations for the nine months ended September 30, 2023 are not necessarily indicative of the results of operations that may be expected for the year ending December 31, 2023.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Management’s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2023, the Company’s cash and cash equivalents were $6.9 million. On November 13, 2023, the Company merged with Selecta Biosciences, Inc. (Selecta). See Note 12 for further details.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disclosed its significant accounting policies in Note 2 – Summary of Significant Accounting Policies included in the Company’s annual financial statements for the year ended December 31, 2022 included elsewhere in this filing. There have been no material changes to the Company’s significant accounting policies during the nine months ended September 30, 2023, with the exception of the matters discussed in recent accounting pronouncements.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99" w:name="DSPFPageBreakArea153"/>
      <w:bookmarkStart w:id="800" w:name="DSPFPageBreakArea153"/>
      <w:bookmarkEnd w:id="80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01" w:name="DSPFPageBreak153"/>
      <w:bookmarkStart w:id="802" w:name="DSPFPageBreak153"/>
      <w:bookmarkEnd w:id="80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03" w:name="ny20014884x5_pre14a_302-annexc_pg6"/>
        <w:bookmarkEnd w:id="8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Recent Accounting Pronouncements</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Recently Adopted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June 2016, the FASB issued ASU 2016-13, </w:t>
      </w:r>
      <w:r>
        <w:rPr>
          <w:rFonts w:ascii="Times New Roman;Times;serif" w:hAnsi="Times New Roman;Times;serif"/>
          <w:i/>
          <w:color w:val="000000"/>
          <w:sz w:val="20"/>
        </w:rPr>
        <w:t>Financial Instruments-Credit Losses (Topic 326), Measurement of Credit Losses on Financial Instruments</w:t>
      </w:r>
      <w:r>
        <w:rPr>
          <w:rFonts w:ascii="Times New Roman;Times;serif" w:hAnsi="Times New Roman;Times;serif"/>
          <w:color w:val="000000"/>
          <w:sz w:val="20"/>
        </w:rPr>
        <w:t xml:space="preserve">. Subsequently, in November 2018, the FASB issued ASU 2018-19, </w:t>
      </w:r>
      <w:r>
        <w:rPr>
          <w:rFonts w:ascii="Times New Roman;Times;serif" w:hAnsi="Times New Roman;Times;serif"/>
          <w:i/>
          <w:color w:val="000000"/>
          <w:sz w:val="20"/>
        </w:rPr>
        <w:t>Codification Improvements to Topic 326, Financial Instruments-Credit Losses</w:t>
      </w:r>
      <w:r>
        <w:rPr>
          <w:rFonts w:ascii="Times New Roman;Times;serif" w:hAnsi="Times New Roman;Times;serif"/>
          <w:color w:val="000000"/>
          <w:sz w:val="20"/>
        </w:rPr>
        <w:t xml:space="preserve">.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Fair Value Measurements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Company’s assets and liabilities that are measured at fair value on a recurring basis (in thousands): </w:t>
      </w:r>
    </w:p>
    <w:tbl>
      <w:tblPr>
        <w:tblW w:w="6719" w:type="dxa"/>
        <w:jc w:val="left"/>
        <w:tblInd w:w="0" w:type="dxa"/>
        <w:tblLayout w:type="fixed"/>
        <w:tblCellMar>
          <w:top w:w="0" w:type="dxa"/>
          <w:left w:w="0" w:type="dxa"/>
          <w:bottom w:w="0" w:type="dxa"/>
          <w:right w:w="0" w:type="dxa"/>
        </w:tblCellMar>
      </w:tblPr>
      <w:tblGrid>
        <w:gridCol w:w="4205"/>
        <w:gridCol w:w="23"/>
        <w:gridCol w:w="23"/>
        <w:gridCol w:w="590"/>
        <w:gridCol w:w="23"/>
        <w:gridCol w:w="23"/>
        <w:gridCol w:w="590"/>
        <w:gridCol w:w="23"/>
        <w:gridCol w:w="23"/>
        <w:gridCol w:w="545"/>
        <w:gridCol w:w="23"/>
        <w:gridCol w:w="23"/>
        <w:gridCol w:w="605"/>
      </w:tblGrid>
      <w:tr>
        <w:trPr/>
        <w:tc>
          <w:tcPr>
            <w:tcW w:w="420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468"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2023 </w:t>
            </w:r>
          </w:p>
        </w:tc>
      </w:tr>
      <w:tr>
        <w:trPr/>
        <w:tc>
          <w:tcPr>
            <w:tcW w:w="420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2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 (included in cash equivalents)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$6,531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$6,531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$6,531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$6,531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420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0"/>
              <w:jc w:val="left"/>
              <w:rPr>
                <w:color w:val="000000"/>
              </w:rPr>
            </w:pPr>
            <w:r>
              <w:rPr>
                <w:color w:val="000000"/>
              </w:rPr>
              <w:t>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2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Contingent payment to NIH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$569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$569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$569</w:t>
            </w:r>
          </w:p>
        </w:tc>
      </w:tr>
    </w:tbl>
    <w:tbl>
      <w:tblPr>
        <w:tblW w:w="6899" w:type="dxa"/>
        <w:jc w:val="left"/>
        <w:tblInd w:w="0" w:type="dxa"/>
        <w:tblLayout w:type="fixed"/>
        <w:tblCellMar>
          <w:top w:w="0" w:type="dxa"/>
          <w:left w:w="0" w:type="dxa"/>
          <w:bottom w:w="0" w:type="dxa"/>
          <w:right w:w="0" w:type="dxa"/>
        </w:tblCellMar>
      </w:tblPr>
      <w:tblGrid>
        <w:gridCol w:w="4385"/>
        <w:gridCol w:w="23"/>
        <w:gridCol w:w="23"/>
        <w:gridCol w:w="590"/>
        <w:gridCol w:w="23"/>
        <w:gridCol w:w="23"/>
        <w:gridCol w:w="590"/>
        <w:gridCol w:w="23"/>
        <w:gridCol w:w="23"/>
        <w:gridCol w:w="545"/>
        <w:gridCol w:w="23"/>
        <w:gridCol w:w="23"/>
        <w:gridCol w:w="605"/>
      </w:tblGrid>
      <w:tr>
        <w:trPr/>
        <w:tc>
          <w:tcPr>
            <w:tcW w:w="43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468"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2022 </w:t>
            </w:r>
          </w:p>
        </w:tc>
      </w:tr>
      <w:tr>
        <w:trPr/>
        <w:tc>
          <w:tcPr>
            <w:tcW w:w="43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Level 3 </w:t>
            </w:r>
          </w:p>
        </w:tc>
      </w:tr>
      <w:tr>
        <w:trPr/>
        <w:tc>
          <w:tcPr>
            <w:tcW w:w="4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3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 (included in cash equivalents)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3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deposits (included in cash equivalents)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color w:val="000000"/>
                <w:bdr w:val="single" w:sz="8" w:space="1" w:color="000000"/>
              </w:rPr>
            </w:pPr>
            <w:r>
              <w:rPr>
                <w:color w:val="000000"/>
                <w:bdr w:val="single" w:sz="8" w:space="1" w:color="000000"/>
              </w:rPr>
              <w:t xml:space="preserve">— </w:t>
            </w:r>
          </w:p>
        </w:tc>
      </w:tr>
      <w:tr>
        <w:trPr/>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438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0"/>
              <w:jc w:val="left"/>
              <w:rPr>
                <w:color w:val="000000"/>
              </w:rPr>
            </w:pPr>
            <w:r>
              <w:rPr>
                <w:color w:val="000000"/>
              </w:rPr>
              <w:t> </w:t>
            </w:r>
          </w:p>
        </w:tc>
      </w:tr>
      <w:tr>
        <w:trPr/>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0"/>
              <w:jc w:val="left"/>
              <w:rPr>
                <w:color w:val="000000"/>
              </w:rPr>
            </w:pPr>
            <w:r>
              <w:rPr>
                <w:color w:val="000000"/>
              </w:rPr>
              <w:t> </w:t>
            </w:r>
          </w:p>
        </w:tc>
      </w:tr>
      <w:tr>
        <w:trPr/>
        <w:tc>
          <w:tcPr>
            <w:tcW w:w="43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Contingent payment to NIH</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$461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0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$461 </w:t>
            </w:r>
          </w:p>
        </w:tc>
      </w:tr>
      <w:tr>
        <w:trPr/>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0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5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$461</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reconciliation of all assets and liabilities measured at fair value using Level 3 significant unobservable inputs which were settled during the period from December 31, 2022 to September 30, 2023 (in thousands): </w:t>
      </w:r>
    </w:p>
    <w:tbl>
      <w:tblPr>
        <w:tblW w:w="4706" w:type="dxa"/>
        <w:jc w:val="left"/>
        <w:tblInd w:w="0" w:type="dxa"/>
        <w:tblLayout w:type="fixed"/>
        <w:tblCellMar>
          <w:top w:w="0" w:type="dxa"/>
          <w:left w:w="0" w:type="dxa"/>
          <w:bottom w:w="0" w:type="dxa"/>
          <w:right w:w="0" w:type="dxa"/>
        </w:tblCellMar>
      </w:tblPr>
      <w:tblGrid>
        <w:gridCol w:w="4160"/>
        <w:gridCol w:w="23"/>
        <w:gridCol w:w="23"/>
        <w:gridCol w:w="500"/>
      </w:tblGrid>
      <w:tr>
        <w:trPr/>
        <w:tc>
          <w:tcPr>
            <w:tcW w:w="41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 </w:t>
            </w:r>
          </w:p>
        </w:tc>
      </w:tr>
      <w:tr>
        <w:trPr/>
        <w:tc>
          <w:tcPr>
            <w:tcW w:w="4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contingent payment to NIH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108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September 30, 2023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$569</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within the fair value hierarchy during the nine months ended September 30, 2023 or the year ended December 31, 2022.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04" w:name="DSPFPageBreakArea154"/>
      <w:bookmarkStart w:id="805" w:name="DSPFPageBreakArea154"/>
      <w:bookmarkEnd w:id="80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06" w:name="DSPFPageBreak154"/>
      <w:bookmarkStart w:id="807" w:name="DSPFPageBreak154"/>
      <w:bookmarkEnd w:id="80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08" w:name="ny20014884x5_pre14a_302-annexc_pg7"/>
        <w:bookmarkEnd w:id="8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Property and Equipment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consist of the following (in thousands): </w:t>
      </w:r>
    </w:p>
    <w:tbl>
      <w:tblPr>
        <w:tblW w:w="4712" w:type="dxa"/>
        <w:jc w:val="left"/>
        <w:tblInd w:w="0" w:type="dxa"/>
        <w:tblLayout w:type="fixed"/>
        <w:tblCellMar>
          <w:top w:w="0" w:type="dxa"/>
          <w:left w:w="0" w:type="dxa"/>
          <w:bottom w:w="0" w:type="dxa"/>
          <w:right w:w="0" w:type="dxa"/>
        </w:tblCellMar>
      </w:tblPr>
      <w:tblGrid>
        <w:gridCol w:w="2540"/>
        <w:gridCol w:w="23"/>
        <w:gridCol w:w="23"/>
        <w:gridCol w:w="1055"/>
        <w:gridCol w:w="23"/>
        <w:gridCol w:w="23"/>
        <w:gridCol w:w="1025"/>
      </w:tblGrid>
      <w:tr>
        <w:trPr/>
        <w:tc>
          <w:tcPr>
            <w:tcW w:w="2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1055" w:type="dxa"/>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September 30,</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1025" w:type="dxa"/>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equipment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779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(651</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(582</w:t>
            </w:r>
            <w:r>
              <w:rPr>
                <w:rFonts w:ascii="Times New Roman;Times;serif" w:hAnsi="Times New Roman;Times;serif"/>
                <w:color w:val="000000"/>
                <w:sz w:val="20"/>
              </w:rPr>
              <w:t xml:space="preserve">) </w:t>
            </w:r>
          </w:p>
        </w:tc>
      </w:tr>
      <w:tr>
        <w:trPr/>
        <w:tc>
          <w:tcPr>
            <w:tcW w:w="25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$197</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Depreciation expense was approximately $69,000 and $88,000 for the nine months ended September 30,2023 and 2022, respectively.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Accrued Expenses and Other Current Liabilities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Accrued expenses and other current liabilities consist of the following (in thousands): </w:t>
      </w:r>
    </w:p>
    <w:tbl>
      <w:tblPr>
        <w:tblW w:w="6197" w:type="dxa"/>
        <w:jc w:val="left"/>
        <w:tblInd w:w="0" w:type="dxa"/>
        <w:tblLayout w:type="fixed"/>
        <w:tblCellMar>
          <w:top w:w="0" w:type="dxa"/>
          <w:left w:w="0" w:type="dxa"/>
          <w:bottom w:w="0" w:type="dxa"/>
          <w:right w:w="0" w:type="dxa"/>
        </w:tblCellMar>
      </w:tblPr>
      <w:tblGrid>
        <w:gridCol w:w="4025"/>
        <w:gridCol w:w="23"/>
        <w:gridCol w:w="23"/>
        <w:gridCol w:w="1055"/>
        <w:gridCol w:w="23"/>
        <w:gridCol w:w="23"/>
        <w:gridCol w:w="1025"/>
      </w:tblGrid>
      <w:tr>
        <w:trPr/>
        <w:tc>
          <w:tcPr>
            <w:tcW w:w="40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1055" w:type="dxa"/>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September 30,</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1025" w:type="dxa"/>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external research and development costs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$1,317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$758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professional and consulting services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equipment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271" w:right="0" w:hanging="0"/>
              <w:jc w:val="left"/>
              <w:rPr>
                <w:color w:val="000000"/>
              </w:rPr>
            </w:pPr>
            <w:r>
              <w:rPr>
                <w:color w:val="000000"/>
              </w:rPr>
              <w:t xml:space="preserve">—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ind w:left="271"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33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21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2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$949</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Leases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September 2023, the Company entered into an operating lease for a piece of lab equipment.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nine month ended September 30, 2023 and 2022, the components of lease costs were as follows (in thousands): </w:t>
      </w:r>
    </w:p>
    <w:tbl>
      <w:tblPr>
        <w:tblW w:w="4284" w:type="dxa"/>
        <w:jc w:val="left"/>
        <w:tblInd w:w="0" w:type="dxa"/>
        <w:tblLayout w:type="fixed"/>
        <w:tblCellMar>
          <w:top w:w="0" w:type="dxa"/>
          <w:left w:w="0" w:type="dxa"/>
          <w:bottom w:w="0" w:type="dxa"/>
          <w:right w:w="0" w:type="dxa"/>
        </w:tblCellMar>
      </w:tblPr>
      <w:tblGrid>
        <w:gridCol w:w="1670"/>
        <w:gridCol w:w="23"/>
        <w:gridCol w:w="23"/>
        <w:gridCol w:w="1196"/>
        <w:gridCol w:w="62"/>
        <w:gridCol w:w="62"/>
        <w:gridCol w:w="1248"/>
      </w:tblGrid>
      <w:tr>
        <w:trPr/>
        <w:tc>
          <w:tcPr>
            <w:tcW w:w="16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2568" w:type="dxa"/>
            <w:gridSpan w:val="4"/>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September 30, </w:t>
            </w:r>
          </w:p>
        </w:tc>
      </w:tr>
      <w:tr>
        <w:trPr/>
        <w:tc>
          <w:tcPr>
            <w:tcW w:w="16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1196" w:type="dxa"/>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62" w:type="dxa"/>
            <w:tcBorders>
              <w:bottom w:val="single" w:sz="2" w:space="0" w:color="FFFFFF"/>
            </w:tcBorders>
            <w:tcMar>
              <w:bottom w:w="70" w:type="dxa"/>
            </w:tcMar>
            <w:vAlign w:val="center"/>
          </w:tcPr>
          <w:p>
            <w:pPr>
              <w:pStyle w:val="TableContents"/>
              <w:bidi w:val="0"/>
              <w:spacing w:before="0" w:after="283"/>
              <w:jc w:val="left"/>
              <w:rPr/>
            </w:pPr>
            <w:r>
              <w:rPr/>
              <w:t>​</w:t>
            </w:r>
          </w:p>
        </w:tc>
        <w:tc>
          <w:tcPr>
            <w:tcW w:w="62" w:type="dxa"/>
            <w:tcBorders>
              <w:bottom w:val="single" w:sz="2" w:space="0" w:color="FFFFFF"/>
            </w:tcBorders>
            <w:tcMar>
              <w:bottom w:w="70" w:type="dxa"/>
            </w:tcMar>
            <w:vAlign w:val="center"/>
          </w:tcPr>
          <w:p>
            <w:pPr>
              <w:pStyle w:val="TableContents"/>
              <w:bidi w:val="0"/>
              <w:spacing w:before="0" w:after="283"/>
              <w:jc w:val="left"/>
              <w:rPr/>
            </w:pPr>
            <w:r>
              <w:rPr/>
              <w:t>​</w:t>
            </w:r>
          </w:p>
        </w:tc>
        <w:tc>
          <w:tcPr>
            <w:tcW w:w="1248" w:type="dxa"/>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rPr>
            </w:pPr>
            <w:r>
              <w:rPr>
                <w:rFonts w:ascii="Times New Roman;Times;serif" w:hAnsi="Times New Roman;Times;serif"/>
                <w:color w:val="000000"/>
                <w:sz w:val="20"/>
              </w:rPr>
              <w:t>$227</w:t>
            </w:r>
          </w:p>
        </w:tc>
        <w:tc>
          <w:tcPr>
            <w:tcW w:w="62"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7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143</w:t>
            </w:r>
          </w:p>
        </w:tc>
        <w:tc>
          <w:tcPr>
            <w:tcW w:w="62"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7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113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cost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$370</w:t>
            </w:r>
          </w:p>
        </w:tc>
        <w:tc>
          <w:tcPr>
            <w:tcW w:w="62"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$337</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maturity of the Company’s operating lease liabilities as of September 30, 2023 were as follows (in thousands): </w:t>
      </w:r>
    </w:p>
    <w:tbl>
      <w:tblPr>
        <w:tblW w:w="4211" w:type="dxa"/>
        <w:jc w:val="left"/>
        <w:tblInd w:w="0" w:type="dxa"/>
        <w:tblLayout w:type="fixed"/>
        <w:tblCellMar>
          <w:top w:w="0" w:type="dxa"/>
          <w:left w:w="0" w:type="dxa"/>
          <w:bottom w:w="0" w:type="dxa"/>
          <w:right w:w="0" w:type="dxa"/>
        </w:tblCellMar>
      </w:tblPr>
      <w:tblGrid>
        <w:gridCol w:w="3095"/>
        <w:gridCol w:w="23"/>
        <w:gridCol w:w="23"/>
        <w:gridCol w:w="1070"/>
      </w:tblGrid>
      <w:tr>
        <w:trPr/>
        <w:tc>
          <w:tcPr>
            <w:tcW w:w="30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1070" w:type="dxa"/>
            <w:tcBorders>
              <w:bottom w:val="single" w:sz="8" w:space="0" w:color="000000"/>
            </w:tcBorders>
            <w:tcMar>
              <w:bottom w:w="7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September 30,</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82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19" w:right="0" w:hanging="0"/>
              <w:jc w:val="left"/>
              <w:rPr>
                <w:color w:val="000000"/>
                <w:bdr w:val="single" w:sz="8" w:space="1" w:color="000000"/>
              </w:rPr>
            </w:pPr>
            <w:r>
              <w:rPr>
                <w:color w:val="000000"/>
                <w:bdr w:val="single" w:sz="8" w:space="1" w:color="000000"/>
              </w:rPr>
              <w:t xml:space="preserve">—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future minimum lease payments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1,138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(122</w:t>
            </w:r>
            <w:r>
              <w:rPr>
                <w:rFonts w:ascii="Times New Roman;Times;serif" w:hAnsi="Times New Roman;Times;serif"/>
                <w:color w:val="000000"/>
                <w:sz w:val="20"/>
              </w:rPr>
              <w:t xml:space="preserve">)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lease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$1,016</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09" w:name="DSPFPageBreakArea155"/>
      <w:bookmarkStart w:id="810" w:name="DSPFPageBreakArea155"/>
      <w:bookmarkEnd w:id="81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11" w:name="DSPFPageBreak155"/>
      <w:bookmarkStart w:id="812" w:name="DSPFPageBreak155"/>
      <w:bookmarkEnd w:id="81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13" w:name="ny20014884x5_pre14a_302-annexc_pg8"/>
        <w:bookmarkEnd w:id="8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supplemental disclosure for the statement of cash flows related to operating leases were as follows (in thousands): </w:t>
      </w:r>
    </w:p>
    <w:tbl>
      <w:tblPr>
        <w:tblW w:w="6940" w:type="dxa"/>
        <w:jc w:val="left"/>
        <w:tblInd w:w="0" w:type="dxa"/>
        <w:tblLayout w:type="fixed"/>
        <w:tblCellMar>
          <w:top w:w="0" w:type="dxa"/>
          <w:left w:w="0" w:type="dxa"/>
          <w:bottom w:w="0" w:type="dxa"/>
          <w:right w:w="0" w:type="dxa"/>
        </w:tblCellMar>
      </w:tblPr>
      <w:tblGrid>
        <w:gridCol w:w="5780"/>
        <w:gridCol w:w="23"/>
        <w:gridCol w:w="23"/>
        <w:gridCol w:w="521"/>
        <w:gridCol w:w="27"/>
        <w:gridCol w:w="27"/>
        <w:gridCol w:w="539"/>
      </w:tblGrid>
      <w:tr>
        <w:trPr/>
        <w:tc>
          <w:tcPr>
            <w:tcW w:w="57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14"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57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21"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7" w:type="dxa"/>
            <w:tcBorders>
              <w:bottom w:val="single" w:sz="2" w:space="0" w:color="FFFFFF"/>
            </w:tcBorders>
            <w:tcMar>
              <w:bottom w:w="85" w:type="dxa"/>
            </w:tcMar>
            <w:vAlign w:val="center"/>
          </w:tcPr>
          <w:p>
            <w:pPr>
              <w:pStyle w:val="TableContents"/>
              <w:bidi w:val="0"/>
              <w:spacing w:before="0" w:after="283"/>
              <w:jc w:val="left"/>
              <w:rPr/>
            </w:pPr>
            <w:r>
              <w:rPr/>
              <w:t>​</w:t>
            </w:r>
          </w:p>
        </w:tc>
        <w:tc>
          <w:tcPr>
            <w:tcW w:w="27" w:type="dxa"/>
            <w:tcBorders>
              <w:bottom w:val="single" w:sz="2" w:space="0" w:color="FFFFFF"/>
            </w:tcBorders>
            <w:tcMar>
              <w:bottom w:w="85" w:type="dxa"/>
            </w:tcMar>
            <w:vAlign w:val="center"/>
          </w:tcPr>
          <w:p>
            <w:pPr>
              <w:pStyle w:val="TableContents"/>
              <w:bidi w:val="0"/>
              <w:spacing w:before="0" w:after="283"/>
              <w:jc w:val="left"/>
              <w:rPr/>
            </w:pPr>
            <w:r>
              <w:rPr/>
              <w:t>​</w:t>
            </w:r>
          </w:p>
        </w:tc>
        <w:tc>
          <w:tcPr>
            <w:tcW w:w="539"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21"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$227</w:t>
            </w:r>
          </w:p>
        </w:tc>
        <w:tc>
          <w:tcPr>
            <w:tcW w:w="27" w:type="dxa"/>
            <w:tcBorders/>
            <w:shd w:fill="CCEEFF" w:val="clear"/>
            <w:vAlign w:val="center"/>
          </w:tcPr>
          <w:p>
            <w:pPr>
              <w:pStyle w:val="TableContents"/>
              <w:bidi w:val="0"/>
              <w:spacing w:before="0" w:after="283"/>
              <w:jc w:val="left"/>
              <w:rPr/>
            </w:pPr>
            <w:r>
              <w:rPr/>
              <w:t>​</w:t>
            </w:r>
          </w:p>
        </w:tc>
        <w:tc>
          <w:tcPr>
            <w:tcW w:w="27" w:type="dxa"/>
            <w:tcBorders/>
            <w:shd w:fill="CCEEFF" w:val="clear"/>
            <w:vAlign w:val="center"/>
          </w:tcPr>
          <w:p>
            <w:pPr>
              <w:pStyle w:val="TableContents"/>
              <w:bidi w:val="0"/>
              <w:spacing w:before="0" w:after="283"/>
              <w:jc w:val="left"/>
              <w:rPr/>
            </w:pPr>
            <w:r>
              <w:rPr/>
              <w:t>​</w:t>
            </w:r>
          </w:p>
        </w:tc>
        <w:tc>
          <w:tcPr>
            <w:tcW w:w="539"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the initial recording of the right-of-use asset and lease liability, which were non-cash, the changes in the Company’s right-of-use asset and lease liability for the nine months ended September 30, 2023 and 2022 are reflected in the non-cash lease expense and accrued expenses and other liabilities, respectively, in the consolidated statements of cash flows.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additional information related to operating leases: </w:t>
      </w:r>
    </w:p>
    <w:tbl>
      <w:tblPr>
        <w:tblW w:w="5087" w:type="dxa"/>
        <w:jc w:val="left"/>
        <w:tblInd w:w="0" w:type="dxa"/>
        <w:tblLayout w:type="fixed"/>
        <w:tblCellMar>
          <w:top w:w="0" w:type="dxa"/>
          <w:left w:w="0" w:type="dxa"/>
          <w:bottom w:w="0" w:type="dxa"/>
          <w:right w:w="0" w:type="dxa"/>
        </w:tblCellMar>
      </w:tblPr>
      <w:tblGrid>
        <w:gridCol w:w="3245"/>
        <w:gridCol w:w="23"/>
        <w:gridCol w:w="23"/>
        <w:gridCol w:w="845"/>
        <w:gridCol w:w="23"/>
        <w:gridCol w:w="23"/>
        <w:gridCol w:w="905"/>
      </w:tblGrid>
      <w:tr>
        <w:trPr/>
        <w:tc>
          <w:tcPr>
            <w:tcW w:w="32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79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32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3.03 years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4.33 years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7.09 %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7.34 %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Stock-Based Compensation Expense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by classification included within the statements of operations and comprehensive income (loss) was as follows (in thousands): </w:t>
      </w:r>
    </w:p>
    <w:tbl>
      <w:tblPr>
        <w:tblW w:w="5979" w:type="dxa"/>
        <w:jc w:val="left"/>
        <w:tblInd w:w="0" w:type="dxa"/>
        <w:tblLayout w:type="fixed"/>
        <w:tblCellMar>
          <w:top w:w="0" w:type="dxa"/>
          <w:left w:w="0" w:type="dxa"/>
          <w:bottom w:w="0" w:type="dxa"/>
          <w:right w:w="0" w:type="dxa"/>
        </w:tblCellMar>
      </w:tblPr>
      <w:tblGrid>
        <w:gridCol w:w="3365"/>
        <w:gridCol w:w="23"/>
        <w:gridCol w:w="23"/>
        <w:gridCol w:w="1196"/>
        <w:gridCol w:w="62"/>
        <w:gridCol w:w="62"/>
        <w:gridCol w:w="1248"/>
      </w:tblGrid>
      <w:tr>
        <w:trPr/>
        <w:tc>
          <w:tcPr>
            <w:tcW w:w="33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6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September 30, </w:t>
            </w:r>
          </w:p>
        </w:tc>
      </w:tr>
      <w:tr>
        <w:trPr/>
        <w:tc>
          <w:tcPr>
            <w:tcW w:w="33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96"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62" w:type="dxa"/>
            <w:tcBorders>
              <w:bottom w:val="single" w:sz="2" w:space="0" w:color="FFFFFF"/>
            </w:tcBorders>
            <w:tcMar>
              <w:bottom w:w="85" w:type="dxa"/>
            </w:tcMar>
            <w:vAlign w:val="center"/>
          </w:tcPr>
          <w:p>
            <w:pPr>
              <w:pStyle w:val="TableContents"/>
              <w:bidi w:val="0"/>
              <w:spacing w:before="0" w:after="283"/>
              <w:jc w:val="left"/>
              <w:rPr/>
            </w:pPr>
            <w:r>
              <w:rPr/>
              <w:t>​</w:t>
            </w:r>
          </w:p>
        </w:tc>
        <w:tc>
          <w:tcPr>
            <w:tcW w:w="62" w:type="dxa"/>
            <w:tcBorders>
              <w:bottom w:val="single" w:sz="2" w:space="0" w:color="FFFFFF"/>
            </w:tcBorders>
            <w:tcMar>
              <w:bottom w:w="85" w:type="dxa"/>
            </w:tcMar>
            <w:vAlign w:val="center"/>
          </w:tcPr>
          <w:p>
            <w:pPr>
              <w:pStyle w:val="TableContents"/>
              <w:bidi w:val="0"/>
              <w:spacing w:before="0" w:after="283"/>
              <w:jc w:val="left"/>
              <w:rPr/>
            </w:pPr>
            <w:r>
              <w:rPr/>
              <w:t>​</w:t>
            </w:r>
          </w:p>
        </w:tc>
        <w:tc>
          <w:tcPr>
            <w:tcW w:w="1248"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62"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$579 </w:t>
            </w:r>
          </w:p>
        </w:tc>
      </w:tr>
      <w:tr>
        <w:trPr/>
        <w:tc>
          <w:tcPr>
            <w:tcW w:w="33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ind w:left="379" w:right="0" w:hanging="0"/>
              <w:jc w:val="left"/>
              <w:rPr>
                <w:color w:val="000000"/>
                <w:bdr w:val="single" w:sz="8" w:space="1" w:color="000000"/>
              </w:rPr>
            </w:pPr>
            <w:r>
              <w:rPr>
                <w:color w:val="000000"/>
                <w:bdr w:val="single" w:sz="8" w:space="1" w:color="000000"/>
              </w:rPr>
              <w:t>—</w:t>
            </w:r>
          </w:p>
        </w:tc>
        <w:tc>
          <w:tcPr>
            <w:tcW w:w="62"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ind w:left="379" w:right="0" w:hanging="0"/>
              <w:jc w:val="left"/>
              <w:rPr>
                <w:color w:val="000000"/>
                <w:bdr w:val="single" w:sz="8" w:space="1" w:color="000000"/>
              </w:rPr>
            </w:pPr>
            <w:r>
              <w:rPr>
                <w:color w:val="000000"/>
                <w:bdr w:val="single" w:sz="8" w:space="1" w:color="000000"/>
              </w:rPr>
              <w:t xml:space="preserve">—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stock-based compensation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$461</w:t>
            </w:r>
          </w:p>
        </w:tc>
        <w:tc>
          <w:tcPr>
            <w:tcW w:w="62"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ind w:left="37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$579</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estimated grant date fair values of employee stock option awards granted under the 2016 Plan were calculated using the Black-Scholes option pricing model, based on the following range of assumptions: </w:t>
      </w:r>
    </w:p>
    <w:tbl>
      <w:tblPr>
        <w:tblW w:w="4899" w:type="dxa"/>
        <w:jc w:val="left"/>
        <w:tblInd w:w="0" w:type="dxa"/>
        <w:tblLayout w:type="fixed"/>
        <w:tblCellMar>
          <w:top w:w="0" w:type="dxa"/>
          <w:left w:w="0" w:type="dxa"/>
          <w:bottom w:w="0" w:type="dxa"/>
          <w:right w:w="0" w:type="dxa"/>
        </w:tblCellMar>
      </w:tblPr>
      <w:tblGrid>
        <w:gridCol w:w="2285"/>
        <w:gridCol w:w="23"/>
        <w:gridCol w:w="23"/>
        <w:gridCol w:w="1140"/>
        <w:gridCol w:w="29"/>
        <w:gridCol w:w="29"/>
        <w:gridCol w:w="1370"/>
      </w:tblGrid>
      <w:tr>
        <w:trPr/>
        <w:tc>
          <w:tcPr>
            <w:tcW w:w="22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68"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September 30, </w:t>
            </w:r>
          </w:p>
        </w:tc>
      </w:tr>
      <w:tr>
        <w:trPr/>
        <w:tc>
          <w:tcPr>
            <w:tcW w:w="22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29" w:type="dxa"/>
            <w:tcBorders>
              <w:bottom w:val="single" w:sz="2" w:space="0" w:color="FFFFFF"/>
            </w:tcBorders>
            <w:tcMar>
              <w:bottom w:w="85" w:type="dxa"/>
            </w:tcMar>
            <w:vAlign w:val="center"/>
          </w:tcPr>
          <w:p>
            <w:pPr>
              <w:pStyle w:val="TableContents"/>
              <w:bidi w:val="0"/>
              <w:spacing w:before="0" w:after="283"/>
              <w:jc w:val="left"/>
              <w:rPr/>
            </w:pPr>
            <w:r>
              <w:rPr/>
              <w:t>​</w:t>
            </w:r>
          </w:p>
        </w:tc>
        <w:tc>
          <w:tcPr>
            <w:tcW w:w="137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3.6 - 4.0%</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 - 2.0% </w:t>
            </w:r>
          </w:p>
        </w:tc>
      </w:tr>
      <w:tr>
        <w:trPr/>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color w:val="000000"/>
              </w:rPr>
            </w:pPr>
            <w:r>
              <w:rPr>
                <w:color w:val="000000"/>
              </w:rPr>
              <w:t>—</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right"/>
              <w:rPr>
                <w:color w:val="000000"/>
              </w:rPr>
            </w:pPr>
            <w:r>
              <w:rPr>
                <w:color w:val="000000"/>
              </w:rPr>
              <w:t xml:space="preserve">—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6.20 - 6.25</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5.0 - 6.25 </w:t>
            </w:r>
          </w:p>
        </w:tc>
      </w:tr>
      <w:tr>
        <w:trPr/>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95%</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of common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$18,505</w:t>
            </w:r>
          </w:p>
        </w:tc>
        <w:tc>
          <w:tcPr>
            <w:tcW w:w="29" w:type="dxa"/>
            <w:tcBorders/>
            <w:shd w:fill="CCEEFF" w:val="clear"/>
            <w:vAlign w:val="center"/>
          </w:tcPr>
          <w:p>
            <w:pPr>
              <w:pStyle w:val="TableContents"/>
              <w:bidi w:val="0"/>
              <w:spacing w:before="0" w:after="283"/>
              <w:jc w:val="left"/>
              <w:rPr/>
            </w:pPr>
            <w:r>
              <w:rPr/>
              <w:t>​</w:t>
            </w:r>
          </w:p>
        </w:tc>
        <w:tc>
          <w:tcPr>
            <w:tcW w:w="29"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$23,005</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weighted average grant date fair value of stock options granted to employees during the nine months ended September 30, 2023 and 2022 was $14,159.28 and $16,862.94,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2023, total unrecognized compensation expense related to unvested employee stock options was $0.9 million, which is expected to be recognized over a weighted average period of 2.18 years.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14" w:name="DSPFPageBreakArea156"/>
      <w:bookmarkStart w:id="815" w:name="DSPFPageBreakArea156"/>
      <w:bookmarkEnd w:id="8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16" w:name="DSPFPageBreak156"/>
      <w:bookmarkStart w:id="817" w:name="DSPFPageBreak156"/>
      <w:bookmarkEnd w:id="8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18" w:name="ny20014884x5_pre14a_302-annexc_pg9"/>
        <w:bookmarkEnd w:id="8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stock option activity under the 2016 Plan: </w:t>
      </w:r>
    </w:p>
    <w:tbl>
      <w:tblPr>
        <w:tblW w:w="9089" w:type="dxa"/>
        <w:jc w:val="left"/>
        <w:tblInd w:w="0" w:type="dxa"/>
        <w:tblLayout w:type="fixed"/>
        <w:tblCellMar>
          <w:top w:w="0" w:type="dxa"/>
          <w:left w:w="0" w:type="dxa"/>
          <w:bottom w:w="0" w:type="dxa"/>
          <w:right w:w="0" w:type="dxa"/>
        </w:tblCellMar>
      </w:tblPr>
      <w:tblGrid>
        <w:gridCol w:w="4160"/>
        <w:gridCol w:w="23"/>
        <w:gridCol w:w="23"/>
        <w:gridCol w:w="845"/>
        <w:gridCol w:w="23"/>
        <w:gridCol w:w="23"/>
        <w:gridCol w:w="1400"/>
        <w:gridCol w:w="23"/>
        <w:gridCol w:w="23"/>
        <w:gridCol w:w="1400"/>
        <w:gridCol w:w="23"/>
        <w:gridCol w:w="23"/>
        <w:gridCol w:w="1100"/>
      </w:tblGrid>
      <w:tr>
        <w:trPr/>
        <w:tc>
          <w:tcPr>
            <w:tcW w:w="41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4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4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years)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December 31, 2022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$18,727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6.90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$425 </w:t>
            </w:r>
          </w:p>
        </w:tc>
      </w:tr>
      <w:tr>
        <w:trPr/>
        <w:tc>
          <w:tcPr>
            <w:tcW w:w="4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$23,005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0"/>
              <w:jc w:val="right"/>
              <w:rPr>
                <w:color w:val="000000"/>
              </w:rPr>
            </w:pPr>
            <w:r>
              <w:rPr>
                <w:color w:val="000000"/>
              </w:rPr>
              <w:t> </w:t>
            </w:r>
          </w:p>
        </w:tc>
      </w:tr>
      <w:tr>
        <w:trPr/>
        <w:tc>
          <w:tcPr>
            <w:tcW w:w="4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$23,005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0"/>
              <w:jc w:val="righ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0"/>
              <w:jc w:val="right"/>
              <w:rPr>
                <w:color w:val="000000"/>
              </w:rPr>
            </w:pPr>
            <w:r>
              <w:rPr>
                <w:color w:val="000000"/>
              </w:rPr>
              <w:t> </w:t>
            </w:r>
          </w:p>
        </w:tc>
      </w:tr>
      <w:tr>
        <w:trPr/>
        <w:tc>
          <w:tcPr>
            <w:tcW w:w="4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jc w:val="righ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$23,005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0"/>
              <w:jc w:val="right"/>
              <w:rPr>
                <w:color w:val="000000"/>
              </w:rPr>
            </w:pPr>
            <w:r>
              <w:rPr>
                <w:color w:val="000000"/>
              </w:rPr>
              <w:t>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September 30, 2023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$19,246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6.60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$425</w:t>
            </w:r>
          </w:p>
        </w:tc>
      </w:tr>
      <w:tr>
        <w:trPr/>
        <w:tc>
          <w:tcPr>
            <w:tcW w:w="41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0"/>
              <w:jc w:val="righ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righ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0"/>
              <w:jc w:val="right"/>
              <w:rPr>
                <w:color w:val="000000"/>
              </w:rPr>
            </w:pPr>
            <w:r>
              <w:rPr>
                <w:color w:val="000000"/>
              </w:rPr>
              <w:t> </w:t>
            </w:r>
          </w:p>
        </w:tc>
      </w:tr>
      <w:tr>
        <w:trPr/>
        <w:tc>
          <w:tcPr>
            <w:tcW w:w="4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at September 30, 2023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119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$17,541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5.72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$425 </w:t>
            </w:r>
          </w:p>
        </w:tc>
      </w:tr>
      <w:tr>
        <w:trPr/>
        <w:tc>
          <w:tcPr>
            <w:tcW w:w="4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expected to vest at September 30,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$19,246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$425</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Income Taxes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provided a full valuation allowance against its net deferred tax assets, as the Company believes that it is more likely than not that the deferred tax assets will not be realized.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files income tax returns in the U.S. federal and Maryland jurisdictions. The Company is no longer subject to U.S. federal and Maryland income tax examinations by tax authorities for years before 2019. There are currently no federal, state or foreign audits in progress.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Defined Contribution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the nine months ended September 30, 2023 and 2022, respectively.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Commitments and Contingencies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2023, the Company was not a party to any litigation that could have a material adverse effect on the Company’s business, financial position, results of operations or cash flows.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License Agreements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National Institutes of Health – multiple myeloma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$569,194 and 460,758 as of September 30, 2023 and December 31, 2022,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19" w:name="DSPFPageBreakArea157"/>
      <w:bookmarkStart w:id="820" w:name="DSPFPageBreakArea157"/>
      <w:bookmarkEnd w:id="82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21" w:name="DSPFPageBreak157"/>
      <w:bookmarkStart w:id="822" w:name="DSPFPageBreak157"/>
      <w:bookmarkEnd w:id="82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23" w:name="ny20014884x5_pre14a_302-annexc_pg10"/>
        <w:bookmarkEnd w:id="8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respectively. The associated expense was recorded as research and development expense in the respective periods. The Company estimated the liability at each balance sheet date as the present value of the probability weighted continent payment amounts. In November 2023, the Company entered into a merger agreement with Selecta (see Subsequent Event note below), whereby the Company elected to pay $579,000 to the NIH in full satisfaction of the royalty provision. Payment was made in December 2023.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National Institutes of Health - autoimmune diseases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Biogen MA, Inc,- Multiple Myeloma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Subsequent Events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the date on which the consolidated financial statements were issued. The Company has concluded that no subsequent events have occurred that require disclosure, except as disclosed within these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24" w:name="DSPFPageBreakArea158"/>
      <w:bookmarkStart w:id="825" w:name="DSPFPageBreakArea158"/>
      <w:bookmarkEnd w:id="82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26" w:name="DSPFPageBreak158"/>
      <w:bookmarkStart w:id="827" w:name="DSPFPageBreak158"/>
      <w:bookmarkEnd w:id="82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28" w:name="ny20014884x5_pre14a_303-annexd_pg1"/>
        <w:bookmarkEnd w:id="8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829" w:name="tAXD"/>
      <w:bookmarkEnd w:id="829"/>
      <w:r>
        <w:rPr>
          <w:rFonts w:ascii="Times New Roman;Times;serif" w:hAnsi="Times New Roman;Times;serif"/>
          <w:b/>
          <w:color w:val="000000"/>
          <w:sz w:val="20"/>
        </w:rPr>
        <w:t>Annex D</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FINANCIAL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Selecta Biosciences, Inc., a Delaware corporation (“Selecta”), acquired Cartesian Therapeutics, Inc., a Delaware corporation (“Old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Old Cartesian. Pursuant to the Merger Agreement, First Merger Sub merged with and into Old Cartesian, pursuant to which Old Cartesian was the surviving corporation and became a wholly owned subsidiary of Selecta (the “First Merger”). Immediately following the First Merger, Old Cartesian merged with and into Second Merger Sub, pursuant to which Second Merger Sub was the surviving entity (the “Second Merger” and, together with the First Merger, the “Merger”). In connection with the Second Merger, Old Cartesian changed its name to Cartesian Bio, LLC.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tax-free reorganization for U.S. federal income tax purposes. As a result of the Merger, Selecta changed its corporate name to Cartesian Therapeutics, Inc. (“Cartesian” or the “Company”) and commenced trading under the symbol “RNAC” beginning on November 14,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Selecta (the “Board”) unanimously approved the Merger Agreement and the related transactions. The Merger has been consummated substantially concurrently with the entry into the Merger Agreement and was not subject to approval of Selecta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following the consummation of the Merger (the “Closing”), in exchange for the outstanding shares of capital stock of Old Cartesian immediately prior to the effective time of the First Merger, the Company agreed to issue to the stockholders of Old Cartesian (A) 6,723,639 shares of common stock of the Company, par value $0.0001 per share (the “Common Stock”), and (B) 384,930.724 shares of Series A Non-Voting Convertible Preferred Stock, par value $0.0001 per share (the “Series A Preferred Stock”), each share of which is convertible into 1,000 shares of Common Stock, subject to certain conditions. The issuance of the shares of Common Stock and Series A Preferred Stock occurred after the December 4, 2023 record date for the distribution of contingent value rights discussed below. The Old Cartesian stockholders did not have rights as holders of Common Stock or holders of Series A Preferred Stock until such issuance. Additionally, the Company assumed all outstanding stock options of Old Cartesian, subject to an exercise blackout period that ended December 8,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(the “Conversion Proposal”), and (ii) either or both of (A) the approval of an amendment to the Company’s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an affiliate of Dr. Springer, or any of its affiliates.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30" w:name="DSPFPageBreakArea159"/>
      <w:bookmarkStart w:id="831" w:name="DSPFPageBreakArea159"/>
      <w:bookmarkEnd w:id="83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32" w:name="DSPFPageBreak159"/>
      <w:bookmarkStart w:id="833" w:name="DSPFPageBreak159"/>
      <w:bookmarkEnd w:id="83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34" w:name="ny20014884x5_pre14a_303-annexd_pg2"/>
        <w:bookmarkEnd w:id="8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6, 2023, as contemplated in the Merger Agreement, the Company entered into a contingent value rights agreement (the “CVR Agreement”) pursuant to which each holder of Common Stock as of December 4, 2023 was entitled to one contractual contingent value right (each, a “CVR”) issued by the Company for each share of Common Stock held by such holder as of December 4, 2023, which CVRs were distributed to such holders on December 13, 2023. Holders of the warrants to purchase Common Stock of the Company outstanding as of such date (each, a “Selecta Warrant”) will be entitled to receive, upon exercise of such Selecta Warrant and in accordance with the terms thereof, one CVR per each such share of Common Stock underlying such Selecta Warrant, assuming the same had been exercised on December 4, 2023; except that the holders of the warrants issued by Selecta on April 11, 2022 (the “Selecta Warrants”), as required by the terms of such Selecta Warrants, received such CVRs on December 13, 2023, together with the distribution of CVRs made to the holders of Common Stock, even if such Selecta Warrants were not exercised.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CVR entitles its holder to distributions of the following, pro-rated on a per-CVR basis, during the period ending on the date on which the Royalty Term (as defined in the Company’s License and Development Agreement, as amended, with Swedish Orphan Biovitrum AB (publ.) (the “Sobi License”)) ends (the “Termination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of all milestone payments, royalties and other amounts paid to the Company or its controlled affiliates (the “Company Entities”) under the Sobi License or, following certain terminations of the Sobi License, any agreement a Company Entity enters into that provides for the development and commercialization of SEL-212;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$750,000 for general and administrative overhead, (iv) payments made and remaining obligations on lease liabilities of Selecta immediately prior to the Merger and (v) amounts paid and remaining obligations with regard to Selecta’s Xork product candidate. Each of the deductions described in (iv) and (v) will be made only if certain milestone payments under the Sobi License are made, and are also subject to certain adjustments as contemplated in the CVR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Series A Preferred Stock Financing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the Company entered into a Securities Purchase Agreement (the “Securities Purchase Agreement”) with (i) Timothy A. Springer, a member of the Company’s Board; (ii) TAS Partners, LLC, and (iii) Seven One Eight Three Four Irrevocable Trust, a trust associated with Dr. Murat Kalayoglu, a co-founder and the former chief executive officer of Old Cartesian, who joined the Board effective immediately after the effective time of the Merger (the “Investors”). Pursuant to the Securities Purchase Agreement, the Company agreed to issue and sell an aggregate of 149,330.115 shares of Series A Preferred Stock for an aggregate purchase price of $60.25 million (collectively, the “Financing”). Each share of Series A Preferred Stock is convertible into 1,000 shares of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Financing, each of TAS Partners, LLC and Dr. Springer agreed to settle its purchases in three approximately equal tranches of shares of Series A Preferred Stock, each for a purchase price of approximately $20.0 million, with the three tranches settling 30, 60, and 90 days, respectively, following the Closing. The first and second tranches were settled on December 13, 2023 and January 12, 2024, respectively, under which (i) 24,785.081 shares of Series A Preferred Stock were issued to each of TAS Partners, LLC and Dr. Springer in the first tranche, and (ii) 49,570.163 shares of Series A Preferred Stock were issued to Dr. Springer in the second tranche. The third tranche is expected to settle on February 11,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35" w:name="DSPFPageBreakArea160"/>
      <w:bookmarkStart w:id="836" w:name="DSPFPageBreakArea160"/>
      <w:bookmarkEnd w:id="83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37" w:name="DSPFPageBreak160"/>
      <w:bookmarkStart w:id="838" w:name="DSPFPageBreak160"/>
      <w:bookmarkEnd w:id="83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39" w:name="ny20014884x5_pre14a_303-annexd_pg3"/>
        <w:bookmarkEnd w:id="8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Settlement of Selecta Equity Awards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consummation of the First Merger, the equity compensation awards of Selecta were settled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option to acquire shares of Common Stock and each restricted stock unit award with respect to shares of Common Stock, in each case that was outstanding and unvested immediately prior to the Merger, was accelerated and vested in full at the effective time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option to acquire shares of Common Stock was canceled and in exchange therefor,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(the “Cash-out Amount”) over the applicable exercise price per share of Common Stock under such stock option;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 Forma Presentation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was prepared in accordance with Article 11 of Regulation S-X. The Selecta and Old Cartesian unaudited pro forma condensed combined balance sheet data assume that the Merger took place on September 30, 2023, and combines the Selecta and Old Cartesian historical balance sheets at September 30, 2023. The Selecta and Old Cartesian unaudited pro forma condensed combined statements of operations data assume that the Merger took place as of January 1, 2022, and combine the historical results of Selecta and Old Cartesian for the year ended December 31, 2022, and for the nine months ended September 30, 2023. The historical financial statements of Selecta and Old Cartesian have been adjusted to give pro forma effect to events that are (i) directly attributable to the Merger, (ii) factually supportable, and (iii) with respect to the statements of operations, expected to have a continuing impact on the combined results.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The final determination of these estimated fair values will be based on the actual net tangible assets of Old Cartesian that existed as of the date of completion of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have been prepared for illustrative purposes only and are not necessarily indicative of the financial position or results of operations in future periods or the results that actually would have been realized had Selecta and Old Cartesian been a combined company during the specified period. The unaudited pro forma condensed combined financial statements, including the notes thereto, should be read in conjunction with the separate historical audited financial statements of Selecta and Old Cartesian.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40" w:name="DSPFPageBreakArea161"/>
      <w:bookmarkStart w:id="841" w:name="DSPFPageBreakArea161"/>
      <w:bookmarkEnd w:id="84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42" w:name="DSPFPageBreak161"/>
      <w:bookmarkStart w:id="843" w:name="DSPFPageBreak161"/>
      <w:bookmarkEnd w:id="84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44" w:name="ny20014884x5_pre14a_303-annexd_pg4"/>
        <w:bookmarkEnd w:id="8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Unaudited Pro Forma Condensed Combined Balance Sheet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 of September 30, 2023</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5487"/>
        <w:gridCol w:w="23"/>
        <w:gridCol w:w="23"/>
        <w:gridCol w:w="1054"/>
        <w:gridCol w:w="23"/>
        <w:gridCol w:w="23"/>
        <w:gridCol w:w="1217"/>
        <w:gridCol w:w="23"/>
        <w:gridCol w:w="23"/>
        <w:gridCol w:w="929"/>
        <w:gridCol w:w="23"/>
        <w:gridCol w:w="23"/>
        <w:gridCol w:w="425"/>
        <w:gridCol w:w="23"/>
        <w:gridCol w:w="23"/>
        <w:gridCol w:w="863"/>
      </w:tblGrid>
      <w:tr>
        <w:trPr/>
        <w:tc>
          <w:tcPr>
            <w:tcW w:w="54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054"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217"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Cartesian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Therapeutics,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929"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425"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863"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79,603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6,875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(9,423)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137,305 </w:t>
            </w:r>
          </w:p>
        </w:tc>
      </w:tr>
      <w:tr>
        <w:trPr/>
        <w:tc>
          <w:tcPr>
            <w:tcW w:w="54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60,250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4,898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994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5,892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Unbilled receivables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1,875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1,875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299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3,792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89,869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8,168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50,827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148,864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Non-current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2,421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228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2,649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10,339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891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11,230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150,700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150,700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48,062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48,062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3,430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$106,034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$9,312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$249,589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$364,935 </w:t>
            </w:r>
          </w:p>
        </w:tc>
      </w:tr>
      <w:tr>
        <w:trPr/>
        <w:tc>
          <w:tcPr>
            <w:tcW w:w="548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LIABILITIES, PREFERRED STOCK AND STOCKHOLDERS’ EQUITY (DEFICIT)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accrued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4,895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20,989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1,787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273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2,060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4,140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4,140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19,939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2,355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4,895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27,189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Non-current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8,694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743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9,437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3,981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3,981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13,091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13,091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34,853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15,854 </w:t>
            </w:r>
          </w:p>
        </w:tc>
      </w:tr>
      <w:tr>
        <w:trPr/>
        <w:tc>
          <w:tcPr>
            <w:tcW w:w="548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(18,999)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J</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Contingent value right obligation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340,300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340,300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45,705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3.098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361,049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409,852</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32,057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155,308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215,558 </w:t>
            </w:r>
          </w:p>
        </w:tc>
      </w:tr>
      <w:tr>
        <w:trPr/>
        <w:tc>
          <w:tcPr>
            <w:tcW w:w="54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60,250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(32,057)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 (deficit):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 I</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501,919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7,985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6,977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182,372 </w:t>
            </w:r>
          </w:p>
        </w:tc>
      </w:tr>
      <w:tr>
        <w:trPr/>
        <w:tc>
          <w:tcPr>
            <w:tcW w:w="548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619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13,157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(340,300)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(7,985)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(436,989)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(33,828)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(4,895)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(438,246) </w:t>
            </w:r>
          </w:p>
        </w:tc>
      </w:tr>
      <w:tr>
        <w:trPr/>
        <w:tc>
          <w:tcPr>
            <w:tcW w:w="54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(16,400)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(619)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35,486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left"/>
              <w:rPr>
                <w:color w:val="000000"/>
              </w:rPr>
            </w:pPr>
            <w:r>
              <w:rPr>
                <w:color w:val="000000"/>
              </w:rPr>
              <w:t> </w:t>
            </w:r>
          </w:p>
        </w:tc>
      </w:tr>
      <w:tr>
        <w:trPr/>
        <w:tc>
          <w:tcPr>
            <w:tcW w:w="548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18,999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J</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left"/>
              <w:rPr>
                <w:color w:val="000000"/>
              </w:rPr>
            </w:pPr>
            <w:r>
              <w:rPr>
                <w:color w:val="000000"/>
              </w:rPr>
              <w:t> </w:t>
            </w:r>
          </w:p>
        </w:tc>
      </w:tr>
      <w:tr>
        <w:trPr/>
        <w:tc>
          <w:tcPr>
            <w:tcW w:w="54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(4,616</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(4,616</w:t>
            </w:r>
            <w:r>
              <w:rPr>
                <w:rFonts w:ascii="Times New Roman;Times;serif" w:hAnsi="Times New Roman;Times;serif"/>
                <w:color w:val="000000"/>
                <w:sz w:val="20"/>
              </w:rPr>
              <w:t>)</w:t>
            </w:r>
          </w:p>
        </w:tc>
      </w:tr>
      <w:tr>
        <w:trPr/>
        <w:tc>
          <w:tcPr>
            <w:tcW w:w="54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 (deficit)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60,329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(25,843</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(294,961</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(260,475</w:t>
            </w:r>
            <w:r>
              <w:rPr>
                <w:rFonts w:ascii="Times New Roman;Times;serif" w:hAnsi="Times New Roman;Times;serif"/>
                <w:color w:val="000000"/>
                <w:sz w:val="20"/>
              </w:rPr>
              <w:t>)</w:t>
            </w:r>
          </w:p>
        </w:tc>
      </w:tr>
      <w:tr>
        <w:trPr/>
        <w:tc>
          <w:tcPr>
            <w:tcW w:w="548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PREFERRED STOCK AND STOCKHOLDERS’ EQUITY (DEFICIT)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ind w:left="15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$106,034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6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9" w:type="dxa"/>
            <w:tcBorders/>
            <w:vAlign w:val="center"/>
          </w:tcPr>
          <w:p>
            <w:pPr>
              <w:pStyle w:val="TableContents"/>
              <w:bidi w:val="0"/>
              <w:spacing w:before="0" w:after="283"/>
              <w:ind w:left="2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$249,589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$364,935</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45" w:name="DSPFPageBreakArea162"/>
      <w:bookmarkStart w:id="846" w:name="DSPFPageBreakArea162"/>
      <w:bookmarkEnd w:id="84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47" w:name="DSPFPageBreak162"/>
      <w:bookmarkStart w:id="848" w:name="DSPFPageBreak162"/>
      <w:bookmarkEnd w:id="84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49" w:name="ny20014884x5_pre14a_303-annexd_pg5"/>
        <w:bookmarkEnd w:id="8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Unaudited Pro Forma Condensed Combined Statement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Year Ended December 31, 2022</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9065" w:type="dxa"/>
        <w:jc w:val="left"/>
        <w:tblInd w:w="0" w:type="dxa"/>
        <w:tblLayout w:type="fixed"/>
        <w:tblCellMar>
          <w:top w:w="0" w:type="dxa"/>
          <w:left w:w="0" w:type="dxa"/>
          <w:bottom w:w="0" w:type="dxa"/>
          <w:right w:w="0" w:type="dxa"/>
        </w:tblCellMar>
      </w:tblPr>
      <w:tblGrid>
        <w:gridCol w:w="3830"/>
        <w:gridCol w:w="23"/>
        <w:gridCol w:w="23"/>
        <w:gridCol w:w="1175"/>
        <w:gridCol w:w="23"/>
        <w:gridCol w:w="23"/>
        <w:gridCol w:w="1355"/>
        <w:gridCol w:w="23"/>
        <w:gridCol w:w="23"/>
        <w:gridCol w:w="935"/>
        <w:gridCol w:w="23"/>
        <w:gridCol w:w="23"/>
        <w:gridCol w:w="425"/>
        <w:gridCol w:w="23"/>
        <w:gridCol w:w="23"/>
        <w:gridCol w:w="1115"/>
      </w:tblGrid>
      <w:tr>
        <w:trPr/>
        <w:tc>
          <w:tcPr>
            <w:tcW w:w="38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7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35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Cartesian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Therapeutics,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3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2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0"/>
              <w:jc w:val="left"/>
              <w:rPr>
                <w:color w:val="000000"/>
              </w:rPr>
            </w:pPr>
            <w:r>
              <w:rPr>
                <w:color w:val="000000"/>
              </w:rPr>
              <w:t> </w:t>
            </w:r>
          </w:p>
        </w:tc>
      </w:tr>
      <w:tr>
        <w:trPr/>
        <w:tc>
          <w:tcPr>
            <w:tcW w:w="38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Collaboration and license revenue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110,777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110,777 </w:t>
            </w:r>
          </w:p>
        </w:tc>
      </w:tr>
      <w:tr>
        <w:trPr/>
        <w:tc>
          <w:tcPr>
            <w:tcW w:w="38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 revenue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1,449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1,449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110,777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1,449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112,226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0"/>
              <w:jc w:val="left"/>
              <w:rPr>
                <w:color w:val="000000"/>
              </w:rPr>
            </w:pPr>
            <w:r>
              <w:rPr>
                <w:color w:val="000000"/>
              </w:rPr>
              <w:t> </w:t>
            </w:r>
          </w:p>
        </w:tc>
      </w:tr>
      <w:tr>
        <w:trPr/>
        <w:tc>
          <w:tcPr>
            <w:tcW w:w="38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72,377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6,841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7,462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88,488 </w:t>
            </w:r>
          </w:p>
        </w:tc>
      </w:tr>
      <w:tr>
        <w:trPr/>
        <w:tc>
          <w:tcPr>
            <w:tcW w:w="383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619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0"/>
              <w:jc w:val="left"/>
              <w:rPr>
                <w:color w:val="000000"/>
              </w:rPr>
            </w:pPr>
            <w:r>
              <w:rPr>
                <w:color w:val="000000"/>
              </w:rPr>
              <w:t> </w:t>
            </w:r>
          </w:p>
        </w:tc>
      </w:tr>
      <w:tr>
        <w:trPr/>
        <w:tc>
          <w:tcPr>
            <w:tcW w:w="38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1,189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left"/>
              <w:rPr>
                <w:color w:val="000000"/>
              </w:rPr>
            </w:pPr>
            <w:r>
              <w:rPr>
                <w:color w:val="000000"/>
              </w:rPr>
              <w:t> </w:t>
            </w:r>
          </w:p>
        </w:tc>
      </w:tr>
      <w:tr>
        <w:trPr/>
        <w:tc>
          <w:tcPr>
            <w:tcW w:w="38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23,862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1,244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4,895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38,939 </w:t>
            </w:r>
          </w:p>
        </w:tc>
      </w:tr>
      <w:tr>
        <w:trPr/>
        <w:tc>
          <w:tcPr>
            <w:tcW w:w="38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499"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8,938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left"/>
              <w:rPr>
                <w:sz w:val="4"/>
                <w:szCs w:val="4"/>
              </w:rPr>
            </w:pPr>
            <w:r>
              <w:rPr>
                <w:sz w:val="4"/>
                <w:szCs w:val="4"/>
              </w:rPr>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96,239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8,085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23,103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127,427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14,538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(6,636)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(23,103)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(15,201)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2,073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2,108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transaction,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income,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(3,031)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(3,031)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warrant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20,882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20,882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(108</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368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34,770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(6,455)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(23,211)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5,104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609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18,999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J</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19,608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35,379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(6,455)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(4,212)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24,712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0"/>
              <w:jc w:val="left"/>
              <w:rPr>
                <w:color w:val="000000"/>
              </w:rPr>
            </w:pPr>
            <w:r>
              <w:rPr>
                <w:color w:val="000000"/>
              </w:rPr>
              <w:t> </w:t>
            </w:r>
          </w:p>
        </w:tc>
      </w:tr>
      <w:tr>
        <w:trPr/>
        <w:tc>
          <w:tcPr>
            <w:tcW w:w="38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 </w:t>
            </w:r>
          </w:p>
        </w:tc>
      </w:tr>
      <w:tr>
        <w:trPr/>
        <w:tc>
          <w:tcPr>
            <w:tcW w:w="38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on marketable securities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77"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(10</w:t>
            </w:r>
            <w:r>
              <w:rPr>
                <w:rFonts w:ascii="Times New Roman;Times;serif" w:hAnsi="Times New Roman;Times;serif"/>
                <w:color w:val="000000"/>
                <w:sz w:val="20"/>
              </w:rPr>
              <w:t xml:space="preserve">)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income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$35,387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$(6,455</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$(4,212</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$24,720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income per share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0"/>
              <w:jc w:val="left"/>
              <w:rPr>
                <w:color w:val="000000"/>
              </w:rPr>
            </w:pPr>
            <w:r>
              <w:rPr>
                <w:color w:val="000000"/>
              </w:rPr>
              <w:t> </w:t>
            </w:r>
          </w:p>
        </w:tc>
      </w:tr>
      <w:tr>
        <w:trPr/>
        <w:tc>
          <w:tcPr>
            <w:tcW w:w="38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r>
      <w:tr>
        <w:trPr/>
        <w:tc>
          <w:tcPr>
            <w:tcW w:w="38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(0.22)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common shares outstanding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left"/>
              <w:rPr>
                <w:color w:val="000000"/>
              </w:rPr>
            </w:pPr>
            <w:r>
              <w:rPr>
                <w:color w:val="000000"/>
              </w:rPr>
              <w:t> </w:t>
            </w:r>
          </w:p>
        </w:tc>
      </w:tr>
      <w:tr>
        <w:trPr/>
        <w:tc>
          <w:tcPr>
            <w:tcW w:w="38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144,758,555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151,482,194 </w:t>
            </w:r>
          </w:p>
        </w:tc>
      </w:tr>
      <w:tr>
        <w:trPr/>
        <w:tc>
          <w:tcPr>
            <w:tcW w:w="38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145,874,889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152,282,286</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50" w:name="DSPFPageBreakArea163"/>
      <w:bookmarkStart w:id="851" w:name="DSPFPageBreakArea163"/>
      <w:bookmarkEnd w:id="85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52" w:name="DSPFPageBreak163"/>
      <w:bookmarkStart w:id="853" w:name="DSPFPageBreak163"/>
      <w:bookmarkEnd w:id="85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54" w:name="ny20014884x5_pre14a_303-annexd_pg6"/>
        <w:bookmarkEnd w:id="8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Unaudited Pro Forma Condensed Combined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period ended September 30, 2023</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9065" w:type="dxa"/>
        <w:jc w:val="left"/>
        <w:tblInd w:w="0" w:type="dxa"/>
        <w:tblLayout w:type="fixed"/>
        <w:tblCellMar>
          <w:top w:w="0" w:type="dxa"/>
          <w:left w:w="0" w:type="dxa"/>
          <w:bottom w:w="0" w:type="dxa"/>
          <w:right w:w="0" w:type="dxa"/>
        </w:tblCellMar>
      </w:tblPr>
      <w:tblGrid>
        <w:gridCol w:w="3830"/>
        <w:gridCol w:w="23"/>
        <w:gridCol w:w="23"/>
        <w:gridCol w:w="1175"/>
        <w:gridCol w:w="23"/>
        <w:gridCol w:w="23"/>
        <w:gridCol w:w="1355"/>
        <w:gridCol w:w="23"/>
        <w:gridCol w:w="23"/>
        <w:gridCol w:w="935"/>
        <w:gridCol w:w="23"/>
        <w:gridCol w:w="23"/>
        <w:gridCol w:w="425"/>
        <w:gridCol w:w="23"/>
        <w:gridCol w:w="23"/>
        <w:gridCol w:w="1115"/>
      </w:tblGrid>
      <w:tr>
        <w:trPr/>
        <w:tc>
          <w:tcPr>
            <w:tcW w:w="38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7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Inc.</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35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Cartesian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Therapeutics,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(Old Cartesian)</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3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2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Collaboration and license revenue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17,738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17,738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left"/>
              <w:rPr>
                <w:color w:val="000000"/>
              </w:rPr>
            </w:pPr>
            <w:r>
              <w:rPr>
                <w:color w:val="000000"/>
              </w:rPr>
              <w:t> </w:t>
            </w:r>
          </w:p>
        </w:tc>
      </w:tr>
      <w:tr>
        <w:trPr/>
        <w:tc>
          <w:tcPr>
            <w:tcW w:w="38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49,408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6,965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684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57,057 </w:t>
            </w:r>
          </w:p>
        </w:tc>
      </w:tr>
      <w:tr>
        <w:trPr/>
        <w:tc>
          <w:tcPr>
            <w:tcW w:w="38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18,414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1,286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19,700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67,822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8,251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684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76,757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(50,084)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(8,251)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(684)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(59,019)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4,024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311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4,335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transaction, 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39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(2,833)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(2,833)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warrant liabilities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6,049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6,049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753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176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108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1,037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before income taxes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(42,052)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(7,764)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(576)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(50,392)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(42,052)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(7,764)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(576)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(50,392)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0"/>
              <w:jc w:val="left"/>
              <w:rPr>
                <w:color w:val="000000"/>
              </w:rPr>
            </w:pPr>
            <w:r>
              <w:rPr>
                <w:color w:val="000000"/>
              </w:rPr>
              <w:t> </w:t>
            </w:r>
          </w:p>
        </w:tc>
      </w:tr>
      <w:tr>
        <w:trPr/>
        <w:tc>
          <w:tcPr>
            <w:tcW w:w="38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 </w:t>
            </w:r>
          </w:p>
        </w:tc>
      </w:tr>
      <w:tr>
        <w:trPr/>
        <w:tc>
          <w:tcPr>
            <w:tcW w:w="38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on marketable securities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ind w:left="318"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202" w:right="0" w:hanging="0"/>
              <w:jc w:val="left"/>
              <w:rPr>
                <w:color w:val="000000"/>
                <w:bdr w:val="single" w:sz="8" w:space="1" w:color="000000"/>
              </w:rPr>
            </w:pPr>
            <w:r>
              <w:rPr>
                <w:color w:val="000000"/>
                <w:bdr w:val="single" w:sz="8" w:space="1" w:color="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11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loss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$(42,110</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$(7,764</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$(576</w:t>
            </w: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$(50,450</w:t>
            </w:r>
            <w:r>
              <w:rPr>
                <w:rFonts w:ascii="Times New Roman;Times;serif" w:hAnsi="Times New Roman;Times;serif"/>
                <w:color w:val="000000"/>
                <w:sz w:val="20"/>
              </w:rPr>
              <w:t xml:space="preserve">)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0"/>
              <w:jc w:val="left"/>
              <w:rPr>
                <w:color w:val="000000"/>
              </w:rPr>
            </w:pPr>
            <w:r>
              <w:rPr>
                <w:color w:val="000000"/>
              </w:rPr>
              <w:t> </w:t>
            </w:r>
          </w:p>
        </w:tc>
      </w:tr>
      <w:tr>
        <w:trPr/>
        <w:tc>
          <w:tcPr>
            <w:tcW w:w="38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(0.31) </w:t>
            </w:r>
          </w:p>
        </w:tc>
      </w:tr>
      <w:tr>
        <w:trPr/>
        <w:tc>
          <w:tcPr>
            <w:tcW w:w="38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(0.31)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common shares outstanding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left"/>
              <w:rPr>
                <w:color w:val="000000"/>
              </w:rPr>
            </w:pPr>
            <w:r>
              <w:rPr>
                <w:color w:val="000000"/>
              </w:rPr>
              <w:t> </w:t>
            </w:r>
          </w:p>
        </w:tc>
      </w:tr>
      <w:tr>
        <w:trPr/>
        <w:tc>
          <w:tcPr>
            <w:tcW w:w="38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153,870,912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 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160,594,551 </w:t>
            </w:r>
          </w:p>
        </w:tc>
      </w:tr>
      <w:tr>
        <w:trPr/>
        <w:tc>
          <w:tcPr>
            <w:tcW w:w="38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153,870,912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 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160,594,551</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55" w:name="DSPFPageBreakArea164"/>
      <w:bookmarkStart w:id="856" w:name="DSPFPageBreakArea164"/>
      <w:bookmarkEnd w:id="85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57" w:name="DSPFPageBreak164"/>
      <w:bookmarkStart w:id="858" w:name="DSPFPageBreak164"/>
      <w:bookmarkEnd w:id="85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59" w:name="ny20014884x5_pre14a_303-annexd_pg7"/>
        <w:bookmarkEnd w:id="8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NOTES TO UNAUDITED PRO FORMA CONDENSED COMBINED FINANCIAL INFORMATION</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Description of Transaction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Merger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occurred on November 13, 2023, as a result of which Selecta acquired all of the equity of Old Cartesian. Selecta, as the surviving corporation, was renamed “Cartesian Therapeutics, Inc.” and is trading under the symbol “RNAC” on the Nasdaq Global Market as of November 14,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exchange for the outstanding shares of capital stock of Old Cartesian immediately prior to the effective time of the First Merger, the Company issued to the stockholders of Old Cartesian (A) 6,723,639 shares of Common Stock and (B) 384,930.724 shares of Series A Preferred Stock, each share of which is convertible into 1,000 shares of Common Stock, subject to certain conditions.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and (ii) either or both of (A) the approval of an amendment to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outstanding stock option awards of Old Cartesian were assumed by the Company in connection with the Merger. As a result, the Company issued (i) stock options in respect of 23,306,661 shares of Common Stock and (ii) stock options in respect of 14,112.299 shares of Series A Preferred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Selecta accelerated the vesting of unvested equity compensation awards and settled such awards as follows: (i) each Selecta stock option was canceled and its holder received an amount in cash equal to the product of (A) the total number of shares of Common Stock subject to the unexercised portion the stock option (determined after giving effect to the accelerated vesting) multiplied by (B) the excess, if any, of the Cash-out Amount over the applicable exercise price per share of Common Stock under such stock option; and (ii) each Selecta restricted stock unit award was cancelled and its holder received an amount in cash equal to the product of (A) the total number of shares of Common Stock deliverable under such restricted stock unit multiplied by (B) the Cash-out Amount. Stock options with an exercise price in excess of the Cash-out Amount received no cash payment. The total cash payment to cancel such equity compensation awards amounted to $9.4 million.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November 13, 2023, certain investors entered into the Securities Purchase Agreement with the Company, pursuant to which such investors committed to purchasing Series A Preferred Stock for an aggregate purchase price of $60.25 million.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Contingent Value Rights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December 6, 2023, as contemplated in the Merger Agreement, the Company entered into the CVR Agreement, pursuant to which each holder of Common Stock as of December 4, 2023 was entitled to one CVR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60" w:name="DSPFPageBreakArea165"/>
      <w:bookmarkStart w:id="861" w:name="DSPFPageBreakArea165"/>
      <w:bookmarkEnd w:id="86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62" w:name="DSPFPageBreak165"/>
      <w:bookmarkStart w:id="863" w:name="DSPFPageBreak165"/>
      <w:bookmarkEnd w:id="86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4" w:name="ny20014884x5_pre14a_303-annexd_pg8"/>
        <w:bookmarkEnd w:id="8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issued by the Company for each share of Common Stock held by such holder as of December 4, 2023, which CVRs were distributed to such holders on December 13, 2023. Holders of the Selecta Warrants will be entitled to receive, upon exercise of such Selecta Warrant and in accordance with the terms thereof, one CVR per each such share of Common Stock underlying such Selecta Warrant, assuming the same had been exercised on December 4, 2023; except that the holders of the Selecta Warrants issued on April 11, 2022, as required by the terms of such Selecta Warrants, received such CVRs on December 13, 2023, together with the distribution of CVRs made to the holders of Common Stock, even if such Selecta Warrants were not exercised.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CVR represents the contractual right to receive contingent cash payments upon the receipt by the Company of (i) certain amounts payable by Sobi, if any, pursuant to the Sobi License, upon the achievement by Sobi of certain milestones or on the account of royalties, in each due as set forth in the Sobi License, and (ii) the proceeds from any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The distributions in respect of the CVRs are subject to certain deductions, including for specified expenses, taxes and obligations of Selecta as of prior to the Merger or in connection with performance of the Company’s obligations under the CVR Agreement. The CVRs do not have any voting or dividend rights and do not represent any equity or ownership interest in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CVR will be recognized as a distribution to the Selecta stockholders and warrant holders upon the record date for its distribution, which was December 4, 2023, in an amount equal to the fair value of the right conveyed under the CVR.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Basis for Presentation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September 30, 2023, is presented as if the Merger had been completed on September 30, 2023. The unaudited pro forma condensed combined statements of operations for the years ended December 31, 2022, and the nine months ended September 30, 2023, assumes that the Merger occurred on January 1, 2022, and combines the historical results of Selecta and Old Cartesian.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is accounted for as a business combination under U.S. GAAP because Selecta has obtained control of Old Cartesian as a result of the Merger. As such, for financial reporting purposes, Selecta has been determined to be the accounting acquirer as Old Cartesian is deemed to be a variable interest entity to which Selecta is the primary beneficiary as Selecta has (i) the power to direct the activities that most significantly impact the economic performance of Old Cartesian and (ii) the obligation to absorb losses or the right to receive benefits of Old Cartesian. Under the terms of the Merger: (A) the pre-Merger stockholders of Selecta continue to control the combined company, as the Series A Preferred Stock issued in connection with the Merger and Financing are non-voting shares, unless and until there is a stockholder vote which approves the Conversion Proposal, (B) Selecta holds the majority of Board seats of the combined company, and (C) Selecta’s management holds all key positions in the management of the combined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65" w:name="DSPFPageBreakArea166"/>
      <w:bookmarkStart w:id="866" w:name="DSPFPageBreakArea166"/>
      <w:bookmarkEnd w:id="86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67" w:name="DSPFPageBreak166"/>
      <w:bookmarkStart w:id="868" w:name="DSPFPageBreak166"/>
      <w:bookmarkEnd w:id="86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9" w:name="ny20014884x5_pre14a_303-annexd_pg9"/>
        <w:bookmarkEnd w:id="8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Purchase Price Allocation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net purchase price of Old Cartesian was approximately $168.5 million and was funded by the issuance of Common Stock, Series A Preferred Stock and the exchange of stock options of Old Cartesian for stock options of the Company. The total purchase price has been allocated to Old Cartesian’s tangible assets, identifiable intangible assets and assumed liabilities based on their estimated fair values as of November 13, 2023. The excess of the purchase price over the tangible assets, identifiable intangible assets and assumed liabilities will be recorded as goodwill. The Company’s estimates and assumptions in determining the estimated fair values of certain assets and liabilities are preliminary and are subject to change. The total estimated purchase price was allocated as follows (in thousands): </w:t>
      </w:r>
    </w:p>
    <w:tbl>
      <w:tblPr>
        <w:tblW w:w="4196" w:type="dxa"/>
        <w:jc w:val="left"/>
        <w:tblInd w:w="0" w:type="dxa"/>
        <w:tblLayout w:type="fixed"/>
        <w:tblCellMar>
          <w:top w:w="0" w:type="dxa"/>
          <w:left w:w="0" w:type="dxa"/>
          <w:bottom w:w="0" w:type="dxa"/>
          <w:right w:w="0" w:type="dxa"/>
        </w:tblCellMar>
      </w:tblPr>
      <w:tblGrid>
        <w:gridCol w:w="3335"/>
        <w:gridCol w:w="23"/>
        <w:gridCol w:w="23"/>
        <w:gridCol w:w="815"/>
      </w:tblGrid>
      <w:tr>
        <w:trPr/>
        <w:tc>
          <w:tcPr>
            <w:tcW w:w="33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Amounts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purchase consideration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0"/>
              <w:jc w:val="left"/>
              <w:rPr>
                <w:color w:val="000000"/>
              </w:rPr>
            </w:pPr>
            <w:r>
              <w:rPr>
                <w:color w:val="000000"/>
              </w:rPr>
              <w:t> </w:t>
            </w:r>
          </w:p>
        </w:tc>
      </w:tr>
      <w:tr>
        <w:trPr/>
        <w:tc>
          <w:tcPr>
            <w:tcW w:w="33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2,713 </w:t>
            </w:r>
          </w:p>
        </w:tc>
      </w:tr>
      <w:tr>
        <w:trPr/>
        <w:tc>
          <w:tcPr>
            <w:tcW w:w="33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155,308 </w:t>
            </w:r>
          </w:p>
        </w:tc>
      </w:tr>
      <w:tr>
        <w:trPr/>
        <w:tc>
          <w:tcPr>
            <w:tcW w:w="33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Assumption of Cartesian stock options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10,444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purchase price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$168,465</w:t>
            </w:r>
          </w:p>
        </w:tc>
      </w:tr>
      <w:tr>
        <w:trPr/>
        <w:tc>
          <w:tcPr>
            <w:tcW w:w="33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0"/>
              <w:jc w:val="left"/>
              <w:rPr>
                <w:color w:val="000000"/>
              </w:rPr>
            </w:pPr>
            <w:r>
              <w:rPr>
                <w:color w:val="000000"/>
              </w:rPr>
              <w:t>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Allocation of the purchase consideration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0"/>
              <w:jc w:val="left"/>
              <w:rPr>
                <w:color w:val="000000"/>
              </w:rPr>
            </w:pPr>
            <w:r>
              <w:rPr>
                <w:color w:val="000000"/>
              </w:rPr>
              <w:t> </w:t>
            </w:r>
          </w:p>
        </w:tc>
      </w:tr>
      <w:tr>
        <w:trPr/>
        <w:tc>
          <w:tcPr>
            <w:tcW w:w="33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Tangible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8,000 </w:t>
            </w:r>
          </w:p>
        </w:tc>
      </w:tr>
      <w:tr>
        <w:trPr/>
        <w:tc>
          <w:tcPr>
            <w:tcW w:w="33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Liabilities assumed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(3,444) </w:t>
            </w:r>
          </w:p>
        </w:tc>
      </w:tr>
      <w:tr>
        <w:trPr/>
        <w:tc>
          <w:tcPr>
            <w:tcW w:w="33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150,700 </w:t>
            </w:r>
          </w:p>
        </w:tc>
      </w:tr>
      <w:tr>
        <w:trPr/>
        <w:tc>
          <w:tcPr>
            <w:tcW w:w="33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(34,853) </w:t>
            </w:r>
          </w:p>
        </w:tc>
      </w:tr>
      <w:tr>
        <w:trPr/>
        <w:tc>
          <w:tcPr>
            <w:tcW w:w="33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48,062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purchase price allocation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$168,465</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fair value of the intangible assets has been estimated using the income approach in which the after-tax cash flows are discounted to present value. The cash flows are based on estimates used to price the transaction, and the discount rates applied were benchmarked with reference to the implied rate of return from the transaction model as well as the weighted average cost of capital. Based on the preliminary valuation, the acquired intangible assets are comprised of in-process research and development associated with Descartes-08 for myasthenia gravis and Descartes-08 for systemic lupus erythematosus development programs. These preliminary estimates of fair value may vary materially from the final acquisition accounting, and the difference could have a material impact on the accompanying unaudited pro forma condensed combined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allocation of the preliminary purchase price to the estimated fair values of acquired assets and liabilities as of November 13, 2023, goodwill is approximately $48.1 million. The factors contributing to the recognition of the amount of goodwill are primarily attributable to the value of the assembled workforce and deferred tax liabilities associated with the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Pro Forma Adjustments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 forma adjustments were based on the preliminary information available at the time of the preparation of the unaudited pro forma condensed combined financial information. The unaudited pro forma condensed combined financial information, including the notes thereto, are qualified in their entirety by reference to, and should be read in conjunction with, the separate historical audited financial statements of Selecta and Old Cartesian for the years ended December 31, 2022, and 2021 and for the nine months ended September 30, 2023.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Merger Transaction Adjustments </w:t>
      </w:r>
    </w:p>
    <w:tbl>
      <w:tblPr>
        <w:tblW w:w="9040" w:type="dxa"/>
        <w:jc w:val="left"/>
        <w:tblInd w:w="0" w:type="dxa"/>
        <w:tblLayout w:type="fixed"/>
        <w:tblCellMar>
          <w:top w:w="0" w:type="dxa"/>
          <w:left w:w="0" w:type="dxa"/>
          <w:bottom w:w="0" w:type="dxa"/>
          <w:right w:w="0" w:type="dxa"/>
        </w:tblCellMar>
      </w:tblPr>
      <w:tblGrid>
        <w:gridCol w:w="155"/>
        <w:gridCol w:w="8885"/>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accrue additional $4.9 million of transaction costs incurred by Selecta subsequent to September 30, 2023.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Recognize total research and development expense of $7.5 million and general and administrative expense of $8.9 million associated with the modification of Selecta stock options and restricted stock units to accelerate the vesting of all awards upon the Merger and the cash settlement of certain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70" w:name="DSPFPageBreakArea167"/>
      <w:bookmarkStart w:id="871" w:name="DSPFPageBreakArea167"/>
      <w:bookmarkEnd w:id="87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72" w:name="DSPFPageBreak167"/>
      <w:bookmarkStart w:id="873" w:name="DSPFPageBreak167"/>
      <w:bookmarkEnd w:id="87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74" w:name="ny20014884x5_pre14a_303-annexd_pg10"/>
        <w:bookmarkEnd w:id="8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modification resulted in full recognition of unrecognized compensation of $13.1 million of which $5.9 million and $7.2 million was classified as research and development expense and general and administrative expense, respectively.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 in capital in an amount of $6.2 million and the amount in excess of fair value was recognized as additional compensation expense in an amount of $3.3 million, of which $1.6 million and $1.7 million was classified as research and development expense and general and administrative expense, respectively.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in-license agreement held by Old Cartesian included a payment to the licensor that is contingent upon certain corporate transactions. In connection with the Merger, a payment in the amount of $0.6 million was due to the licensor and fully accrued as of September 30, 2023. The Company accounted for the obligation as a derivative which was remeasured at fair value at the end of each reporting period. The expense related to the remeasurement of the contingent liability which is recorded in other income, net for the nine months ended September 30, 2023 ($0.1 million) was removed. The expense has been reflected in the year ended December 31, 2022, as the Merger is assumed to have occurred on January 1, 2022, for pro forma purposes.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one Old Cartesian employee had a pre-existing provision in the employee’s stock option agreement, which provided for an acceleration of vesting upon a change in control, which was triggered as a result of the Merger. The additional expense of $0.6 million will be included in Old Cartesian’s pre-acquisition net loss, upon the Merger. This amount is included as a pro forma adjustment as the expense is not included in the historical financial statements presented.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record stock compensation expense for the assumed unvested stock option awards (valued at approximately $2.6 million) that is to be recorded prospectively over the remaining service period of the awards. Total expense of $1.2 million and $0.7 million was classified as research and development expense during the year ended December 31, 2022 and the nine months ended September 30, 2023, respectively. There are no awards related to general and administrative activities. </w:t>
            </w:r>
          </w:p>
        </w:tc>
      </w:tr>
    </w:tbl>
    <w:tbl>
      <w:tblPr>
        <w:tblW w:w="8425" w:type="dxa"/>
        <w:jc w:val="left"/>
        <w:tblInd w:w="0" w:type="dxa"/>
        <w:tblLayout w:type="fixed"/>
        <w:tblCellMar>
          <w:top w:w="0" w:type="dxa"/>
          <w:left w:w="0" w:type="dxa"/>
          <w:bottom w:w="0" w:type="dxa"/>
          <w:right w:w="0" w:type="dxa"/>
        </w:tblCellMar>
      </w:tblPr>
      <w:tblGrid>
        <w:gridCol w:w="125"/>
        <w:gridCol w:w="830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record purchase consideration and acquired intangible assets, goodwill and deferred tax liabilities.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the $60.25 million Financing associated with the issuance of Series A Preferred Stock under the Securities Purchase Agreement.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the Company entered into the CVR Agreement to distribute the rights to future cash flows associated with certain licensed products and other assets to its stockholders. One CVR was distributed with respect to each share of Common Stock outstanding as of December 4, 2023 and each share of Common Stock underlying the Selecta Warrants issued on April 11, 2022. Further, one CVR will be distributed in respect of each share of Common Stock underlying the other Selecta Warrants, in each case if and to the extent each such Selecta Warrant is exercised in the future in accordance with its own terms. Each CVR was valued at $1.83 per Common Stock equivalent. The aggregate fair value of the CVR obligation on November 13, 2023 (the date that the CVR dividend was declared) was $340.3 million, which is recognized as a liability with the dividend recognized to additional paid in capital. </w:t>
            </w:r>
          </w:p>
        </w:tc>
      </w:tr>
    </w:tbl>
    <w:tbl>
      <w:tblPr>
        <w:tblW w:w="6685" w:type="dxa"/>
        <w:jc w:val="left"/>
        <w:tblInd w:w="0" w:type="dxa"/>
        <w:tblLayout w:type="fixed"/>
        <w:tblCellMar>
          <w:top w:w="0" w:type="dxa"/>
          <w:left w:w="0" w:type="dxa"/>
          <w:bottom w:w="0" w:type="dxa"/>
          <w:right w:w="0" w:type="dxa"/>
        </w:tblCellMar>
      </w:tblPr>
      <w:tblGrid>
        <w:gridCol w:w="80"/>
        <w:gridCol w:w="6605"/>
      </w:tblGrid>
      <w:tr>
        <w:trPr/>
        <w:tc>
          <w:tcPr>
            <w:tcW w:w="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eliminate the historical equity of Cartesian Therapeutics, Inc. (Old Cartesian). </w:t>
            </w:r>
          </w:p>
        </w:tc>
      </w:tr>
    </w:tbl>
    <w:tbl>
      <w:tblPr>
        <w:tblW w:w="9700" w:type="dxa"/>
        <w:jc w:val="left"/>
        <w:tblInd w:w="0" w:type="dxa"/>
        <w:tblLayout w:type="fixed"/>
        <w:tblCellMar>
          <w:top w:w="0" w:type="dxa"/>
          <w:left w:w="0" w:type="dxa"/>
          <w:bottom w:w="0" w:type="dxa"/>
          <w:right w:w="0" w:type="dxa"/>
        </w:tblCellMar>
      </w:tblPr>
      <w:tblGrid>
        <w:gridCol w:w="95"/>
        <w:gridCol w:w="9605"/>
      </w:tblGrid>
      <w:tr>
        <w:trPr/>
        <w:tc>
          <w:tcPr>
            <w:tcW w:w="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recognize the tax benefit associated with the deferred tax liability recorded as part of the purchase price allocation.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75" w:name="DSPFPageBreakArea168"/>
      <w:bookmarkStart w:id="876" w:name="DSPFPageBreakArea168"/>
      <w:bookmarkEnd w:id="87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77" w:name="DSPFPageBreak168"/>
      <w:bookmarkStart w:id="878" w:name="DSPFPageBreak168"/>
      <w:bookmarkEnd w:id="87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79" w:name="ny20014884x5_pre14a_303-annexd_pg11"/>
        <w:bookmarkEnd w:id="8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Series A Preferred Stock and the Selecta Warrants issued on April 11, 2022 are considered participating securities and therefore the Company follows the two-class method when computing pro forma net loss (income) per share. During periods of net loss, there is no allocation of undistributed earnings required under the two-class method since the participating securities do not have a contractual obligation to fund the losses of the Company. The following represents the pro forma calculation of basic EPS for the year ended December 31, 2022: </w:t>
            </w:r>
          </w:p>
        </w:tc>
      </w:tr>
    </w:tbl>
    <w:tbl>
      <w:tblPr>
        <w:tblW w:w="6146" w:type="dxa"/>
        <w:jc w:val="left"/>
        <w:tblInd w:w="0" w:type="dxa"/>
        <w:tblLayout w:type="fixed"/>
        <w:tblCellMar>
          <w:top w:w="0" w:type="dxa"/>
          <w:left w:w="0" w:type="dxa"/>
          <w:bottom w:w="0" w:type="dxa"/>
          <w:right w:w="0" w:type="dxa"/>
        </w:tblCellMar>
      </w:tblPr>
      <w:tblGrid>
        <w:gridCol w:w="5030"/>
        <w:gridCol w:w="23"/>
        <w:gridCol w:w="23"/>
        <w:gridCol w:w="1070"/>
      </w:tblGrid>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24,712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CVR distribution to participating securities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(37,550</w:t>
            </w: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allocable to shares of common stock, basic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(12,838</w:t>
            </w: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basic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$(0.08</w:t>
            </w: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151,482,194</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CVR distribution to participating securities represents the amount of the CVR distribution attributable to the Selecta Warrants issued on April 11, 2022 which participated in that distribution. The Series A Preferred Stock did not participate in the CVR distribution. During the nine months ended September 30, 2023, there were no adjustments to net loss to determine net loss allocable to shares of Common Stock, basic.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represents the pro forma calculation of diluted earnings per share for the year ended December 31, 2022: </w:t>
      </w:r>
    </w:p>
    <w:tbl>
      <w:tblPr>
        <w:tblW w:w="6311" w:type="dxa"/>
        <w:jc w:val="left"/>
        <w:tblInd w:w="0" w:type="dxa"/>
        <w:tblLayout w:type="fixed"/>
        <w:tblCellMar>
          <w:top w:w="0" w:type="dxa"/>
          <w:left w:w="0" w:type="dxa"/>
          <w:bottom w:w="0" w:type="dxa"/>
          <w:right w:w="0" w:type="dxa"/>
        </w:tblCellMar>
      </w:tblPr>
      <w:tblGrid>
        <w:gridCol w:w="5195"/>
        <w:gridCol w:w="23"/>
        <w:gridCol w:w="23"/>
        <w:gridCol w:w="1070"/>
      </w:tblGrid>
      <w:tr>
        <w:trPr/>
        <w:tc>
          <w:tcPr>
            <w:tcW w:w="51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allocable to shares of common stock, basic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(12,838) </w:t>
            </w:r>
          </w:p>
        </w:tc>
      </w:tr>
      <w:tr>
        <w:trPr/>
        <w:tc>
          <w:tcPr>
            <w:tcW w:w="5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change in fair value of dilutive warrants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(21,029</w:t>
            </w:r>
            <w:r>
              <w:rPr>
                <w:rFonts w:ascii="Times New Roman;Times;serif" w:hAnsi="Times New Roman;Times;serif"/>
                <w:color w:val="000000"/>
                <w:sz w:val="20"/>
              </w:rPr>
              <w:t xml:space="preserve">) </w:t>
            </w:r>
          </w:p>
        </w:tc>
      </w:tr>
      <w:tr>
        <w:trPr/>
        <w:tc>
          <w:tcPr>
            <w:tcW w:w="51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allocable to shares of common stock, diluted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(33,867</w:t>
            </w:r>
            <w:r>
              <w:rPr>
                <w:rFonts w:ascii="Times New Roman;Times;serif" w:hAnsi="Times New Roman;Times;serif"/>
                <w:color w:val="000000"/>
                <w:sz w:val="20"/>
              </w:rPr>
              <w:t xml:space="preserve">) </w:t>
            </w:r>
          </w:p>
        </w:tc>
      </w:tr>
      <w:tr>
        <w:trPr/>
        <w:tc>
          <w:tcPr>
            <w:tcW w:w="5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diluted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$(0.22</w:t>
            </w:r>
            <w:r>
              <w:rPr>
                <w:rFonts w:ascii="Times New Roman;Times;serif" w:hAnsi="Times New Roman;Times;serif"/>
                <w:color w:val="000000"/>
                <w:sz w:val="20"/>
              </w:rPr>
              <w:t xml:space="preserve">) </w:t>
            </w:r>
          </w:p>
        </w:tc>
      </w:tr>
      <w:tr>
        <w:trPr/>
        <w:tc>
          <w:tcPr>
            <w:tcW w:w="51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diluted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152,282,286</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nine months ended September 30, 2023, there were no adjustments to net loss to determine net loss allocable to shares of Common Stock, diluted.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Potentially dilutive Common Stock equivalents excluded from the computation of diluted net loss per share at September 30, 2023 and December 31, 2022, as the effect would have been anti-dilutive, are as follows: </w:t>
      </w:r>
    </w:p>
    <w:tbl>
      <w:tblPr>
        <w:tblW w:w="6902" w:type="dxa"/>
        <w:jc w:val="left"/>
        <w:tblInd w:w="0" w:type="dxa"/>
        <w:tblLayout w:type="fixed"/>
        <w:tblCellMar>
          <w:top w:w="0" w:type="dxa"/>
          <w:left w:w="0" w:type="dxa"/>
          <w:bottom w:w="0" w:type="dxa"/>
          <w:right w:w="0" w:type="dxa"/>
        </w:tblCellMar>
      </w:tblPr>
      <w:tblGrid>
        <w:gridCol w:w="4595"/>
        <w:gridCol w:w="23"/>
        <w:gridCol w:w="23"/>
        <w:gridCol w:w="1100"/>
        <w:gridCol w:w="23"/>
        <w:gridCol w:w="23"/>
        <w:gridCol w:w="1115"/>
      </w:tblGrid>
      <w:tr>
        <w:trPr/>
        <w:tc>
          <w:tcPr>
            <w:tcW w:w="4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4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31,224,703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22,807,755 </w:t>
            </w:r>
          </w:p>
        </w:tc>
      </w:tr>
      <w:tr>
        <w:trPr/>
        <w:tc>
          <w:tcPr>
            <w:tcW w:w="4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 stock issued to Cartesian stockholders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384,930,724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384,930,724 </w:t>
            </w:r>
          </w:p>
        </w:tc>
      </w:tr>
      <w:tr>
        <w:trPr/>
        <w:tc>
          <w:tcPr>
            <w:tcW w:w="4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 stock issued in Financing</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149,330,115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149,330,115 </w:t>
            </w:r>
          </w:p>
        </w:tc>
      </w:tr>
      <w:tr>
        <w:trPr/>
        <w:tc>
          <w:tcPr>
            <w:tcW w:w="4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 options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23,306,661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23,306,661 </w:t>
            </w:r>
          </w:p>
        </w:tc>
      </w:tr>
      <w:tr>
        <w:trPr/>
        <w:tc>
          <w:tcPr>
            <w:tcW w:w="4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 Stock options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14,112,299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14,112,299 </w:t>
            </w:r>
          </w:p>
        </w:tc>
      </w:tr>
      <w:tr>
        <w:trPr/>
        <w:tc>
          <w:tcPr>
            <w:tcW w:w="45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602,904,502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594,487,554</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80" w:name="DSPFPageBreakArea169"/>
      <w:bookmarkStart w:id="881" w:name="DSPFPageBreakArea169"/>
      <w:bookmarkEnd w:id="88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82" w:name="DSPFPageBreak169"/>
      <w:bookmarkStart w:id="883" w:name="DSPFPageBreak169"/>
      <w:bookmarkEnd w:id="88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84" w:name="ny20014884x5_pre14a_400-proxycard_pg1"/>
        <w:bookmarkEnd w:id="8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85" w:name="DSPFPageBreakArea170"/>
      <w:bookmarkStart w:id="886" w:name="DSPFPageBreakArea170"/>
      <w:bookmarkEnd w:id="88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87" w:name="DSPFPageBreak170"/>
      <w:bookmarkStart w:id="888" w:name="DSPFPageBreak170"/>
      <w:bookmarkEnd w:id="88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89" w:name="ny20014884x5_pre14a_400-proxycard_pg2"/>
        <w:bookmarkEnd w:id="8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hyperlink" Target="https://www.sec.gov/Archives/edgar/data/1453687/000145368723000040/selb-20221231.htm" TargetMode="External"/><Relationship Id="rId10" Type="http://schemas.openxmlformats.org/officeDocument/2006/relationships/hyperlink" Target="https://www.sec.gov/Archives/edgar/data/1453687/000145368723000050/selb-20230428.htm" TargetMode="External"/><Relationship Id="rId11" Type="http://schemas.openxmlformats.org/officeDocument/2006/relationships/hyperlink" Target="https://www.sec.gov/Archives/edgar/data/1453687/000145368723000052/selb-20230331.htm" TargetMode="External"/><Relationship Id="rId12" Type="http://schemas.openxmlformats.org/officeDocument/2006/relationships/hyperlink" Target="https://www.sec.gov/Archives/edgar/data/1453687/000119312523214708/d536571d10q.htm" TargetMode="External"/><Relationship Id="rId13" Type="http://schemas.openxmlformats.org/officeDocument/2006/relationships/hyperlink" Target="https://www.sec.gov/Archives/edgar/data/1453687/000119312523276086/d549858d10q.htm" TargetMode="External"/><Relationship Id="rId14" Type="http://schemas.openxmlformats.org/officeDocument/2006/relationships/hyperlink" Target="https://www.sec.gov/Archives/edgar/data/1453687/000145368723000037/selb-20230104.htm" TargetMode="External"/><Relationship Id="rId15" Type="http://schemas.openxmlformats.org/officeDocument/2006/relationships/hyperlink" Target="https://www.sec.gov/Archives/edgar/data/1453687/000119312523075297/d485004d8k.htm" TargetMode="External"/><Relationship Id="rId16" Type="http://schemas.openxmlformats.org/officeDocument/2006/relationships/hyperlink" Target="https://www.sec.gov/Archives/edgar/data/1453687/000145368723000043/selb-20230331.htm" TargetMode="External"/><Relationship Id="rId17" Type="http://schemas.openxmlformats.org/officeDocument/2006/relationships/hyperlink" Target="https://www.sec.gov/Archives/edgar/data/1453687/000145368723000059/selb-20230616.htm" TargetMode="External"/><Relationship Id="rId18" Type="http://schemas.openxmlformats.org/officeDocument/2006/relationships/hyperlink" Target="https://www.sec.gov/Archives/edgar/data/1453687/000145368723000061/selb-20230911.htm" TargetMode="External"/><Relationship Id="rId19" Type="http://schemas.openxmlformats.org/officeDocument/2006/relationships/hyperlink" Target="https://www.sec.gov/Archives/edgar/data/1453687/000145368723000064/selb-20230825.htm" TargetMode="External"/><Relationship Id="rId20" Type="http://schemas.openxmlformats.org/officeDocument/2006/relationships/hyperlink" Target="https://www.sec.gov/Archives/edgar/data/1453687/000145368723000070/selb-20231031.htm" TargetMode="External"/><Relationship Id="rId21" Type="http://schemas.openxmlformats.org/officeDocument/2006/relationships/hyperlink" Target="https://www.sec.gov/Archives/edgar/data/1453687/000119312523275461/d869185d8k.htm" TargetMode="External"/><Relationship Id="rId22" Type="http://schemas.openxmlformats.org/officeDocument/2006/relationships/hyperlink" Target="https://www.sec.gov/Archives/edgar/data/1453687/000114036124003407/ny20014884x4_8ka.htm" TargetMode="External"/><Relationship Id="rId23" Type="http://schemas.openxmlformats.org/officeDocument/2006/relationships/hyperlink" Target="https://www.sec.gov/Archives/edgar/data/1453687/000145368723000091/rnac-20231121.htm" TargetMode="External"/><Relationship Id="rId24" Type="http://schemas.openxmlformats.org/officeDocument/2006/relationships/hyperlink" Target="https://www.sec.gov/Archives/edgar/data/1453687/000145368724000030/rnac-20240117.htm" TargetMode="External"/><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99768</Words>
  <Characters>542740</Characters>
  <CharactersWithSpaces>645223</CharactersWithSpaces>
  <Paragraphs>9821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