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(Rule 14a-101)</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INFORMATION REQUIRED IN PROXY STATEMENT</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SCHEDULE 14A INFORMATION</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spacing w:lineRule="auto" w:line="288" w:before="0" w:after="0"/>
        <w:jc w:val="center"/>
        <w:rPr/>
      </w:pPr>
      <w:r>
        <w:rPr>
          <w:rFonts w:ascii="Times New Roman;sans-serif" w:hAnsi="Times New Roman;sans-serif"/>
          <w:b/>
          <w:color w:val="000000"/>
          <w:sz w:val="24"/>
        </w:rPr>
        <w:t>Securities Exchange Act of 1934</w:t>
      </w:r>
      <w:r>
        <w:rPr>
          <w:color w:val="000000"/>
        </w:rPr>
        <w:t> </w:t>
      </w:r>
    </w:p>
    <w:p>
      <w:pPr>
        <w:pStyle w:val="TextBody"/>
        <w:spacing w:lineRule="auto" w:line="288" w:before="0" w:after="0"/>
        <w:rPr>
          <w:color w:val="000000"/>
        </w:rPr>
      </w:pPr>
      <w:r>
        <w:rPr>
          <w:color w:val="000000"/>
        </w:rPr>
        <w:t> </w:t>
      </w:r>
    </w:p>
    <w:tbl>
      <w:tblPr>
        <w:tblW w:w="7193" w:type="dxa"/>
        <w:jc w:val="left"/>
        <w:tblInd w:w="0" w:type="dxa"/>
        <w:tblCellMar>
          <w:top w:w="28" w:type="dxa"/>
          <w:left w:w="28" w:type="dxa"/>
          <w:bottom w:w="28" w:type="dxa"/>
          <w:right w:w="28" w:type="dxa"/>
        </w:tblCellMar>
      </w:tblPr>
      <w:tblGrid>
        <w:gridCol w:w="913"/>
        <w:gridCol w:w="802"/>
        <w:gridCol w:w="804"/>
        <w:gridCol w:w="109"/>
        <w:gridCol w:w="109"/>
        <w:gridCol w:w="109"/>
        <w:gridCol w:w="1324"/>
        <w:gridCol w:w="1324"/>
        <w:gridCol w:w="1327"/>
        <w:gridCol w:w="109"/>
        <w:gridCol w:w="109"/>
        <w:gridCol w:w="154"/>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7002" w:type="dxa"/>
        <w:jc w:val="left"/>
        <w:tblInd w:w="0" w:type="dxa"/>
        <w:tblCellMar>
          <w:top w:w="28" w:type="dxa"/>
          <w:left w:w="28" w:type="dxa"/>
          <w:bottom w:w="28" w:type="dxa"/>
          <w:right w:w="28" w:type="dxa"/>
        </w:tblCellMar>
      </w:tblPr>
      <w:tblGrid>
        <w:gridCol w:w="124"/>
        <w:gridCol w:w="109"/>
        <w:gridCol w:w="109"/>
        <w:gridCol w:w="1951"/>
        <w:gridCol w:w="1951"/>
        <w:gridCol w:w="27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 240.14a-12</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SELECTA BIOSCIENCES, INC.</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15"/>
        </w:rPr>
      </w:pPr>
      <w:r>
        <w:rPr>
          <w:rFonts w:ascii="Times New Roman;sans-serif" w:hAnsi="Times New Roman;sans-serif"/>
          <w:b w:val="false"/>
          <w:color w:val="000000"/>
          <w:sz w:val="15"/>
        </w:rPr>
        <w:t>(Name of Registrant as Specified In Its Charter)</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rFonts w:ascii="Times New Roman;sans-serif" w:hAnsi="Times New Roman;sans-serif"/>
          <w:b w:val="false"/>
          <w:color w:val="000000"/>
          <w:sz w:val="14"/>
        </w:rPr>
        <w:t>(Name of Person(s) Filing Proxy Statement, if other than the Registrant</w:t>
      </w:r>
      <w:r>
        <w:rPr>
          <w:rFonts w:ascii="Times New Roman;sans-serif" w:hAnsi="Times New Roman;sans-serif"/>
          <w:b/>
          <w:color w:val="000000"/>
          <w:sz w:val="14"/>
        </w:rPr>
        <w:t>)</w:t>
      </w:r>
    </w:p>
    <w:tbl>
      <w:tblPr>
        <w:tblW w:w="10205" w:type="dxa"/>
        <w:jc w:val="left"/>
        <w:tblInd w:w="0" w:type="dxa"/>
        <w:tblCellMar>
          <w:top w:w="28" w:type="dxa"/>
          <w:left w:w="28" w:type="dxa"/>
          <w:bottom w:w="28" w:type="dxa"/>
          <w:right w:w="28" w:type="dxa"/>
        </w:tblCellMar>
      </w:tblPr>
      <w:tblGrid>
        <w:gridCol w:w="187"/>
        <w:gridCol w:w="165"/>
        <w:gridCol w:w="165"/>
        <w:gridCol w:w="165"/>
        <w:gridCol w:w="165"/>
        <w:gridCol w:w="165"/>
        <w:gridCol w:w="165"/>
        <w:gridCol w:w="165"/>
        <w:gridCol w:w="165"/>
        <w:gridCol w:w="165"/>
        <w:gridCol w:w="165"/>
        <w:gridCol w:w="165"/>
        <w:gridCol w:w="2544"/>
        <w:gridCol w:w="2356"/>
        <w:gridCol w:w="3303"/>
      </w:tblGrid>
      <w:tr>
        <w:trPr/>
        <w:tc>
          <w:tcPr>
            <w:tcW w:w="18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544"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c>
          <w:tcPr>
            <w:tcW w:w="3303"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Fee computed on table below per Exchange Act Rules 14a-6(i)(1) and 0-11.</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 of securities to which transaction applies: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number of securities to which transaction applies: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unit price or other underlying value of transaction computed pursuant to Exchange Act Rule 0-11 (Set forth the amount on which the filing fee is calculated and state how it was determined):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Proposed maximum aggregate value of transaction: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 paid: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Previously Paid: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Schedule or Registration Statement No.: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Party: </w:t>
            </w:r>
          </w:p>
        </w:tc>
      </w:tr>
      <w:tr>
        <w:trPr/>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Filed: </w:t>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2381250" cy="885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81250" cy="8858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SELECTA BIOSCIENCES,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 Grove Street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Watertown, Massachusetts 02472</w:t>
      </w:r>
    </w:p>
    <w:p>
      <w:pPr>
        <w:pStyle w:val="TextBody"/>
        <w:spacing w:lineRule="auto" w:line="288" w:before="20" w:after="283"/>
        <w:jc w:val="center"/>
        <w:rPr>
          <w:color w:val="000000"/>
        </w:rPr>
      </w:pPr>
      <w:r>
        <w:rPr>
          <w:color w:val="000000"/>
        </w:rPr>
        <w:t> </w:t>
      </w:r>
    </w:p>
    <w:p>
      <w:pPr>
        <w:pStyle w:val="TextBody"/>
        <w:spacing w:before="20" w:after="283"/>
        <w:jc w:val="center"/>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To Our Stockholders: </w:t>
      </w:r>
    </w:p>
    <w:p>
      <w:pPr>
        <w:pStyle w:val="TextBody"/>
        <w:spacing w:lineRule="auto" w:line="288" w:before="120" w:after="120"/>
        <w:ind w:left="0" w:right="0" w:firstLine="360"/>
        <w:rPr/>
      </w:pPr>
      <w:r>
        <w:rPr>
          <w:rFonts w:ascii="Times New Roman;sans-serif" w:hAnsi="Times New Roman;sans-serif"/>
          <w:b w:val="false"/>
          <w:color w:val="000000"/>
          <w:sz w:val="20"/>
        </w:rPr>
        <w:t xml:space="preserve">You are cordially invited to attend the 2023 Annual Meeting (the “Annual Meeting”) of Stockholders of Selecta Biosciences, Inc. (the “Company”) to be held on Friday, June 16, 2023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sans-serif" w:hAnsi="Times New Roman;sans-serif"/>
          <w:b w:val="false"/>
          <w:i/>
          <w:color w:val="000000"/>
          <w:sz w:val="20"/>
        </w:rPr>
        <w:t>www.virtualshareholdermeeting.com/SELB2023</w:t>
      </w:r>
      <w:r>
        <w:rPr>
          <w:rFonts w:ascii="Times New Roman;sans-serif" w:hAnsi="Times New Roman;sans-serif"/>
          <w:b w:val="false"/>
          <w:color w:val="000000"/>
          <w:sz w:val="20"/>
        </w:rPr>
        <w:t>. You will also be able to vote your shares electronically at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be using the latest technology to increase access, to improve communication and to obtain cost savings for our stockholders and the Company. Use of a virtual meeting will enable increased stockholder attendance and participation as stockholders can participate from any location.</w:t>
      </w:r>
    </w:p>
    <w:p>
      <w:pPr>
        <w:pStyle w:val="TextBody"/>
        <w:spacing w:lineRule="auto" w:line="288" w:before="120" w:after="120"/>
        <w:ind w:left="0" w:right="0" w:firstLine="360"/>
        <w:rPr/>
      </w:pPr>
      <w:r>
        <w:rPr>
          <w:rFonts w:ascii="Times New Roman;sans-serif" w:hAnsi="Times New Roman;sans-serif"/>
          <w:b w:val="false"/>
          <w:color w:val="000000"/>
          <w:sz w:val="20"/>
        </w:rPr>
        <w:t xml:space="preserve">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2023 Annual Meeting?” on page </w:t>
      </w:r>
      <w:hyperlink w:anchor="i561ffe3620df487aad3ff1e26ea7ea6f_12220">
        <w:r>
          <w:rPr>
            <w:rStyle w:val="InternetLink"/>
            <w:rFonts w:ascii="Times New Roman;sans-serif" w:hAnsi="Times New Roman;sans-serif"/>
            <w:b w:val="false"/>
            <w:color w:val="0000FF"/>
            <w:sz w:val="20"/>
            <w:u w:val="single"/>
          </w:rPr>
          <w:t>4</w:t>
        </w:r>
      </w:hyperlink>
      <w:r>
        <w:rPr>
          <w:color w:val="000000"/>
        </w:rPr>
        <w:t xml:space="preserve"> </w:t>
      </w:r>
      <w:r>
        <w:rPr>
          <w:rFonts w:ascii="Times New Roman;sans-serif" w:hAnsi="Times New Roman;sans-serif"/>
          <w:b w:val="false"/>
          <w:color w:val="000000"/>
          <w:sz w:val="20"/>
        </w:rPr>
        <w:t xml:space="preserve">of the Proxy Statement for more information.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behalf of the Board of Directors, thank you for your continued support and investment in Selecta Biosciences, Inc.</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proxy statement is dated ___________, 2023 and is first being mailed to stockholders on or about ___________, 2023.</w:t>
      </w:r>
    </w:p>
    <w:p>
      <w:pPr>
        <w:pStyle w:val="TextBody"/>
        <w:spacing w:before="120" w:after="120"/>
        <w:rPr/>
      </w:pPr>
      <w:r>
        <w:rPr/>
      </w:r>
    </w:p>
    <w:tbl>
      <w:tblPr>
        <w:tblW w:w="4688" w:type="dxa"/>
        <w:jc w:val="left"/>
        <w:tblInd w:w="0" w:type="dxa"/>
        <w:tblCellMar>
          <w:top w:w="28" w:type="dxa"/>
          <w:left w:w="28" w:type="dxa"/>
          <w:bottom w:w="28" w:type="dxa"/>
          <w:right w:w="28" w:type="dxa"/>
        </w:tblCellMar>
      </w:tblPr>
      <w:tblGrid>
        <w:gridCol w:w="124"/>
        <w:gridCol w:w="109"/>
        <w:gridCol w:w="109"/>
        <w:gridCol w:w="109"/>
        <w:gridCol w:w="109"/>
        <w:gridCol w:w="109"/>
        <w:gridCol w:w="1176"/>
        <w:gridCol w:w="1176"/>
        <w:gridCol w:w="16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 Director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3522"/>
        <w:gridCol w:w="3062"/>
        <w:gridCol w:w="3079"/>
        <w:gridCol w:w="158"/>
        <w:gridCol w:w="158"/>
        <w:gridCol w:w="226"/>
      </w:tblGrid>
      <w:tr>
        <w:trPr/>
        <w:tc>
          <w:tcPr>
            <w:tcW w:w="3522" w:type="dxa"/>
            <w:tcBorders/>
            <w:shd w:fill="auto" w:val="clear"/>
            <w:vAlign w:val="center"/>
          </w:tcPr>
          <w:p>
            <w:pPr>
              <w:pStyle w:val="TableContents"/>
              <w:spacing w:before="0" w:after="283"/>
              <w:rPr>
                <w:sz w:val="4"/>
                <w:szCs w:val="4"/>
              </w:rPr>
            </w:pPr>
            <w:r>
              <w:rPr>
                <w:sz w:val="4"/>
                <w:szCs w:val="4"/>
              </w:rPr>
            </w:r>
          </w:p>
        </w:tc>
        <w:tc>
          <w:tcPr>
            <w:tcW w:w="3062" w:type="dxa"/>
            <w:tcBorders/>
            <w:shd w:fill="auto" w:val="clear"/>
            <w:vAlign w:val="center"/>
          </w:tcPr>
          <w:p>
            <w:pPr>
              <w:pStyle w:val="TableContents"/>
              <w:spacing w:before="0" w:after="283"/>
              <w:rPr>
                <w:sz w:val="4"/>
                <w:szCs w:val="4"/>
              </w:rPr>
            </w:pPr>
            <w:r>
              <w:rPr>
                <w:sz w:val="4"/>
                <w:szCs w:val="4"/>
              </w:rPr>
            </w:r>
          </w:p>
        </w:tc>
        <w:tc>
          <w:tcPr>
            <w:tcW w:w="30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9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13">
              <w:r>
                <w:rPr>
                  <w:rStyle w:val="InternetLink"/>
                  <w:rFonts w:ascii="Times New Roman;sans-serif" w:hAnsi="Times New Roman;sans-serif"/>
                  <w:b w:val="false"/>
                  <w:color w:val="0000FF"/>
                  <w:sz w:val="20"/>
                  <w:u w:val="single"/>
                </w:rPr>
                <w:t>Notice of 2023 Annual Meeting of Stockholders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13">
              <w:r>
                <w:rPr>
                  <w:rStyle w:val="InternetLink"/>
                  <w:rFonts w:ascii="Times New Roman;sans-serif" w:hAnsi="Times New Roman;sans-serif"/>
                  <w:b w:val="false"/>
                  <w:color w:val="0000FF"/>
                  <w:sz w:val="20"/>
                  <w:u w:val="single"/>
                </w:rPr>
                <w:t>1</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16">
              <w:r>
                <w:rPr>
                  <w:rStyle w:val="InternetLink"/>
                  <w:rFonts w:ascii="Times New Roman;sans-serif" w:hAnsi="Times New Roman;sans-serif"/>
                  <w:b w:val="false"/>
                  <w:color w:val="0000FF"/>
                  <w:sz w:val="20"/>
                  <w:u w:val="single"/>
                </w:rPr>
                <w:t>Proxy Statement</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16">
              <w:r>
                <w:rPr>
                  <w:rStyle w:val="InternetLink"/>
                  <w:rFonts w:ascii="Times New Roman;sans-serif" w:hAnsi="Times New Roman;sans-serif"/>
                  <w:b w:val="false"/>
                  <w:color w:val="0000FF"/>
                  <w:sz w:val="20"/>
                  <w:u w:val="single"/>
                </w:rPr>
                <w:t>2</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19">
              <w:r>
                <w:rPr>
                  <w:rStyle w:val="InternetLink"/>
                  <w:rFonts w:ascii="Times New Roman;sans-serif" w:hAnsi="Times New Roman;sans-serif"/>
                  <w:b w:val="false"/>
                  <w:color w:val="0000FF"/>
                  <w:sz w:val="20"/>
                  <w:u w:val="single"/>
                </w:rPr>
                <w:t>Questions and Answers About the 2023 Annual Meeting of Stockholders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19">
              <w:r>
                <w:rPr>
                  <w:rStyle w:val="InternetLink"/>
                  <w:rFonts w:ascii="Times New Roman;sans-serif" w:hAnsi="Times New Roman;sans-serif"/>
                  <w:b w:val="false"/>
                  <w:color w:val="0000FF"/>
                  <w:sz w:val="20"/>
                  <w:u w:val="single"/>
                </w:rPr>
                <w:t>4</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22">
              <w:r>
                <w:rPr>
                  <w:rStyle w:val="InternetLink"/>
                  <w:rFonts w:ascii="Times New Roman;sans-serif" w:hAnsi="Times New Roman;sans-serif"/>
                  <w:b w:val="false"/>
                  <w:color w:val="0000FF"/>
                  <w:sz w:val="20"/>
                  <w:u w:val="single"/>
                </w:rPr>
                <w:t>Proposal No. 1 Election of Directors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22">
              <w:r>
                <w:rPr>
                  <w:rStyle w:val="InternetLink"/>
                  <w:rFonts w:ascii="Times New Roman;sans-serif" w:hAnsi="Times New Roman;sans-serif"/>
                  <w:b w:val="false"/>
                  <w:color w:val="0000FF"/>
                  <w:sz w:val="20"/>
                  <w:u w:val="single"/>
                </w:rPr>
                <w:t>8</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25">
              <w:r>
                <w:rPr>
                  <w:rStyle w:val="InternetLink"/>
                  <w:rFonts w:ascii="Times New Roman;sans-serif" w:hAnsi="Times New Roman;sans-serif"/>
                  <w:b w:val="false"/>
                  <w:color w:val="0000FF"/>
                  <w:sz w:val="20"/>
                  <w:u w:val="single"/>
                </w:rPr>
                <w:t>Proposal No. 2 Non-Binding, Advisory Approval of Compensation of Named Executive Officers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25">
              <w:r>
                <w:rPr>
                  <w:rStyle w:val="InternetLink"/>
                  <w:rFonts w:ascii="Times New Roman;sans-serif" w:hAnsi="Times New Roman;sans-serif"/>
                  <w:b w:val="false"/>
                  <w:color w:val="0000FF"/>
                  <w:sz w:val="20"/>
                  <w:u w:val="single"/>
                </w:rPr>
                <w:t>12</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28">
              <w:r>
                <w:rPr>
                  <w:rStyle w:val="InternetLink"/>
                  <w:rFonts w:ascii="Times New Roman;sans-serif" w:hAnsi="Times New Roman;sans-serif"/>
                  <w:b w:val="false"/>
                  <w:color w:val="0000FF"/>
                  <w:sz w:val="20"/>
                  <w:u w:val="single"/>
                </w:rPr>
                <w:t>Proposal No. 3 Amendment to Restated Certificate of Incorporation, as Amended, to Remove the Supermajority Vote Threshold to Amend the Bylaws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28">
              <w:r>
                <w:rPr>
                  <w:rStyle w:val="InternetLink"/>
                  <w:rFonts w:ascii="Times New Roman;sans-serif" w:hAnsi="Times New Roman;sans-serif"/>
                  <w:b w:val="false"/>
                  <w:color w:val="0000FF"/>
                  <w:sz w:val="20"/>
                  <w:u w:val="single"/>
                </w:rPr>
                <w:t>13</w:t>
              </w:r>
            </w:hyperlink>
          </w:p>
        </w:tc>
      </w:tr>
      <w:tr>
        <w:trPr/>
        <w:tc>
          <w:tcPr>
            <w:tcW w:w="9663" w:type="dxa"/>
            <w:gridSpan w:val="3"/>
            <w:tcBorders/>
            <w:shd w:fill="auto" w:val="clear"/>
            <w:vAlign w:val="center"/>
          </w:tcPr>
          <w:p>
            <w:pPr>
              <w:pStyle w:val="TableContents"/>
              <w:spacing w:before="0" w:after="283"/>
              <w:rPr>
                <w:sz w:val="4"/>
                <w:szCs w:val="4"/>
              </w:rPr>
            </w:pPr>
            <w:r>
              <w:rPr>
                <w:sz w:val="4"/>
                <w:szCs w:val="4"/>
              </w:rPr>
            </w:r>
          </w:p>
        </w:tc>
        <w:tc>
          <w:tcPr>
            <w:tcW w:w="542" w:type="dxa"/>
            <w:gridSpan w:val="3"/>
            <w:tcBorders/>
            <w:shd w:fill="auto" w:val="clear"/>
            <w:vAlign w:val="center"/>
          </w:tcPr>
          <w:p>
            <w:pPr>
              <w:pStyle w:val="TableContents"/>
              <w:spacing w:before="0" w:after="283"/>
              <w:rPr>
                <w:sz w:val="4"/>
                <w:szCs w:val="4"/>
              </w:rPr>
            </w:pPr>
            <w:r>
              <w:rPr>
                <w:sz w:val="4"/>
                <w:szCs w:val="4"/>
              </w:rPr>
            </w:r>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34">
              <w:r>
                <w:rPr>
                  <w:rStyle w:val="InternetLink"/>
                  <w:rFonts w:ascii="Times New Roman;sans-serif" w:hAnsi="Times New Roman;sans-serif"/>
                  <w:b w:val="false"/>
                  <w:color w:val="0000FF"/>
                  <w:sz w:val="20"/>
                  <w:u w:val="single"/>
                </w:rPr>
                <w:t>Proposal No. 4 Ratification of Appointment of Independent Registered Public Accounting Firm</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34">
              <w:r>
                <w:rPr>
                  <w:rStyle w:val="InternetLink"/>
                  <w:rFonts w:ascii="Times New Roman;sans-serif" w:hAnsi="Times New Roman;sans-serif"/>
                  <w:b w:val="false"/>
                  <w:color w:val="0000FF"/>
                  <w:sz w:val="20"/>
                  <w:u w:val="single"/>
                </w:rPr>
                <w:t>14</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37">
              <w:r>
                <w:rPr>
                  <w:rStyle w:val="InternetLink"/>
                  <w:rFonts w:ascii="Times New Roman;sans-serif" w:hAnsi="Times New Roman;sans-serif"/>
                  <w:b w:val="false"/>
                  <w:color w:val="0000FF"/>
                  <w:sz w:val="20"/>
                  <w:u w:val="single"/>
                </w:rPr>
                <w:t>Report of the Audit Committee of the Board</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37">
              <w:r>
                <w:rPr>
                  <w:rStyle w:val="InternetLink"/>
                  <w:rFonts w:ascii="Times New Roman;sans-serif" w:hAnsi="Times New Roman;sans-serif"/>
                  <w:b w:val="false"/>
                  <w:color w:val="0000FF"/>
                  <w:sz w:val="20"/>
                  <w:u w:val="single"/>
                </w:rPr>
                <w:t>15</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40">
              <w:r>
                <w:rPr>
                  <w:rStyle w:val="InternetLink"/>
                  <w:rFonts w:ascii="Times New Roman;sans-serif" w:hAnsi="Times New Roman;sans-serif"/>
                  <w:b w:val="false"/>
                  <w:color w:val="0000FF"/>
                  <w:sz w:val="20"/>
                  <w:u w:val="single"/>
                </w:rPr>
                <w:t>Independent Registered Public Accounting Firm Fees and Other Matters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40">
              <w:r>
                <w:rPr>
                  <w:rStyle w:val="InternetLink"/>
                  <w:rFonts w:ascii="Times New Roman;sans-serif" w:hAnsi="Times New Roman;sans-serif"/>
                  <w:b w:val="false"/>
                  <w:color w:val="0000FF"/>
                  <w:sz w:val="20"/>
                  <w:u w:val="single"/>
                </w:rPr>
                <w:t>16</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43">
              <w:r>
                <w:rPr>
                  <w:rStyle w:val="InternetLink"/>
                  <w:rFonts w:ascii="Times New Roman;sans-serif" w:hAnsi="Times New Roman;sans-serif"/>
                  <w:b w:val="false"/>
                  <w:color w:val="0000FF"/>
                  <w:sz w:val="20"/>
                  <w:u w:val="single"/>
                </w:rPr>
                <w:t>Executive Officers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43">
              <w:r>
                <w:rPr>
                  <w:rStyle w:val="InternetLink"/>
                  <w:rFonts w:ascii="Times New Roman;sans-serif" w:hAnsi="Times New Roman;sans-serif"/>
                  <w:b w:val="false"/>
                  <w:color w:val="0000FF"/>
                  <w:sz w:val="20"/>
                  <w:u w:val="single"/>
                </w:rPr>
                <w:t>17</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46">
              <w:r>
                <w:rPr>
                  <w:rStyle w:val="InternetLink"/>
                  <w:rFonts w:ascii="Times New Roman;sans-serif" w:hAnsi="Times New Roman;sans-serif"/>
                  <w:b w:val="false"/>
                  <w:color w:val="0000FF"/>
                  <w:sz w:val="20"/>
                  <w:u w:val="single"/>
                </w:rPr>
                <w:t>Corporate Governance</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46">
              <w:r>
                <w:rPr>
                  <w:rStyle w:val="InternetLink"/>
                  <w:rFonts w:ascii="Times New Roman;sans-serif" w:hAnsi="Times New Roman;sans-serif"/>
                  <w:b w:val="false"/>
                  <w:color w:val="0000FF"/>
                  <w:sz w:val="20"/>
                  <w:u w:val="single"/>
                </w:rPr>
                <w:t>18</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49">
              <w:r>
                <w:rPr>
                  <w:rStyle w:val="InternetLink"/>
                  <w:rFonts w:ascii="Times New Roman;sans-serif" w:hAnsi="Times New Roman;sans-serif"/>
                  <w:b w:val="false"/>
                  <w:color w:val="0000FF"/>
                  <w:sz w:val="20"/>
                  <w:u w:val="single"/>
                </w:rPr>
                <w:t>Compensation Discussion and Analysis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49">
              <w:r>
                <w:rPr>
                  <w:rStyle w:val="InternetLink"/>
                  <w:rFonts w:ascii="Times New Roman;sans-serif" w:hAnsi="Times New Roman;sans-serif"/>
                  <w:b w:val="false"/>
                  <w:color w:val="0000FF"/>
                  <w:sz w:val="20"/>
                  <w:u w:val="single"/>
                </w:rPr>
                <w:t>25</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52">
              <w:r>
                <w:rPr>
                  <w:rStyle w:val="InternetLink"/>
                  <w:rFonts w:ascii="Times New Roman;sans-serif" w:hAnsi="Times New Roman;sans-serif"/>
                  <w:b w:val="false"/>
                  <w:color w:val="0000FF"/>
                  <w:sz w:val="20"/>
                  <w:u w:val="single"/>
                </w:rPr>
                <w:t>Executive and Director Compensation</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52">
              <w:r>
                <w:rPr>
                  <w:rStyle w:val="InternetLink"/>
                  <w:rFonts w:ascii="Times New Roman;sans-serif" w:hAnsi="Times New Roman;sans-serif"/>
                  <w:b w:val="false"/>
                  <w:color w:val="0000FF"/>
                  <w:sz w:val="20"/>
                  <w:u w:val="single"/>
                </w:rPr>
                <w:t>39</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55">
              <w:r>
                <w:rPr>
                  <w:rStyle w:val="InternetLink"/>
                  <w:rFonts w:ascii="Times New Roman;sans-serif" w:hAnsi="Times New Roman;sans-serif"/>
                  <w:b w:val="false"/>
                  <w:color w:val="0000FF"/>
                  <w:sz w:val="20"/>
                  <w:u w:val="single"/>
                </w:rPr>
                <w:t>Security Ownership of Certain Beneficial Owners and Management</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55">
              <w:r>
                <w:rPr>
                  <w:rStyle w:val="InternetLink"/>
                  <w:rFonts w:ascii="Times New Roman;sans-serif" w:hAnsi="Times New Roman;sans-serif"/>
                  <w:b w:val="false"/>
                  <w:color w:val="0000FF"/>
                  <w:sz w:val="20"/>
                  <w:u w:val="single"/>
                </w:rPr>
                <w:t>48</w:t>
              </w:r>
            </w:hyperlink>
          </w:p>
        </w:tc>
      </w:tr>
      <w:tr>
        <w:trPr/>
        <w:tc>
          <w:tcPr>
            <w:tcW w:w="9663" w:type="dxa"/>
            <w:gridSpan w:val="3"/>
            <w:tcBorders/>
            <w:shd w:fill="auto" w:val="clear"/>
            <w:vAlign w:val="center"/>
          </w:tcPr>
          <w:p>
            <w:pPr>
              <w:pStyle w:val="TableContents"/>
              <w:spacing w:before="0" w:after="283"/>
              <w:rPr>
                <w:sz w:val="4"/>
                <w:szCs w:val="4"/>
              </w:rPr>
            </w:pPr>
            <w:r>
              <w:rPr>
                <w:sz w:val="4"/>
                <w:szCs w:val="4"/>
              </w:rPr>
            </w:r>
          </w:p>
        </w:tc>
        <w:tc>
          <w:tcPr>
            <w:tcW w:w="542" w:type="dxa"/>
            <w:gridSpan w:val="3"/>
            <w:tcBorders/>
            <w:shd w:fill="auto" w:val="clear"/>
            <w:vAlign w:val="center"/>
          </w:tcPr>
          <w:p>
            <w:pPr>
              <w:pStyle w:val="TableContents"/>
              <w:spacing w:before="0" w:after="283"/>
              <w:rPr>
                <w:sz w:val="4"/>
                <w:szCs w:val="4"/>
              </w:rPr>
            </w:pPr>
            <w:r>
              <w:rPr>
                <w:sz w:val="4"/>
                <w:szCs w:val="4"/>
              </w:rPr>
            </w:r>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61">
              <w:r>
                <w:rPr>
                  <w:rStyle w:val="InternetLink"/>
                  <w:rFonts w:ascii="Times New Roman;sans-serif" w:hAnsi="Times New Roman;sans-serif"/>
                  <w:b w:val="false"/>
                  <w:color w:val="0000FF"/>
                  <w:sz w:val="20"/>
                  <w:u w:val="single"/>
                </w:rPr>
                <w:t>Certain Relationships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61">
              <w:r>
                <w:rPr>
                  <w:rStyle w:val="InternetLink"/>
                  <w:rFonts w:ascii="Times New Roman;sans-serif" w:hAnsi="Times New Roman;sans-serif"/>
                  <w:b w:val="false"/>
                  <w:color w:val="0000FF"/>
                  <w:sz w:val="20"/>
                  <w:u w:val="single"/>
                </w:rPr>
                <w:t>51</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64">
              <w:r>
                <w:rPr>
                  <w:rStyle w:val="InternetLink"/>
                  <w:rFonts w:ascii="Times New Roman;sans-serif" w:hAnsi="Times New Roman;sans-serif"/>
                  <w:b w:val="false"/>
                  <w:color w:val="0000FF"/>
                  <w:sz w:val="20"/>
                  <w:u w:val="single"/>
                </w:rPr>
                <w:t>Stockholders’ Proposals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64">
              <w:r>
                <w:rPr>
                  <w:rStyle w:val="InternetLink"/>
                  <w:rFonts w:ascii="Times New Roman;sans-serif" w:hAnsi="Times New Roman;sans-serif"/>
                  <w:b w:val="false"/>
                  <w:color w:val="0000FF"/>
                  <w:sz w:val="20"/>
                  <w:u w:val="single"/>
                </w:rPr>
                <w:t>51</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67">
              <w:r>
                <w:rPr>
                  <w:rStyle w:val="InternetLink"/>
                  <w:rFonts w:ascii="Times New Roman;sans-serif" w:hAnsi="Times New Roman;sans-serif"/>
                  <w:b w:val="false"/>
                  <w:color w:val="0000FF"/>
                  <w:sz w:val="20"/>
                  <w:u w:val="single"/>
                </w:rPr>
                <w:t>Other Matters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67">
              <w:r>
                <w:rPr>
                  <w:rStyle w:val="InternetLink"/>
                  <w:rFonts w:ascii="Times New Roman;sans-serif" w:hAnsi="Times New Roman;sans-serif"/>
                  <w:b w:val="false"/>
                  <w:color w:val="0000FF"/>
                  <w:sz w:val="20"/>
                  <w:u w:val="single"/>
                </w:rPr>
                <w:t>52</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70">
              <w:r>
                <w:rPr>
                  <w:rStyle w:val="InternetLink"/>
                  <w:rFonts w:ascii="Times New Roman;sans-serif" w:hAnsi="Times New Roman;sans-serif"/>
                  <w:b w:val="false"/>
                  <w:color w:val="0000FF"/>
                  <w:sz w:val="20"/>
                  <w:u w:val="single"/>
                </w:rPr>
                <w:t>Solicitation of Proxies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70">
              <w:r>
                <w:rPr>
                  <w:rStyle w:val="InternetLink"/>
                  <w:rFonts w:ascii="Times New Roman;sans-serif" w:hAnsi="Times New Roman;sans-serif"/>
                  <w:b w:val="false"/>
                  <w:color w:val="0000FF"/>
                  <w:sz w:val="20"/>
                  <w:u w:val="single"/>
                </w:rPr>
                <w:t>52</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9c18165ffd466592c8480f153786df_73">
              <w:r>
                <w:rPr>
                  <w:rStyle w:val="InternetLink"/>
                  <w:rFonts w:ascii="Times New Roman;sans-serif" w:hAnsi="Times New Roman;sans-serif"/>
                  <w:b w:val="false"/>
                  <w:color w:val="0000FF"/>
                  <w:sz w:val="20"/>
                  <w:u w:val="single"/>
                </w:rPr>
                <w:t>Selecta Biosciences, Inc.’s Annual Report on Form 10-K</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9c18165ffd466592c8480f153786df_73">
              <w:r>
                <w:rPr>
                  <w:rStyle w:val="InternetLink"/>
                  <w:rFonts w:ascii="Times New Roman;sans-serif" w:hAnsi="Times New Roman;sans-serif"/>
                  <w:b w:val="false"/>
                  <w:color w:val="0000FF"/>
                  <w:sz w:val="20"/>
                  <w:u w:val="single"/>
                </w:rPr>
                <w:t>53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before="100" w:after="283"/>
        <w:jc w:val="center"/>
        <w:rPr/>
      </w:pPr>
      <w:r>
        <w:rPr/>
        <w:drawing>
          <wp:inline distT="0" distB="63500" distL="0" distR="0">
            <wp:extent cx="2381250" cy="885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381250" cy="8858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SELECTA BIOSCIENCES,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 Grove Street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Watertown, Massachusetts 02472</w:t>
      </w:r>
    </w:p>
    <w:p>
      <w:pPr>
        <w:pStyle w:val="TextBody"/>
        <w:spacing w:lineRule="auto" w:line="288" w:before="20" w:after="283"/>
        <w:jc w:val="center"/>
        <w:rPr>
          <w:color w:val="000000"/>
        </w:rPr>
      </w:pPr>
      <w:r>
        <w:rPr>
          <w:color w:val="000000"/>
        </w:rPr>
        <w:t xml:space="preserve">  </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NOTICE OF 2023 ANNUAL MEETING OF STOCKHOLDERS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June 16, 2023</w:t>
      </w:r>
    </w:p>
    <w:p>
      <w:pPr>
        <w:pStyle w:val="TextBody"/>
        <w:spacing w:lineRule="auto" w:line="288" w:before="120" w:after="120"/>
        <w:ind w:left="0" w:right="0" w:firstLine="360"/>
        <w:rPr/>
      </w:pPr>
      <w:r>
        <w:rPr>
          <w:rFonts w:ascii="Times New Roman;sans-serif" w:hAnsi="Times New Roman;sans-serif"/>
          <w:b w:val="false"/>
          <w:color w:val="000000"/>
          <w:sz w:val="20"/>
        </w:rPr>
        <w:t xml:space="preserve">The Annual Meeting of Stockholders (the “Annual Meeting”) of Selecta Biosciences, Inc., a Delaware corporation (the “Company”), will be held at 10:00 a.m., Eastern Time, on Friday, June 16, 2023, by virtual meeting online at </w:t>
      </w:r>
      <w:r>
        <w:rPr>
          <w:rFonts w:ascii="Times New Roman;sans-serif" w:hAnsi="Times New Roman;sans-serif"/>
          <w:b w:val="false"/>
          <w:i/>
          <w:color w:val="000000"/>
          <w:sz w:val="20"/>
        </w:rPr>
        <w:t>www.virtualshareholdermeeting.com/SELB2023</w:t>
      </w:r>
      <w:r>
        <w:rPr>
          <w:rFonts w:ascii="Times New Roman;sans-serif" w:hAnsi="Times New Roman;sans-serif"/>
          <w:b w:val="false"/>
          <w:color w:val="000000"/>
          <w:sz w:val="20"/>
        </w:rPr>
        <w:t xml:space="preserve">, for the following purposes: </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1.To elect Scott D. Myers, Timothy A. Springer, Ph.D. and Patrick Zenner as Class I Directors to serve until the 2026 Annual Meeting of Stockholders, and until their respective successors shall have been duly elected and qualified;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2.To approve, on a non-binding and advisory basis, a resolution approving the compensation of our named executive officers, as described in the accompanying proxy statement under “Executive and Director Compensation”;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3.To approve an amendment to our Restated Certificate of Incorporation, as amended, to change the vote required for stockholders to approve an amendment to our Amended and Restated Bylaws from two-thirds to a majority of the outstanding shares of capital stock of the Company entitled to vote thereon;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4.To ratify the appointment of Ernst &amp; Young LLP as our independent registered public accounting firm for the fiscal year ending December 31, 2023;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5.To transact such other business as may properly come before the Annual Meeting or any continuation, postponement, or adjournment of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Holders of record of our common stock as of the close of business on April 17, 2023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StockholderRequests@selectabio.com, stating the purpose of the request and providing proof of ownership of our stock. The Annual Meeting may be continued or adjourned from time to time without notice other than by announcement at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We encourage stockholders to submit their proxies via telephone or over the Internet. Submitting your proxy now will not prevent you from voting your shares electronically at the Annual Meeting if you desire to do so, as your proxy is revocable at your option.</w:t>
      </w:r>
    </w:p>
    <w:tbl>
      <w:tblPr>
        <w:tblW w:w="4361" w:type="dxa"/>
        <w:jc w:val="left"/>
        <w:tblInd w:w="0" w:type="dxa"/>
        <w:tblCellMar>
          <w:top w:w="28" w:type="dxa"/>
          <w:left w:w="28" w:type="dxa"/>
          <w:bottom w:w="28" w:type="dxa"/>
          <w:right w:w="28" w:type="dxa"/>
        </w:tblCellMar>
      </w:tblPr>
      <w:tblGrid>
        <w:gridCol w:w="124"/>
        <w:gridCol w:w="109"/>
        <w:gridCol w:w="109"/>
        <w:gridCol w:w="1177"/>
        <w:gridCol w:w="1177"/>
        <w:gridCol w:w="16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 Director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Watertown, Massachusetts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9855"/>
                <wp:effectExtent l="0" t="0" r="0" b="0"/>
                <wp:wrapNone/>
                <wp:docPr id="6" name="Frame4"/>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before="100" w:after="283"/>
        <w:jc w:val="center"/>
        <w:rPr/>
      </w:pPr>
      <w:r>
        <w:rPr/>
        <w:drawing>
          <wp:inline distT="0" distB="63500" distL="0" distR="0">
            <wp:extent cx="2381250" cy="8858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381250" cy="8858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SELECTA BIOSCIENCES,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 Grove Street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Watertown, Massachusetts 02472</w:t>
      </w:r>
    </w:p>
    <w:p>
      <w:pPr>
        <w:pStyle w:val="TextBody"/>
        <w:spacing w:lineRule="auto" w:line="288" w:before="20" w:after="283"/>
        <w:jc w:val="center"/>
        <w:rPr>
          <w:color w:val="000000"/>
        </w:rPr>
      </w:pPr>
      <w:r>
        <w:rPr>
          <w:color w:val="000000"/>
        </w:rPr>
        <w:t> </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spacing w:before="60" w:after="283"/>
        <w:jc w:val="center"/>
        <w:rPr/>
      </w:pPr>
      <w:r>
        <w:rPr/>
      </w:r>
    </w:p>
    <w:p>
      <w:pPr>
        <w:pStyle w:val="TextBody"/>
        <w:spacing w:lineRule="auto" w:line="288" w:before="120" w:after="120"/>
        <w:ind w:left="0" w:right="0" w:firstLine="360"/>
        <w:rPr/>
      </w:pPr>
      <w:r>
        <w:rPr>
          <w:rFonts w:ascii="Times New Roman;sans-serif" w:hAnsi="Times New Roman;sans-serif"/>
          <w:b w:val="false"/>
          <w:color w:val="000000"/>
          <w:sz w:val="20"/>
        </w:rPr>
        <w:t xml:space="preserve">This proxy statement is furnished in connection with the solicitation by the Board of Directors (the “Board”) of Selecta Biosciences, Inc. of proxies to be voted at our Annual Meeting of Stockholders to be held on Friday, June 16, 2023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sans-serif" w:hAnsi="Times New Roman;sans-serif"/>
          <w:b w:val="false"/>
          <w:i/>
          <w:color w:val="000000"/>
          <w:sz w:val="20"/>
        </w:rPr>
        <w:t>www.virtualshareholdermeeting.com/SELB2023</w:t>
      </w:r>
      <w:r>
        <w:rPr>
          <w:color w:val="000000"/>
        </w:rPr>
        <w:t xml:space="preserve"> </w:t>
      </w:r>
      <w:r>
        <w:rPr>
          <w:rFonts w:ascii="Times New Roman;sans-serif" w:hAnsi="Times New Roman;sans-serif"/>
          <w:b w:val="false"/>
          <w:color w:val="000000"/>
          <w:sz w:val="20"/>
        </w:rPr>
        <w:t xml:space="preserve">and entering your 16-digit control number included on your Notice of Internet Availability of Proxy Materials (the “Internet Notice”), on your proxy card or on the instructions that accompanied your proxy materials. Holders of record of shares of common stock, $0.0001 par value (“Common Stock”), as of the close of business on April 17, 2023 (the “Record Date”), will be entitled to notice of and to vote at the Annual Meeting and any continuation, postponement, or adjournment of the Annual Meeting. As of the Record Date, there were 153,426,983 shares of Common Stock outstanding and entitled to vote at the Annual Meeting. Each share of Common Stock is entitled to one vote on any matter presented to stockholders at the Annual Meeting.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the Company’s Annual Report on Form 10-K for the year ended December 31, 2022, (the “2022 Annual Report”) will be released on or about ___________, 2023 to our stockholders on the Record Date.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proxy statement, “Selecta”, “Company”, “we”, “us”, and “our” refer to Selecta Biosciences, Inc. </w:t>
      </w:r>
    </w:p>
    <w:p>
      <w:pPr>
        <w:pStyle w:val="TextBody"/>
        <w:spacing w:before="120" w:after="120"/>
        <w:ind w:left="0" w:right="0" w:firstLine="360"/>
        <w:rPr/>
      </w:pPr>
      <w:r>
        <w:rPr/>
      </w:r>
    </w:p>
    <w:p>
      <w:pPr>
        <w:pStyle w:val="TextBody"/>
        <w:spacing w:lineRule="auto" w:line="288" w:before="120" w:after="120"/>
        <w:ind w:left="0" w:right="0" w:firstLine="360"/>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w:t>
      </w:r>
    </w:p>
    <w:p>
      <w:pPr>
        <w:pStyle w:val="TextBody"/>
        <w:spacing w:lineRule="auto" w:line="288" w:before="120" w:after="120"/>
        <w:ind w:left="0" w:right="0" w:firstLine="360"/>
        <w:rPr>
          <w:rFonts w:ascii="Times New Roman;sans-serif" w:hAnsi="Times New Roman;sans-serif"/>
          <w:b/>
          <w:color w:val="000000"/>
          <w:sz w:val="20"/>
        </w:rPr>
      </w:pPr>
      <w:r>
        <w:rPr>
          <w:rFonts w:ascii="Times New Roman;sans-serif" w:hAnsi="Times New Roman;sans-serif"/>
          <w:b/>
          <w:color w:val="000000"/>
          <w:sz w:val="20"/>
        </w:rPr>
        <w:t>FOR THE STOCKHOLDER MEETING TO BE HELD ON FRIDAY, JUNE 16, 2023</w:t>
      </w:r>
    </w:p>
    <w:p>
      <w:pPr>
        <w:pStyle w:val="TextBody"/>
        <w:spacing w:lineRule="auto" w:line="288" w:before="120" w:after="120"/>
        <w:ind w:left="0" w:right="0" w:firstLine="360"/>
        <w:rPr>
          <w:rFonts w:ascii="Times New Roman;sans-serif" w:hAnsi="Times New Roman;sans-serif"/>
          <w:b/>
          <w:color w:val="000000"/>
          <w:sz w:val="20"/>
        </w:rPr>
      </w:pPr>
      <w:r>
        <w:rPr>
          <w:rFonts w:ascii="Times New Roman;sans-serif" w:hAnsi="Times New Roman;sans-serif"/>
          <w:b/>
          <w:color w:val="000000"/>
          <w:sz w:val="20"/>
        </w:rPr>
        <w:t>This Proxy Statement and the 2022 Annual Report are available at http://www.proxyvote.com</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PROPOSALS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Annual Meeting, our stockholders will be asked: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1.To elect Scott D. Myers, Timothy A. Springer, Ph.D. and Patrick Zenner as Class I Directors to serve until the 2026 Annual Meeting of Stockholders, and until their respective successors shall have been duly elected and qualified;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2.To approve, on a non-binding and advisory basis, a resolution approving the compensation of our named executive officers, as described in the accompanying proxy statement under “Executive and Director Compensation”;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3.To approve an amendment to our Restated Certificate of Incorporation, as amended (the “Charter”), to change the vote required for stockholders to approve an amendment to our Amended and Restated Bylaws (the “Bylaws”) from two-thirds to a majority of the outstanding shares of capital stock of the Company entitled to vote thereon;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4.To ratify the appointment of Ernst &amp; Young LLP as our independent registered public accounting firm for the fiscal year ending December 31, 2023;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5.To transact such other business as may properly come before the Annual Meeting or any continuation, postponement, or adjournment of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 other business that will be presented at the Annual Meeting. If any other matter properly comes before the stockholders for a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9855"/>
                <wp:effectExtent l="0" t="0" r="0" b="0"/>
                <wp:wrapNone/>
                <wp:docPr id="8" name="Frame5"/>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vote at the Annual Meeting, however, the proxy holders named on the Company’s proxy card will vote your shares in accordance with their best judgment. </w:t>
      </w:r>
    </w:p>
    <w:p>
      <w:pPr>
        <w:pStyle w:val="TextBody"/>
        <w:spacing w:lineRule="auto" w:line="288" w:before="120" w:after="120"/>
        <w:rPr>
          <w:color w:val="000000"/>
        </w:rPr>
      </w:pPr>
      <w:r>
        <w:rPr>
          <w:color w:val="000000"/>
        </w:rPr>
        <w:t> </w:t>
      </w:r>
    </w:p>
    <w:p>
      <w:pPr>
        <w:pStyle w:val="TextBody"/>
        <w:spacing w:lineRule="auto" w:line="288" w:before="120" w:after="120"/>
        <w:rPr>
          <w:rFonts w:ascii="Times New Roman;sans-serif" w:hAnsi="Times New Roman;sans-serif"/>
          <w:b/>
          <w:color w:val="000000"/>
          <w:sz w:val="20"/>
        </w:rPr>
      </w:pPr>
      <w:bookmarkStart w:id="0" w:name="i1ee5a60b356842dea9ec8ed1ec09119e_7770"/>
      <w:bookmarkEnd w:id="0"/>
      <w:r>
        <w:rPr>
          <w:rFonts w:ascii="Times New Roman;sans-serif" w:hAnsi="Times New Roman;sans-serif"/>
          <w:b/>
          <w:color w:val="000000"/>
          <w:sz w:val="20"/>
        </w:rPr>
        <w:t xml:space="preserve">RECOMMENDATIONS OF THE BOARD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1.FOR the election of Scott D. Myers, Timothy A. Springer, Ph.D. and Patrick Zenner as Class I Directors;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2.FOR the approval, on a non-binding, advisory basis, of the compensation of our named executive officers;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3.FOR the approval, of an amendment to our Charter to change the vote required for stockholders to approve an amendment to our Bylaws from two-thirds to a majority of the outstanding shares of capital stock of the Company entitled to vote thereon;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4.FOR the ratification of the appointment of Ernst &amp; Young LLP as our independent registered public accounting firm for the fiscal year ending December 31, 2023.</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other matter properly comes before the stockholders for a vote at the Annual Meeting, the proxy holders named on our proxy card will vote your shares in accordance with their best judgment. </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INFORMATION ABOUT THIS PROXY STATEMENT </w:t>
      </w:r>
    </w:p>
    <w:p>
      <w:pPr>
        <w:pStyle w:val="TextBody"/>
        <w:spacing w:lineRule="auto" w:line="288" w:before="120" w:after="120"/>
        <w:ind w:left="0" w:right="0" w:firstLine="360"/>
        <w:rPr/>
      </w:pPr>
      <w:r>
        <w:rPr>
          <w:rFonts w:ascii="Times New Roman;sans-serif" w:hAnsi="Times New Roman;sans-serif"/>
          <w:b/>
          <w:color w:val="000000"/>
          <w:sz w:val="20"/>
        </w:rPr>
        <w:t>Why you received this Proxy Statement</w:t>
      </w:r>
      <w:r>
        <w:rPr>
          <w:rFonts w:ascii="Times New Roman;sans-serif" w:hAnsi="Times New Roman;sans-serif"/>
          <w:b w:val="false"/>
          <w:color w:val="000000"/>
          <w:sz w:val="20"/>
        </w:rPr>
        <w:t xml:space="preserve">. You are viewing or have received these proxy materials because Selecta’s Board is soliciting your proxy to vote your shares at the Annual Meeting. This proxy statement includes information that we are required to provide to you under the rules of the Securities and Exchange Commission (“SEC”) and that is designed to assist you in voting your shares. </w:t>
      </w:r>
    </w:p>
    <w:p>
      <w:pPr>
        <w:pStyle w:val="TextBody"/>
        <w:spacing w:lineRule="auto" w:line="288" w:before="120" w:after="120"/>
        <w:ind w:left="0" w:right="0" w:firstLine="360"/>
        <w:rPr/>
      </w:pPr>
      <w:r>
        <w:rPr>
          <w:rFonts w:ascii="Times New Roman;sans-serif" w:hAnsi="Times New Roman;sans-serif"/>
          <w:b/>
          <w:color w:val="000000"/>
          <w:sz w:val="20"/>
        </w:rPr>
        <w:t>Notice of Internet Availability of Proxy Materials</w:t>
      </w:r>
      <w:r>
        <w:rPr>
          <w:rFonts w:ascii="Times New Roman;sans-serif" w:hAnsi="Times New Roman;sans-serif"/>
          <w:b w:val="false"/>
          <w:color w:val="000000"/>
          <w:sz w:val="20"/>
        </w:rPr>
        <w:t xml:space="preserve">. As permitted by SEC rules, Selecta is making this proxy statement and the 2022 Annual Report available to its stockholders electronically via the Internet. On or about ___________, 2023, we mailed to our stockholders an Internet Notice containing instructions on how to access this proxy statement and our 2022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 </w:t>
      </w:r>
    </w:p>
    <w:p>
      <w:pPr>
        <w:pStyle w:val="TextBody"/>
        <w:spacing w:lineRule="auto" w:line="288" w:before="120" w:after="120"/>
        <w:ind w:left="0" w:right="0" w:firstLine="360"/>
        <w:rPr/>
      </w:pPr>
      <w:r>
        <w:rPr>
          <w:rFonts w:ascii="Times New Roman;sans-serif" w:hAnsi="Times New Roman;sans-serif"/>
          <w:b/>
          <w:color w:val="000000"/>
          <w:sz w:val="20"/>
        </w:rPr>
        <w:t xml:space="preserve">Printed Copies of Our Proxy Materials. </w:t>
      </w:r>
      <w:r>
        <w:rPr>
          <w:rFonts w:ascii="Times New Roman;sans-serif" w:hAnsi="Times New Roman;sans-serif"/>
          <w:b w:val="false"/>
          <w:color w:val="000000"/>
          <w:sz w:val="20"/>
        </w:rPr>
        <w:t xml:space="preserve">If you received printed copies of our proxy materials, then instructions regarding how you can vote are contained on the proxy card included in the materials. </w:t>
      </w:r>
    </w:p>
    <w:p>
      <w:pPr>
        <w:pStyle w:val="TextBody"/>
        <w:spacing w:lineRule="auto" w:line="288" w:before="120" w:after="120"/>
        <w:ind w:left="0" w:right="0" w:firstLine="360"/>
        <w:rPr/>
      </w:pPr>
      <w:r>
        <w:rPr>
          <w:rFonts w:ascii="Times New Roman;sans-serif" w:hAnsi="Times New Roman;sans-serif"/>
          <w:b/>
          <w:color w:val="000000"/>
          <w:sz w:val="20"/>
        </w:rPr>
        <w:t>Householding</w:t>
      </w:r>
      <w:r>
        <w:rPr>
          <w:rFonts w:ascii="Times New Roman;sans-serif" w:hAnsi="Times New Roman;sans-serif"/>
          <w:b w:val="false"/>
          <w:color w:val="000000"/>
          <w:sz w:val="20"/>
        </w:rPr>
        <w:t>. 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9855"/>
                <wp:effectExtent l="0" t="0" r="0" b="0"/>
                <wp:wrapNone/>
                <wp:docPr id="9" name="Frame6"/>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 2023 Annual Meeting of Stockholders</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Who is entitled to vote at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Record Date for the Annual Meeting is April 17, 2023.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153,426,983 shares of Common Stock outstanding and entitled to vote at the Annual Meeting.</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is the difference between being a “record holder” and holding shares in “street name”?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record holder holds shares in his or her name. Shares held in “street name” means shares that are held in the name of a bank or broker on a person’s behalf.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Am I entitled to vote if my shares are held in “street name”?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How many shares must be present to hold the Annual Meeting?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 </w:t>
      </w:r>
    </w:p>
    <w:p>
      <w:pPr>
        <w:pStyle w:val="TextBody"/>
        <w:spacing w:lineRule="auto" w:line="288" w:before="120" w:after="120"/>
        <w:rPr>
          <w:rFonts w:ascii="Times New Roman;sans-serif" w:hAnsi="Times New Roman;sans-serif"/>
          <w:b/>
          <w:color w:val="000000"/>
          <w:sz w:val="20"/>
        </w:rPr>
      </w:pPr>
      <w:bookmarkStart w:id="1" w:name="i561ffe3620df487aad3ff1e26ea7ea6f_12220"/>
      <w:bookmarkEnd w:id="1"/>
      <w:r>
        <w:rPr>
          <w:rFonts w:ascii="Times New Roman;sans-serif" w:hAnsi="Times New Roman;sans-serif"/>
          <w:b/>
          <w:color w:val="000000"/>
          <w:sz w:val="20"/>
        </w:rPr>
        <w:t xml:space="preserve">Who can attend the 2023 Annual Meeting? </w:t>
      </w:r>
    </w:p>
    <w:p>
      <w:pPr>
        <w:pStyle w:val="TextBody"/>
        <w:spacing w:lineRule="auto" w:line="288" w:before="120" w:after="120"/>
        <w:ind w:left="0" w:right="0" w:firstLine="360"/>
        <w:rPr/>
      </w:pPr>
      <w:r>
        <w:rPr>
          <w:rFonts w:ascii="Times New Roman;sans-serif" w:hAnsi="Times New Roman;sans-serif"/>
          <w:b w:val="false"/>
          <w:color w:val="000000"/>
          <w:sz w:val="20"/>
        </w:rPr>
        <w:t>You may attend the virtual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w:t>
      </w:r>
      <w:r>
        <w:rPr>
          <w:color w:val="000000"/>
        </w:rPr>
        <w:t xml:space="preserve"> </w:t>
      </w:r>
      <w:r>
        <w:rPr>
          <w:rFonts w:ascii="Times New Roman;sans-serif" w:hAnsi="Times New Roman;sans-serif"/>
          <w:b w:val="false"/>
          <w:i/>
          <w:color w:val="000000"/>
          <w:sz w:val="20"/>
        </w:rPr>
        <w:t>www.virtualshareholdermeeting.com/SELB2023</w:t>
      </w:r>
      <w:r>
        <w:rPr>
          <w:rFonts w:ascii="Times New Roman;sans-serif" w:hAnsi="Times New Roman;sans-serif"/>
          <w:b w:val="false"/>
          <w:color w:val="000000"/>
          <w:sz w:val="20"/>
        </w:rPr>
        <w:t>. You also will be able to vote your shares electronically at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Why a virtual meeting? </w:t>
      </w:r>
    </w:p>
    <w:p>
      <w:pPr>
        <w:pStyle w:val="TextBody"/>
        <w:spacing w:lineRule="auto" w:line="288" w:before="120" w:after="120"/>
        <w:ind w:left="0" w:right="0" w:firstLine="360"/>
        <w:rPr/>
      </w:pPr>
      <w:r>
        <w:rPr>
          <w:rFonts w:ascii="Times New Roman;sans-serif" w:hAnsi="Times New Roman;sans-serif"/>
          <w:b w:val="false"/>
          <w:color w:val="000000"/>
          <w:sz w:val="20"/>
        </w:rPr>
        <w:t xml:space="preserve">We are excited to continue to utilize the latest technology to provide expanded access, improved communication and cost savings for our stockholders and the Company while providing stockholders with the same rights and opportunities to participate as they would have at an in-person meeting. Having held successful virtual meetings since 2017, we believe hosting a virtual meeting will enable increased stockholder attendance and participation, because it permits stockholders to participate from any location around the world. You will be able to attend the Annual Meeting online and submit your questions by visiting </w:t>
      </w:r>
      <w:r>
        <w:rPr>
          <w:rFonts w:ascii="Times New Roman;sans-serif" w:hAnsi="Times New Roman;sans-serif"/>
          <w:b w:val="false"/>
          <w:i/>
          <w:color w:val="000000"/>
          <w:sz w:val="20"/>
        </w:rPr>
        <w:t>www.virtualshareholdermeeting.com/SELB2023</w:t>
      </w:r>
      <w:r>
        <w:rPr>
          <w:rFonts w:ascii="Times New Roman;sans-serif" w:hAnsi="Times New Roman;sans-serif"/>
          <w:b w:val="false"/>
          <w:color w:val="000000"/>
          <w:sz w:val="20"/>
        </w:rPr>
        <w:t>. You also will be able to vote your shares electronically at the Annual Meeting.</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if during the check-in time or during the Annual Meeting I have technical difficulties or trouble accessing the virtual meeting website?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if a quorum is not present at the Annual Meeting?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9855"/>
                <wp:effectExtent l="0" t="0" r="0" b="0"/>
                <wp:wrapNone/>
                <wp:docPr id="10" name="Frame7"/>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 quorum is not present at the scheduled time of the Annual Meeting, the Chairman of the Annual Meeting may adjourn the Annual Meeting until a quorum is present or represented.</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does it mean if I receive more than one Internet Notice or more than one set of proxy materials?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How do I vote? </w:t>
      </w:r>
    </w:p>
    <w:p>
      <w:pPr>
        <w:pStyle w:val="TextBody"/>
        <w:spacing w:lineRule="auto" w:line="288" w:before="120" w:after="120"/>
        <w:ind w:left="0" w:right="0" w:firstLine="360"/>
        <w:rPr/>
      </w:pPr>
      <w:r>
        <w:rPr>
          <w:rFonts w:ascii="Times New Roman;sans-serif" w:hAnsi="Times New Roman;sans-serif"/>
          <w:b w:val="false"/>
          <w:i/>
          <w:color w:val="000000"/>
          <w:sz w:val="20"/>
        </w:rPr>
        <w:t>Stockholders of Record.</w:t>
      </w:r>
      <w:r>
        <w:rPr>
          <w:color w:val="000000"/>
        </w:rPr>
        <w:t xml:space="preserve"> </w:t>
      </w:r>
      <w:r>
        <w:rPr>
          <w:rFonts w:ascii="Times New Roman;sans-serif" w:hAnsi="Times New Roman;sans-serif"/>
          <w:b w:val="false"/>
          <w:color w:val="000000"/>
          <w:sz w:val="20"/>
        </w:rPr>
        <w:t xml:space="preserve">We recommend that stockholders vote by proxy even if they plan to participate in the virtual Annual Meeting and vote electronically during the meeting. If you are a stockholder of record, you may vote: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by Telephone - You can vote by telephone by calling 1-800-690-6903 and following the instructions on the proxy card;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by Internet - You can vote over the Internet at www.proxyvote.com by following the instructions on the proxy card or Internet Notice;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by Mail - You can vote by mail by signing, dating and mailing the proxy card, which you may have received by mail; or</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Electronically at the Meeting - You may vote at the Annual Meeting by visiting </w:t>
      </w:r>
      <w:r>
        <w:rPr>
          <w:rFonts w:ascii="Times New Roman;sans-serif" w:hAnsi="Times New Roman;sans-serif"/>
          <w:b w:val="false"/>
          <w:i/>
          <w:color w:val="000000"/>
          <w:sz w:val="20"/>
        </w:rPr>
        <w:t>www.virtualshareholdermeeting.com/SELB2023</w:t>
      </w:r>
      <w:r>
        <w:rPr>
          <w:color w:val="000000"/>
        </w:rPr>
        <w:t xml:space="preserve"> </w:t>
      </w:r>
      <w:r>
        <w:rPr>
          <w:rFonts w:ascii="Times New Roman;sans-serif" w:hAnsi="Times New Roman;sans-serif"/>
          <w:b w:val="false"/>
          <w:color w:val="000000"/>
          <w:sz w:val="20"/>
        </w:rPr>
        <w:t>and entering the 16-digit control number included on your Internet Notice, on your proxy card or on the instructions that accompanied your proxy materials. The meeting webcast will begin promptly at 10:00 am, Eastern Time, on June 16, 2023.</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Telephone and Internet voting facilities for stockholders of record will be available 24 hours a day and will close at 11:59 p.m., Eastern Time, on June 15, 2023. To participate in the Annual Meeting, including to vote via the Internet or telephone, you will need the 16-digit control number included on your Internet Notice, on your proxy card or on the instructions that accompanied your proxy materials.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Whether or not you expect to attend the Annual Meeting online, we urge you to vote your shares as promptly as possible to ensure your representation and the presence of a quorum at the Annual Meeting. We encourage stockholders to submit their proxies via the Internet or telephone. If you submit your proxy, you may still decide to attend the Annual Meeting and vote your shares electronically.</w:t>
      </w:r>
    </w:p>
    <w:p>
      <w:pPr>
        <w:pStyle w:val="TextBody"/>
        <w:spacing w:lineRule="auto" w:line="288" w:before="120" w:after="120"/>
        <w:ind w:left="0" w:right="0" w:firstLine="360"/>
        <w:rPr/>
      </w:pPr>
      <w:r>
        <w:rPr>
          <w:rFonts w:ascii="Times New Roman;sans-serif" w:hAnsi="Times New Roman;sans-serif"/>
          <w:b w:val="false"/>
          <w:i/>
          <w:color w:val="000000"/>
          <w:sz w:val="20"/>
        </w:rPr>
        <w:t xml:space="preserve">Beneficial Owners of Shares Held in </w:t>
      </w:r>
      <w:r>
        <w:rPr>
          <w:color w:val="000000"/>
        </w:rPr>
        <w:t>“</w:t>
      </w:r>
      <w:r>
        <w:rPr>
          <w:rFonts w:ascii="Times New Roman;sans-serif" w:hAnsi="Times New Roman;sans-serif"/>
          <w:b w:val="false"/>
          <w:i/>
          <w:color w:val="000000"/>
          <w:sz w:val="20"/>
        </w:rPr>
        <w:t>Street Name.</w:t>
      </w:r>
      <w:r>
        <w:rPr>
          <w:color w:val="000000"/>
        </w:rPr>
        <w:t xml:space="preserve">” </w:t>
      </w:r>
      <w:r>
        <w:rPr>
          <w:rFonts w:ascii="Times New Roman;sans-serif" w:hAnsi="Times New Roman;sans-serif"/>
          <w:b w:val="false"/>
          <w:color w:val="000000"/>
          <w:sz w:val="20"/>
        </w:rPr>
        <w:t xml:space="preserve">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sans-serif" w:hAnsi="Times New Roman;sans-serif"/>
          <w:b w:val="false"/>
          <w:i/>
          <w:color w:val="000000"/>
          <w:sz w:val="20"/>
        </w:rPr>
        <w:t>www.virtualshareholdermeeting.com/SELB2023</w:t>
      </w:r>
      <w:r>
        <w:rPr>
          <w:color w:val="000000"/>
        </w:rPr>
        <w:t xml:space="preserve"> </w:t>
      </w:r>
      <w:r>
        <w:rPr>
          <w:rFonts w:ascii="Times New Roman;sans-serif" w:hAnsi="Times New Roman;sans-serif"/>
          <w:b w:val="false"/>
          <w:color w:val="000000"/>
          <w:sz w:val="20"/>
        </w:rPr>
        <w:t>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Can I change my vote after I submit my proxy?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Yes.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registered stockholder, you may revoke your proxy and change your vote: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by submitting a duly executed proxy bearing a later date;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by granting a subsequent proxy through the Internet or telephone;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by giving written notice of revocation to the Secretary of the Company prior to the Annual Meeting; or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by voting electronically at the virtual Annual Meeting.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Your most recent proxy card or telephone or Internet proxy is the one that is counted. Your participation in the virtual Annual Meeting by itself will not revoke your proxy unless you give written notice of revocation to the Secretary before your proxy is voted or you vote electronically at the virtual Annual Meeting.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held in street name, you may change or revoke your voting instructions by following the specific directions provided to you by your bank or broker, or you may vote electronically at the virtual Annual Meeting by following the instructions above.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9855"/>
                <wp:effectExtent l="0" t="0" r="0" b="0"/>
                <wp:wrapNone/>
                <wp:docPr id="11" name="Frame8"/>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Who will count the votes?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representative of Broadridge Financial Solutions, Inc., our inspector of election, will tabulate and certify the votes.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if I do not specify how my shares are to be voted? </w:t>
      </w:r>
    </w:p>
    <w:p>
      <w:pPr>
        <w:pStyle w:val="TextBody"/>
        <w:spacing w:lineRule="auto" w:line="288" w:before="120" w:after="120"/>
        <w:ind w:left="0" w:right="0" w:firstLine="360"/>
        <w:rPr/>
      </w:pPr>
      <w:r>
        <w:rPr>
          <w:rFonts w:ascii="Times New Roman;sans-serif" w:hAnsi="Times New Roman;sans-serif"/>
          <w:b w:val="false"/>
          <w:color w:val="000000"/>
          <w:sz w:val="20"/>
        </w:rPr>
        <w:t xml:space="preserve">If you submit a proxy but do not indicate any voting instructions, the persons named as proxies will vote in accordance with the recommendations of the Board. The Board’s recommendations are indicated on page </w:t>
      </w:r>
      <w:hyperlink w:anchor="i1ee5a60b356842dea9ec8ed1ec09119e_7770">
        <w:r>
          <w:rPr>
            <w:rStyle w:val="InternetLink"/>
            <w:rFonts w:ascii="Times New Roman;sans-serif" w:hAnsi="Times New Roman;sans-serif"/>
            <w:b w:val="false"/>
            <w:color w:val="0000FF"/>
            <w:sz w:val="20"/>
            <w:u w:val="single"/>
          </w:rPr>
          <w:t>3</w:t>
        </w:r>
      </w:hyperlink>
      <w:r>
        <w:rPr>
          <w:color w:val="000000"/>
        </w:rPr>
        <w:t xml:space="preserve"> </w:t>
      </w:r>
      <w:r>
        <w:rPr>
          <w:rFonts w:ascii="Times New Roman;sans-serif" w:hAnsi="Times New Roman;sans-serif"/>
          <w:b w:val="false"/>
          <w:color w:val="000000"/>
          <w:sz w:val="20"/>
        </w:rPr>
        <w:t xml:space="preserve">of this proxy statement, as well as with the description of each proposal in this proxy statement.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Will any other business be conducted at the Annual Meeting?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How many votes are required for the approval of the proposals to be voted upon and how will abstentions and broker non-votes be treated?</w:t>
      </w:r>
    </w:p>
    <w:tbl>
      <w:tblPr>
        <w:tblW w:w="10205" w:type="dxa"/>
        <w:jc w:val="left"/>
        <w:tblInd w:w="0" w:type="dxa"/>
        <w:tblCellMar>
          <w:top w:w="28" w:type="dxa"/>
          <w:left w:w="28" w:type="dxa"/>
          <w:bottom w:w="28" w:type="dxa"/>
          <w:right w:w="28" w:type="dxa"/>
        </w:tblCellMar>
      </w:tblPr>
      <w:tblGrid>
        <w:gridCol w:w="1226"/>
        <w:gridCol w:w="844"/>
        <w:gridCol w:w="847"/>
        <w:gridCol w:w="1447"/>
        <w:gridCol w:w="1296"/>
        <w:gridCol w:w="1301"/>
        <w:gridCol w:w="960"/>
        <w:gridCol w:w="941"/>
        <w:gridCol w:w="1343"/>
      </w:tblGrid>
      <w:tr>
        <w:trPr/>
        <w:tc>
          <w:tcPr>
            <w:tcW w:w="1226"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w:t>
            </w:r>
          </w:p>
        </w:tc>
        <w:tc>
          <w:tcPr>
            <w:tcW w:w="4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Votes required</w:t>
            </w:r>
          </w:p>
        </w:tc>
        <w:tc>
          <w:tcPr>
            <w:tcW w:w="3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Votes</w:t>
              <w:br/>
              <w:t>Withheld/Abstentions and</w:t>
              <w:br/>
              <w:t>Broker Non-Votes</w:t>
            </w:r>
          </w:p>
        </w:tc>
      </w:tr>
      <w:tr>
        <w:trPr/>
        <w:tc>
          <w:tcPr>
            <w:tcW w:w="29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1: Election of Directors</w:t>
            </w:r>
          </w:p>
        </w:tc>
        <w:tc>
          <w:tcPr>
            <w:tcW w:w="40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plurality of the votes cast. This means that the three nominees receiving the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highest number of affirmative “FOR” votes will be elected as Class I Directors.</w:t>
            </w:r>
          </w:p>
          <w:p>
            <w:pPr>
              <w:pStyle w:val="TableContents"/>
              <w:spacing w:before="0" w:after="0"/>
              <w:rPr/>
            </w:pPr>
            <w:r>
              <w:rPr/>
            </w:r>
          </w:p>
        </w:tc>
        <w:tc>
          <w:tcPr>
            <w:tcW w:w="3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Votes withheld, abstentions, and broker non-votes will have no effect.</w:t>
            </w:r>
          </w:p>
        </w:tc>
      </w:tr>
      <w:tr>
        <w:trPr/>
        <w:tc>
          <w:tcPr>
            <w:tcW w:w="2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2: Approval of Compensation of Named Executive Officers</w:t>
            </w:r>
          </w:p>
        </w:tc>
        <w:tc>
          <w:tcPr>
            <w:tcW w:w="4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 majority in voting power of the votes cast.</w:t>
            </w:r>
          </w:p>
        </w:tc>
        <w:tc>
          <w:tcPr>
            <w:tcW w:w="3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have no effect.</w:t>
            </w:r>
          </w:p>
        </w:tc>
      </w:tr>
      <w:tr>
        <w:trPr/>
        <w:tc>
          <w:tcPr>
            <w:tcW w:w="2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3: Approval of Amendment to Charter</w:t>
            </w:r>
          </w:p>
        </w:tc>
        <w:tc>
          <w:tcPr>
            <w:tcW w:w="4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two-thirds of the voting power of shares outstanding and entitled to vote.</w:t>
            </w:r>
          </w:p>
        </w:tc>
        <w:tc>
          <w:tcPr>
            <w:tcW w:w="3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be treated as votes “AGAINST” Proposal 3.</w:t>
            </w:r>
          </w:p>
        </w:tc>
      </w:tr>
      <w:tr>
        <w:trPr/>
        <w:tc>
          <w:tcPr>
            <w:tcW w:w="2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4: Ratification of Appointment</w:t>
              <w:br/>
              <w:t>of Independent Registered Public Accounting Firm</w:t>
            </w:r>
          </w:p>
        </w:tc>
        <w:tc>
          <w:tcPr>
            <w:tcW w:w="4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 majority</w:t>
              <w:br/>
              <w:t>in voting power of the votes cast.</w:t>
            </w:r>
          </w:p>
        </w:tc>
        <w:tc>
          <w:tcPr>
            <w:tcW w:w="3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have no effect.</w:t>
            </w:r>
          </w:p>
        </w:tc>
      </w:tr>
    </w:tbl>
    <w:p>
      <w:pPr>
        <w:pStyle w:val="TextBody"/>
        <w:spacing w:before="20" w:after="12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is an abstention and how will votes withheld and abstentions be treated?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“vote withheld,” in the case of the proposal regarding the election of directors, or an “abstention,” in the case of the second, third and fourth proposals,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second and fourth proposals and have the effect of a vote “AGAINST” the third proposal.</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What are broker non-votes and do they count for determining a quorum?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approval of the amendment to our Charter. Broker non-votes count for purposes of determining whether a quorum is present.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9855"/>
                <wp:effectExtent l="0" t="0" r="0" b="0"/>
                <wp:wrapNone/>
                <wp:docPr id="12" name="Frame9"/>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6</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Where can I find the voting results of the Annual Meeting?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announce preliminary voting results at the Annual Meeting and we will report the final results in a Current Report on Form 8-K, which we intend to file with the SEC within four business days of the Annual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9855"/>
                <wp:effectExtent l="0" t="0" r="0" b="0"/>
                <wp:wrapNone/>
                <wp:docPr id="13" name="Frame10"/>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7</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PROPOSAL 1 - Election of Directors</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Election of Directors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three (3) Class I Directors have been nominated to be elected to hold office until the Annual Meeting of Stockholders to be held in 2026 and until such director’s successor is elected and qualified or until such director’s earlier death, resignation or removal.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have eight (8) directors on our Board, including three (3) Class I Directors. Our current Class I Directors are Scott D. Myers, who has served on our Board since 2019, Timothy A. Springer, Ph.D., who has served on our Board since 2016, and Patrick Zenner, who has served on our Board since 2017. Scott D. Myers, Timothy A. Springer, Ph.D. and Patrick Zenner were each nominated for election as a Class I Director at the Annual Meeting.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Annual Meeting and whose subsequent term will expire at the 2026 Annual Meeting of Stockholders; Class II, whose current term expires at the 2024 Annual Meeting of Stockholders, and whose subsequent term will expire at the 2027 Annual Meeting of Stockholders; and Class III, whose term will expire at the 2025 Annual Meeting of Stockholders and whose subsequent term will expire at the 2028 Annual Meeting of Stockholders. The current Class I Directors are Scott D. Myers, Timothy A. Springer, Ph.D. and Patrick Zenner; the current Class II Directors are Carrie S. Cox and Aymeric Sallin; and the current Class III Directors are Timothy C. Barabe, Carsten Brunn, Ph.D. and Nishan de Silva, M.D., M.B.A.</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executive officers or directors.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 </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proposal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Board unanimously recommends a vote “FOR” the election of each of the below Class I Director nominees.</w:t>
      </w:r>
    </w:p>
    <w:p>
      <w:pPr>
        <w:pStyle w:val="TextBody"/>
        <w:spacing w:before="120" w:after="120"/>
        <w:ind w:left="0" w:right="0" w:firstLine="360"/>
        <w:rPr/>
      </w:pPr>
      <w:r>
        <w:rPr/>
      </w:r>
    </w:p>
    <w:p>
      <w:pPr>
        <w:pStyle w:val="TextBody"/>
        <w:spacing w:before="120" w:after="120"/>
        <w:ind w:left="0" w:right="0" w:firstLine="360"/>
        <w:rPr/>
      </w:pPr>
      <w:r>
        <w:rPr/>
      </w:r>
    </w:p>
    <w:p>
      <w:pPr>
        <w:pStyle w:val="TextBody"/>
        <w:spacing w:before="120" w:after="120"/>
        <w:ind w:left="0" w:right="0" w:firstLine="360"/>
        <w:rPr/>
      </w:pPr>
      <w:r>
        <w:rPr/>
      </w:r>
    </w:p>
    <w:p>
      <w:pPr>
        <w:pStyle w:val="TextBody"/>
        <w:spacing w:before="120" w:after="120"/>
        <w:ind w:left="0" w:right="0" w:firstLine="36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9855"/>
                <wp:effectExtent l="0" t="0" r="0" b="0"/>
                <wp:wrapNone/>
                <wp:docPr id="14" name="Frame11"/>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8</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pPr>
      <w:r>
        <w:rPr>
          <w:rFonts w:ascii="Times New Roman;sans-serif" w:hAnsi="Times New Roman;sans-serif"/>
          <w:b/>
          <w:color w:val="000000"/>
          <w:sz w:val="20"/>
        </w:rPr>
        <w:t>Nominees for Class I Directors (</w:t>
      </w:r>
      <w:r>
        <w:rPr>
          <w:rFonts w:ascii="Times New Roman;sans-serif" w:hAnsi="Times New Roman;sans-serif"/>
          <w:b/>
          <w:i/>
          <w:color w:val="000000"/>
          <w:sz w:val="20"/>
        </w:rPr>
        <w:t>Terms to Expire at 2026 Annual Meeting of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current members of the Board who have been nominated by the Board for election as Class I Directors are as follows:</w:t>
      </w:r>
    </w:p>
    <w:tbl>
      <w:tblPr>
        <w:tblW w:w="7265" w:type="dxa"/>
        <w:jc w:val="left"/>
        <w:tblInd w:w="0" w:type="dxa"/>
        <w:tblCellMar>
          <w:top w:w="28" w:type="dxa"/>
          <w:left w:w="28" w:type="dxa"/>
          <w:bottom w:w="28" w:type="dxa"/>
          <w:right w:w="28" w:type="dxa"/>
        </w:tblCellMar>
      </w:tblPr>
      <w:tblGrid>
        <w:gridCol w:w="742"/>
        <w:gridCol w:w="650"/>
        <w:gridCol w:w="662"/>
        <w:gridCol w:w="109"/>
        <w:gridCol w:w="109"/>
        <w:gridCol w:w="109"/>
        <w:gridCol w:w="130"/>
        <w:gridCol w:w="130"/>
        <w:gridCol w:w="131"/>
        <w:gridCol w:w="109"/>
        <w:gridCol w:w="109"/>
        <w:gridCol w:w="109"/>
        <w:gridCol w:w="669"/>
        <w:gridCol w:w="669"/>
        <w:gridCol w:w="672"/>
        <w:gridCol w:w="109"/>
        <w:gridCol w:w="109"/>
        <w:gridCol w:w="109"/>
        <w:gridCol w:w="535"/>
        <w:gridCol w:w="535"/>
        <w:gridCol w:w="759"/>
      </w:tblGrid>
      <w:tr>
        <w:trPr/>
        <w:tc>
          <w:tcPr>
            <w:tcW w:w="7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Served as a Director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 with Selecta</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Scott D. Myers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A. Springer,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Patrick Zenner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occupations and business experience, for at least the past five years, of each Class I nominee for election at the Annual Meeting are as follows: </w:t>
      </w:r>
    </w:p>
    <w:tbl>
      <w:tblPr>
        <w:tblW w:w="2859" w:type="dxa"/>
        <w:jc w:val="left"/>
        <w:tblInd w:w="0" w:type="dxa"/>
        <w:tblCellMar>
          <w:top w:w="28" w:type="dxa"/>
          <w:left w:w="28" w:type="dxa"/>
          <w:bottom w:w="28" w:type="dxa"/>
          <w:right w:w="28" w:type="dxa"/>
        </w:tblCellMar>
      </w:tblPr>
      <w:tblGrid>
        <w:gridCol w:w="124"/>
        <w:gridCol w:w="109"/>
        <w:gridCol w:w="109"/>
        <w:gridCol w:w="574"/>
        <w:gridCol w:w="574"/>
        <w:gridCol w:w="576"/>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SCOTT D. MYERS</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57</w:t>
            </w:r>
          </w:p>
        </w:tc>
      </w:tr>
    </w:tbl>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Scott D. Myers has served as a member of our Board since June 2019. Mr. Myers currently serves as president and chief executive officer and a member of the board of directors of Viridian Therapeutics, Inc., a public biotechnology company, where he has served since February 2023. Prior to joining Viridian, Mr. Myers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serving on the board of directors of Dynavax Technologies Corporation, which he joined in October 2021, and as chair of the board of directors since October 2021 and a member of the board of directors, the audit committee and nomination and governance committee of Harpoon Therapeutics since August 2018. Mr. Myers also serves on the board of directors as chair of the board at Ironshore Pharmaceuticals, Inc. formerly known as Highland Therapeutics, Inc., where he has served since April 2022. Mr. Myers previously served on the board of directors and remuneration committee of Sensorion SA from 2021 to 2023,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tbl>
      <w:tblPr>
        <w:tblW w:w="4045" w:type="dxa"/>
        <w:jc w:val="left"/>
        <w:tblInd w:w="0" w:type="dxa"/>
        <w:tblCellMar>
          <w:top w:w="28" w:type="dxa"/>
          <w:left w:w="28" w:type="dxa"/>
          <w:bottom w:w="28" w:type="dxa"/>
          <w:right w:w="28" w:type="dxa"/>
        </w:tblCellMar>
      </w:tblPr>
      <w:tblGrid>
        <w:gridCol w:w="124"/>
        <w:gridCol w:w="109"/>
        <w:gridCol w:w="109"/>
        <w:gridCol w:w="969"/>
        <w:gridCol w:w="969"/>
        <w:gridCol w:w="972"/>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9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TIMOTHY A. SPRINGER, PH.D.</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75</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Board’s conclusion that he should serve as a director of our company.</w:t>
      </w:r>
    </w:p>
    <w:tbl>
      <w:tblPr>
        <w:tblW w:w="2979" w:type="dxa"/>
        <w:jc w:val="left"/>
        <w:tblInd w:w="0" w:type="dxa"/>
        <w:tblCellMar>
          <w:top w:w="28" w:type="dxa"/>
          <w:left w:w="28" w:type="dxa"/>
          <w:bottom w:w="28" w:type="dxa"/>
          <w:right w:w="28" w:type="dxa"/>
        </w:tblCellMar>
      </w:tblPr>
      <w:tblGrid>
        <w:gridCol w:w="124"/>
        <w:gridCol w:w="109"/>
        <w:gridCol w:w="109"/>
        <w:gridCol w:w="614"/>
        <w:gridCol w:w="614"/>
        <w:gridCol w:w="616"/>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PATRICK ZENNER</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76</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9855"/>
                <wp:effectExtent l="0" t="0" r="0" b="0"/>
                <wp:wrapNone/>
                <wp:docPr id="15" name="Frame12"/>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9</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Continuing Members of the Board</w:t>
      </w:r>
    </w:p>
    <w:p>
      <w:pPr>
        <w:pStyle w:val="TextBody"/>
        <w:spacing w:lineRule="auto" w:line="288" w:before="120" w:after="120"/>
        <w:rPr/>
      </w:pPr>
      <w:r>
        <w:rPr>
          <w:rFonts w:ascii="Times New Roman;sans-serif" w:hAnsi="Times New Roman;sans-serif"/>
          <w:b/>
          <w:color w:val="000000"/>
          <w:sz w:val="20"/>
        </w:rPr>
        <w:t xml:space="preserve">Class II Directors </w:t>
      </w:r>
      <w:r>
        <w:rPr>
          <w:rFonts w:ascii="Times New Roman;sans-serif" w:hAnsi="Times New Roman;sans-serif"/>
          <w:b/>
          <w:i/>
          <w:color w:val="000000"/>
          <w:sz w:val="20"/>
        </w:rPr>
        <w:t>(Terms Expire at 2024 Annual Meeting of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Board who are Class II Directors are as follows: </w:t>
      </w:r>
    </w:p>
    <w:tbl>
      <w:tblPr>
        <w:tblW w:w="6365" w:type="dxa"/>
        <w:jc w:val="left"/>
        <w:tblInd w:w="0" w:type="dxa"/>
        <w:tblCellMar>
          <w:top w:w="28" w:type="dxa"/>
          <w:left w:w="28" w:type="dxa"/>
          <w:bottom w:w="28" w:type="dxa"/>
          <w:right w:w="28" w:type="dxa"/>
        </w:tblCellMar>
      </w:tblPr>
      <w:tblGrid>
        <w:gridCol w:w="418"/>
        <w:gridCol w:w="367"/>
        <w:gridCol w:w="369"/>
        <w:gridCol w:w="109"/>
        <w:gridCol w:w="109"/>
        <w:gridCol w:w="109"/>
        <w:gridCol w:w="130"/>
        <w:gridCol w:w="130"/>
        <w:gridCol w:w="131"/>
        <w:gridCol w:w="109"/>
        <w:gridCol w:w="109"/>
        <w:gridCol w:w="109"/>
        <w:gridCol w:w="669"/>
        <w:gridCol w:w="669"/>
        <w:gridCol w:w="672"/>
        <w:gridCol w:w="109"/>
        <w:gridCol w:w="109"/>
        <w:gridCol w:w="109"/>
        <w:gridCol w:w="535"/>
        <w:gridCol w:w="535"/>
        <w:gridCol w:w="759"/>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Served as a Director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 with Selecta</w:t>
            </w:r>
          </w:p>
        </w:tc>
      </w:tr>
      <w:tr>
        <w:trPr/>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Carrie S. Cox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Chairman of the Board</w:t>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Aymeric Sallin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occupations and business experience, for at least the past five years, of each Class II Director are as follows: </w:t>
      </w:r>
    </w:p>
    <w:tbl>
      <w:tblPr>
        <w:tblW w:w="2649" w:type="dxa"/>
        <w:jc w:val="left"/>
        <w:tblInd w:w="0" w:type="dxa"/>
        <w:tblCellMar>
          <w:top w:w="28" w:type="dxa"/>
          <w:left w:w="28" w:type="dxa"/>
          <w:bottom w:w="28" w:type="dxa"/>
          <w:right w:w="28" w:type="dxa"/>
        </w:tblCellMar>
      </w:tblPr>
      <w:tblGrid>
        <w:gridCol w:w="124"/>
        <w:gridCol w:w="109"/>
        <w:gridCol w:w="109"/>
        <w:gridCol w:w="504"/>
        <w:gridCol w:w="504"/>
        <w:gridCol w:w="506"/>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CARRIE S. COX</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65</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Carrie S. Cox has served as a member of our Board and as chairman of the Board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tbl>
      <w:tblPr>
        <w:tblW w:w="2934" w:type="dxa"/>
        <w:jc w:val="left"/>
        <w:tblInd w:w="0" w:type="dxa"/>
        <w:tblCellMar>
          <w:top w:w="28" w:type="dxa"/>
          <w:left w:w="28" w:type="dxa"/>
          <w:bottom w:w="28" w:type="dxa"/>
          <w:right w:w="28" w:type="dxa"/>
        </w:tblCellMar>
      </w:tblPr>
      <w:tblGrid>
        <w:gridCol w:w="124"/>
        <w:gridCol w:w="109"/>
        <w:gridCol w:w="109"/>
        <w:gridCol w:w="599"/>
        <w:gridCol w:w="599"/>
        <w:gridCol w:w="601"/>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7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AYMERIC SALLIN</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49</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Aymeric Sallin, M.S. has served as a member of our Board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Placon Therapeutics, Natron Energy, and CROCUS Technology. Mr. Sallin also served as a member of the board of directors of View, Inc. until 2018, and Tarveda Therapeutics until 2022, both private companies.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pStyle w:val="TextBody"/>
        <w:spacing w:lineRule="auto" w:line="288" w:before="120" w:after="120"/>
        <w:rPr/>
      </w:pPr>
      <w:r>
        <w:rPr>
          <w:rFonts w:ascii="Times New Roman;sans-serif" w:hAnsi="Times New Roman;sans-serif"/>
          <w:b/>
          <w:color w:val="000000"/>
          <w:sz w:val="20"/>
        </w:rPr>
        <w:t xml:space="preserve">Class III Directors </w:t>
      </w:r>
      <w:r>
        <w:rPr>
          <w:rFonts w:ascii="Times New Roman;sans-serif" w:hAnsi="Times New Roman;sans-serif"/>
          <w:b/>
          <w:i/>
          <w:color w:val="000000"/>
          <w:sz w:val="20"/>
        </w:rPr>
        <w:t>(Terms Expire at 2025 Annual Meeting of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Board who are Class III Directors are as follows: </w:t>
      </w:r>
    </w:p>
    <w:tbl>
      <w:tblPr>
        <w:tblW w:w="8406" w:type="dxa"/>
        <w:jc w:val="left"/>
        <w:tblInd w:w="0" w:type="dxa"/>
        <w:tblCellMar>
          <w:top w:w="28" w:type="dxa"/>
          <w:left w:w="28" w:type="dxa"/>
          <w:bottom w:w="28" w:type="dxa"/>
          <w:right w:w="28" w:type="dxa"/>
        </w:tblCellMar>
      </w:tblPr>
      <w:tblGrid>
        <w:gridCol w:w="815"/>
        <w:gridCol w:w="714"/>
        <w:gridCol w:w="720"/>
        <w:gridCol w:w="109"/>
        <w:gridCol w:w="109"/>
        <w:gridCol w:w="109"/>
        <w:gridCol w:w="130"/>
        <w:gridCol w:w="130"/>
        <w:gridCol w:w="131"/>
        <w:gridCol w:w="109"/>
        <w:gridCol w:w="109"/>
        <w:gridCol w:w="109"/>
        <w:gridCol w:w="669"/>
        <w:gridCol w:w="669"/>
        <w:gridCol w:w="672"/>
        <w:gridCol w:w="109"/>
        <w:gridCol w:w="109"/>
        <w:gridCol w:w="109"/>
        <w:gridCol w:w="812"/>
        <w:gridCol w:w="812"/>
        <w:gridCol w:w="1151"/>
      </w:tblGrid>
      <w:tr>
        <w:trPr/>
        <w:tc>
          <w:tcPr>
            <w:tcW w:w="81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Served as a Director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 with Selecta</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C. Barabe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Carsten Brunn,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and Chief Executive Officer</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Nishan de Silva, M.D., M.B.A.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occupations and business experience, for at least the past five years, of each Class III Director are as follows: </w:t>
      </w:r>
    </w:p>
    <w:tbl>
      <w:tblPr>
        <w:tblW w:w="3279" w:type="dxa"/>
        <w:jc w:val="left"/>
        <w:tblInd w:w="0" w:type="dxa"/>
        <w:tblCellMar>
          <w:top w:w="28" w:type="dxa"/>
          <w:left w:w="28" w:type="dxa"/>
          <w:bottom w:w="28" w:type="dxa"/>
          <w:right w:w="28" w:type="dxa"/>
        </w:tblCellMar>
      </w:tblPr>
      <w:tblGrid>
        <w:gridCol w:w="124"/>
        <w:gridCol w:w="109"/>
        <w:gridCol w:w="109"/>
        <w:gridCol w:w="714"/>
        <w:gridCol w:w="714"/>
        <w:gridCol w:w="716"/>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TIMOTHY C. BARABE</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70</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9855"/>
                <wp:effectExtent l="0" t="0" r="0" b="0"/>
                <wp:wrapNone/>
                <wp:docPr id="16" name="Frame13"/>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10</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20" w:after="120"/>
        <w:rPr>
          <w:rFonts w:ascii="Times New Roman;sans-serif" w:hAnsi="Times New Roman;sans-serif"/>
          <w:b w:val="false"/>
          <w:color w:val="000000"/>
          <w:sz w:val="20"/>
        </w:rPr>
      </w:pPr>
      <w:r>
        <w:rPr>
          <w:rFonts w:ascii="Times New Roman;sans-serif" w:hAnsi="Times New Roman;sans-serif"/>
          <w:b w:val="false"/>
          <w:color w:val="000000"/>
          <w:sz w:val="20"/>
        </w:rPr>
        <w:t>(Amherst)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tbl>
      <w:tblPr>
        <w:tblW w:w="3459" w:type="dxa"/>
        <w:jc w:val="left"/>
        <w:tblInd w:w="0" w:type="dxa"/>
        <w:tblCellMar>
          <w:top w:w="28" w:type="dxa"/>
          <w:left w:w="28" w:type="dxa"/>
          <w:bottom w:w="28" w:type="dxa"/>
          <w:right w:w="28" w:type="dxa"/>
        </w:tblCellMar>
      </w:tblPr>
      <w:tblGrid>
        <w:gridCol w:w="124"/>
        <w:gridCol w:w="109"/>
        <w:gridCol w:w="109"/>
        <w:gridCol w:w="774"/>
        <w:gridCol w:w="774"/>
        <w:gridCol w:w="776"/>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CARSTEN BRUNN, PH.D.</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52</w:t>
            </w:r>
          </w:p>
        </w:tc>
      </w:tr>
    </w:tbl>
    <w:p>
      <w:pPr>
        <w:pStyle w:val="TextBody"/>
        <w:spacing w:lineRule="auto" w:line="288" w:before="20" w:after="120"/>
        <w:ind w:left="0" w:right="0" w:firstLine="360"/>
        <w:rPr>
          <w:rFonts w:ascii="Times New Roman;sans-serif" w:hAnsi="Times New Roman;sans-serif"/>
          <w:b w:val="false"/>
          <w:color w:val="000000"/>
          <w:sz w:val="20"/>
        </w:rPr>
      </w:pPr>
      <w:bookmarkStart w:id="2" w:name="i3887544eb2124fcf84f4eb7447298b38_17786"/>
      <w:bookmarkEnd w:id="2"/>
      <w:r>
        <w:rPr>
          <w:rFonts w:ascii="Times New Roman;sans-serif" w:hAnsi="Times New Roman;sans-serif"/>
          <w:b w:val="false"/>
          <w:color w:val="000000"/>
          <w:sz w:val="20"/>
        </w:rPr>
        <w:t>Carsten Brunn, Ph.D. has served as our President, Chief Executive Officer and member of our Board since December 2018. Dr. Brunn also serves as a member of the Board of Directors of Surface Oncology, Inc., a public oncology company, where he has served since June 2022.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tbl>
      <w:tblPr>
        <w:tblW w:w="4090" w:type="dxa"/>
        <w:jc w:val="left"/>
        <w:tblInd w:w="0" w:type="dxa"/>
        <w:tblCellMar>
          <w:top w:w="28" w:type="dxa"/>
          <w:left w:w="28" w:type="dxa"/>
          <w:bottom w:w="28" w:type="dxa"/>
          <w:right w:w="28" w:type="dxa"/>
        </w:tblCellMar>
      </w:tblPr>
      <w:tblGrid>
        <w:gridCol w:w="124"/>
        <w:gridCol w:w="109"/>
        <w:gridCol w:w="109"/>
        <w:gridCol w:w="984"/>
        <w:gridCol w:w="984"/>
        <w:gridCol w:w="987"/>
        <w:gridCol w:w="140"/>
        <w:gridCol w:w="140"/>
        <w:gridCol w:w="1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9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NISHAN DE SILVA, M.D., M.B.A.</w:t>
            </w:r>
          </w:p>
        </w:tc>
        <w:tc>
          <w:tcPr>
            <w:tcW w:w="4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Age</w:t>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50</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Nishan de Silva, M.D., M.B.A. has served as a member of our Board since June 2021. Dr. de Silva currently serves as Chief Executive Officer of 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9855"/>
                <wp:effectExtent l="0" t="0" r="0" b="0"/>
                <wp:wrapNone/>
                <wp:docPr id="17" name="Frame14"/>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11</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2 - Non-Binding, Advisory Approval of Compensation of Named Executive Officers</w:t>
      </w:r>
    </w:p>
    <w:p>
      <w:pPr>
        <w:pStyle w:val="TextBody"/>
        <w:spacing w:before="0" w:after="0"/>
        <w:jc w:val="center"/>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providing our stockholders with the opportunity to cast a non-binding, advisory vote regarding the compensation of our named executive officers.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the sections of this proxy statement entitled “Executive and Director Compensation —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tolerogenic therapies to improve the lives of patients who suffer from serious and debilitating diseases.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Before voting, we recommend you read the sections of this proxy statement entitled “Executive and Director Compensation — Executive Compensation” and “Compensation Discussion and Analysis” for additional details on our executive compensation programs and philosophy.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Board unanimously recommends a vote “FOR” approval, on a non-binding, advisory basis, of the compensation of our named executive officers.</w:t>
      </w:r>
    </w:p>
    <w:p>
      <w:pPr>
        <w:pStyle w:val="TextBody"/>
        <w:spacing w:before="12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9855"/>
                <wp:effectExtent l="0" t="0" r="0" b="0"/>
                <wp:wrapNone/>
                <wp:docPr id="18" name="Frame15"/>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12</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PROPOSAL 3 - Amendment to Restated Certificate of Incorporation, as Amended, to Remove the Supermajority Vote Threshold to Amend the Bylaws</w:t>
      </w:r>
    </w:p>
    <w:p>
      <w:pPr>
        <w:pStyle w:val="TextBody"/>
        <w:spacing w:before="120" w:after="120"/>
        <w:jc w:val="center"/>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Stockholders are being asked to approve an amendment (the “Charter Amendment”) to our Charter, to change the vote required for stockholders to approve an amendment to our Bylaws from two-thirds to a majority of the outstanding shares of capital stock of the Company entitled to vote thereon. On April 17, 2023, the Board approved the Charter Amendment, subject to stockholder approval, and directed that the Charter Amendment be submitted to a vote of our stockholders at this Annual Meeting.</w:t>
      </w:r>
    </w:p>
    <w:p>
      <w:pPr>
        <w:pStyle w:val="TextBody"/>
        <w:spacing w:before="0" w:after="0"/>
        <w:ind w:left="0" w:right="0" w:firstLine="36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Purpose of the Charter Amendment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regularly reviews our corporate governance practices to consider whether such practices remain in the best interests of the Company and its stockholders. Many stockholders believe that supermajority voting requirements to amend bylaws impede accountability to stockholders and contribute to board and management entrenchment. For these reasons, among others, the Board previously approved an amendment to our Bylaws to change the vote requirement contained in our Bylaws for stockholders to approve an amendment to our Bylaws from two-thirds to a majority of the outstanding shares of capital stock of the Company entitled to vote on any such amendment.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the Board considered the fact that, even without a supermajority voting standard to amend our Bylaws, the Company has appropriate safeguards to protect the interests of all stockholders and to discourage a would-be acquirer from proceeding with a proposal that undervalues the Company or is opportunistic and to assist the Board in responding to such proposals. The Board also considered that under certain circumstances, supermajority voting requirements can provide benefits to the Company and all its stockholders by making it more difficult for one or a few large stockholders to facilitate a takeover of the Company or implement certain significant changes to the Company without more widespread stockholder support.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After careful consideration, the Board has deemed it advisable and in the best interests of the Company to amend Article Sixth of the Charter to provide for a majority voting standard by which stockholders may adopt, amend, alter or repeal the Bylaws or adopt any provision inconsistent therewith in line with the recently updated voting threshold in the Bylaws.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Effect of the Charter Amendment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Article Sixth of our Charter currently provides that our stockholders may adopt, amend, alter or repeal our Bylaws by the affirmative vote of at least two-thirds of the outstanding shares of capital stock of the Company entitled to vote. If the Charter Amendment is approved, the supermajority voting requirement in Article Sixth of the Charter will be removed and replaced with a simple majority voting requirement, such that our stockholders may adopt, amend, alter or repeal our Bylaws by the affirmative vote of at least a majority of the outstanding shares of capital stock of the Company entitled to vote. Additionally, the vote required to further amend Article Sixth of the Charter governing the voting requirement for Bylaws amendments would likewise be changed from a supermajority requirement to a simple majority requirement.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our stockholders approve the Charter Amendment, the Board will have authority to file with the Secretary of State of Delaware the Charter Amendment. The text of such amendment is attached to this proxy statement as Exhibit A. Such amendment will become effective on the date it is filed. The Board reserves the right to abandon or delay the filing of such amendment even if the Charter Amendment is approved by our stockholders.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 of Delaware law, the Charter, nor our Bylaws provide for appraisal or other similar rights for dissenting stockholders in connection with this proposal. Accordingly, our stockholders will have no right to dissent and obtain payment for their shares.</w:t>
      </w:r>
    </w:p>
    <w:p>
      <w:pPr>
        <w:pStyle w:val="TextBody"/>
        <w:spacing w:before="0" w:after="0"/>
        <w:ind w:left="0" w:right="0" w:firstLine="36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proposal requires the affirmative vote of the holders of two-thirds of the voting power of shares outstanding and entitled to vote. Abstentions and broker non-votes will have the same effect as votes “AGAINST” this proposal.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Board unanimously recommends a vote “FOR” the approval of the Charter Amendment.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9855"/>
                <wp:effectExtent l="0" t="0" r="0" b="0"/>
                <wp:wrapNone/>
                <wp:docPr id="19" name="Frame16"/>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13</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PROPOSAL 4 - Ratification of Appointment of Independent Registered Public Accounting Firm</w:t>
      </w:r>
    </w:p>
    <w:p>
      <w:pPr>
        <w:pStyle w:val="TextBody"/>
        <w:spacing w:before="120" w:after="120"/>
        <w:jc w:val="center"/>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of our Board (the “Audit Committee”) has appointed Ernst &amp; Young LLP as our independent registered public accounting firm for the fiscal year ending December 31, 2023.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Ernst &amp; Young LLP also served as our independent registered public accounting firm for the fiscal year ended December 31, 2022.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the appointment of Ernst &amp; Young LLP is not ratified by the stockholders, the Audit Committee will consider this fact when it appoints the independent auditors for the fiscal year ending December 31, 2024. Even if the appointment of Ernst &amp; Young LLP is ratified, the Audit Committee retains the discretion to appoint a different independent auditor at any time if it determines that such a change is in the interest of the Company.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unanimously recommends a vote “FOR” the ratification of the appointment of Ernst &amp; Young LLP as our independent registered public accounting 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9855"/>
                <wp:effectExtent l="0" t="0" r="0" b="0"/>
                <wp:wrapNone/>
                <wp:docPr id="20" name="Frame17"/>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14</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 of the Board</w:t>
      </w:r>
    </w:p>
    <w:p>
      <w:pPr>
        <w:pStyle w:val="TextBody"/>
        <w:spacing w:before="0" w:after="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the Company’s audited financial statements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pStyle w:val="TextBody"/>
        <w:spacing w:lineRule="auto" w:line="288" w:before="120" w:after="120"/>
        <w:ind w:left="0" w:right="0" w:firstLine="360"/>
        <w:rPr/>
      </w:pPr>
      <w:r>
        <w:rPr>
          <w:rFonts w:ascii="Times New Roman;sans-serif" w:hAnsi="Times New Roman;sans-serif"/>
          <w:b w:val="false"/>
          <w:color w:val="000000"/>
          <w:sz w:val="20"/>
        </w:rPr>
        <w:t>The Company’s independent registered public accounting firm also provided the Audit Committee with a formal written statement required by PCAOB Rule 3526 (</w:t>
      </w:r>
      <w:r>
        <w:rPr>
          <w:rFonts w:ascii="Times New Roman;sans-serif" w:hAnsi="Times New Roman;sans-serif"/>
          <w:b w:val="false"/>
          <w:i/>
          <w:color w:val="000000"/>
          <w:sz w:val="20"/>
        </w:rPr>
        <w:t>Communications with Audit Committees Concerning Independence</w:t>
      </w:r>
      <w:r>
        <w:rPr>
          <w:rFonts w:ascii="Times New Roman;sans-serif" w:hAnsi="Times New Roman;sans-serif"/>
          <w:b w:val="false"/>
          <w:color w:val="000000"/>
          <w:sz w:val="20"/>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2022.</w:t>
      </w:r>
    </w:p>
    <w:p>
      <w:pPr>
        <w:pStyle w:val="TextBody"/>
        <w:spacing w:before="120" w:after="120"/>
        <w:rPr/>
      </w:pPr>
      <w:r>
        <w:rPr/>
      </w:r>
    </w:p>
    <w:tbl>
      <w:tblPr>
        <w:tblW w:w="4512" w:type="dxa"/>
        <w:jc w:val="left"/>
        <w:tblInd w:w="0" w:type="dxa"/>
        <w:tblCellMar>
          <w:top w:w="28" w:type="dxa"/>
          <w:left w:w="28" w:type="dxa"/>
          <w:bottom w:w="28" w:type="dxa"/>
          <w:right w:w="28" w:type="dxa"/>
        </w:tblCellMar>
      </w:tblPr>
      <w:tblGrid>
        <w:gridCol w:w="124"/>
        <w:gridCol w:w="109"/>
        <w:gridCol w:w="109"/>
        <w:gridCol w:w="1221"/>
        <w:gridCol w:w="1221"/>
        <w:gridCol w:w="172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w:t>
              <w:br/>
              <w:t>DIRECTORS OF SELECTA BIOSCIENCES,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Timothy C. Barabe (Chair)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Carrie S. Cox</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Nishan de Silva, M.D., M.B.A.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Patrick Zenner</w:t>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9855"/>
                <wp:effectExtent l="0" t="0" r="0" b="0"/>
                <wp:wrapNone/>
                <wp:docPr id="21" name="Frame18"/>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15</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 and Other Matters</w:t>
      </w:r>
    </w:p>
    <w:p>
      <w:pPr>
        <w:pStyle w:val="TextBody"/>
        <w:spacing w:before="120" w:after="120"/>
        <w:jc w:val="center"/>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fees of Ernst &amp; Young LLP, our independent registered public accounting firm, billed to us for each of the last two fiscal years for audit services, tax services and for all other services: </w:t>
      </w:r>
    </w:p>
    <w:tbl>
      <w:tblPr>
        <w:tblW w:w="4280" w:type="dxa"/>
        <w:jc w:val="left"/>
        <w:tblInd w:w="0" w:type="dxa"/>
        <w:tblCellMar>
          <w:top w:w="28" w:type="dxa"/>
          <w:left w:w="28" w:type="dxa"/>
          <w:bottom w:w="28" w:type="dxa"/>
          <w:right w:w="28" w:type="dxa"/>
        </w:tblCellMar>
      </w:tblPr>
      <w:tblGrid>
        <w:gridCol w:w="446"/>
        <w:gridCol w:w="391"/>
        <w:gridCol w:w="392"/>
        <w:gridCol w:w="109"/>
        <w:gridCol w:w="109"/>
        <w:gridCol w:w="109"/>
        <w:gridCol w:w="196"/>
        <w:gridCol w:w="871"/>
        <w:gridCol w:w="109"/>
        <w:gridCol w:w="109"/>
        <w:gridCol w:w="109"/>
        <w:gridCol w:w="109"/>
        <w:gridCol w:w="196"/>
        <w:gridCol w:w="871"/>
        <w:gridCol w:w="154"/>
      </w:tblGrid>
      <w:tr>
        <w:trPr/>
        <w:tc>
          <w:tcPr>
            <w:tcW w:w="4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Fee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Audit Fees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Tax Fees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All Other Fees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(1)Audit fees consist of fees billed for the audit of our annual consolidated financial statements, the review of the interim consolidated financial statements, and related services that are normally provided in connection with registration statements. </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(2)Tax fees consist of fees for professional services, including tax consulting and compliance performed by Ernst &amp; Young LLP.</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(3)All other fees are those associated with services not captured in the other categories, including the utilization of a research tool provided by Ernst &amp; Young LLP.</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Audit Committee Pre-Approval Policy And Procedures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2022 and 2021 were pre-approved.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9855"/>
                <wp:effectExtent l="0" t="0" r="0" b="0"/>
                <wp:wrapNone/>
                <wp:docPr id="22" name="Frame19"/>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16</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before="120" w:after="120"/>
        <w:jc w:val="center"/>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identifies our current executive officers: </w:t>
      </w:r>
    </w:p>
    <w:tbl>
      <w:tblPr>
        <w:tblW w:w="6115" w:type="dxa"/>
        <w:jc w:val="left"/>
        <w:tblInd w:w="0" w:type="dxa"/>
        <w:tblCellMar>
          <w:top w:w="28" w:type="dxa"/>
          <w:left w:w="28" w:type="dxa"/>
          <w:bottom w:w="28" w:type="dxa"/>
          <w:right w:w="28" w:type="dxa"/>
        </w:tblCellMar>
      </w:tblPr>
      <w:tblGrid>
        <w:gridCol w:w="829"/>
        <w:gridCol w:w="728"/>
        <w:gridCol w:w="738"/>
        <w:gridCol w:w="109"/>
        <w:gridCol w:w="109"/>
        <w:gridCol w:w="109"/>
        <w:gridCol w:w="130"/>
        <w:gridCol w:w="130"/>
        <w:gridCol w:w="131"/>
        <w:gridCol w:w="109"/>
        <w:gridCol w:w="109"/>
        <w:gridCol w:w="109"/>
        <w:gridCol w:w="813"/>
        <w:gridCol w:w="813"/>
        <w:gridCol w:w="1149"/>
      </w:tblGrid>
      <w:tr>
        <w:trPr/>
        <w:tc>
          <w:tcPr>
            <w:tcW w:w="82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w:t>
            </w:r>
          </w:p>
        </w:tc>
      </w:tr>
      <w:tr>
        <w:trPr/>
        <w:tc>
          <w:tcPr>
            <w:tcW w:w="229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Carsten Brunn, Ph.D. </w:t>
            </w:r>
            <w:r>
              <w:rPr>
                <w:rFonts w:ascii="Times New Roman;sans-serif" w:hAnsi="Times New Roman;sans-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and Chief Executive Officer</w:t>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Blaine Davis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r>
      <w:tr>
        <w:trPr/>
        <w:tc>
          <w:tcPr>
            <w:tcW w:w="229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Lloyd Johnston, Ph.D. </w:t>
            </w:r>
            <w:r>
              <w:rPr>
                <w:rFonts w:ascii="Times New Roman;sans-serif" w:hAnsi="Times New Roman;sans-serif"/>
                <w:b w:val="false"/>
                <w:color w:val="000000"/>
                <w:sz w:val="10"/>
              </w:rPr>
              <w:t>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Operations Officer</w:t>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Takashi Kei Kishimoto, Ph.D. </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Scientific Officer</w:t>
            </w:r>
          </w:p>
        </w:tc>
      </w:tr>
      <w:tr>
        <w:trPr/>
        <w:tc>
          <w:tcPr>
            <w:tcW w:w="229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Peter G. Traber, M.D. </w:t>
            </w:r>
            <w:r>
              <w:rPr>
                <w:rFonts w:ascii="Times New Roman;sans-serif" w:hAnsi="Times New Roman;sans-serif"/>
                <w:b w:val="false"/>
                <w:color w:val="000000"/>
                <w:sz w:val="10"/>
              </w:rPr>
              <w:t>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Medical Officer</w:t>
            </w:r>
          </w:p>
        </w:tc>
      </w:tr>
    </w:tbl>
    <w:p>
      <w:pPr>
        <w:pStyle w:val="TextBody"/>
        <w:spacing w:before="20" w:after="120"/>
        <w:rPr/>
      </w:pPr>
      <w:r>
        <w:rPr/>
      </w:r>
    </w:p>
    <w:p>
      <w:pPr>
        <w:pStyle w:val="TextBody"/>
        <w:spacing w:lineRule="auto" w:line="288" w:before="120" w:after="120"/>
        <w:ind w:left="0" w:right="0" w:firstLine="360"/>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See biography on page </w:t>
      </w:r>
      <w:hyperlink w:anchor="i3887544eb2124fcf84f4eb7447298b38_17786">
        <w:r>
          <w:rPr>
            <w:rStyle w:val="InternetLink"/>
            <w:rFonts w:ascii="Times New Roman;sans-serif" w:hAnsi="Times New Roman;sans-serif"/>
            <w:b w:val="false"/>
            <w:color w:val="0000FF"/>
            <w:sz w:val="20"/>
            <w:u w:val="single"/>
          </w:rPr>
          <w:t>11</w:t>
        </w:r>
      </w:hyperlink>
      <w:r>
        <w:rPr>
          <w:color w:val="000000"/>
        </w:rPr>
        <w:t xml:space="preserve"> </w:t>
      </w:r>
      <w:r>
        <w:rPr>
          <w:rFonts w:ascii="Times New Roman;sans-serif" w:hAnsi="Times New Roman;sans-serif"/>
          <w:b w:val="false"/>
          <w:color w:val="000000"/>
          <w:sz w:val="20"/>
        </w:rPr>
        <w:t>of this proxy statement.</w:t>
      </w:r>
    </w:p>
    <w:p>
      <w:pPr>
        <w:pStyle w:val="TextBody"/>
        <w:spacing w:lineRule="auto" w:line="288" w:before="120" w:after="120"/>
        <w:ind w:left="0" w:right="0" w:firstLine="360"/>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 xml:space="preserve">Blaine Davis has served as our Chief Financial Officer since November 2022. Prior to joining the 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 </w:t>
      </w:r>
    </w:p>
    <w:p>
      <w:pPr>
        <w:pStyle w:val="TextBody"/>
        <w:spacing w:lineRule="auto" w:line="288" w:before="120" w:after="120"/>
        <w:ind w:left="0" w:right="0" w:firstLine="360"/>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Lloyd Johnston, Ph.D. has served as our Chief Operations Officer since January 2014. 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pStyle w:val="TextBody"/>
        <w:spacing w:lineRule="auto" w:line="288" w:before="120" w:after="120"/>
        <w:ind w:left="0" w:right="0" w:firstLine="360"/>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pStyle w:val="TextBody"/>
        <w:spacing w:lineRule="auto" w:line="268" w:before="0" w:after="0"/>
        <w:ind w:left="0" w:right="0" w:firstLine="360"/>
        <w:rPr/>
      </w:pPr>
      <w:r>
        <w:rPr>
          <w:rFonts w:ascii="Times New Roman;sans-serif" w:hAnsi="Times New Roman;sans-serif"/>
          <w:b w:val="false"/>
          <w:color w:val="000000"/>
          <w:sz w:val="13"/>
        </w:rPr>
        <w:t>5</w:t>
      </w:r>
      <w:r>
        <w:rPr>
          <w:color w:val="000000"/>
        </w:rPr>
        <w:t> </w:t>
      </w:r>
      <w:r>
        <w:rPr>
          <w:rFonts w:ascii="Times New Roman;sans-serif" w:hAnsi="Times New Roman;sans-serif"/>
          <w:b w:val="false"/>
          <w:color w:val="000000"/>
          <w:sz w:val="20"/>
        </w:rPr>
        <w:t>Peter G. Traber, M.D. has served as our Chief Medical Officer since August 2020. Dr. Traber also serves as a member of the board of directors of Caladrius Biosciences since January 2015. Prior to joining Selecta Biosciences in 2020, from July 2018 to July 2020 Dr. Traber served as a Partner at Alacrita Consulting, providing drug development consulting services and 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 of our executive officers are related to any other executive officer or to any of our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9855"/>
                <wp:effectExtent l="0" t="0" r="0" b="0"/>
                <wp:wrapNone/>
                <wp:docPr id="23" name="Frame20"/>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17</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 The information contained on our website, and in all references to our website within this proxy statement, shall not be deemed incorporated by reference in this proxy statement or in any other filing we make under Exchange Act.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Board Composition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currently consists of eight members: Timothy C. Barabe, Carsten Brunn, Ph.D., Carrie S. Cox, Nishan de Silva, M.D., M.B.A., Scott D. Myers, Aymeric Sallin, Timothy A. Springer, Ph.D. and Patrick Zenner.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of our directors and Class I director nominees, other than Carsten Brunn, Ph.D., and our former director, Göran Ando, M.D.,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Director Candidates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9855"/>
                <wp:effectExtent l="0" t="0" r="0" b="0"/>
                <wp:wrapNone/>
                <wp:docPr id="24" name="Frame21"/>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18</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 director nominees were recommended by the Nominating and Corporate Governance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Communications from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Board Leadership Structure and Role in Risk Oversight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9855"/>
                <wp:effectExtent l="0" t="0" r="0" b="0"/>
                <wp:wrapNone/>
                <wp:docPr id="25" name="Frame22"/>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19</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monitors whether any of our compensation policies and programs has the potential to encourage excessive risk-taking. The Board does not believe that its role in the oversight of our risks affects the Board’s leadership structure.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Annual Board Evaluation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Corporate Governance Guidelines require the Nominating and Corporate Governance Committee to periodically oversee an assessment of the Board and its committees.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Diversity Commitment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9855"/>
                <wp:effectExtent l="0" t="0" r="0" b="0"/>
                <wp:wrapNone/>
                <wp:docPr id="26" name="Frame23"/>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20</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Diversity Matrix</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board diversity matrix presents information as of April 17, 2023 regarding the diversity characteristics of our Board in accordance with Nasdaq listing standard 5606, as self-reported by our directors.</w:t>
      </w:r>
    </w:p>
    <w:tbl>
      <w:tblPr>
        <w:tblW w:w="6737" w:type="dxa"/>
        <w:jc w:val="left"/>
        <w:tblInd w:w="0" w:type="dxa"/>
        <w:tblCellMar>
          <w:top w:w="28" w:type="dxa"/>
          <w:left w:w="28" w:type="dxa"/>
          <w:bottom w:w="28" w:type="dxa"/>
          <w:right w:w="28" w:type="dxa"/>
        </w:tblCellMar>
      </w:tblPr>
      <w:tblGrid>
        <w:gridCol w:w="1221"/>
        <w:gridCol w:w="1071"/>
        <w:gridCol w:w="1082"/>
        <w:gridCol w:w="210"/>
        <w:gridCol w:w="210"/>
        <w:gridCol w:w="211"/>
        <w:gridCol w:w="155"/>
        <w:gridCol w:w="155"/>
        <w:gridCol w:w="156"/>
        <w:gridCol w:w="320"/>
        <w:gridCol w:w="320"/>
        <w:gridCol w:w="321"/>
        <w:gridCol w:w="382"/>
        <w:gridCol w:w="382"/>
        <w:gridCol w:w="541"/>
      </w:tblGrid>
      <w:tr>
        <w:trPr/>
        <w:tc>
          <w:tcPr>
            <w:tcW w:w="122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Female</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Male</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Non-Binary</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Did Not</w:t>
              <w:br/>
              <w:t>Disclose Gender</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Directors</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Number of Directors</w:t>
              <w:br/>
              <w:t>Who Identify in Any of the Categories Below</w:t>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African American or Black</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Alaskan Native or Native American</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Hispanic or Latinx</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Native Hawaiian or Pacific Islander</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Two or More Races or Ethnicities</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LGBTQ+</w:t>
            </w:r>
          </w:p>
        </w:tc>
        <w:tc>
          <w:tcPr>
            <w:tcW w:w="6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3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Did Not Disclose Demographic Background</w:t>
            </w:r>
          </w:p>
        </w:tc>
        <w:tc>
          <w:tcPr>
            <w:tcW w:w="6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4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96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3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bl>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Anti-Hedging Policy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Attendance By Members Of The Board At Meetings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eleven meetings of the Board during the fiscal year ended December 31, 2022. Our independent directors also held regularly scheduled executive sessions. During the fiscal year ended December 31, 2022, each director attended at least 75% of the aggregate of (i) all meetings of the Board and (ii) all meetings of the committees on which the director served during the period in which he or she served as a director.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2022 Annual Meeting of Stockholders.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established four standing committees--Audit, Compensation, Nominating and Corporate Governance, and Research and Development--each of which operates under a written charter that has been approved by our Board.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each of the Board committees and committee Chairs are set forth in the following chart. </w:t>
      </w:r>
    </w:p>
    <w:tbl>
      <w:tblPr>
        <w:tblW w:w="10205" w:type="dxa"/>
        <w:jc w:val="left"/>
        <w:tblInd w:w="0" w:type="dxa"/>
        <w:tblCellMar>
          <w:top w:w="28" w:type="dxa"/>
          <w:left w:w="28" w:type="dxa"/>
          <w:bottom w:w="28" w:type="dxa"/>
          <w:right w:w="28" w:type="dxa"/>
        </w:tblCellMar>
      </w:tblPr>
      <w:tblGrid>
        <w:gridCol w:w="799"/>
        <w:gridCol w:w="699"/>
        <w:gridCol w:w="706"/>
        <w:gridCol w:w="109"/>
        <w:gridCol w:w="109"/>
        <w:gridCol w:w="109"/>
        <w:gridCol w:w="170"/>
        <w:gridCol w:w="170"/>
        <w:gridCol w:w="171"/>
        <w:gridCol w:w="109"/>
        <w:gridCol w:w="109"/>
        <w:gridCol w:w="109"/>
        <w:gridCol w:w="380"/>
        <w:gridCol w:w="380"/>
        <w:gridCol w:w="381"/>
        <w:gridCol w:w="109"/>
        <w:gridCol w:w="109"/>
        <w:gridCol w:w="109"/>
        <w:gridCol w:w="984"/>
        <w:gridCol w:w="984"/>
        <w:gridCol w:w="987"/>
        <w:gridCol w:w="109"/>
        <w:gridCol w:w="109"/>
        <w:gridCol w:w="109"/>
        <w:gridCol w:w="610"/>
        <w:gridCol w:w="610"/>
        <w:gridCol w:w="866"/>
      </w:tblGrid>
      <w:tr>
        <w:trPr/>
        <w:tc>
          <w:tcPr>
            <w:tcW w:w="7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Nominating and Corporate Governance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Research and Development</w:t>
            </w:r>
          </w:p>
        </w:tc>
      </w:tr>
      <w:tr>
        <w:trPr/>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C. Barabe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Chair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Carrie S. Cox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Nishan de Silva, M.D., M.B.A.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Scott D. Myers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Chair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Aymeric Sallin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A. Springer,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Patrick Zenner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Chair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20" w:after="12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9855"/>
                <wp:effectExtent l="0" t="0" r="0" b="0"/>
                <wp:wrapNone/>
                <wp:docPr id="27" name="Frame24"/>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21</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Committee’s responsibilities include: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appointing, approving the compensation of, and assessing the independence of our independent registered public accounting firm;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overseeing the work of our independent registered public accounting firm, including through the receipt and consideration of reports from such firm;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reviewing and discussing with management and the independent registered public accounting firm our annual and quarterly financial statements and related disclosures;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monitoring our internal control over financial reporting, disclosure controls and procedures and code of business conduct and ethics;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discussing our risk management policies;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establishing policies regarding hiring employees from the independent registered public accounting firm and procedures for the receipt and retention of accounting related complaints and concerns;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meeting independently with our internal auditing staff, if any, independent registered public accounting firm and management;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reviewing and approving or ratifying any related person transactions; and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preparing the audit committee report required by the SEC rules (which is included on page </w:t>
      </w:r>
      <w:hyperlink w:anchor="ib79c18165ffd466592c8480f153786df_37">
        <w:r>
          <w:rPr>
            <w:rStyle w:val="InternetLink"/>
            <w:rFonts w:ascii="Times New Roman;sans-serif" w:hAnsi="Times New Roman;sans-serif"/>
            <w:b w:val="false"/>
            <w:strike w:val="false"/>
            <w:dstrike w:val="false"/>
            <w:color w:val="000000"/>
            <w:sz w:val="20"/>
            <w:u w:val="none"/>
            <w:effect w:val="none"/>
          </w:rPr>
          <w:t>15</w:t>
        </w:r>
      </w:hyperlink>
      <w:r>
        <w:rPr>
          <w:rFonts w:ascii="Times New Roman;sans-serif" w:hAnsi="Times New Roman;sans-serif"/>
          <w:b w:val="false"/>
          <w:color w:val="000000"/>
          <w:sz w:val="20"/>
        </w:rPr>
        <w:t xml:space="preserve"> of this proxy statement).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Audit Committee charter is available on the “Corporate Governance” section of the “Investors &amp; Media” page of our website at www.selectabio.com. The members of the Audit Committee are Timothy C. Barabe, Carrie S. Cox, Nishan de Silva, M.D., M.B.A, and Patrick Zenner. Mr. Barabe serves as the Chairman of the Audit Committee. Our Board has affirmatively determined that each of Mr. Barabe, Ms. Cox, Dr. de Silva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the Audit Committee met eight times.</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responsible for assisting the Board in the discharge of its responsibilities relating to the compensation of our executive officers. In fulfilling its purpose, our Compensation Committee has the following principal duties: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annually reviewing and approving corporate goals and objectives relevant to CEO compensation;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reviewing and approving, or making recommendations to our Board with respect to, the compensation of our CEO and other executive officers;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overseeing an evaluation of our senior executives;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administering our cash and equity incentive plans;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reviewing and making recommendations to our Board with respect to director compensation;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reviewing and discussing annually with management our “Compensation Discussion and Analysis”; and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preparing the annual compensation committee report, if required by SEC rules.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the authority to retain or obtain the advice of compensation consultants, legal counsel and other advisors to assist it in carrying out its responsibilities.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9855"/>
                <wp:effectExtent l="0" t="0" r="0" b="0"/>
                <wp:wrapNone/>
                <wp:docPr id="28" name="Frame25"/>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22</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including the Chief Executive Officer, and to receive input and advice. The Compensation Committee has considered the adviser independence factors required under SEC rules as they relate to Compensia and does not believe Compensia’s work in 2022 raised a conflict of interest.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members of the Compensation Committee are Carrie S. Cox, Scott D. Myers, and Aymeric Sallin. Scott D. Myers serves as Chairman of the Compensation Committee. Our Board has determined that each of Ms. Cox, Mr. Myers, Mr. Sallin and our former director and Compensation Committee member Göran Ando, M.D., is independent under the applicable SEC and Nasdaq rules, including the heightened standard for independence specific to members of a compensation committee, and is a “non</w:t>
        <w:noBreakHyphen/>
        <w:t>employee director” as defined in Rule 16b</w:t>
        <w:noBreakHyphen/>
        <w:t xml:space="preserve">3 promulgated under the Exchange Act.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the Compensation Committee met eight times.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9855"/>
                <wp:effectExtent l="0" t="0" r="0" b="0"/>
                <wp:wrapNone/>
                <wp:docPr id="29" name="Frame26"/>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23</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Committee’s responsibilities include: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identifying individuals qualified to become board members;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recommending to our Board the persons to be nominated for election as directors and to each board committee;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reviewing and making recommendations to our Board with respect to management succession planning;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developing and recommending to our Board corporate governance principles; and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overseeing a periodic assessment of our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charter is available on the “Corporate Governance” section of the “Investors &amp; Media” page of our website at www.selectabio.com. The members of the Nominating and Corporate Governance Committee are Scott D. Myers, Timothy A. Springer, Ph.D, and Patrick Zenner. Mr. Zenner serves as the Chairman of the Nominating and Corporate Governance Committee. Our Board has determined that Mr. Myers, Dr. Springer and Mr. Zenner are independent under the applicable Nasdaq rules.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the Nominating and Corporate Governance Committee met four times.</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Research and Development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Research and Development Committee of the Board (the “Research and Development Committee”)’s responsibilities include: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reviewing the Company’s research and development strategy as well as the Company’s long-term strategic goals and objectives, and monitoring the Company’s progress in achieving such goals and objectives;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advising the Board on scientific, technological, and research and development matters, and on strategic issues associated with the Company’s product pipeline and technology;</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reviewing and discussing the effectiveness and competitiveness of the Company’s position and strategies in relation to emerging scientific and technology trends and activities relevant to the success of the Company’s product pipeline and technology;</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reviewing the quality, direction, and competitiveness of the Company’s research and development programs, and product pipeline;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reviewing the organization, resources and capabilities of the Company’s research, analytical, CMC, and clinical departments;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reviewing strategies and approaches to acquiring, in licensing, out licensing, and maintaining innovation and technology positions;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advising the Board on the scientific, medical, and technical aspects of significant acquisitions, in licenses, out licenses, and other strategic business development transactions;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providing counsel and know-how to the Company’s management in the area of research and development and the Company’s product pipeline and technology;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carrying out other tasks or providing other advice related to the Company’s product pipeline and technology as may be requested by the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Research and Development Committee charter is available on the “Corporate Governance” section of the “Investors &amp; Media” page of our website at www.selectabio.com. The members of the Research and Development Committee are Timothy A. Springer, Ph.D. and Nishan de Silva, M.D., M.B.A. The Committee does not currently have a chair. Our Board has determined that Dr. Springer, Dr. de Silva and our former director and Chairman of the Research and Development Committee Göran Ando, M.D. are independent under the applicable Nasdaq rules.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Research and Development Committee met three times in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9855"/>
                <wp:effectExtent l="0" t="0" r="0" b="0"/>
                <wp:wrapNone/>
                <wp:docPr id="30" name="Frame27"/>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24</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is intended to assist our stockholders in understanding our executive compensation program by providing an overview of our executive compensation-related policies, practices, and decisions for 2022.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2022, and who we refer to as our “Named Executive Officers.” For 2022, our Named Executive Officers were: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Carsten Brunn, Ph.D., our President and Chief Executive Officer (our “CEO”);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Blaine Davis, our Chief Financial Officer (our “CFO”);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Kevin Tan, our former Chief Financial Officer, who served as our principal financial and accounting officer during portions of 2022;</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Peter G. Traber, M.D., our Chief Medical Officer;</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Takashi Kei Kishimoto, Ph.D., our Chief Scientific Officer;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Lloyd Johnston, Ph.D., our Chief Operations Officer.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2022.</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leveraging our ImmTOR® platform to develop tolerogenic therapies designed to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We have several proprietary and partnered programs in our pipeline focused on enzyme therapies, gene therapies, and autoimmune diseases.</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2022 Business Highlights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Progressed the DISSOLVE Phase 3 clinical trial program for SEL-212 for the potential treatment of chronic refractory gout toward completion. After year end, in 2023, announced positive results from both trials in the DISSOLVE program.</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Continued to develop our Xork immunoglobulin G, or IgG, protease. After year end, announced Exclusive Licensing and Development Agreement for Xork for treatment of pompe disease with Audentes Therapeutics, Inc. (now known as Astellas Gene Therapies), the gene therapy division of Astellas Pharma Inc., triggering a $10 million upfront payment.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Received $16 million in development milestone payments from licensed partners and collaborators.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 April 2022, raised $36.9 million in net proceeds through an SEC-registered securities offering.</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Initiated Phase 1/2 clinical trial for SEL-302, Selecta’s wholly-owned gene therapy in combination with ImmTOR for the treatment of methylmalonic acidemia, following removal of FDA clinical hold.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Selected clinical candidates for IL-2 and IgA protease programs.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Strengthened executive team with addition of Blaine Davis as Chief Financial Officer.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Operated within internal budget for 2022.</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Participated in several healthcare industry conferences.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Had annualized voluntary turnover of employees of 10%, below industry average of 18%.</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Hired new head of Information Technology and implemented technology solutions to improve employee efficiencies and enhance company technology security.</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9855"/>
                <wp:effectExtent l="0" t="0" r="0" b="0"/>
                <wp:wrapNone/>
                <wp:docPr id="31" name="Frame28"/>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25</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Raised $2.1 million in net proceeds through use of at-the-market offering facility with SVB Securities LLC.</w:t>
      </w:r>
    </w:p>
    <w:p>
      <w:pPr>
        <w:pStyle w:val="TextBody"/>
        <w:spacing w:before="0" w:after="0"/>
        <w:rPr/>
      </w:pPr>
      <w:r>
        <w:rPr/>
      </w:r>
    </w:p>
    <w:p>
      <w:pPr>
        <w:pStyle w:val="TextBody"/>
        <w:spacing w:lineRule="auto" w:line="288" w:before="120" w:after="120"/>
        <w:ind w:left="0" w:right="0" w:firstLine="360"/>
        <w:rPr/>
      </w:pPr>
      <w:r>
        <w:rPr>
          <w:rFonts w:ascii="Times New Roman;sans-serif" w:hAnsi="Times New Roman;sans-serif"/>
          <w:b/>
          <w:i/>
          <w:color w:val="000000"/>
          <w:sz w:val="20"/>
        </w:rPr>
        <w:t>2022 Executive Compensation Highlights</w:t>
      </w:r>
      <w:r>
        <w:rPr>
          <w:color w:val="000000"/>
        </w:rPr>
        <w:t xml:space="preserv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Consistent with our performance and compensation philosophy, the Compensation Committee took the following compensation actions for our Named Executive Officers for 2022:</w:t>
      </w:r>
    </w:p>
    <w:tbl>
      <w:tblPr>
        <w:tblW w:w="10205" w:type="dxa"/>
        <w:jc w:val="center"/>
        <w:tblInd w:w="0" w:type="dxa"/>
        <w:tblCellMar>
          <w:top w:w="28" w:type="dxa"/>
          <w:left w:w="28" w:type="dxa"/>
          <w:bottom w:w="28" w:type="dxa"/>
          <w:right w:w="28" w:type="dxa"/>
        </w:tblCellMar>
      </w:tblPr>
      <w:tblGrid>
        <w:gridCol w:w="544"/>
        <w:gridCol w:w="448"/>
        <w:gridCol w:w="449"/>
        <w:gridCol w:w="535"/>
        <w:gridCol w:w="535"/>
        <w:gridCol w:w="537"/>
        <w:gridCol w:w="790"/>
        <w:gridCol w:w="790"/>
        <w:gridCol w:w="793"/>
        <w:gridCol w:w="604"/>
        <w:gridCol w:w="604"/>
        <w:gridCol w:w="606"/>
        <w:gridCol w:w="898"/>
        <w:gridCol w:w="898"/>
        <w:gridCol w:w="901"/>
        <w:gridCol w:w="109"/>
        <w:gridCol w:w="164"/>
      </w:tblGrid>
      <w:tr>
        <w:trPr/>
        <w:tc>
          <w:tcPr>
            <w:tcW w:w="54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16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Base Salary Increase from 2021</w:t>
            </w:r>
          </w:p>
        </w:tc>
        <w:tc>
          <w:tcPr>
            <w:tcW w:w="23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Annual Bonus Target as a Percentage of Base Salary</w:t>
            </w:r>
          </w:p>
        </w:tc>
        <w:tc>
          <w:tcPr>
            <w:tcW w:w="18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Annual Time-Based Stock Options</w:t>
              <w:br/>
              <w:t>(# of shares)</w:t>
            </w:r>
          </w:p>
        </w:tc>
        <w:tc>
          <w:tcPr>
            <w:tcW w:w="26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Annual Time-Based Restricted Stock Units Award (# of shares)</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Carsten Brunn, Ph.D.</w:t>
            </w:r>
          </w:p>
        </w:tc>
        <w:tc>
          <w:tcPr>
            <w:tcW w:w="16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23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8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1,056,100</w:t>
            </w:r>
          </w:p>
        </w:tc>
        <w:tc>
          <w:tcPr>
            <w:tcW w:w="26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226,300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Blaine Davis </w:t>
            </w:r>
            <w:r>
              <w:rPr>
                <w:rFonts w:ascii="Times New Roman;sans-serif" w:hAnsi="Times New Roman;sans-serif"/>
                <w:b w:val="false"/>
                <w:color w:val="000000"/>
                <w:sz w:val="10"/>
              </w:rPr>
              <w:t>(1)</w:t>
            </w:r>
          </w:p>
        </w:tc>
        <w:tc>
          <w:tcPr>
            <w:tcW w:w="16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6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Kevin Tan</w:t>
            </w:r>
            <w:r>
              <w:rPr>
                <w:rFonts w:ascii="Times New Roman;sans-serif" w:hAnsi="Times New Roman;sans-serif"/>
                <w:b w:val="false"/>
                <w:color w:val="000000"/>
                <w:sz w:val="10"/>
              </w:rPr>
              <w:t>(2)</w:t>
            </w:r>
          </w:p>
        </w:tc>
        <w:tc>
          <w:tcPr>
            <w:tcW w:w="16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8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340,000</w:t>
            </w:r>
          </w:p>
        </w:tc>
        <w:tc>
          <w:tcPr>
            <w:tcW w:w="26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72,000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Peter G. Traber, M.D.</w:t>
            </w:r>
          </w:p>
        </w:tc>
        <w:tc>
          <w:tcPr>
            <w:tcW w:w="16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23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8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415,900</w:t>
            </w:r>
          </w:p>
        </w:tc>
        <w:tc>
          <w:tcPr>
            <w:tcW w:w="26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90,200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Takashi Kei Kishimoto, Ph.D.</w:t>
            </w:r>
          </w:p>
        </w:tc>
        <w:tc>
          <w:tcPr>
            <w:tcW w:w="16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23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8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340,000</w:t>
            </w:r>
          </w:p>
        </w:tc>
        <w:tc>
          <w:tcPr>
            <w:tcW w:w="26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72,000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Lloyd Johnston, Ph.D.</w:t>
            </w:r>
          </w:p>
        </w:tc>
        <w:tc>
          <w:tcPr>
            <w:tcW w:w="160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237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81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340,000</w:t>
            </w:r>
          </w:p>
        </w:tc>
        <w:tc>
          <w:tcPr>
            <w:tcW w:w="269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72,000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(1) Mr. Davis was appointed Chief Financial Officer on November 28, 2022, and per the terms of his employment agreement was not eligible for a base salary increase, annual time-based stock options, or annual time-based restricted stock unit awards in 2022. See “— Compensation Elements — Other Equity Grants” below for information regarding equity grants issued to Mr. Davis in connection with his hiring.</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(2) Mr. Tan forfeited options to purchase 255,000 shares of our Common Stock and 54,000 restricted stock units granted in 2022 upon his departure in December 2022.</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Emphasis on Variable and Performance-Based Compensation</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2022, the majority of the target total direct compensation of our CEO consisted of variable pay, including cash awarded under our annual bonus plan and long-term incentives in the form of equity awards for which value is likely to be variable. In particular, 17.5% of our CEO’s 2022 target total direct compensation was delivered in stock options, which derive their value from potential increases in our stock price. Fixed pay, primarily consisting of base salary, made up only 13.7% of our CEO’s target total direct compensation in 2022, while variable pay, consisting of annual incentives in the form of an annual bonus program and long-term incentives in the form of equity awards, made up 86.3%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2022:</w:t>
      </w:r>
    </w:p>
    <w:tbl>
      <w:tblPr>
        <w:tblW w:w="10205" w:type="dxa"/>
        <w:jc w:val="center"/>
        <w:tblInd w:w="0" w:type="dxa"/>
        <w:tblCellMar>
          <w:top w:w="28" w:type="dxa"/>
          <w:left w:w="28" w:type="dxa"/>
          <w:bottom w:w="28" w:type="dxa"/>
          <w:right w:w="28" w:type="dxa"/>
        </w:tblCellMar>
      </w:tblPr>
      <w:tblGrid>
        <w:gridCol w:w="767"/>
        <w:gridCol w:w="671"/>
        <w:gridCol w:w="673"/>
        <w:gridCol w:w="871"/>
        <w:gridCol w:w="867"/>
        <w:gridCol w:w="881"/>
        <w:gridCol w:w="449"/>
        <w:gridCol w:w="439"/>
        <w:gridCol w:w="435"/>
        <w:gridCol w:w="647"/>
        <w:gridCol w:w="647"/>
        <w:gridCol w:w="649"/>
        <w:gridCol w:w="643"/>
        <w:gridCol w:w="643"/>
        <w:gridCol w:w="923"/>
      </w:tblGrid>
      <w:tr>
        <w:trPr/>
        <w:tc>
          <w:tcPr>
            <w:tcW w:w="767"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r>
      <w:tr>
        <w:trPr/>
        <w:tc>
          <w:tcPr>
            <w:tcW w:w="2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2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13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Pay (2022)</w:t>
            </w:r>
          </w:p>
        </w:tc>
        <w:tc>
          <w:tcPr>
            <w:tcW w:w="19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Pay (Fixed)</w:t>
            </w:r>
          </w:p>
        </w:tc>
        <w:tc>
          <w:tcPr>
            <w:tcW w:w="22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Pay (Variable)</w:t>
            </w:r>
          </w:p>
        </w:tc>
      </w:tr>
      <w:tr>
        <w:trPr/>
        <w:tc>
          <w:tcPr>
            <w:tcW w:w="2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Carsten Brunn, Ph.D.</w:t>
            </w:r>
          </w:p>
        </w:tc>
        <w:tc>
          <w:tcPr>
            <w:tcW w:w="2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President and Chief Executive Officer</w:t>
            </w:r>
          </w:p>
        </w:tc>
        <w:tc>
          <w:tcPr>
            <w:tcW w:w="13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$4,292,242</w:t>
            </w:r>
          </w:p>
        </w:tc>
        <w:tc>
          <w:tcPr>
            <w:tcW w:w="19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22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86.3%</w:t>
            </w:r>
          </w:p>
        </w:tc>
      </w:tr>
      <w:tr>
        <w:trPr/>
        <w:tc>
          <w:tcPr>
            <w:tcW w:w="2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Blaine Davis</w:t>
            </w:r>
          </w:p>
        </w:tc>
        <w:tc>
          <w:tcPr>
            <w:tcW w:w="2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c>
          <w:tcPr>
            <w:tcW w:w="13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$1,263,706</w:t>
            </w:r>
          </w:p>
        </w:tc>
        <w:tc>
          <w:tcPr>
            <w:tcW w:w="19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22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97.3%</w:t>
            </w:r>
          </w:p>
        </w:tc>
      </w:tr>
      <w:tr>
        <w:trPr/>
        <w:tc>
          <w:tcPr>
            <w:tcW w:w="2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Kevin Tan</w:t>
            </w:r>
            <w:r>
              <w:rPr>
                <w:rFonts w:ascii="Times New Roman;sans-serif" w:hAnsi="Times New Roman;sans-serif"/>
                <w:b w:val="false"/>
                <w:color w:val="000000"/>
                <w:sz w:val="10"/>
              </w:rPr>
              <w:t>(1)</w:t>
            </w:r>
          </w:p>
        </w:tc>
        <w:tc>
          <w:tcPr>
            <w:tcW w:w="2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Former Chief Financial Officer</w:t>
            </w:r>
          </w:p>
        </w:tc>
        <w:tc>
          <w:tcPr>
            <w:tcW w:w="13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$1,688,429</w:t>
            </w:r>
          </w:p>
        </w:tc>
        <w:tc>
          <w:tcPr>
            <w:tcW w:w="19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25.2%</w:t>
            </w:r>
          </w:p>
        </w:tc>
        <w:tc>
          <w:tcPr>
            <w:tcW w:w="22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74.8%</w:t>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2619"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2209"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Peter G. Traber, M.D.</w:t>
            </w:r>
          </w:p>
        </w:tc>
        <w:tc>
          <w:tcPr>
            <w:tcW w:w="2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Chief Medical Officer</w:t>
            </w:r>
          </w:p>
        </w:tc>
        <w:tc>
          <w:tcPr>
            <w:tcW w:w="13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$2,003,983</w:t>
            </w:r>
          </w:p>
        </w:tc>
        <w:tc>
          <w:tcPr>
            <w:tcW w:w="19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22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77.3%</w:t>
            </w:r>
          </w:p>
        </w:tc>
      </w:tr>
      <w:tr>
        <w:trPr/>
        <w:tc>
          <w:tcPr>
            <w:tcW w:w="2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Takashi Kei Kishimoto, Ph.D.</w:t>
            </w:r>
          </w:p>
        </w:tc>
        <w:tc>
          <w:tcPr>
            <w:tcW w:w="2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Chief Scientific Officer</w:t>
            </w:r>
          </w:p>
        </w:tc>
        <w:tc>
          <w:tcPr>
            <w:tcW w:w="13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$1,684,353</w:t>
            </w:r>
          </w:p>
        </w:tc>
        <w:tc>
          <w:tcPr>
            <w:tcW w:w="19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24.9%</w:t>
            </w:r>
          </w:p>
        </w:tc>
        <w:tc>
          <w:tcPr>
            <w:tcW w:w="22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75.1%</w:t>
            </w:r>
          </w:p>
        </w:tc>
      </w:tr>
      <w:tr>
        <w:trPr/>
        <w:tc>
          <w:tcPr>
            <w:tcW w:w="21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Lloyd Johnston, Ph.D.</w:t>
            </w:r>
          </w:p>
        </w:tc>
        <w:tc>
          <w:tcPr>
            <w:tcW w:w="2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Chief Operations Officer</w:t>
            </w:r>
          </w:p>
        </w:tc>
        <w:tc>
          <w:tcPr>
            <w:tcW w:w="13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$1,674,359</w:t>
            </w:r>
          </w:p>
        </w:tc>
        <w:tc>
          <w:tcPr>
            <w:tcW w:w="194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24.7%</w:t>
            </w:r>
          </w:p>
        </w:tc>
        <w:tc>
          <w:tcPr>
            <w:tcW w:w="220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75.3%</w:t>
            </w:r>
          </w:p>
        </w:tc>
      </w:tr>
    </w:tbl>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(1) This row represents Mr. Tan’s total pay at target. Upon his departure in December 2022, Mr. Tan forfeited his 2022 annual target bonus opportunity of $164,000 as well as options to purchase 255,000 shares of our Common Stock and 54,000 restricted stock units that were granted earlier in 2022. However, as noted below, Mr. Tan was paid an amount of $164,000 as a term of his separation agreement, which was approved separately from the 2022 Bonus Plan by the Compensation Committee.</w:t>
      </w:r>
    </w:p>
    <w:p>
      <w:pPr>
        <w:pStyle w:val="TextBody"/>
        <w:spacing w:lineRule="auto" w:line="288"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Executive Compensation Practices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endeavor to maintain sound executive compensation policies and practices, including compensation-related corporate governance standards, consistent with our executive compensation philosophy. During 2022,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9855"/>
                <wp:effectExtent l="0" t="0" r="0" b="0"/>
                <wp:wrapNone/>
                <wp:docPr id="32" name="Frame29"/>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26</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We Do</w:t>
      </w:r>
    </w:p>
    <w:tbl>
      <w:tblPr>
        <w:tblW w:w="10205" w:type="dxa"/>
        <w:jc w:val="left"/>
        <w:tblInd w:w="0" w:type="dxa"/>
        <w:tblCellMar>
          <w:top w:w="28" w:type="dxa"/>
          <w:left w:w="28" w:type="dxa"/>
          <w:bottom w:w="28" w:type="dxa"/>
          <w:right w:w="28" w:type="dxa"/>
        </w:tblCellMar>
      </w:tblPr>
      <w:tblGrid>
        <w:gridCol w:w="124"/>
        <w:gridCol w:w="109"/>
        <w:gridCol w:w="109"/>
        <w:gridCol w:w="3210"/>
        <w:gridCol w:w="2749"/>
        <w:gridCol w:w="39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0" w:type="dxa"/>
            <w:tcBorders/>
            <w:shd w:fill="auto" w:val="clear"/>
            <w:vAlign w:val="center"/>
          </w:tcPr>
          <w:p>
            <w:pPr>
              <w:pStyle w:val="TableContents"/>
              <w:spacing w:before="0" w:after="283"/>
              <w:rPr>
                <w:sz w:val="4"/>
                <w:szCs w:val="4"/>
              </w:rPr>
            </w:pPr>
            <w:r>
              <w:rPr>
                <w:sz w:val="4"/>
                <w:szCs w:val="4"/>
              </w:rPr>
            </w:r>
          </w:p>
        </w:tc>
        <w:tc>
          <w:tcPr>
            <w:tcW w:w="2749" w:type="dxa"/>
            <w:tcBorders/>
            <w:shd w:fill="auto" w:val="clear"/>
            <w:vAlign w:val="center"/>
          </w:tcPr>
          <w:p>
            <w:pPr>
              <w:pStyle w:val="TableContents"/>
              <w:spacing w:before="0" w:after="283"/>
              <w:rPr>
                <w:sz w:val="4"/>
                <w:szCs w:val="4"/>
              </w:rPr>
            </w:pPr>
            <w:r>
              <w:rPr>
                <w:sz w:val="4"/>
                <w:szCs w:val="4"/>
              </w:rPr>
            </w:r>
          </w:p>
        </w:tc>
        <w:tc>
          <w:tcPr>
            <w:tcW w:w="39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i/>
                <w:color w:val="000000"/>
                <w:sz w:val="20"/>
              </w:rPr>
              <w:t>Compensation Committee Independence</w:t>
            </w:r>
            <w:r>
              <w:rPr>
                <w:color w:val="000000"/>
              </w:rPr>
              <w:t xml:space="preserve"> – </w:t>
            </w:r>
            <w:r>
              <w:rPr>
                <w:rFonts w:ascii="Times New Roman;sans-serif" w:hAnsi="Times New Roman;sans-serif"/>
                <w:b w:val="false"/>
                <w:color w:val="000000"/>
                <w:sz w:val="20"/>
              </w:rPr>
              <w:t>Our Board maintains a Compensation Committee comprised solely of independent directors who have established effective means for communicating with our stockholders regarding their executive compensation ideas and concerns.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Compensation Committee Advisor Independence</w:t>
            </w:r>
            <w:r>
              <w:rPr>
                <w:color w:val="000000"/>
              </w:rPr>
              <w:t xml:space="preserve"> – </w:t>
            </w:r>
            <w:r>
              <w:rPr>
                <w:rFonts w:ascii="Times New Roman;sans-serif" w:hAnsi="Times New Roman;sans-serif"/>
                <w:b w:val="false"/>
                <w:color w:val="000000"/>
                <w:sz w:val="20"/>
              </w:rPr>
              <w:t>The Compensation Committee engages and retains its own advisors. In 2022, the Compensation Committee engaged Compensia as compensation consultant to assist with its responsibilities. Compensia performs no consulting or other services for the Company.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Annual Compensation Review</w:t>
            </w:r>
            <w:r>
              <w:rPr>
                <w:color w:val="000000"/>
              </w:rPr>
              <w:t xml:space="preserve"> – </w:t>
            </w:r>
            <w:r>
              <w:rPr>
                <w:rFonts w:ascii="Times New Roman;sans-serif" w:hAnsi="Times New Roman;sans-serif"/>
                <w:b w:val="false"/>
                <w:color w:val="000000"/>
                <w:sz w:val="20"/>
              </w:rPr>
              <w:t>The Compensation Committee conducts an annual review of our executive compensation philosophy and strategy, including a review of the compensation peer group used for comparative purposes.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 xml:space="preserve">Compensation-Related Risk Assessment </w:t>
            </w:r>
            <w:r>
              <w:rPr>
                <w:color w:val="000000"/>
              </w:rPr>
              <w:t xml:space="preserve">– </w:t>
            </w:r>
            <w:r>
              <w:rPr>
                <w:rFonts w:ascii="Times New Roman;sans-serif" w:hAnsi="Times New Roman;sans-serif"/>
                <w:b w:val="false"/>
                <w:color w:val="000000"/>
                <w:sz w:val="20"/>
              </w:rPr>
              <w:t xml:space="preserve">We conduct an annual evaluation of our compensation programs, policies, and practices to ensure that they reflect an appropriate level of risk-taking but do not encourage our employees to take excessive or unnecessary risks that could have a material adverse impact on our Company.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Emphasize Performance-based Incentive Compensation</w:t>
            </w:r>
            <w:r>
              <w:rPr>
                <w:color w:val="000000"/>
              </w:rPr>
              <w:t xml:space="preserve"> – </w:t>
            </w:r>
            <w:r>
              <w:rPr>
                <w:rFonts w:ascii="Times New Roman;sans-serif" w:hAnsi="Times New Roman;sans-serif"/>
                <w:b w:val="false"/>
                <w:color w:val="000000"/>
                <w:sz w:val="20"/>
              </w:rPr>
              <w:t>The Compensation Committee designs our executive compensation program to use performance-based long-term incentive compensation awards to align of the long-term interests of our executive officers with the interests of our stockholders.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Emphasize Long-Term Equity Compensation</w:t>
            </w:r>
            <w:r>
              <w:rPr>
                <w:color w:val="000000"/>
              </w:rPr>
              <w:t xml:space="preserve"> – </w:t>
            </w:r>
            <w:r>
              <w:rPr>
                <w:rFonts w:ascii="Times New Roman;sans-serif" w:hAnsi="Times New Roman;sans-serif"/>
                <w:b w:val="false"/>
                <w:color w:val="000000"/>
                <w:sz w:val="20"/>
              </w:rPr>
              <w:t>The Compensation Committee uses equity awards to deliver long-term incentive compensation opportunities to our executive officers, including our Named Executive Officers. These equity awards vest or may be earned over multi-year periods, which we believe better serves our long-term value creation goals and retention objectives.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Limited Executive Perquisites</w:t>
            </w:r>
            <w:r>
              <w:rPr>
                <w:color w:val="000000"/>
              </w:rPr>
              <w:t xml:space="preserve"> – </w:t>
            </w:r>
            <w:r>
              <w:rPr>
                <w:rFonts w:ascii="Times New Roman;sans-serif" w:hAnsi="Times New Roman;sans-serif"/>
                <w:b w:val="false"/>
                <w:color w:val="000000"/>
                <w:sz w:val="20"/>
              </w:rPr>
              <w:t xml:space="preserve">We provide only modest amounts of perquisites or other personal benefits that serve a sound business purpose to the Named Executive Officers. In addition, the Named Executive Officers participate in our health and welfare benefit programs on the same terms as all of our employees.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color w:val="000000"/>
              </w:rPr>
              <w:t>“</w:t>
            </w:r>
            <w:r>
              <w:rPr>
                <w:rFonts w:ascii="Times New Roman;sans-serif" w:hAnsi="Times New Roman;sans-serif"/>
                <w:b/>
                <w:i/>
                <w:color w:val="000000"/>
                <w:sz w:val="20"/>
              </w:rPr>
              <w:t>Double-Trigger” Change in Control Arrangements</w:t>
            </w:r>
            <w:r>
              <w:rPr>
                <w:color w:val="000000"/>
              </w:rPr>
              <w:t xml:space="preserve"> – </w:t>
            </w:r>
            <w:r>
              <w:rPr>
                <w:rFonts w:ascii="Times New Roman;sans-serif" w:hAnsi="Times New Roman;sans-serif"/>
                <w:b w:val="false"/>
                <w:color w:val="000000"/>
                <w:sz w:val="20"/>
              </w:rPr>
              <w:t>The post-employment compensation arrangements for our executive officers, including our Named Executive Officers, are based on a “double-trigger” arrangement that provides for the receipt of payments and benefits only in the event of (i) a change in control of the Company and (ii) a qualifying termination of employment.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20"/>
              </w:rPr>
              <w:t>Executive Clawback Policy</w:t>
            </w:r>
            <w:r>
              <w:rPr>
                <w:color w:val="000000"/>
              </w:rPr>
              <w:t xml:space="preserve"> – </w:t>
            </w:r>
            <w:r>
              <w:rPr>
                <w:rFonts w:ascii="Times New Roman;sans-serif" w:hAnsi="Times New Roman;sans-serif"/>
                <w:b w:val="false"/>
                <w:color w:val="000000"/>
                <w:sz w:val="20"/>
              </w:rPr>
              <w:t>In 2022, we instituted an executive clawback policy which allows the Board to recover any incentive awards from any executive officer in the event the Company is required to file a restatement of its financial reporting as a result of that executive officer’s fraud or misconduct.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Reasonable Change-in-Control Arrangements</w:t>
            </w:r>
            <w:r>
              <w:rPr>
                <w:color w:val="000000"/>
              </w:rPr>
              <w:t xml:space="preserve"> – </w:t>
            </w:r>
            <w:r>
              <w:rPr>
                <w:rFonts w:ascii="Times New Roman;sans-serif" w:hAnsi="Times New Roman;sans-serif"/>
                <w:b w:val="false"/>
                <w:color w:val="000000"/>
                <w:sz w:val="20"/>
              </w:rPr>
              <w:t>We believe the post-employment compensation arrangements for our executive officers, including our Named Executive Officers, provide for amounts and multiples that are within reasonable market norms.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Prohibition on Hedging and Pledging</w:t>
            </w:r>
            <w:r>
              <w:rPr>
                <w:color w:val="000000"/>
              </w:rPr>
              <w:t xml:space="preserve"> – </w:t>
            </w:r>
            <w:r>
              <w:rPr>
                <w:rFonts w:ascii="Times New Roman;sans-serif" w:hAnsi="Times New Roman;sans-serif"/>
                <w:b w:val="false"/>
                <w:color w:val="000000"/>
                <w:sz w:val="20"/>
              </w:rPr>
              <w:t>Under our Insider Trading Policy, we prohibit our employees from hedging any Company securities and from pledging any Company securities as collateral for a loan.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Wingdings;sans-serif" w:hAnsi="Wingdings;sans-serif"/>
                <w:b/>
                <w:color w:val="000000"/>
                <w:sz w:val="20"/>
              </w:rPr>
            </w:pPr>
            <w:r>
              <w:rPr>
                <w:rFonts w:ascii="Wingdings;sans-serif" w:hAnsi="Wingdings;sans-serif"/>
                <w:b/>
                <w:color w:val="000000"/>
                <w:sz w:val="20"/>
              </w:rPr>
              <w:t>ü</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Succession Planning</w:t>
            </w:r>
            <w:r>
              <w:rPr>
                <w:color w:val="000000"/>
              </w:rPr>
              <w:t xml:space="preserve"> – </w:t>
            </w:r>
            <w:r>
              <w:rPr>
                <w:rFonts w:ascii="Times New Roman;sans-serif" w:hAnsi="Times New Roman;sans-serif"/>
                <w:b w:val="false"/>
                <w:color w:val="000000"/>
                <w:sz w:val="20"/>
              </w:rPr>
              <w:t>Our Board reviews the risks associated with our key executive positions on an annual basis so that we continue to evaluate an adequate succession strategy.</w:t>
            </w:r>
          </w:p>
        </w:tc>
      </w:tr>
    </w:tbl>
    <w:p>
      <w:pPr>
        <w:pStyle w:val="TextBody"/>
        <w:spacing w:lineRule="auto" w:line="288" w:before="120" w:after="120"/>
        <w:ind w:left="0" w:right="0" w:firstLine="3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We Do Not Do</w:t>
      </w:r>
    </w:p>
    <w:tbl>
      <w:tblPr>
        <w:tblW w:w="10205" w:type="dxa"/>
        <w:jc w:val="left"/>
        <w:tblInd w:w="0" w:type="dxa"/>
        <w:tblCellMar>
          <w:top w:w="28" w:type="dxa"/>
          <w:left w:w="28" w:type="dxa"/>
          <w:bottom w:w="28" w:type="dxa"/>
          <w:right w:w="28" w:type="dxa"/>
        </w:tblCellMar>
      </w:tblPr>
      <w:tblGrid>
        <w:gridCol w:w="124"/>
        <w:gridCol w:w="109"/>
        <w:gridCol w:w="109"/>
        <w:gridCol w:w="3066"/>
        <w:gridCol w:w="2813"/>
        <w:gridCol w:w="39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6" w:type="dxa"/>
            <w:tcBorders/>
            <w:shd w:fill="auto" w:val="clear"/>
            <w:vAlign w:val="center"/>
          </w:tcPr>
          <w:p>
            <w:pPr>
              <w:pStyle w:val="TableContents"/>
              <w:spacing w:before="0" w:after="283"/>
              <w:rPr>
                <w:sz w:val="4"/>
                <w:szCs w:val="4"/>
              </w:rPr>
            </w:pPr>
            <w:r>
              <w:rPr>
                <w:sz w:val="4"/>
                <w:szCs w:val="4"/>
              </w:rPr>
            </w:r>
          </w:p>
        </w:tc>
        <w:tc>
          <w:tcPr>
            <w:tcW w:w="2813" w:type="dxa"/>
            <w:tcBorders/>
            <w:shd w:fill="auto" w:val="clear"/>
            <w:vAlign w:val="center"/>
          </w:tcPr>
          <w:p>
            <w:pPr>
              <w:pStyle w:val="TableContents"/>
              <w:spacing w:before="0" w:after="283"/>
              <w:rPr>
                <w:sz w:val="4"/>
                <w:szCs w:val="4"/>
              </w:rPr>
            </w:pPr>
            <w:r>
              <w:rPr>
                <w:sz w:val="4"/>
                <w:szCs w:val="4"/>
              </w:rPr>
            </w:r>
          </w:p>
        </w:tc>
        <w:tc>
          <w:tcPr>
            <w:tcW w:w="39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Times New Roman;sans-serif" w:hAnsi="Times New Roman;sans-serif"/>
                <w:b/>
                <w:i/>
                <w:color w:val="000000"/>
                <w:sz w:val="20"/>
              </w:rPr>
            </w:pPr>
            <w:r>
              <w:rPr>
                <w:rFonts w:ascii="Times New Roman;sans-serif" w:hAnsi="Times New Roman;sans-serif"/>
                <w:b/>
                <w:i/>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Retirement Programs</w:t>
            </w:r>
            <w:r>
              <w:rPr>
                <w:color w:val="000000"/>
              </w:rPr>
              <w:t xml:space="preserve"> – </w:t>
            </w:r>
            <w:r>
              <w:rPr>
                <w:rFonts w:ascii="Times New Roman;sans-serif" w:hAnsi="Times New Roman;sans-serif"/>
                <w:b w:val="false"/>
                <w:color w:val="000000"/>
                <w:sz w:val="20"/>
              </w:rPr>
              <w:t>Other than our Section 401(k) plan generally available to all employees, we do not offer defined benefit or contribution retirement plans or arrangements or nonqualified deferred compensation plans or arrangements for our executive officers, including our Named Executive Officers.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rFonts w:ascii="Times New Roman;sans-serif" w:hAnsi="Times New Roman;sans-serif"/>
                <w:b/>
                <w:i/>
                <w:color w:val="000000"/>
                <w:sz w:val="20"/>
              </w:rPr>
            </w:pPr>
            <w:r>
              <w:rPr>
                <w:rFonts w:ascii="Times New Roman;sans-serif" w:hAnsi="Times New Roman;sans-serif"/>
                <w:b/>
                <w:i/>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No Dividends</w:t>
            </w:r>
            <w:r>
              <w:rPr>
                <w:color w:val="000000"/>
              </w:rPr>
              <w:t xml:space="preserve"> – </w:t>
            </w:r>
            <w:r>
              <w:rPr>
                <w:rFonts w:ascii="Times New Roman;sans-serif" w:hAnsi="Times New Roman;sans-serif"/>
                <w:b w:val="false"/>
                <w:color w:val="000000"/>
                <w:sz w:val="20"/>
              </w:rPr>
              <w:t>We do not pay dividends or dividend equivalents on unvested or unearned restricted stock units and performance-based restricted stock unit awards.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20" w:after="120"/>
              <w:jc w:val="left"/>
              <w:rPr/>
            </w:pPr>
            <w:r>
              <w:rPr>
                <w:rFonts w:ascii="Times New Roman;sans-serif" w:hAnsi="Times New Roman;sans-serif"/>
                <w:b/>
                <w:i/>
                <w:color w:val="000000"/>
                <w:sz w:val="20"/>
              </w:rPr>
              <w:t>No Stock Option Repricing</w:t>
            </w:r>
            <w:r>
              <w:rPr>
                <w:color w:val="000000"/>
              </w:rPr>
              <w:t xml:space="preserve"> – </w:t>
            </w:r>
            <w:r>
              <w:rPr>
                <w:rFonts w:ascii="Times New Roman;sans-serif" w:hAnsi="Times New Roman;sans-serif"/>
                <w:b w:val="false"/>
                <w:color w:val="000000"/>
                <w:sz w:val="20"/>
              </w:rPr>
              <w:t>We do not reprice options to purchase shares of our Common Stock without stockholder approval.</w:t>
            </w:r>
          </w:p>
        </w:tc>
      </w:tr>
    </w:tbl>
    <w:p>
      <w:pPr>
        <w:pStyle w:val="TextBody"/>
        <w:spacing w:lineRule="auto" w:line="288" w:before="120" w:after="12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Compensation Philosophy and Guiding Principles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9855"/>
                <wp:effectExtent l="0" t="0" r="0" b="0"/>
                <wp:wrapNone/>
                <wp:docPr id="33" name="Frame30"/>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27</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program, the Compensation Committee considers market and industry practices and its impact on our financial condition. While the Compensation Committee considers all of the factors in its deliberations, it places no formal weighting on any one factor.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we continue to grow, the Compensation Committee will evaluate our compensation philosophy and program objectives as circumstances require. At a minimum, we expect the Compensation Committee to review executive compensation annually.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Compensation-Setting Process </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factors considered by the Compensation Committee in determining the compensation of our executive officers, including our Named Executive Officers, for 2022 included:</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 xml:space="preserve">the recommendations of our CEO (except with respect to his own compensation) as described below; </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 xml:space="preserve">our corporate growth and other elements of financial and operational performance; </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our corporate and individual achievements against one or more short-term and long-term performance objectives;</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 xml:space="preserve">the individual performance of each executive officer against his management objectives; </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a review of the relevant competitive market analysis prepared by its compensation consultant (as described below);</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the expected future contribution of the individual executive officer;</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historical compensation awards we have made to our executive officers; and</w:t>
      </w:r>
    </w:p>
    <w:p>
      <w:pPr>
        <w:pStyle w:val="TextBody"/>
        <w:spacing w:lineRule="auto" w:line="288" w:before="120" w:after="120"/>
        <w:ind w:left="0" w:right="0" w:firstLine="360"/>
        <w:rPr/>
      </w:pPr>
      <w:r>
        <w:rPr>
          <w:color w:val="000000"/>
        </w:rPr>
        <w:t>•</w:t>
      </w:r>
      <w:r>
        <w:rPr>
          <w:rFonts w:ascii="Times New Roman;sans-serif" w:hAnsi="Times New Roman;sans-serif"/>
          <w:b w:val="false"/>
          <w:color w:val="000000"/>
          <w:sz w:val="20"/>
        </w:rPr>
        <w:t>internal pay equity based on the impact on our business and performance.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9855"/>
                <wp:effectExtent l="0" t="0" r="0" b="0"/>
                <wp:wrapNone/>
                <wp:docPr id="34" name="Frame31"/>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28</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Role of our CEO</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2022 were as follows: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developed and subsequently updated the compensation peer group;</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provided advice with respect to compensation best practices and market trends for executive officers and members of our Board;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conducted an analysis of the levels of overall compensation and each element of compensation for of our executive officers and non-executive employees;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conducted an analysis of the levels of overall compensation and each element of compensation for the members of our Board;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provided </w:t>
      </w:r>
      <w:r>
        <w:rPr>
          <w:rFonts w:ascii="Times New Roman;sans-serif" w:hAnsi="Times New Roman;sans-serif"/>
          <w:b w:val="false"/>
          <w:i/>
          <w:color w:val="000000"/>
          <w:sz w:val="20"/>
        </w:rPr>
        <w:t>ad hoc</w:t>
      </w:r>
      <w:r>
        <w:rPr>
          <w:color w:val="000000"/>
        </w:rPr>
        <w:t xml:space="preserve"> </w:t>
      </w:r>
      <w:r>
        <w:rPr>
          <w:rFonts w:ascii="Times New Roman;sans-serif" w:hAnsi="Times New Roman;sans-serif"/>
          <w:b w:val="false"/>
          <w:color w:val="000000"/>
          <w:sz w:val="20"/>
        </w:rPr>
        <w:t>advice and support throughout the year.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2022, Compensia met with various executive officers to collect data and obtain management’s perspective on various executive compensation proposals.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Compensia has not provided any other services to us nor received any compensation other than with respect to the services described above.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9855"/>
                <wp:effectExtent l="0" t="0" r="0" b="0"/>
                <wp:wrapNone/>
                <wp:docPr id="35" name="Frame32"/>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29</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Competitive Positioning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 </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Peer Group</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company’s stage of clinical development;</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company’s area(s) of therapeutic focus;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company’s market capitalization;</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comparability of the company’s organizational complexities and growth attributes;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comparability of the company’s business focus and corporate strategy;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comparability of the company’s operational performance (for consistency with our strategy and future performance expectations).</w:t>
      </w:r>
    </w:p>
    <w:p>
      <w:pPr>
        <w:pStyle w:val="TextBody"/>
        <w:spacing w:lineRule="auto" w:line="288" w:before="120" w:after="120"/>
        <w:ind w:left="0" w:right="0" w:firstLine="360"/>
        <w:rPr/>
      </w:pPr>
      <w:r>
        <w:rPr>
          <w:rFonts w:ascii="Times New Roman;sans-serif" w:hAnsi="Times New Roman;sans-serif"/>
          <w:b w:val="false"/>
          <w:color w:val="000000"/>
          <w:sz w:val="20"/>
        </w:rPr>
        <w:t xml:space="preserve">Following this review, Compensia recommended to the Compensation Committee the following peer group to consist of 20 publicly traded biotechnology companies, which the Compensation Committee subsequently approved. The selected companies had market capitalizations ranging from </w:t>
      </w:r>
      <w:r>
        <w:rPr>
          <w:rFonts w:ascii="Times New Roman;sans-serif" w:hAnsi="Times New Roman;sans-serif"/>
          <w:b w:val="false"/>
          <w:color w:val="000000"/>
          <w:sz w:val="20"/>
          <w:highlight w:val="white"/>
        </w:rPr>
        <w:t>$50 million to $960 million, with a median of $255 million.</w:t>
      </w:r>
      <w:r>
        <w:rPr>
          <w:color w:val="000000"/>
        </w:rPr>
        <w:t xml:space="preserve"> </w:t>
      </w:r>
      <w:r>
        <w:rPr>
          <w:rFonts w:ascii="Times New Roman;sans-serif" w:hAnsi="Times New Roman;sans-serif"/>
          <w:b w:val="false"/>
          <w:color w:val="000000"/>
          <w:sz w:val="20"/>
        </w:rPr>
        <w:t>The companies comprising the updated compensation peer group were as follows:</w:t>
      </w:r>
    </w:p>
    <w:tbl>
      <w:tblPr>
        <w:tblW w:w="7282" w:type="dxa"/>
        <w:jc w:val="center"/>
        <w:tblInd w:w="0" w:type="dxa"/>
        <w:tblCellMar>
          <w:top w:w="28" w:type="dxa"/>
          <w:left w:w="28" w:type="dxa"/>
          <w:bottom w:w="28" w:type="dxa"/>
          <w:right w:w="28" w:type="dxa"/>
        </w:tblCellMar>
      </w:tblPr>
      <w:tblGrid>
        <w:gridCol w:w="847"/>
        <w:gridCol w:w="745"/>
        <w:gridCol w:w="747"/>
        <w:gridCol w:w="109"/>
        <w:gridCol w:w="109"/>
        <w:gridCol w:w="109"/>
        <w:gridCol w:w="749"/>
        <w:gridCol w:w="749"/>
        <w:gridCol w:w="752"/>
        <w:gridCol w:w="109"/>
        <w:gridCol w:w="109"/>
        <w:gridCol w:w="109"/>
        <w:gridCol w:w="596"/>
        <w:gridCol w:w="596"/>
        <w:gridCol w:w="847"/>
      </w:tblGrid>
      <w:tr>
        <w:trPr/>
        <w:tc>
          <w:tcPr>
            <w:tcW w:w="84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4D Molecular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Gritstone Bio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MeiraGTx</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Aldeyra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Homology Medicines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BioSciences</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Altimmune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Immunovant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Biosciences</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Inovio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SQZ Biotechnologies</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Atossa Therapeutics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Jounce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Syros Pharmaceuticals</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Cogent Biosciences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Lineage Cell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Taysha Gene Therapies</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Concert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Magenta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Compensation Elements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primary elements of our executive compensation programs are: (1) base salary, (2) annual cash bonus opportunities, and (3) long-term incentives in the form of equity awards, as described below: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9855"/>
                <wp:effectExtent l="0" t="0" r="0" b="0"/>
                <wp:wrapNone/>
                <wp:docPr id="36" name="Frame33"/>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30</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528"/>
        <w:gridCol w:w="465"/>
        <w:gridCol w:w="466"/>
        <w:gridCol w:w="1525"/>
        <w:gridCol w:w="1033"/>
        <w:gridCol w:w="1036"/>
        <w:gridCol w:w="1972"/>
        <w:gridCol w:w="1316"/>
        <w:gridCol w:w="1864"/>
      </w:tblGrid>
      <w:tr>
        <w:trPr/>
        <w:tc>
          <w:tcPr>
            <w:tcW w:w="52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r>
      <w:tr>
        <w:trPr/>
        <w:tc>
          <w:tcPr>
            <w:tcW w:w="14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 Element</w:t>
            </w:r>
          </w:p>
        </w:tc>
        <w:tc>
          <w:tcPr>
            <w:tcW w:w="35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What This Element Rewards</w:t>
            </w:r>
          </w:p>
        </w:tc>
        <w:tc>
          <w:tcPr>
            <w:tcW w:w="515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Purpose and Key Features of Element</w:t>
            </w:r>
          </w:p>
        </w:tc>
      </w:tr>
      <w:tr>
        <w:trPr/>
        <w:tc>
          <w:tcPr>
            <w:tcW w:w="14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c>
          <w:tcPr>
            <w:tcW w:w="35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performance, level of experience, expected future performance and contributions.</w:t>
            </w:r>
          </w:p>
        </w:tc>
        <w:tc>
          <w:tcPr>
            <w:tcW w:w="515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Provides competitive level of fixed compensation determined by the market value of the position, with actual base salaries established based on the facts and circumstances of each executive officer and each individual position.</w:t>
            </w:r>
          </w:p>
        </w:tc>
      </w:tr>
      <w:tr>
        <w:trPr/>
        <w:tc>
          <w:tcPr>
            <w:tcW w:w="14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cash bonuses</w:t>
            </w:r>
          </w:p>
        </w:tc>
        <w:tc>
          <w:tcPr>
            <w:tcW w:w="35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Achievement of pre-established corporate and individual performance objectives (for 2022, focused on the advancement of our pipeline, corporate strategy and business development, culture and engagement, and the company’s financials, as well as individual contributions and management objectives).</w:t>
            </w:r>
          </w:p>
        </w:tc>
        <w:tc>
          <w:tcPr>
            <w:tcW w:w="515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pPr>
            <w:r>
              <w:rPr>
                <w:rFonts w:ascii="Times New Roman;sans-serif" w:hAnsi="Times New Roman;sans-serif"/>
                <w:b w:val="false"/>
                <w:color w:val="000000"/>
                <w:sz w:val="20"/>
              </w:rPr>
              <w:t>Motivate executive officers to achieve certain corporate objectives and drive the company’s value.</w:t>
              <w:br/>
            </w:r>
            <w:r>
              <w:rPr>
                <w:rFonts w:ascii="Times New Roman;sans-serif" w:hAnsi="Times New Roman;sans-serif"/>
                <w:b w:val="false"/>
                <w:sz w:val="20"/>
              </w:rPr>
              <w:br/>
            </w:r>
            <w:r>
              <w:rPr>
                <w:rFonts w:ascii="Times New Roman;sans-serif" w:hAnsi="Times New Roman;sans-serif"/>
                <w:b w:val="false"/>
                <w:color w:val="000000"/>
                <w:sz w:val="20"/>
              </w:rPr>
              <w:t>Generally, performance levels are established to incent our executive officers to achieve or exceed performance objectives. For 2022, payouts for corporate performance objectives were not weighted individually, and the Compensation Committee had discretion to determine payouts based on overall achievement of the corporate goals as a group, taking into account overachievement on certain objectives, if applicable. Payouts for individual performance objectives could range from 0% to an undetermined percentage.</w:t>
            </w:r>
          </w:p>
        </w:tc>
      </w:tr>
      <w:tr>
        <w:trPr/>
        <w:tc>
          <w:tcPr>
            <w:tcW w:w="14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incentives/equity awards</w:t>
            </w:r>
          </w:p>
        </w:tc>
        <w:tc>
          <w:tcPr>
            <w:tcW w:w="35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Achievement of corporate and individual performance objectives designed to enhance long-term stockholder value and attract, retain, motivate, and reward executive officers over extended periods for achieving important corporate objectives. Time-based vesting requirements promote retention of highly-valued executive officers.</w:t>
            </w:r>
          </w:p>
        </w:tc>
        <w:tc>
          <w:tcPr>
            <w:tcW w:w="515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equity awards that vest over four years and provide a variable “at risk” pay opportunity. 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 and also provide retentive value to key employees.</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2022 under each of these elements. </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Thereafter, the Compensation Committee reviews the base salaries of our executive officers, including our Named Executive Officers, annually and makes adjustments to base salaries as it determines to be necessary or appropriate.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2022 were as follows: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9855"/>
                <wp:effectExtent l="0" t="0" r="0" b="0"/>
                <wp:wrapNone/>
                <wp:docPr id="37" name="Frame34"/>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31</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tbl>
      <w:tblPr>
        <w:tblW w:w="7797" w:type="dxa"/>
        <w:jc w:val="center"/>
        <w:tblInd w:w="0" w:type="dxa"/>
        <w:tblCellMar>
          <w:top w:w="28" w:type="dxa"/>
          <w:left w:w="28" w:type="dxa"/>
          <w:bottom w:w="28" w:type="dxa"/>
          <w:right w:w="28" w:type="dxa"/>
        </w:tblCellMar>
      </w:tblPr>
      <w:tblGrid>
        <w:gridCol w:w="913"/>
        <w:gridCol w:w="802"/>
        <w:gridCol w:w="805"/>
        <w:gridCol w:w="529"/>
        <w:gridCol w:w="529"/>
        <w:gridCol w:w="531"/>
        <w:gridCol w:w="529"/>
        <w:gridCol w:w="529"/>
        <w:gridCol w:w="531"/>
        <w:gridCol w:w="614"/>
        <w:gridCol w:w="614"/>
        <w:gridCol w:w="871"/>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2021 Base Salary</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 Base Salary</w:t>
            </w:r>
          </w:p>
        </w:tc>
        <w:tc>
          <w:tcPr>
            <w:tcW w:w="20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Adjustment</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$569,300</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$592,072</w:t>
            </w:r>
          </w:p>
        </w:tc>
        <w:tc>
          <w:tcPr>
            <w:tcW w:w="20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 xml:space="preserve">Blaine Davis </w:t>
            </w:r>
            <w:r>
              <w:rPr>
                <w:rFonts w:ascii="Times New Roman;sans-serif" w:hAnsi="Times New Roman;sans-serif"/>
                <w:b w:val="false"/>
                <w:color w:val="000000"/>
                <w:sz w:val="13"/>
              </w:rPr>
              <w:t xml:space="preserve">(1) </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$440,000</w:t>
            </w:r>
          </w:p>
        </w:tc>
        <w:tc>
          <w:tcPr>
            <w:tcW w:w="20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 xml:space="preserve">Kevin Tan </w:t>
            </w:r>
            <w:r>
              <w:rPr>
                <w:rFonts w:ascii="Times New Roman;sans-serif" w:hAnsi="Times New Roman;sans-serif"/>
                <w:b w:val="false"/>
                <w:color w:val="000000"/>
                <w:sz w:val="13"/>
              </w:rPr>
              <w:t>(1)</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$410,000</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$410,000</w:t>
            </w:r>
          </w:p>
        </w:tc>
        <w:tc>
          <w:tcPr>
            <w:tcW w:w="20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G. Traber, M.D.</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$440,000</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$458,920</w:t>
            </w:r>
          </w:p>
        </w:tc>
        <w:tc>
          <w:tcPr>
            <w:tcW w:w="20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Takashi Kei Kishimoto, Ph.D.</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$422,800</w:t>
            </w:r>
          </w:p>
        </w:tc>
        <w:tc>
          <w:tcPr>
            <w:tcW w:w="20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5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Lloyd Johnston, Ph.D.</w:t>
            </w:r>
          </w:p>
        </w:tc>
        <w:tc>
          <w:tcPr>
            <w:tcW w:w="158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58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$416,000</w:t>
            </w:r>
          </w:p>
        </w:tc>
        <w:tc>
          <w:tcPr>
            <w:tcW w:w="209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(1) Mr. Davis was appointed Chief Financial Officer, and Mr. Tan ceased serving as Chief Financial Officer, on November 28, 2022. </w:t>
      </w:r>
    </w:p>
    <w:p>
      <w:pPr>
        <w:pStyle w:val="TextBody"/>
        <w:spacing w:before="0" w:after="0"/>
        <w:rPr/>
      </w:pPr>
      <w:r>
        <w:rPr/>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Annual Cash Bonuses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Compensation Committee determined to award cash bonus opportunities to our executive officers, including our Named Executive Officers, pursuant to the cash bonus plan for 2022 (the “2022 Bonus Plan”). Under the 2022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2022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2022, the Compensation Committee did not exercise any such individual discretion in determining bonus payouts.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9855"/>
                <wp:effectExtent l="0" t="0" r="0" b="0"/>
                <wp:wrapNone/>
                <wp:docPr id="38" name="Frame35"/>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32</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Target Bonus Opportunities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2022, the target annual cash bonus opportunities for each of our Named Executive Officers under the 2022 Bonus Plan, expressed as a percentage of his or her annual base salary, were as follows:</w:t>
      </w:r>
    </w:p>
    <w:tbl>
      <w:tblPr>
        <w:tblW w:w="8594" w:type="dxa"/>
        <w:jc w:val="center"/>
        <w:tblInd w:w="0" w:type="dxa"/>
        <w:tblCellMar>
          <w:top w:w="28" w:type="dxa"/>
          <w:left w:w="28" w:type="dxa"/>
          <w:bottom w:w="28" w:type="dxa"/>
          <w:right w:w="28" w:type="dxa"/>
        </w:tblCellMar>
      </w:tblPr>
      <w:tblGrid>
        <w:gridCol w:w="913"/>
        <w:gridCol w:w="802"/>
        <w:gridCol w:w="805"/>
        <w:gridCol w:w="294"/>
        <w:gridCol w:w="294"/>
        <w:gridCol w:w="298"/>
        <w:gridCol w:w="914"/>
        <w:gridCol w:w="914"/>
        <w:gridCol w:w="916"/>
        <w:gridCol w:w="474"/>
        <w:gridCol w:w="474"/>
        <w:gridCol w:w="476"/>
        <w:gridCol w:w="299"/>
        <w:gridCol w:w="299"/>
        <w:gridCol w:w="422"/>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Annual</w:t>
              <w:br/>
              <w:t>Base</w:t>
              <w:br/>
              <w:t>Salary</w:t>
            </w:r>
          </w:p>
        </w:tc>
        <w:tc>
          <w:tcPr>
            <w:tcW w:w="27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 Bonus Opportunity</w:t>
              <w:br/>
              <w:t>(as a percentage of base salary)</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w:t>
              <w:br/>
              <w:t>Bonus</w:t>
              <w:br/>
              <w:t>Opportunity ($)</w:t>
            </w:r>
          </w:p>
        </w:tc>
        <w:tc>
          <w:tcPr>
            <w:tcW w:w="10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Bonus</w:t>
              <w:br/>
              <w:t>Payout ($)</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$592,072</w:t>
            </w:r>
          </w:p>
        </w:tc>
        <w:tc>
          <w:tcPr>
            <w:tcW w:w="27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$325,655</w:t>
            </w:r>
          </w:p>
        </w:tc>
        <w:tc>
          <w:tcPr>
            <w:tcW w:w="10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$325,655</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Blaine Davis</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$440,000</w:t>
            </w:r>
          </w:p>
        </w:tc>
        <w:tc>
          <w:tcPr>
            <w:tcW w:w="27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pPr>
            <w:r>
              <w:rPr>
                <w:color w:val="000000"/>
              </w:rPr>
              <w:t xml:space="preserve">— </w:t>
            </w:r>
            <w:r>
              <w:rPr>
                <w:rFonts w:ascii="Times New Roman;sans-serif" w:hAnsi="Times New Roman;sans-serif"/>
                <w:b w:val="false"/>
                <w:color w:val="000000"/>
                <w:sz w:val="13"/>
              </w:rPr>
              <w:t>(1)</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color w:val="000000"/>
              </w:rPr>
              <w:t xml:space="preserve">— </w:t>
            </w:r>
            <w:r>
              <w:rPr>
                <w:rFonts w:ascii="Times New Roman;sans-serif" w:hAnsi="Times New Roman;sans-serif"/>
                <w:b w:val="false"/>
                <w:color w:val="000000"/>
                <w:sz w:val="13"/>
              </w:rPr>
              <w:t>(1)</w:t>
            </w:r>
          </w:p>
        </w:tc>
        <w:tc>
          <w:tcPr>
            <w:tcW w:w="10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Tan</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$410,000</w:t>
            </w:r>
          </w:p>
        </w:tc>
        <w:tc>
          <w:tcPr>
            <w:tcW w:w="27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$164,000</w:t>
            </w:r>
          </w:p>
        </w:tc>
        <w:tc>
          <w:tcPr>
            <w:tcW w:w="10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color w:val="000000"/>
              </w:rPr>
              <w:t xml:space="preserve">— </w:t>
            </w:r>
            <w:r>
              <w:rPr>
                <w:rFonts w:ascii="Times New Roman;sans-serif" w:hAnsi="Times New Roman;sans-serif"/>
                <w:b w:val="false"/>
                <w:color w:val="000000"/>
                <w:sz w:val="13"/>
              </w:rPr>
              <w:t>(2)</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G. Traber, M.D.</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$458,920</w:t>
            </w:r>
          </w:p>
        </w:tc>
        <w:tc>
          <w:tcPr>
            <w:tcW w:w="27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$183,568</w:t>
            </w:r>
          </w:p>
        </w:tc>
        <w:tc>
          <w:tcPr>
            <w:tcW w:w="10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$183,568</w:t>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Takashi Kei Kishimoto, Ph.D.</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$422,800</w:t>
            </w:r>
          </w:p>
        </w:tc>
        <w:tc>
          <w:tcPr>
            <w:tcW w:w="27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$169,120</w:t>
            </w:r>
          </w:p>
        </w:tc>
        <w:tc>
          <w:tcPr>
            <w:tcW w:w="10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$169,120</w:t>
            </w:r>
          </w:p>
        </w:tc>
      </w:tr>
      <w:tr>
        <w:trPr/>
        <w:tc>
          <w:tcPr>
            <w:tcW w:w="25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Lloyd Johnston, Ph.D.</w:t>
            </w:r>
          </w:p>
        </w:tc>
        <w:tc>
          <w:tcPr>
            <w:tcW w:w="88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$416,000</w:t>
            </w:r>
          </w:p>
        </w:tc>
        <w:tc>
          <w:tcPr>
            <w:tcW w:w="274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$166,400</w:t>
            </w:r>
          </w:p>
        </w:tc>
        <w:tc>
          <w:tcPr>
            <w:tcW w:w="102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$166,400</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(1) Mr. Davis was appointed Chief Financial Officer on November 28, 2022, and per the terms of his employment agreement was not eligible to receive a bonus during 2022. </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(2) Mr. Tan was paid an amount of $164,000 as a term of his separation agreement, which was approved separately from payouts determined by the Compensation Committee pursuant to the 2022 Bonus Plan.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Corporate Performance Objectives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purposes of the 2022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2022 Bonus Plan.</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2022 Performance Results and Bonus Decisions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Compensation Committee determined that our actual achievement with respect to the corporate financial objectives under the 2022 Bonus Plan was as follows: </w:t>
      </w:r>
    </w:p>
    <w:tbl>
      <w:tblPr>
        <w:tblW w:w="6480" w:type="dxa"/>
        <w:jc w:val="center"/>
        <w:tblInd w:w="0" w:type="dxa"/>
        <w:tblCellMar>
          <w:top w:w="28" w:type="dxa"/>
          <w:left w:w="28" w:type="dxa"/>
          <w:bottom w:w="28" w:type="dxa"/>
          <w:right w:w="28" w:type="dxa"/>
        </w:tblCellMar>
      </w:tblPr>
      <w:tblGrid>
        <w:gridCol w:w="1413"/>
        <w:gridCol w:w="1242"/>
        <w:gridCol w:w="1245"/>
        <w:gridCol w:w="756"/>
        <w:gridCol w:w="756"/>
        <w:gridCol w:w="1068"/>
      </w:tblGrid>
      <w:tr>
        <w:trPr/>
        <w:tc>
          <w:tcPr>
            <w:tcW w:w="1413"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Corporate Performance Measure</w:t>
            </w:r>
          </w:p>
        </w:tc>
        <w:tc>
          <w:tcPr>
            <w:tcW w:w="25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 Target Achievement %</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Pipeline Development</w:t>
            </w:r>
          </w:p>
        </w:tc>
        <w:tc>
          <w:tcPr>
            <w:tcW w:w="25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Strategy and Business Development</w:t>
            </w:r>
          </w:p>
        </w:tc>
        <w:tc>
          <w:tcPr>
            <w:tcW w:w="25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Culture and Engagement</w:t>
            </w:r>
          </w:p>
        </w:tc>
        <w:tc>
          <w:tcPr>
            <w:tcW w:w="25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9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58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corporate performance measures that factored into the Compensation Committee’s determination included: (i) pipeline development goals, including advancing our clinical program for treatment of methylmalonic acidemia and completing the DISSOLVE clinical trial program; (ii) corporate strategy and business development goals, including pursuing strategic partnerships; (iii) culture and engagement goals, including strengthening the Company’s culture and retaining critical talent; and (iv) financial goals, including operating within budget and completing the year maintaining a certain cash balance.</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9855"/>
                <wp:effectExtent l="0" t="0" r="0" b="0"/>
                <wp:wrapNone/>
                <wp:docPr id="39" name="Frame36"/>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33</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595"/>
        <w:gridCol w:w="490"/>
        <w:gridCol w:w="492"/>
        <w:gridCol w:w="672"/>
        <w:gridCol w:w="672"/>
        <w:gridCol w:w="674"/>
        <w:gridCol w:w="751"/>
        <w:gridCol w:w="751"/>
        <w:gridCol w:w="753"/>
        <w:gridCol w:w="109"/>
        <w:gridCol w:w="588"/>
        <w:gridCol w:w="569"/>
        <w:gridCol w:w="570"/>
        <w:gridCol w:w="734"/>
        <w:gridCol w:w="734"/>
        <w:gridCol w:w="1051"/>
      </w:tblGrid>
      <w:tr>
        <w:trPr/>
        <w:tc>
          <w:tcPr>
            <w:tcW w:w="59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1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20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 Annual Cash Bonus Opportunity</w:t>
            </w:r>
          </w:p>
        </w:tc>
        <w:tc>
          <w:tcPr>
            <w:tcW w:w="22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Amount Related to Corporate Financial Objectives</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Actual Annual Cash Bonus Payment</w:t>
            </w:r>
          </w:p>
        </w:tc>
        <w:tc>
          <w:tcPr>
            <w:tcW w:w="25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Target Annual Cash Bonus Opportunity</w:t>
            </w:r>
          </w:p>
        </w:tc>
      </w:tr>
      <w:tr>
        <w:trPr/>
        <w:tc>
          <w:tcPr>
            <w:tcW w:w="1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c>
          <w:tcPr>
            <w:tcW w:w="20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$325,655</w:t>
            </w:r>
          </w:p>
        </w:tc>
        <w:tc>
          <w:tcPr>
            <w:tcW w:w="22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$325,655</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$325,655</w:t>
            </w:r>
          </w:p>
        </w:tc>
        <w:tc>
          <w:tcPr>
            <w:tcW w:w="25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Blaine Davis</w:t>
            </w:r>
            <w:r>
              <w:rPr>
                <w:rFonts w:ascii="Times New Roman;sans-serif" w:hAnsi="Times New Roman;sans-serif"/>
                <w:b w:val="false"/>
                <w:color w:val="000000"/>
                <w:sz w:val="13"/>
              </w:rPr>
              <w:t>(1)</w:t>
            </w:r>
          </w:p>
        </w:tc>
        <w:tc>
          <w:tcPr>
            <w:tcW w:w="20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22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25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1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Tan</w:t>
            </w:r>
          </w:p>
        </w:tc>
        <w:tc>
          <w:tcPr>
            <w:tcW w:w="20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$164,000</w:t>
            </w:r>
          </w:p>
        </w:tc>
        <w:tc>
          <w:tcPr>
            <w:tcW w:w="22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color w:val="000000"/>
              </w:rPr>
              <w:t>—</w:t>
            </w:r>
            <w:r>
              <w:rPr>
                <w:rFonts w:ascii="Times New Roman;sans-serif" w:hAnsi="Times New Roman;sans-serif"/>
                <w:b w:val="false"/>
                <w:color w:val="000000"/>
                <w:sz w:val="13"/>
              </w:rPr>
              <w:t>(2)</w:t>
            </w:r>
          </w:p>
        </w:tc>
        <w:tc>
          <w:tcPr>
            <w:tcW w:w="25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1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G. Traber, M.D.</w:t>
            </w:r>
          </w:p>
        </w:tc>
        <w:tc>
          <w:tcPr>
            <w:tcW w:w="20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$183,568</w:t>
            </w:r>
          </w:p>
        </w:tc>
        <w:tc>
          <w:tcPr>
            <w:tcW w:w="22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$183,568</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$183,568</w:t>
            </w:r>
          </w:p>
        </w:tc>
        <w:tc>
          <w:tcPr>
            <w:tcW w:w="25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Takashi Kei Kishimoto, Ph.D.</w:t>
            </w:r>
          </w:p>
        </w:tc>
        <w:tc>
          <w:tcPr>
            <w:tcW w:w="20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$169,120</w:t>
            </w:r>
          </w:p>
        </w:tc>
        <w:tc>
          <w:tcPr>
            <w:tcW w:w="22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$169,120</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$169,120</w:t>
            </w:r>
          </w:p>
        </w:tc>
        <w:tc>
          <w:tcPr>
            <w:tcW w:w="25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57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Lloyd Johnston, Ph.D.</w:t>
            </w:r>
          </w:p>
        </w:tc>
        <w:tc>
          <w:tcPr>
            <w:tcW w:w="201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$166,400</w:t>
            </w:r>
          </w:p>
        </w:tc>
        <w:tc>
          <w:tcPr>
            <w:tcW w:w="22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$166,400</w:t>
            </w:r>
          </w:p>
        </w:tc>
        <w:tc>
          <w:tcPr>
            <w:tcW w:w="109" w:type="dxa"/>
            <w:tcBorders/>
            <w:shd w:fill="auto" w:val="clear"/>
            <w:vAlign w:val="center"/>
          </w:tcPr>
          <w:p>
            <w:pPr>
              <w:pStyle w:val="TableContents"/>
              <w:spacing w:before="0" w:after="283"/>
              <w:rPr>
                <w:sz w:val="4"/>
                <w:szCs w:val="4"/>
              </w:rPr>
            </w:pPr>
            <w:r>
              <w:rPr>
                <w:sz w:val="4"/>
                <w:szCs w:val="4"/>
              </w:rPr>
            </w:r>
          </w:p>
        </w:tc>
        <w:tc>
          <w:tcPr>
            <w:tcW w:w="172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$166,400</w:t>
            </w:r>
          </w:p>
        </w:tc>
        <w:tc>
          <w:tcPr>
            <w:tcW w:w="251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(1) Mr. Davis was appointed Chief Financial Officer on November 28, 2022, and per the terms of his employment agreement, he did not receive a bonus for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(2) Mr. Tan was paid an amount of $164,000 as a term of his separation agreement, which was approved separately from payouts determined by the Compensation Committee pursuant to the 2022 Bonus Plan.</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Compensation Committee approved equity awards for our executive officers, including our Named Executive Officers, in recognition of our financial and operational results and each executive officer’s individual performance for 2021,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equity awards consisted of both options to purchase shares of our Common Stock and, for certain executive officers, RSU awards that may be settled for shares of our Common Stock. The equity awards approved in December 2021 and granted to our Named Executive Officers in January 2022 were as follows:</w:t>
      </w:r>
    </w:p>
    <w:tbl>
      <w:tblPr>
        <w:tblW w:w="6152" w:type="dxa"/>
        <w:jc w:val="center"/>
        <w:tblInd w:w="0" w:type="dxa"/>
        <w:tblCellMar>
          <w:top w:w="28" w:type="dxa"/>
          <w:left w:w="28" w:type="dxa"/>
          <w:bottom w:w="28" w:type="dxa"/>
          <w:right w:w="28" w:type="dxa"/>
        </w:tblCellMar>
      </w:tblPr>
      <w:tblGrid>
        <w:gridCol w:w="913"/>
        <w:gridCol w:w="802"/>
        <w:gridCol w:w="805"/>
        <w:gridCol w:w="579"/>
        <w:gridCol w:w="579"/>
        <w:gridCol w:w="581"/>
        <w:gridCol w:w="579"/>
        <w:gridCol w:w="579"/>
        <w:gridCol w:w="581"/>
        <w:gridCol w:w="154"/>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17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Stock Options</w:t>
              <w:br/>
              <w:t>(Number of Shares)</w:t>
            </w:r>
          </w:p>
        </w:tc>
        <w:tc>
          <w:tcPr>
            <w:tcW w:w="17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Unit Awards</w:t>
              <w:br/>
              <w:t>(Number of Shares)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c>
          <w:tcPr>
            <w:tcW w:w="17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1,056,100</w:t>
            </w:r>
          </w:p>
        </w:tc>
        <w:tc>
          <w:tcPr>
            <w:tcW w:w="17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226,300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Blaine Davis</w:t>
            </w:r>
            <w:r>
              <w:rPr>
                <w:rFonts w:ascii="Times New Roman;sans-serif" w:hAnsi="Times New Roman;sans-serif"/>
                <w:b w:val="false"/>
                <w:color w:val="000000"/>
                <w:sz w:val="13"/>
              </w:rPr>
              <w:t>(1)</w:t>
            </w:r>
          </w:p>
        </w:tc>
        <w:tc>
          <w:tcPr>
            <w:tcW w:w="17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color w:val="000000"/>
              </w:rPr>
            </w:pPr>
            <w:r>
              <w:rPr>
                <w:color w:val="00000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Tan</w:t>
            </w:r>
          </w:p>
        </w:tc>
        <w:tc>
          <w:tcPr>
            <w:tcW w:w="17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340,000 </w:t>
            </w:r>
            <w:r>
              <w:rPr>
                <w:rFonts w:ascii="Times New Roman;sans-serif" w:hAnsi="Times New Roman;sans-serif"/>
                <w:b w:val="false"/>
                <w:color w:val="000000"/>
                <w:sz w:val="13"/>
              </w:rPr>
              <w:t>(2)</w:t>
            </w:r>
          </w:p>
        </w:tc>
        <w:tc>
          <w:tcPr>
            <w:tcW w:w="17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72,000 </w:t>
            </w:r>
            <w:r>
              <w:rPr>
                <w:rFonts w:ascii="Times New Roman;sans-serif" w:hAnsi="Times New Roman;sans-serif"/>
                <w:b w:val="false"/>
                <w:color w:val="000000"/>
                <w:sz w:val="13"/>
              </w:rPr>
              <w:t>(2)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G. Traber, M.D.</w:t>
            </w:r>
          </w:p>
        </w:tc>
        <w:tc>
          <w:tcPr>
            <w:tcW w:w="17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415,900</w:t>
            </w:r>
          </w:p>
        </w:tc>
        <w:tc>
          <w:tcPr>
            <w:tcW w:w="17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90,200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Takashi Kei Kishimoto, Ph.D.</w:t>
            </w:r>
          </w:p>
        </w:tc>
        <w:tc>
          <w:tcPr>
            <w:tcW w:w="17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340,000</w:t>
            </w:r>
          </w:p>
        </w:tc>
        <w:tc>
          <w:tcPr>
            <w:tcW w:w="17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72,000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Lloyd Johnston, Ph.D.</w:t>
            </w:r>
          </w:p>
        </w:tc>
        <w:tc>
          <w:tcPr>
            <w:tcW w:w="173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340,000</w:t>
            </w:r>
          </w:p>
        </w:tc>
        <w:tc>
          <w:tcPr>
            <w:tcW w:w="173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72,000</w:t>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9855"/>
                <wp:effectExtent l="0" t="0" r="0" b="0"/>
                <wp:wrapNone/>
                <wp:docPr id="40" name="Frame37"/>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34</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(1) Mr. Davis was appointed Chief Financial Officer on November 28, 2022, and did not receive options to purchase shares of our Common Stock or restricted stock units in January 2022. See “—Other Equity Grants” below for information regarding equity paid to Mr. Davis in connection with his hiring.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(2) Upon his departure in December 2022, Mr. Tan forfeited options to purchase 255,000 shares of our Common Stock and 54,000 restricted stock units granted earlier in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options to purchase shares of our Common Stock granted to our executive officers, including the Named Executive Officers, in January 2022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RSU awards granted to our executive officers, including the Named Executive Officers, in January 2022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Equity Grants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his employment with the Company, the Compensation Committee approved a one-time equity grant in the form of stock options for Mr. Davis (the “New Employment Grant Options”) as follows:</w:t>
      </w:r>
    </w:p>
    <w:tbl>
      <w:tblPr>
        <w:tblW w:w="4918" w:type="dxa"/>
        <w:jc w:val="center"/>
        <w:tblInd w:w="0" w:type="dxa"/>
        <w:tblCellMar>
          <w:top w:w="28" w:type="dxa"/>
          <w:left w:w="28" w:type="dxa"/>
          <w:bottom w:w="28" w:type="dxa"/>
          <w:right w:w="28" w:type="dxa"/>
        </w:tblCellMar>
      </w:tblPr>
      <w:tblGrid>
        <w:gridCol w:w="781"/>
        <w:gridCol w:w="687"/>
        <w:gridCol w:w="692"/>
        <w:gridCol w:w="549"/>
        <w:gridCol w:w="549"/>
        <w:gridCol w:w="551"/>
        <w:gridCol w:w="324"/>
        <w:gridCol w:w="324"/>
        <w:gridCol w:w="461"/>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Named Executive Officer</w:t>
            </w:r>
          </w:p>
        </w:tc>
        <w:tc>
          <w:tcPr>
            <w:tcW w:w="16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Options</w:t>
              <w:br/>
              <w:t>(Number of Shares)</w:t>
            </w:r>
          </w:p>
        </w:tc>
        <w:tc>
          <w:tcPr>
            <w:tcW w:w="11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Blaine Davis</w:t>
            </w:r>
          </w:p>
        </w:tc>
        <w:tc>
          <w:tcPr>
            <w:tcW w:w="16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110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11/28/2022</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thereafter, assuming the continued service of Mr. Davis on each such vesting date.</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Welfare and Health Benefits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 participants’ interests in their deferrals are 100% vested when contributed under both plans. In 2022,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Perquisites and Other Personal Benefits</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2022, none of the Named Executive Officers received perquisites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09855"/>
                <wp:effectExtent l="0" t="0" r="0" b="0"/>
                <wp:wrapNone/>
                <wp:docPr id="41" name="Frame38"/>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35</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or other personal benefits that were, in the aggregate, $10,000 or more for each Named Executive Officer, except that Peter Traber, M.D., received payments in the amount of $21,097 on his term life insurance policy.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period of their service with our Company, we had employment agreements in place with each of our executive officers, including our CEO and our other Named Executive Officers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Post-Employment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of our Named Executive Officers entered into employment agreements that provide for post-employment compensation in the event of a change-in-control or if the Named Executive Officer is fired without Good Reason, as defined in each employment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2022, pursuant to his Separation Agreement, the Company agreed to provide Mr. Tan severance benefits of: (i) 12-months’ base salary, (ii) a bonus of $164,000 and (iii) continued vesting of equity awards through January 4, 2023.</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9855"/>
                <wp:effectExtent l="0" t="0" r="0" b="0"/>
                <wp:wrapNone/>
                <wp:docPr id="42" name="Frame39"/>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36</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 Compensation Policies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Compensation Recovery Policy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2022, the Compensation Committee resolved to adopt an executive compensation recovery policy (the “Clawback Policy”). Under the Clawback Policy, the Board, in its limited discretion, may seek to recover any excess incentive awards (whether in the form of cash or equity), from any of its executive officers, as designated as such by the Board under Section 16 of the Exchange Act, and Rule 3b-7 under the Exchange Act, who have been designated as such over any period in the three years since any incident which causes the Board to seek recovery, in the event the executive officer is deemed responsible for an event that results or resulted in a restatement of the Company’s financial disclosures as a result of fraud or misconduct.</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operate under the requirements of Section 304 of the Sarbanes-Oxley Act of 2002, as applicable to all public companies, under which our Board may seek reimbursement from our CEO and CFO if, as a result of their misconduct, we restate our financial results due to our material noncompliance with any financial reporting requirements under the federal securities laws.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intend to comply with the requirements of Section 954 of the Dodd-Frank Wall Street Reform and Consumer Protection Act and will adopt a compensation recovery policy once final regulations on the subject have been adopted. </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Equity Award Grant Policy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adopted an equity award grant policy that provides the following guidelines to be observed by the Compensation Committee and our Board in administering the grant of equity awards under our equity compensation plans: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Derivatives Trading, Hedging, and Pledging Policies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adopted a policy prohibiting the pledging of our Common Stock by our employees, including our executive officers, and members of our Board.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Tax and Accounting Considerations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Deductibility of Executive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9855"/>
                <wp:effectExtent l="0" t="0" r="0" b="0"/>
                <wp:wrapNone/>
                <wp:docPr id="43" name="Frame40"/>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37</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Taxation of Nonqualified Deferred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Taxation of “Parachute” Payments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2022 and we have not agreed and are not otherwise obligated to provide any executive officers, including any Named Executive Officer, with such a “gross-up” or other reimbursement payment.</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Accounting for Stock-Based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9855"/>
                <wp:effectExtent l="0" t="0" r="0" b="0"/>
                <wp:wrapNone/>
                <wp:docPr id="44" name="Frame41"/>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38</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Executive and Director Compensation</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discusses the material components of the executive compensation program offered to our Named Executive Officers identified below. For 2022, our Named Executive Officers and their positions as of December 31, 2022 were: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Carsten Brunn, Ph.D., our President and CEO;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Blaine Davis, our CFO;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Kevin Tan, our former CFO;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Peter G. Traber, M.D., our Chief Medical Officer;</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Takashi Kei Kishimoto, Ph.D., our Chief Scientific Officer;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Lloyd Johnston, Ph.D., our Chief Operations Officer. </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2022 Summary Compensation Table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963" w:type="dxa"/>
        <w:jc w:val="left"/>
        <w:tblInd w:w="0" w:type="dxa"/>
        <w:tblCellMar>
          <w:top w:w="28" w:type="dxa"/>
          <w:left w:w="28" w:type="dxa"/>
          <w:bottom w:w="28" w:type="dxa"/>
          <w:right w:w="28" w:type="dxa"/>
        </w:tblCellMar>
      </w:tblPr>
      <w:tblGrid>
        <w:gridCol w:w="637"/>
        <w:gridCol w:w="244"/>
        <w:gridCol w:w="245"/>
        <w:gridCol w:w="155"/>
        <w:gridCol w:w="155"/>
        <w:gridCol w:w="156"/>
        <w:gridCol w:w="109"/>
        <w:gridCol w:w="109"/>
        <w:gridCol w:w="109"/>
        <w:gridCol w:w="368"/>
        <w:gridCol w:w="368"/>
        <w:gridCol w:w="196"/>
        <w:gridCol w:w="109"/>
        <w:gridCol w:w="109"/>
        <w:gridCol w:w="109"/>
        <w:gridCol w:w="359"/>
        <w:gridCol w:w="287"/>
        <w:gridCol w:w="181"/>
        <w:gridCol w:w="109"/>
        <w:gridCol w:w="109"/>
        <w:gridCol w:w="109"/>
        <w:gridCol w:w="368"/>
        <w:gridCol w:w="368"/>
        <w:gridCol w:w="211"/>
        <w:gridCol w:w="109"/>
        <w:gridCol w:w="109"/>
        <w:gridCol w:w="109"/>
        <w:gridCol w:w="435"/>
        <w:gridCol w:w="436"/>
        <w:gridCol w:w="211"/>
        <w:gridCol w:w="109"/>
        <w:gridCol w:w="109"/>
        <w:gridCol w:w="109"/>
        <w:gridCol w:w="371"/>
        <w:gridCol w:w="365"/>
        <w:gridCol w:w="366"/>
        <w:gridCol w:w="109"/>
        <w:gridCol w:w="109"/>
        <w:gridCol w:w="109"/>
        <w:gridCol w:w="365"/>
        <w:gridCol w:w="365"/>
        <w:gridCol w:w="366"/>
        <w:gridCol w:w="109"/>
        <w:gridCol w:w="109"/>
        <w:gridCol w:w="109"/>
        <w:gridCol w:w="435"/>
        <w:gridCol w:w="436"/>
        <w:gridCol w:w="225"/>
      </w:tblGrid>
      <w:tr>
        <w:trPr/>
        <w:tc>
          <w:tcPr>
            <w:tcW w:w="6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w:t>
            </w:r>
          </w:p>
          <w:p>
            <w:pPr>
              <w:pStyle w:val="TableContents"/>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Non-equity incentive plan</w:t>
            </w:r>
          </w:p>
          <w:p>
            <w:pPr>
              <w:pStyle w:val="TableContents"/>
              <w:spacing w:lineRule="auto" w:line="240" w:before="0" w:after="0"/>
              <w:jc w:val="center"/>
              <w:rPr/>
            </w:pPr>
            <w:r>
              <w:rPr>
                <w:rFonts w:ascii="Times New Roman;sans-serif" w:hAnsi="Times New Roman;sans-serif"/>
                <w:b/>
                <w:color w:val="000000"/>
                <w:sz w:val="16"/>
              </w:rPr>
              <w:t>compensation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Carsten Brunn, Ph.D.</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588,043 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749,053 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2,628,525 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325,655 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4,292,242 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16"/>
              </w:rPr>
              <w:t>President and</w:t>
              <w:br/>
              <w:t>Chief Executive Officer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569,003 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720,529 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2,067,782 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313,115 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3,671,395 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Blaine Davis</w:t>
            </w:r>
            <w:r>
              <w:rPr>
                <w:rFonts w:ascii="Times New Roman;sans-serif" w:hAnsi="Times New Roman;sans-serif"/>
                <w:b w:val="false"/>
                <w:color w:val="000000"/>
                <w:sz w:val="10"/>
              </w:rPr>
              <w:t>(5)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1,228,750 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1,263,706 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Kevin Tan</w:t>
            </w:r>
            <w:r>
              <w:rPr>
                <w:rFonts w:ascii="Times New Roman;sans-serif" w:hAnsi="Times New Roman;sans-serif"/>
                <w:b w:val="false"/>
                <w:color w:val="000000"/>
                <w:sz w:val="10"/>
              </w:rPr>
              <w:t>(6)</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xml:space="preserve">238,320 </w:t>
            </w:r>
            <w:r>
              <w:rPr>
                <w:rFonts w:ascii="Times New Roman;sans-serif" w:hAnsi="Times New Roman;sans-serif"/>
                <w:b w:val="false"/>
                <w:color w:val="000000"/>
                <w:sz w:val="10"/>
              </w:rPr>
              <w:t>(6)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xml:space="preserve">846,225 </w:t>
            </w:r>
            <w:r>
              <w:rPr>
                <w:rFonts w:ascii="Times New Roman;sans-serif" w:hAnsi="Times New Roman;sans-serif"/>
                <w:b w:val="false"/>
                <w:color w:val="000000"/>
                <w:sz w:val="10"/>
              </w:rPr>
              <w:t>(6)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xml:space="preserve">164,000 </w:t>
            </w:r>
            <w:r>
              <w:rPr>
                <w:rFonts w:ascii="Times New Roman;sans-serif" w:hAnsi="Times New Roman;sans-serif"/>
                <w:b w:val="false"/>
                <w:color w:val="000000"/>
                <w:sz w:val="10"/>
              </w:rPr>
              <w:t>(6)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1,688,429 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Former Chief Financial Officer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110,385 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xml:space="preserve">2,369,619 </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46,280 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2,601,622 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Peter G. Traber, M.D.</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1,035,133 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183,568 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2,003,983 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Medical Officer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253,445 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704,679 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21,561 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1,600,685 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Takashi Kei Kishimoto, Ph.D.</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846,225 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169,120 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1,684,353 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Scientific Officer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399,798 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214,133 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526,588 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6,156 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1,306,675 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Lloyd Johnston, Ph.D.</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413,169 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846,225 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1,674,359 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Operations Officer</w:t>
            </w:r>
          </w:p>
        </w:tc>
        <w:tc>
          <w:tcPr>
            <w:tcW w:w="46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399,764 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214,133 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526,588 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160,000 </w:t>
            </w:r>
          </w:p>
        </w:tc>
        <w:tc>
          <w:tcPr>
            <w:tcW w:w="36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0"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4,360 </w:t>
            </w:r>
          </w:p>
        </w:tc>
        <w:tc>
          <w:tcPr>
            <w:tcW w:w="36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1,304,845 </w:t>
            </w:r>
          </w:p>
        </w:tc>
        <w:tc>
          <w:tcPr>
            <w:tcW w:w="22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0"/>
        <w:rPr/>
      </w:pPr>
      <w:r>
        <w:rPr/>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(1)These amounts represent actual earnings for the calendar year, which may be impacted by, among other things, hire date and the timing of any salary increases made during the year.</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2022 Annual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(3)Non-equity incentive plan compensation represents amounts earned under our annual performance-based bonus program. For additional information, see “Performance Bonuses” below.</w:t>
      </w:r>
    </w:p>
    <w:p>
      <w:pPr>
        <w:pStyle w:val="TextBody"/>
        <w:spacing w:lineRule="auto" w:line="256" w:before="0" w:after="0"/>
        <w:ind w:left="0" w:right="0" w:hanging="360"/>
        <w:rPr/>
      </w:pPr>
      <w:r>
        <w:rPr>
          <w:rFonts w:ascii="Calibri;sans-serif" w:hAnsi="Calibri;sans-serif"/>
          <w:b w:val="false"/>
          <w:color w:val="000000"/>
          <w:sz w:val="22"/>
        </w:rPr>
        <w:t>(4)</w:t>
      </w:r>
      <w:r>
        <w:rPr>
          <w:rFonts w:ascii="Times New Roman;sans-serif" w:hAnsi="Times New Roman;sans-serif"/>
          <w:b w:val="false"/>
          <w:color w:val="000000"/>
          <w:sz w:val="20"/>
        </w:rPr>
        <w:t>For Dr. Brunn, the amounts for 2021 and 2022 include $966 and $966, respectively, representing payments on Dr. Brunn’s term life insurance policy. For Mr. Davis, the amount for 2022 includes $35, representing payments on Mr. Davis term life insurance policy, $75 representing reimbursement for cell phone expenses, and $1,000 representing our 401(k) matching contributions.</w:t>
      </w:r>
      <w:r>
        <w:rPr>
          <w:color w:val="000000"/>
        </w:rPr>
        <w:t xml:space="preserve"> </w:t>
      </w:r>
      <w:r>
        <w:rPr>
          <w:rFonts w:ascii="Times New Roman;sans-serif" w:hAnsi="Times New Roman;sans-serif"/>
          <w:b w:val="false"/>
          <w:color w:val="000000"/>
          <w:sz w:val="20"/>
        </w:rPr>
        <w:t>For Mr. Tan, the amount for 2021 includes $113 representing payments on Mr. Tan’s term life insurance policy and $225 representing reimbursement for cell phone expenses. The amount for 2022 includes $565 representing payments on Mr. Tan’s term life insurance policy, $900 representing reimbursement for cell phone expenses, $3,500 representing a tuition reimbursement, and $9,150 representing our 401(k) matching contributions.</w:t>
      </w:r>
      <w:r>
        <w:rPr>
          <w:color w:val="000000"/>
        </w:rPr>
        <w:t xml:space="preserve"> </w:t>
      </w:r>
      <w:r>
        <w:rPr>
          <w:rFonts w:ascii="Times New Roman;sans-serif" w:hAnsi="Times New Roman;sans-serif"/>
          <w:b w:val="false"/>
          <w:color w:val="000000"/>
          <w:sz w:val="20"/>
        </w:rPr>
        <w:t xml:space="preserve">For Dr. Traber, the amount for 2021 includes $21,186 representing payments on Dr. Traber’s term life insurance policy and $375 representing reimbursement for cell phone expenses. The amount for 2022 includes $21,097 representing payments on Dr. Traber’s term life insurance policy, $900 representing reimbursement for cell phone expenses, and $9,150 representing our 401(k) matching contributions. For Dr. Kishimoto, the amount for 2021 includes $3,400 representing our 401(k) matching contributions and $2,756 representing payments on Dr. Kishimoto’s term life insurance policy. The amount for 2022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9855"/>
                <wp:effectExtent l="0" t="0" r="0" b="0"/>
                <wp:wrapNone/>
                <wp:docPr id="45" name="Frame42"/>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39</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includes $2,772 representing payments on Dr. Kishimoto’s term life insurance policy and $9,150 representing our 401(k) matching contributions. For Dr. Johnston, the amount for 2021 includes $3,400 representing our 401(k) matching contributions and $960 representing payments on Dr. Johnston’s term life insurance policy. The amount for 2022 includes $9,150 representing our 401(k) matching contributions and $1,095 representing payments on Dr. Johnston’s term life insurance policy</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(5)Mr. Davis was appointed Chief Financial Officer on November 28, 2022.</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(6)Mr. Tan ceased service as our Chief Financial Officer effective as of November 28, 2022. Upon his departure in December 2022, Mr. Tan forfeited his 2022 annual target bonus opportunity of $164,000 as well as options to purchase 255,000 shares of our Common Stock and 54,000 restricted stock units that were granted in 2022 and options to purchase 499,999 shares of our Common Stock that were granted in 2021. As noted above, Mr. Tan was paid an amount of $164,000 as a term of his separation agreement, which was approved separately from the 2022 Bonus Plan by the Compensation Committee.</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Narrative Disclosure to Summary Compensation Table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 xml:space="preserve">Base Salaries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end of 2021, the Compensation Committee recommended to the Board and the Board approved an increase in Dr. Brunn’s annual base salary from $569,300 to $592,072 for 2022, an increase in Dr. Traber’s annual base salary from $440,000 to $458,920 for 2022, an increase in Dr. Kishimoto’s annual base salary from $400,000 to $422,800 for 2022, and an increase in Dr. Johnston’s annual base salary from $400,000 to $416,000 for 2022. Mr. Davis joined our Company in November 2022 with an annual base salary of $440,000. Mr. Tan did not receive an increase to his annual base salary in 2022. All base salaries for 2022, other than with respect to Mr. Davis, were effective as of March 1, 2022.</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Performance Bonuses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2022 target bonus amount for Dr. Brunn was 55% of his base salary, and for each of Mr. Tan and Drs. Traber, Kishimoto, and Johnston was 40% of his base salary. Per the terms of his employment agreement, Mr. Davis was not eligible to receive a bonus for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2022, bonuses were entirely determined based on Company performance in meeting clinical, business development, culture and engagement, and financial goals.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actual cash bonuses earned by the named executives for 2022 are reported under the “Non-equity incentive plan compensation” column of the 2022 Summary Compensation Table above.</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Equity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9855"/>
                <wp:effectExtent l="0" t="0" r="0" b="0"/>
                <wp:wrapNone/>
                <wp:docPr id="46" name="Frame43"/>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40</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Stock Incentive Plan (the “2008 Plan”). However, the 2008 Plan continues to govern the terms and conditions of the outstanding awards granted under the 2008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2022, we made the following grants under the 2016 Plan: (i) to Dr. Brunn options to purchase 1,056,100 shares of our Common Stock and 226,300 restricted stock units; (ii), to Dr. Traber options to purchase 415,900 shares of our Common Stock and 90,200 restricted stock units; (iii) to Dr. Kishimoto options to purchase 340,000 shares of our Common Stock and 72,000 restricted stock units; (iv), to Dr. Johnston options to purchase 340,000 shares of our Common Stock and 72,000 restricted stock units; and (v) to Mr. Tan options to purchase 340,000 shares of our Common Stock and 72,000 restricted stock units. Of these, 255,000 shares of our Common Stock and 54,000 restricted stock units were forfeited upon Mr. Tan’s departure. Additionally, at the commencement of his employment, Mr. Davis was granted options to purchase 1,250,000 shares of our Common Stock under the 2018 Plan.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Retirement, Health, Welfare and Additional Benefits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Outstanding Equity Awards At 2022 Fiscal Year End</w:t>
      </w:r>
    </w:p>
    <w:tbl>
      <w:tblPr>
        <w:tblW w:w="10205" w:type="dxa"/>
        <w:jc w:val="left"/>
        <w:tblInd w:w="0" w:type="dxa"/>
        <w:tblCellMar>
          <w:top w:w="28" w:type="dxa"/>
          <w:left w:w="28" w:type="dxa"/>
          <w:bottom w:w="28" w:type="dxa"/>
          <w:right w:w="28" w:type="dxa"/>
        </w:tblCellMar>
      </w:tblPr>
      <w:tblGrid>
        <w:gridCol w:w="250"/>
        <w:gridCol w:w="219"/>
        <w:gridCol w:w="223"/>
        <w:gridCol w:w="179"/>
        <w:gridCol w:w="179"/>
        <w:gridCol w:w="180"/>
        <w:gridCol w:w="109"/>
        <w:gridCol w:w="109"/>
        <w:gridCol w:w="109"/>
        <w:gridCol w:w="417"/>
        <w:gridCol w:w="417"/>
        <w:gridCol w:w="418"/>
        <w:gridCol w:w="109"/>
        <w:gridCol w:w="109"/>
        <w:gridCol w:w="109"/>
        <w:gridCol w:w="289"/>
        <w:gridCol w:w="289"/>
        <w:gridCol w:w="290"/>
        <w:gridCol w:w="109"/>
        <w:gridCol w:w="109"/>
        <w:gridCol w:w="109"/>
        <w:gridCol w:w="331"/>
        <w:gridCol w:w="331"/>
        <w:gridCol w:w="333"/>
        <w:gridCol w:w="109"/>
        <w:gridCol w:w="109"/>
        <w:gridCol w:w="109"/>
        <w:gridCol w:w="210"/>
        <w:gridCol w:w="210"/>
        <w:gridCol w:w="211"/>
        <w:gridCol w:w="109"/>
        <w:gridCol w:w="109"/>
        <w:gridCol w:w="109"/>
        <w:gridCol w:w="256"/>
        <w:gridCol w:w="256"/>
        <w:gridCol w:w="257"/>
        <w:gridCol w:w="109"/>
        <w:gridCol w:w="109"/>
        <w:gridCol w:w="109"/>
        <w:gridCol w:w="304"/>
        <w:gridCol w:w="304"/>
        <w:gridCol w:w="306"/>
        <w:gridCol w:w="109"/>
        <w:gridCol w:w="109"/>
        <w:gridCol w:w="109"/>
        <w:gridCol w:w="271"/>
        <w:gridCol w:w="245"/>
        <w:gridCol w:w="247"/>
        <w:gridCol w:w="109"/>
        <w:gridCol w:w="109"/>
        <w:gridCol w:w="109"/>
        <w:gridCol w:w="167"/>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Name</w:t>
            </w:r>
          </w:p>
        </w:tc>
        <w:tc>
          <w:tcPr>
            <w:tcW w:w="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Grant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5"/>
              </w:rPr>
              <w:t xml:space="preserve">Vesting Commencement Date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5"/>
              </w:rPr>
              <w:t>Number of</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securities</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underlying</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unexercised</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options (#)</w:t>
            </w:r>
          </w:p>
          <w:p>
            <w:pPr>
              <w:pStyle w:val="TableContents"/>
              <w:spacing w:lineRule="auto" w:line="240" w:before="0" w:after="0"/>
              <w:jc w:val="center"/>
              <w:rPr/>
            </w:pPr>
            <w:r>
              <w:rPr>
                <w:rFonts w:ascii="Times New Roman;sans-serif" w:hAnsi="Times New Roman;sans-serif"/>
                <w:b/>
                <w:color w:val="000000"/>
                <w:sz w:val="15"/>
              </w:rPr>
              <w:t xml:space="preserve">exercisable </w:t>
            </w:r>
            <w:r>
              <w:rPr>
                <w:rFonts w:ascii="Times New Roman;sans-serif" w:hAnsi="Times New Roman;sans-serif"/>
                <w:b/>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5"/>
              </w:rPr>
              <w:t>Number of</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securities</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underlying</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unexercised</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options (#)</w:t>
            </w:r>
          </w:p>
          <w:p>
            <w:pPr>
              <w:pStyle w:val="TableContents"/>
              <w:spacing w:lineRule="auto" w:line="240" w:before="0" w:after="0"/>
              <w:jc w:val="center"/>
              <w:rPr/>
            </w:pPr>
            <w:r>
              <w:rPr>
                <w:rFonts w:ascii="Times New Roman;sans-serif" w:hAnsi="Times New Roman;sans-serif"/>
                <w:b/>
                <w:color w:val="000000"/>
                <w:sz w:val="15"/>
              </w:rPr>
              <w:t xml:space="preserve">unexercisable </w:t>
            </w:r>
            <w:r>
              <w:rPr>
                <w:rFonts w:ascii="Times New Roman;sans-serif" w:hAnsi="Times New Roman;sans-serif"/>
                <w:b/>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5"/>
              </w:rPr>
              <w:t>Option</w:t>
              <w:br/>
              <w:t>exercise</w:t>
              <w:br/>
              <w:t>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5"/>
              </w:rPr>
              <w:t>Option</w:t>
              <w:br/>
              <w:t>expiration</w:t>
              <w:br/>
              <w:t>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Number of shares</w:t>
            </w:r>
          </w:p>
          <w:p>
            <w:pPr>
              <w:pStyle w:val="TableContents"/>
              <w:spacing w:lineRule="auto" w:line="240" w:before="0" w:after="0"/>
              <w:jc w:val="center"/>
              <w:rPr/>
            </w:pPr>
            <w:r>
              <w:rPr>
                <w:rFonts w:ascii="Times New Roman;sans-serif" w:hAnsi="Times New Roman;sans-serif"/>
                <w:b/>
                <w:color w:val="000000"/>
                <w:sz w:val="15"/>
              </w:rPr>
              <w:t xml:space="preserve">or units of stock that have not vested </w:t>
            </w:r>
            <w:r>
              <w:rPr>
                <w:rFonts w:ascii="Times New Roman;sans-serif" w:hAnsi="Times New Roman;sans-serif"/>
                <w:b/>
                <w:color w:val="000000"/>
                <w:sz w:val="1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Market value of shares</w:t>
            </w:r>
          </w:p>
          <w:p>
            <w:pPr>
              <w:pStyle w:val="TableContents"/>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or units of stock</w:t>
            </w:r>
          </w:p>
          <w:p>
            <w:pPr>
              <w:pStyle w:val="TableContents"/>
              <w:spacing w:lineRule="auto" w:line="240" w:before="0" w:after="0"/>
              <w:jc w:val="center"/>
              <w:rPr/>
            </w:pPr>
            <w:r>
              <w:rPr>
                <w:rFonts w:ascii="Times New Roman;sans-serif" w:hAnsi="Times New Roman;sans-serif"/>
                <w:b/>
                <w:color w:val="000000"/>
                <w:sz w:val="15"/>
              </w:rPr>
              <w:t xml:space="preserve">that have not vested ($) </w:t>
            </w:r>
            <w:r>
              <w:rPr>
                <w:rFonts w:ascii="Times New Roman;sans-serif" w:hAnsi="Times New Roman;sans-serif"/>
                <w:b/>
                <w:color w:val="000000"/>
                <w:sz w:val="1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Carsten Brunn, Ph.D.</w:t>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1,056,100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226,300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255,719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50,937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9/23/2031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23,052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321,045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348,955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93,225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45,313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29,687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6/30/2030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437,508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162,492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10/6/2029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316,257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13,743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2/24/2029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12/1/2018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12/1/2018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11/30/2028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 xml:space="preserve">Blaine Davis </w:t>
            </w:r>
            <w:r>
              <w:rPr>
                <w:rFonts w:ascii="Times New Roman;sans-serif" w:hAnsi="Times New Roman;sans-serif"/>
                <w:b w:val="false"/>
                <w:color w:val="000000"/>
                <w:sz w:val="10"/>
              </w:rPr>
              <w:t>(5)</w:t>
            </w:r>
          </w:p>
        </w:tc>
        <w:tc>
          <w:tcPr>
            <w:tcW w:w="5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11/28/2022</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11/28/2022</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1,250,000</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1.27</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11/27/2032</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9855"/>
                <wp:effectExtent l="0" t="0" r="0" b="0"/>
                <wp:wrapNone/>
                <wp:docPr id="47" name="Frame44"/>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41</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tbl>
      <w:tblPr>
        <w:tblW w:w="9687" w:type="dxa"/>
        <w:jc w:val="left"/>
        <w:tblInd w:w="0" w:type="dxa"/>
        <w:tblCellMar>
          <w:top w:w="28" w:type="dxa"/>
          <w:left w:w="28" w:type="dxa"/>
          <w:bottom w:w="28" w:type="dxa"/>
          <w:right w:w="28" w:type="dxa"/>
        </w:tblCellMar>
      </w:tblPr>
      <w:tblGrid>
        <w:gridCol w:w="716"/>
        <w:gridCol w:w="630"/>
        <w:gridCol w:w="634"/>
        <w:gridCol w:w="239"/>
        <w:gridCol w:w="239"/>
        <w:gridCol w:w="241"/>
        <w:gridCol w:w="109"/>
        <w:gridCol w:w="109"/>
        <w:gridCol w:w="109"/>
        <w:gridCol w:w="239"/>
        <w:gridCol w:w="239"/>
        <w:gridCol w:w="241"/>
        <w:gridCol w:w="109"/>
        <w:gridCol w:w="109"/>
        <w:gridCol w:w="109"/>
        <w:gridCol w:w="199"/>
        <w:gridCol w:w="199"/>
        <w:gridCol w:w="203"/>
        <w:gridCol w:w="109"/>
        <w:gridCol w:w="109"/>
        <w:gridCol w:w="109"/>
        <w:gridCol w:w="199"/>
        <w:gridCol w:w="199"/>
        <w:gridCol w:w="203"/>
        <w:gridCol w:w="109"/>
        <w:gridCol w:w="109"/>
        <w:gridCol w:w="109"/>
        <w:gridCol w:w="149"/>
        <w:gridCol w:w="149"/>
        <w:gridCol w:w="153"/>
        <w:gridCol w:w="109"/>
        <w:gridCol w:w="109"/>
        <w:gridCol w:w="109"/>
        <w:gridCol w:w="239"/>
        <w:gridCol w:w="239"/>
        <w:gridCol w:w="241"/>
        <w:gridCol w:w="109"/>
        <w:gridCol w:w="109"/>
        <w:gridCol w:w="109"/>
        <w:gridCol w:w="175"/>
        <w:gridCol w:w="175"/>
        <w:gridCol w:w="176"/>
        <w:gridCol w:w="109"/>
        <w:gridCol w:w="109"/>
        <w:gridCol w:w="109"/>
        <w:gridCol w:w="199"/>
        <w:gridCol w:w="199"/>
        <w:gridCol w:w="203"/>
        <w:gridCol w:w="109"/>
        <w:gridCol w:w="109"/>
        <w:gridCol w:w="109"/>
        <w:gridCol w:w="154"/>
      </w:tblGrid>
      <w:tr>
        <w:trPr/>
        <w:tc>
          <w:tcPr>
            <w:tcW w:w="71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 xml:space="preserve">Kevin Tan </w:t>
            </w:r>
            <w:r>
              <w:rPr>
                <w:rFonts w:ascii="Times New Roman;sans-serif" w:hAnsi="Times New Roman;sans-serif"/>
                <w:b w:val="false"/>
                <w:color w:val="000000"/>
                <w:sz w:val="10"/>
              </w:rPr>
              <w:t>(6)</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85,000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18,000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20,340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9/20/2021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9/20/2021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234,375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15,626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7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Peter G. Traber, M.D. </w:t>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415,900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1/2/2032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90,200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101,926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37,400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9/23/2031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9/24/2021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6,825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7,712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110,209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119,791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28,500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32,205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379,172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270,828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7/31/2030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Takashi Kei Kishimoto, Ph.D.</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340,000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81,360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110,208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119,792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28,500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32,205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102,083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37,917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180,000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10/6/2029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97,916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6/15/2018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6/15/2018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6/14/2028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7/7/2017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6/16/2017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19.33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7/6/2027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6/21/2016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6/21/2016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24,512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6/20/2026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3/9/2016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20,511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3/8/2026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2/21/2015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12,819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4/8/2014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12,820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6/14/2013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6,410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6/13/2023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Lloyd Johnston, Ph.D.</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340,000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81,360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110,208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119,792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28,500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32,205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24,166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15,834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6/30/2030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102,083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37,917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180,000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10/6/2029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97,916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6/15/2018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6/15/2018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6/14/2028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7/7/2017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6/16/2017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19.33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7/6/2027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6/21/2016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6/21/2016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27,617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6/20/2026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3/9/2016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20,511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3/8/2026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2/21/2015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11,537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4/8/2014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7,692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6/14/2013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6/13/2023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(1)All equity awards are subject to accelerated vesting in the event of a termination without cause or resignation for good reason within 12 months following a change in control pursuant to the terms of the Named Executive Officers’ employment agreements.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 </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(3)All restricted stock units vest in four equal annual installments beginning on the first anniversary of the vesting commencement date, subject to employees continued employment with us through the applicable vesting date.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9855"/>
                <wp:effectExtent l="0" t="0" r="0" b="0"/>
                <wp:wrapNone/>
                <wp:docPr id="48" name="Frame45"/>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42</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(4)Based on the closing price of our Common Stock of $1.13 on December 30, 2022, the last trading day of the fiscal year ended December 31, 2022.</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(5)Mr. Davis was appointed Chief Financial Officer on November 28, 2022.</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(6)Mr. Tan ceased service as Chief Financial Officer effective as of November 28, 2022; as of March 31, 2023 his awards have all expired, following their continued vesting through January 4, 2023.</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 (v) breach of any material provision of the employment agreement or any other written agreement with our Company; or (vi) for Mr. Davis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953(a) of the Dodd-Frank Wall Street Reform and Consumer Protection Act, and Item 402(v) of Regulation S-K, the Company must annually disclose in its proxy statement the relationship between Company performance and the “compensation actually paid” to the Principal Executive Officer (“PEO”) and its non-PEO Named Executive Officers (collectively, the “Non-PEO NEOs”).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additional compensation information of our PEO and our Non-PEO NEOs along with our total shareholder return and our net income (loss) for the fiscal years ended December 31, 2021 and 2022.</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9855"/>
                <wp:effectExtent l="0" t="0" r="0" b="0"/>
                <wp:wrapNone/>
                <wp:docPr id="49" name="Frame46"/>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43</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74"/>
        <w:gridCol w:w="153"/>
        <w:gridCol w:w="154"/>
        <w:gridCol w:w="109"/>
        <w:gridCol w:w="109"/>
        <w:gridCol w:w="109"/>
        <w:gridCol w:w="218"/>
        <w:gridCol w:w="972"/>
        <w:gridCol w:w="121"/>
        <w:gridCol w:w="109"/>
        <w:gridCol w:w="109"/>
        <w:gridCol w:w="109"/>
        <w:gridCol w:w="212"/>
        <w:gridCol w:w="943"/>
        <w:gridCol w:w="118"/>
        <w:gridCol w:w="109"/>
        <w:gridCol w:w="109"/>
        <w:gridCol w:w="109"/>
        <w:gridCol w:w="233"/>
        <w:gridCol w:w="1036"/>
        <w:gridCol w:w="129"/>
        <w:gridCol w:w="109"/>
        <w:gridCol w:w="109"/>
        <w:gridCol w:w="109"/>
        <w:gridCol w:w="226"/>
        <w:gridCol w:w="1007"/>
        <w:gridCol w:w="126"/>
        <w:gridCol w:w="109"/>
        <w:gridCol w:w="109"/>
        <w:gridCol w:w="109"/>
        <w:gridCol w:w="259"/>
        <w:gridCol w:w="854"/>
        <w:gridCol w:w="144"/>
        <w:gridCol w:w="109"/>
        <w:gridCol w:w="109"/>
        <w:gridCol w:w="109"/>
        <w:gridCol w:w="212"/>
        <w:gridCol w:w="776"/>
        <w:gridCol w:w="176"/>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Summary Compensation Table Total for PEO</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Compensation Actually Paid to PEO</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 Summary Compensation Table Total for Non-PEO NEOs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 Compensation Actually Paid to Non-PEO NEOs</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Value of Initial Fixed $100 Investment Based on Total Shareholder Return</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Income (Loss)</w:t>
            </w:r>
            <w:r>
              <w:rPr>
                <w:rFonts w:ascii="Times New Roman;sans-serif" w:hAnsi="Times New Roman;sans-serif"/>
                <w:b/>
                <w:color w:val="000000"/>
                <w:sz w:val="10"/>
              </w:rPr>
              <w:t>(4)</w:t>
            </w:r>
            <w:r>
              <w:rPr>
                <w:color w:val="000000"/>
              </w:rPr>
              <w:t xml:space="preserve"> </w:t>
            </w:r>
            <w:r>
              <w:rPr>
                <w:rFonts w:ascii="Times New Roman;sans-serif" w:hAnsi="Times New Roman;sans-serif"/>
                <w:b/>
                <w:color w:val="000000"/>
                <w:sz w:val="16"/>
              </w:rPr>
              <w:t>($ thousands)</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4,292,242 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(588,622)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1,662,966 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3,671,395 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4,275,744 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1,340,562 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1,079,921 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The dollar amounts reported in column (b) are the amounts of total compensation reported for Dr. Brunn for each corresponding year in the “Total” column of the Summary Compensation Table. The dollar amounts reported in column (d) represent the average of the amounts reported for our Company’s Non-PEO NEOs as a group in the “Total” column of the Summary Compensation Table in each applicable year. The names of the Non-PEO NEOs included for purposes of calculating the average amounts in each applicable year are as follows: for 2022, Blaine Davis, Kevin Tan, Peter G. Traber, M.D., Takashi Kei Kishimoto, Ph.D. and Lloyd Johnston, Ph.D. and for 2021, Kevin Tan, Ann K. Donohue, Bradford D. Dahms, Peter G. Traber, M.D., Takashi Kei Kishimoto, Ph.D. and Lloyd Johnston, Ph.D.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The table below describes the adjustments, each of which is required by SEC rules, to calculate Compensation Actually Paid amounts from the Summary Compensation Total:</w:t>
      </w:r>
    </w:p>
    <w:tbl>
      <w:tblPr>
        <w:tblW w:w="10205" w:type="dxa"/>
        <w:jc w:val="left"/>
        <w:tblInd w:w="0" w:type="dxa"/>
        <w:tblCellMar>
          <w:top w:w="28" w:type="dxa"/>
          <w:left w:w="28" w:type="dxa"/>
          <w:bottom w:w="28" w:type="dxa"/>
          <w:right w:w="28" w:type="dxa"/>
        </w:tblCellMar>
      </w:tblPr>
      <w:tblGrid>
        <w:gridCol w:w="124"/>
        <w:gridCol w:w="109"/>
        <w:gridCol w:w="109"/>
        <w:gridCol w:w="134"/>
        <w:gridCol w:w="134"/>
        <w:gridCol w:w="138"/>
        <w:gridCol w:w="236"/>
        <w:gridCol w:w="236"/>
        <w:gridCol w:w="237"/>
        <w:gridCol w:w="185"/>
        <w:gridCol w:w="785"/>
        <w:gridCol w:w="111"/>
        <w:gridCol w:w="190"/>
        <w:gridCol w:w="807"/>
        <w:gridCol w:w="114"/>
        <w:gridCol w:w="196"/>
        <w:gridCol w:w="833"/>
        <w:gridCol w:w="118"/>
        <w:gridCol w:w="197"/>
        <w:gridCol w:w="706"/>
        <w:gridCol w:w="119"/>
        <w:gridCol w:w="191"/>
        <w:gridCol w:w="811"/>
        <w:gridCol w:w="115"/>
        <w:gridCol w:w="190"/>
        <w:gridCol w:w="809"/>
        <w:gridCol w:w="114"/>
        <w:gridCol w:w="198"/>
        <w:gridCol w:w="711"/>
        <w:gridCol w:w="119"/>
        <w:gridCol w:w="183"/>
        <w:gridCol w:w="777"/>
        <w:gridCol w:w="1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Year</w:t>
            </w:r>
          </w:p>
        </w:tc>
        <w:tc>
          <w:tcPr>
            <w:tcW w:w="7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Named Executive Officers</w:t>
            </w:r>
          </w:p>
        </w:tc>
        <w:tc>
          <w:tcPr>
            <w:tcW w:w="10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Summary Compensation Table Total</w:t>
            </w:r>
          </w:p>
        </w:tc>
        <w:tc>
          <w:tcPr>
            <w:tcW w:w="11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Deduct Reported Value of Equity Awards Granted in the Year</w:t>
            </w:r>
          </w:p>
        </w:tc>
        <w:tc>
          <w:tcPr>
            <w:tcW w:w="114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Add Year-End Fair Value of Outstanding and Unvested Equity Awards Granted in the Year</w:t>
            </w:r>
          </w:p>
        </w:tc>
        <w:tc>
          <w:tcPr>
            <w:tcW w:w="102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Add Fair Value as of Vesting Date of Equity Awards Granted and Vested in the Year</w:t>
            </w:r>
          </w:p>
        </w:tc>
        <w:tc>
          <w:tcPr>
            <w:tcW w:w="11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Year over Year Change in Value of Unvested Prior Equity Awards</w:t>
            </w:r>
          </w:p>
        </w:tc>
        <w:tc>
          <w:tcPr>
            <w:tcW w:w="111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Year over Year Change in Value of Vested Prior Equity Awards</w:t>
            </w:r>
          </w:p>
        </w:tc>
        <w:tc>
          <w:tcPr>
            <w:tcW w:w="102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Deduct Value of Prior Equity Awards that Failed to Meet Vesting Conditions in the Year</w:t>
            </w:r>
          </w:p>
        </w:tc>
        <w:tc>
          <w:tcPr>
            <w:tcW w:w="11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Compensation Actually Paid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7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PEO</w:t>
            </w:r>
          </w:p>
        </w:tc>
        <w:tc>
          <w:tcPr>
            <w:tcW w:w="185"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4,292,242 </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(3,377,578)</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934,511 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1"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(1,415,406)</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(1,022,391)</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(588,622)</w:t>
            </w:r>
          </w:p>
        </w:tc>
        <w:tc>
          <w:tcPr>
            <w:tcW w:w="169"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406"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7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Non-PEO NEOs Average</w:t>
            </w:r>
          </w:p>
        </w:tc>
        <w:tc>
          <w:tcPr>
            <w:tcW w:w="185"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1,662,966 </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(1,163,216)</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414,344 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1"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(322,827)</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(196,484)</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(229,900)</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164,883 </w:t>
            </w:r>
          </w:p>
        </w:tc>
        <w:tc>
          <w:tcPr>
            <w:tcW w:w="169"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vMerge w:val="restart"/>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7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PEO</w:t>
            </w:r>
          </w:p>
        </w:tc>
        <w:tc>
          <w:tcPr>
            <w:tcW w:w="185"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3,671,395 </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(2,788,311)</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2,430,089 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276,000 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1"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63,955 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622,616 </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4,275,744 </w:t>
            </w:r>
          </w:p>
        </w:tc>
        <w:tc>
          <w:tcPr>
            <w:tcW w:w="169"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406"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7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Non-PEO NEOs Average</w:t>
            </w:r>
          </w:p>
        </w:tc>
        <w:tc>
          <w:tcPr>
            <w:tcW w:w="185"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1,340,562 </w:t>
            </w:r>
          </w:p>
        </w:tc>
        <w:tc>
          <w:tcPr>
            <w:tcW w:w="1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(927,505)</w:t>
            </w:r>
          </w:p>
        </w:tc>
        <w:tc>
          <w:tcPr>
            <w:tcW w:w="11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3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664,534 </w:t>
            </w:r>
          </w:p>
        </w:tc>
        <w:tc>
          <w:tcPr>
            <w:tcW w:w="11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50,600 </w:t>
            </w:r>
          </w:p>
        </w:tc>
        <w:tc>
          <w:tcPr>
            <w:tcW w:w="11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1"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13,935 </w:t>
            </w:r>
          </w:p>
        </w:tc>
        <w:tc>
          <w:tcPr>
            <w:tcW w:w="11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0"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81,433 </w:t>
            </w:r>
          </w:p>
        </w:tc>
        <w:tc>
          <w:tcPr>
            <w:tcW w:w="11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(143,638)</w:t>
            </w:r>
          </w:p>
        </w:tc>
        <w:tc>
          <w:tcPr>
            <w:tcW w:w="11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3" w:type="dxa"/>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1,079,921 </w:t>
            </w:r>
          </w:p>
        </w:tc>
        <w:tc>
          <w:tcPr>
            <w:tcW w:w="169" w:type="dxa"/>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    Total Shareholder Return for each year reflects what the cumulative value of $100 would be if such amount were invested into our Company for that applicable year on December 31, 2020.</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    Net income or (loss) as reported in the Company’s consolidated statements of operations and comprehensive income (loss) in our Annual Report on Form 10-K for the applicable year.</w:t>
      </w: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Analysis of the Information Presented in the Pay Versus Performance Table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 sets forth the relationship between Compensation Actually Paid to Our PEO, the average of Compensation Actually Paid to Our Non-PEO NEOs and the Company’s total shareholder return over the period covering fiscal years 2021 and 2022. A large component of our executive compensation is equity-based to align compensation with performance, but also includes other appropriate incentives such as cash bonuses that are designed to incentivize our executives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9855"/>
                <wp:effectExtent l="0" t="0" r="0" b="0"/>
                <wp:wrapNone/>
                <wp:docPr id="50" name="Frame47"/>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44</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to achieve annual corporate goals. We believe the equity-based compensation strongly aligns our PEO and Non-PEO NEOs’ interests with those of our shareholders to maximize long-term value and encourage long-term employment.</w:t>
      </w:r>
    </w:p>
    <w:p>
      <w:pPr>
        <w:pStyle w:val="TextBody"/>
        <w:spacing w:before="120" w:after="120"/>
        <w:jc w:val="center"/>
        <w:rPr/>
      </w:pPr>
      <w:r>
        <w:rPr/>
        <w:drawing>
          <wp:inline distT="0" distB="63500" distL="0" distR="0">
            <wp:extent cx="6515100" cy="3371850"/>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5"/>
                    <a:stretch>
                      <a:fillRect/>
                    </a:stretch>
                  </pic:blipFill>
                  <pic:spPr bwMode="auto">
                    <a:xfrm>
                      <a:off x="0" y="0"/>
                      <a:ext cx="6515100" cy="3371850"/>
                    </a:xfrm>
                    <a:prstGeom prst="rect">
                      <a:avLst/>
                    </a:prstGeom>
                  </pic:spPr>
                </pic:pic>
              </a:graphicData>
            </a:graphic>
          </wp:inline>
        </w:drawing>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maintain a compensation program for our non-employee directors. Under our non-employee director compensation program as in effect during 2022, each non-employee director received the following amounts for their services on our Board:</w:t>
      </w:r>
    </w:p>
    <w:p>
      <w:pPr>
        <w:pStyle w:val="TextBody"/>
        <w:spacing w:lineRule="auto" w:line="288" w:before="120" w:after="120"/>
        <w:ind w:left="0" w:right="0" w:firstLine="360"/>
        <w:rPr/>
      </w:pPr>
      <w:r>
        <w:rPr>
          <w:rFonts w:ascii="Times New Roman;sans-serif" w:hAnsi="Times New Roman;sans-serif"/>
          <w:b w:val="false"/>
          <w:i/>
          <w:color w:val="000000"/>
          <w:sz w:val="20"/>
        </w:rPr>
        <w:t>Initial Equity Award</w:t>
      </w:r>
      <w:r>
        <w:rPr>
          <w:rFonts w:ascii="Times New Roman;sans-serif" w:hAnsi="Times New Roman;sans-serif"/>
          <w:b w:val="false"/>
          <w:color w:val="000000"/>
          <w:sz w:val="20"/>
        </w:rPr>
        <w:t>. Upon a director’s initial election or appointment to our Board, the director received an option to purchase 80,000 shares of our Common Stock, which award vests in substantially equal monthly installments over three years following the date of grant, subject to accelerated vesting upon a change in control.</w:t>
      </w:r>
    </w:p>
    <w:p>
      <w:pPr>
        <w:pStyle w:val="TextBody"/>
        <w:spacing w:lineRule="auto" w:line="288" w:before="120" w:after="120"/>
        <w:ind w:left="0" w:right="0" w:firstLine="360"/>
        <w:rPr/>
      </w:pPr>
      <w:r>
        <w:rPr>
          <w:rFonts w:ascii="Times New Roman;sans-serif" w:hAnsi="Times New Roman;sans-serif"/>
          <w:b w:val="false"/>
          <w:i/>
          <w:color w:val="000000"/>
          <w:sz w:val="20"/>
        </w:rPr>
        <w:t>Annual Equity Award</w:t>
      </w:r>
      <w:r>
        <w:rPr>
          <w:rFonts w:ascii="Times New Roman;sans-serif" w:hAnsi="Times New Roman;sans-serif"/>
          <w:b w:val="false"/>
          <w:color w:val="000000"/>
          <w:sz w:val="20"/>
        </w:rPr>
        <w:t>. If a director has served on our Board for at least six months as of the first business day in January of each year, the director received an option to purchase 40,000 shares of our Common Stock on the that date, which award vests in a single installment on the first anniversary of the date of grant, subject to accelerated vesting upon a change in control. If such non-employee director served as the Chairman of the Board as of the first business day in January of each year, that non-employee director received an option to purchase 60,000 shares of our Common Stock that date, subject to the same vesting terms.</w:t>
      </w:r>
    </w:p>
    <w:p>
      <w:pPr>
        <w:pStyle w:val="TextBody"/>
        <w:spacing w:lineRule="auto" w:line="288" w:before="120" w:after="120"/>
        <w:ind w:left="0" w:right="0" w:firstLine="360"/>
        <w:rPr/>
      </w:pPr>
      <w:r>
        <w:rPr>
          <w:rFonts w:ascii="Times New Roman;sans-serif" w:hAnsi="Times New Roman;sans-serif"/>
          <w:b w:val="false"/>
          <w:i/>
          <w:color w:val="000000"/>
          <w:sz w:val="20"/>
        </w:rPr>
        <w:t>Annual Retainer Fees</w:t>
      </w:r>
      <w:r>
        <w:rPr>
          <w:rFonts w:ascii="Times New Roman;sans-serif" w:hAnsi="Times New Roman;sans-serif"/>
          <w:b w:val="false"/>
          <w:color w:val="000000"/>
          <w:sz w:val="20"/>
        </w:rPr>
        <w:t>. In addition to option grants, each director received an annual retainer for service on our Board and additional fees for service on a committee of our Board as follows: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annual director fee of $40,000;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chairman of the board, $30,000 and lead independent director, $20,000;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chairman of the Audit Committee, $15,000;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Audit Committee member other than the chairman, $7,500;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chairman of the Compensation Committee, $12,000;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Compensation Committee member other than the chairman, $6,000;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chairman of the Nominating and Corporate Governance Committee, $8,000;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Nominating and Corporate Governance Committee member other than the chairman, $4,000;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chairman of the Research and Development Committee, $12,000;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 xml:space="preserve">Research and Development Committee member other than the chairman, $6,000.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fees are paid in arrears in four equal quarterly installments not later than the fifteenth day following the final day of each calendar quarter, provided that the amount of each payment is prorated for any portion of a quarter that a director is not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09855"/>
                <wp:effectExtent l="0" t="0" r="0" b="0"/>
                <wp:wrapNone/>
                <wp:docPr id="52" name="Frame48"/>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45</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serving on our Board. Each member of our Board is entitled to be reimbursed for reasonable travel and other expenses incurred in connection with attending meetings of the Board and any committee of the Board on which he or she serves.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review of a competitive assessment performed by Compensia, effective December 8, 2022, the Board approved the following amendments to our non-employee director compensation program, which are intended to align our program with the median of market:</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Increasing the annual equity awards from options to purchase 60,000 shares of Common Stock to options to purchase 95,000 shares of Common Stock for the Chairman of the Board and from options to purchase 40,000 shares of Common Stock to options to purchase 75,000 shares of Common Stock for each other non-employee director.</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Increasing the annual retainer for service from $8,000 to $9,000 for the chairman of the Nominating and Corporate Governance Committee and from $4,000 to $4,500 for Nominating and Corporate Governance Committee members other than the chairman.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Brunn, our President and Chief Executive Officer, also serves on our Board but receives no additional compensation for this service.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earned to our non-employee directors for their service on our Board during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2022 Director Compensation Table</w:t>
      </w:r>
    </w:p>
    <w:tbl>
      <w:tblPr>
        <w:tblW w:w="10205" w:type="dxa"/>
        <w:jc w:val="left"/>
        <w:tblInd w:w="0" w:type="dxa"/>
        <w:tblCellMar>
          <w:top w:w="28" w:type="dxa"/>
          <w:left w:w="28" w:type="dxa"/>
          <w:bottom w:w="28" w:type="dxa"/>
          <w:right w:w="28" w:type="dxa"/>
        </w:tblCellMar>
      </w:tblPr>
      <w:tblGrid>
        <w:gridCol w:w="771"/>
        <w:gridCol w:w="656"/>
        <w:gridCol w:w="666"/>
        <w:gridCol w:w="109"/>
        <w:gridCol w:w="109"/>
        <w:gridCol w:w="109"/>
        <w:gridCol w:w="769"/>
        <w:gridCol w:w="769"/>
        <w:gridCol w:w="771"/>
        <w:gridCol w:w="109"/>
        <w:gridCol w:w="109"/>
        <w:gridCol w:w="109"/>
        <w:gridCol w:w="519"/>
        <w:gridCol w:w="487"/>
        <w:gridCol w:w="488"/>
        <w:gridCol w:w="109"/>
        <w:gridCol w:w="109"/>
        <w:gridCol w:w="109"/>
        <w:gridCol w:w="646"/>
        <w:gridCol w:w="646"/>
        <w:gridCol w:w="648"/>
        <w:gridCol w:w="109"/>
        <w:gridCol w:w="109"/>
        <w:gridCol w:w="109"/>
        <w:gridCol w:w="368"/>
        <w:gridCol w:w="368"/>
        <w:gridCol w:w="325"/>
      </w:tblGrid>
      <w:tr>
        <w:trPr/>
        <w:tc>
          <w:tcPr>
            <w:tcW w:w="77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2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Fees earned or paid in cash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2093"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Göran Ando, M.D.</w:t>
            </w:r>
            <w:r>
              <w:rPr>
                <w:color w:val="000000"/>
              </w:rPr>
              <w:t xml:space="preserve">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58,000 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157,556 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C. Barabe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55,000 </w:t>
            </w:r>
          </w:p>
        </w:tc>
        <w:tc>
          <w:tcPr>
            <w:tcW w:w="7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154,556 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Carrie S. Cox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83,500 </w:t>
            </w:r>
          </w:p>
        </w:tc>
        <w:tc>
          <w:tcPr>
            <w:tcW w:w="7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149,334 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232,834 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Nishan de Silva, M.D., M.B.A.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58,500 </w:t>
            </w:r>
          </w:p>
        </w:tc>
        <w:tc>
          <w:tcPr>
            <w:tcW w:w="7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158,056 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Scott D. Myers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56,034 </w:t>
            </w:r>
          </w:p>
        </w:tc>
        <w:tc>
          <w:tcPr>
            <w:tcW w:w="7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155,590 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Aymeric Sallin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46,000 </w:t>
            </w:r>
          </w:p>
        </w:tc>
        <w:tc>
          <w:tcPr>
            <w:tcW w:w="7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145,556 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A. Springer,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63,034 </w:t>
            </w:r>
          </w:p>
        </w:tc>
        <w:tc>
          <w:tcPr>
            <w:tcW w:w="7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162,590 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Patrick Zenner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55,568 </w:t>
            </w:r>
          </w:p>
        </w:tc>
        <w:tc>
          <w:tcPr>
            <w:tcW w:w="7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99,556 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155,124 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(1)Represents cash retainers earned for services rendered as members of the Board and related committees.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in our 2022 Annual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(3)Dr. Ando retired from the Board on January 4, 2023.</w:t>
      </w:r>
    </w:p>
    <w:p>
      <w:pPr>
        <w:pStyle w:val="TextBody"/>
        <w:spacing w:before="120" w:after="120"/>
        <w:rPr/>
      </w:pPr>
      <w:r>
        <w:rPr/>
      </w:r>
    </w:p>
    <w:p>
      <w:pPr>
        <w:pStyle w:val="TextBody"/>
        <w:spacing w:lineRule="auto" w:line="288" w:before="120" w:after="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aggregate number of option awards (exercisable and unexercisable) held by each non-employee director as of December 31, 2022. None of our non-employee directors held unvested stock awards in the Company as of that date.</w:t>
      </w:r>
    </w:p>
    <w:tbl>
      <w:tblPr>
        <w:tblW w:w="4257" w:type="dxa"/>
        <w:jc w:val="left"/>
        <w:tblInd w:w="0" w:type="dxa"/>
        <w:tblCellMar>
          <w:top w:w="28" w:type="dxa"/>
          <w:left w:w="28" w:type="dxa"/>
          <w:bottom w:w="28" w:type="dxa"/>
          <w:right w:w="28" w:type="dxa"/>
        </w:tblCellMar>
      </w:tblPr>
      <w:tblGrid>
        <w:gridCol w:w="813"/>
        <w:gridCol w:w="713"/>
        <w:gridCol w:w="724"/>
        <w:gridCol w:w="109"/>
        <w:gridCol w:w="109"/>
        <w:gridCol w:w="109"/>
        <w:gridCol w:w="491"/>
        <w:gridCol w:w="491"/>
        <w:gridCol w:w="698"/>
      </w:tblGrid>
      <w:tr>
        <w:trPr/>
        <w:tc>
          <w:tcPr>
            <w:tcW w:w="81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Options outstanding</w:t>
              <w:br/>
              <w:t>at fiscal year end</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Göran Ando,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C. Barabe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126,738 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Carrie S. Cox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170,000 </w:t>
            </w:r>
          </w:p>
        </w:tc>
        <w:tc>
          <w:tcPr>
            <w:tcW w:w="6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Nishan de Silva, M.D., M.B.A.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Scott D. Myers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120,000 </w:t>
            </w:r>
          </w:p>
        </w:tc>
        <w:tc>
          <w:tcPr>
            <w:tcW w:w="6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Aymeric Sallin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126,410 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A. Springer,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126,410 </w:t>
            </w:r>
          </w:p>
        </w:tc>
        <w:tc>
          <w:tcPr>
            <w:tcW w:w="6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Patrick Zenner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132,820 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09855"/>
                <wp:effectExtent l="0" t="0" r="0" b="0"/>
                <wp:wrapNone/>
                <wp:docPr id="53" name="Frame49"/>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46</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on our equity compensation plans as of December 31, 2022.</w:t>
      </w:r>
    </w:p>
    <w:tbl>
      <w:tblPr>
        <w:tblW w:w="10205" w:type="dxa"/>
        <w:jc w:val="left"/>
        <w:tblInd w:w="0" w:type="dxa"/>
        <w:tblCellMar>
          <w:top w:w="28" w:type="dxa"/>
          <w:left w:w="28" w:type="dxa"/>
          <w:bottom w:w="28" w:type="dxa"/>
          <w:right w:w="28" w:type="dxa"/>
        </w:tblCellMar>
      </w:tblPr>
      <w:tblGrid>
        <w:gridCol w:w="1400"/>
        <w:gridCol w:w="1233"/>
        <w:gridCol w:w="1226"/>
        <w:gridCol w:w="109"/>
        <w:gridCol w:w="109"/>
        <w:gridCol w:w="109"/>
        <w:gridCol w:w="599"/>
        <w:gridCol w:w="553"/>
        <w:gridCol w:w="535"/>
        <w:gridCol w:w="109"/>
        <w:gridCol w:w="109"/>
        <w:gridCol w:w="109"/>
        <w:gridCol w:w="412"/>
        <w:gridCol w:w="979"/>
        <w:gridCol w:w="230"/>
        <w:gridCol w:w="109"/>
        <w:gridCol w:w="109"/>
        <w:gridCol w:w="109"/>
        <w:gridCol w:w="604"/>
        <w:gridCol w:w="539"/>
        <w:gridCol w:w="539"/>
        <w:gridCol w:w="109"/>
        <w:gridCol w:w="109"/>
        <w:gridCol w:w="157"/>
      </w:tblGrid>
      <w:tr>
        <w:trPr/>
        <w:tc>
          <w:tcPr>
            <w:tcW w:w="1400"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 be issued upon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available for</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of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issuance under</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warrants and rights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plans</w:t>
            </w:r>
            <w:r>
              <w:rPr>
                <w:rFonts w:ascii="Times New Roman;sans-serif" w:hAnsi="Times New Roman;sans-serif"/>
                <w:b/>
                <w:color w:val="000000"/>
                <w:sz w:val="10"/>
              </w:rPr>
              <w:t>(2)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Equity compensation plans approved by security holders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15,300,209 </w:t>
            </w:r>
          </w:p>
        </w:tc>
        <w:tc>
          <w:tcPr>
            <w:tcW w:w="5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4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5,356,733 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r>
      <w:tr>
        <w:trPr/>
        <w:tc>
          <w:tcPr>
            <w:tcW w:w="38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Equity compensation plans not approved by security holders</w:t>
            </w:r>
            <w:r>
              <w:rPr>
                <w:color w:val="000000"/>
              </w:rPr>
              <w:t xml:space="preserve"> </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2,250,000 </w:t>
            </w:r>
          </w:p>
        </w:tc>
        <w:tc>
          <w:tcPr>
            <w:tcW w:w="5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425,858 </w:t>
            </w:r>
          </w:p>
        </w:tc>
        <w:tc>
          <w:tcPr>
            <w:tcW w:w="5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17,550,209 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5,782,591 </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(1)Represents the weighted-average exercise price of outstanding options and is calculated without taking into account outstanding restricted stock units.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(3)Includes the 2016 Plan, the 2008 Plan and the 2016 ESPP.</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(4)Includes outstanding options to purchase 13,382,096 shares of Common Stock and 1,705,558 outstanding restricted stock units to purchase shares of Common Stock under the 2016 Plan and outstanding options to purchase 212,555 shares of Common Stock under the 2008 Plan.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(5)As of December 31, 2022, the weighted-average exercise price of outstanding options under the 2016 Plan was $3.48 and the weighted-average exercise price of outstanding options under the 2008 Plan was $7.46.</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(6)Represents 1,719,015 shares available for issuance under the 2016 Plan and 3,637,718 shares available for issuance under the 2016 ESPP (of which 108,068 shares were issued with respect to the purchase period in effect as of December 31, 2022, which purchase period ended on February 28, 2023). To the extent outstanding stock options under the 2008 Plan are forfeited or lapse unexercised, the shares of Common Stock subject to such stock option awards will be available for issuance under the 2016 Plan.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(7)Includes the 2018 Plan. See Note 11 to our consolidated financial statements included in our 2022 Annual Report for a description of the material features of the 2018 Plan.</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(8)Includes outstanding options to purchase 2,250,000 shares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09855"/>
                <wp:effectExtent l="0" t="0" r="0" b="0"/>
                <wp:wrapNone/>
                <wp:docPr id="54" name="Frame50"/>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47</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17, 2023,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153,426,983 shares of Common Stock outstanding as of April 17, 2023.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17, 2023 are considered outstanding, although these shares are not considered outstanding for purposes of computing the percentage ownership of any other person.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tbl>
      <w:tblPr>
        <w:tblW w:w="8736" w:type="dxa"/>
        <w:jc w:val="left"/>
        <w:tblInd w:w="0" w:type="dxa"/>
        <w:tblCellMar>
          <w:top w:w="28" w:type="dxa"/>
          <w:left w:w="28" w:type="dxa"/>
          <w:bottom w:w="28" w:type="dxa"/>
          <w:right w:w="28" w:type="dxa"/>
        </w:tblCellMar>
      </w:tblPr>
      <w:tblGrid>
        <w:gridCol w:w="2098"/>
        <w:gridCol w:w="1843"/>
        <w:gridCol w:w="1849"/>
        <w:gridCol w:w="109"/>
        <w:gridCol w:w="109"/>
        <w:gridCol w:w="109"/>
        <w:gridCol w:w="480"/>
        <w:gridCol w:w="481"/>
        <w:gridCol w:w="311"/>
        <w:gridCol w:w="109"/>
        <w:gridCol w:w="109"/>
        <w:gridCol w:w="109"/>
        <w:gridCol w:w="233"/>
        <w:gridCol w:w="233"/>
        <w:gridCol w:w="554"/>
      </w:tblGrid>
      <w:tr>
        <w:trPr/>
        <w:tc>
          <w:tcPr>
            <w:tcW w:w="2098"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beneficially</w:t>
              <w:br/>
              <w:t>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shares</w:t>
              <w:br/>
              <w:t>beneficially</w:t>
              <w:br/>
              <w:t>owned</w:t>
            </w:r>
          </w:p>
        </w:tc>
      </w:tr>
      <w:tr>
        <w:trPr/>
        <w:tc>
          <w:tcPr>
            <w:tcW w:w="57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5%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Entities affiliated with Timothy A. Springer, Ph.D.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44,356,586 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Entities affiliated with Armistice Capital, LLC </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21,875,000 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Entities affiliated with EcoR1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12,668,251 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Entities affiliated with Mangrove Partners </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9,387,677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Named Executive Officers, Directors and Nominees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Carsten Brunn, Ph.D. </w:t>
            </w: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3,405,434 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Blaine Davis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Kevin Tan </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20,774 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Peter G. Traber, M.D. </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927,214 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Takashi Kei Kishimoto, Ph.D. </w:t>
            </w:r>
            <w:r>
              <w:rPr>
                <w:rFonts w:ascii="Times New Roman;sans-serif" w:hAnsi="Times New Roman;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1,028,432 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Lloyd Johnston, Ph.D. </w:t>
            </w:r>
            <w:r>
              <w:rPr>
                <w:rFonts w:ascii="Times New Roman;sans-serif" w:hAnsi="Times New Roman;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940,121 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Carrie S. Cox </w:t>
            </w:r>
            <w:r>
              <w:rPr>
                <w:rFonts w:ascii="Times New Roman;sans-serif" w:hAnsi="Times New Roman;sans-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415,721 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Göran Ando, M.D. </w:t>
            </w:r>
            <w:r>
              <w:rPr>
                <w:rFonts w:ascii="Times New Roman;sans-serif" w:hAnsi="Times New Roman;sans-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Timothy C. Barabe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376,751 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Nishan de Silva, M.D., M.B.A. </w:t>
            </w:r>
            <w:r>
              <w:rPr>
                <w:rFonts w:ascii="Times New Roman;sans-serif" w:hAnsi="Times New Roman;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98,111 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Scott D. Myers </w:t>
            </w:r>
            <w:r>
              <w:rPr>
                <w:rFonts w:ascii="Times New Roman;sans-serif" w:hAnsi="Times New Roman;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220,549 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Aymeric Sallin </w:t>
            </w:r>
            <w:r>
              <w:rPr>
                <w:rFonts w:ascii="Times New Roman;sans-serif" w:hAnsi="Times New Roman;sans-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126,410 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Timothy A. Springer, Ph.D.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44,356,586 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Patrick Zenner </w:t>
            </w:r>
            <w:r>
              <w:rPr>
                <w:rFonts w:ascii="Times New Roman;sans-serif" w:hAnsi="Times New Roman;sans-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188,068 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All executive officers, directors and director nominees as a group (14 persons) </w:t>
            </w:r>
            <w:r>
              <w:rPr>
                <w:rFonts w:ascii="Times New Roman;sans-serif" w:hAnsi="Times New Roman;sans-serif"/>
                <w:b w:val="false"/>
                <w:color w:val="000000"/>
                <w:sz w:val="10"/>
              </w:rPr>
              <w:t>(17)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52,104,171 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7961" w:type="dxa"/>
        <w:jc w:val="left"/>
        <w:tblInd w:w="0" w:type="dxa"/>
        <w:tblCellMar>
          <w:top w:w="28" w:type="dxa"/>
          <w:left w:w="28" w:type="dxa"/>
          <w:bottom w:w="28" w:type="dxa"/>
          <w:right w:w="28" w:type="dxa"/>
        </w:tblCellMar>
      </w:tblPr>
      <w:tblGrid>
        <w:gridCol w:w="124"/>
        <w:gridCol w:w="109"/>
        <w:gridCol w:w="109"/>
        <w:gridCol w:w="2226"/>
        <w:gridCol w:w="2226"/>
        <w:gridCol w:w="31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31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Represents beneficial ownership of less than one percent of our outstanding Common Stock.</w:t>
            </w:r>
          </w:p>
        </w:tc>
      </w:tr>
    </w:tbl>
    <w:p>
      <w:pPr>
        <w:pStyle w:val="TextBody"/>
        <w:spacing w:lineRule="auto" w:line="288" w:before="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(1)Based on a Schedule 13D/A filed with the SEC on December 27, 2021 and other information known to us, consists of (i) 7,293,625 shares of Common Stock held directly by Timothy A. Springer, Ph.D., a member of our Board, (ii) 126,410 shares of Common Stock issuable upon exercise of outstanding options within 60 days of April 17, 2023 and held directly by Timothy A. Springer, Ph.D., (iii) 29,868,490 shares of Common Stock held by TAS Partners LLC (“TAS”) directly, (iv) 6,981,643 shares of Common Stock issuable upon exercise of underlying warrants exercisable within 60 days of April 17, 2023 held by TAS directly, and (vi) 86,418 shares of Common Stock held by Dr. Chafen Lu, Dr.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9855"/>
                <wp:effectExtent l="0" t="0" r="0" b="0"/>
                <wp:wrapNone/>
                <wp:docPr id="55" name="Frame51"/>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48</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solely on information known to us, consists of (i) 12,500,000 shares of Common Stock held by Armistice Capital Master Fund Ltd., and (ii) 9,375,000 shares of Common Stock issuable upon exercise of underlying warrants exercisable within 60 days of April 17, 2023. Armistice Capital, LLC is the general partner of Armistice Capital Master Fund Ltd. The principal business address of Armistice Capital Master Fund Ltd. is 510 Madison Avenue, New York, NY 10022.</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17, 2023 held by EcoR1 Capital Fund, LP, (iii) 5,203,351 shares of Common Stock held by EcoR1 Capital Fund Qualified, LP (together with EcoR1 Capital Fund, LP, the “EcoR1 Funds”), and (iv) 4,355,993 shares of Common Stock issuable upon exercise of underlying warrants exercisable within 60 days of April 17, 2023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(4)Based on a Schedule 13G/A filed with the SEC on February 14, 2023 by Mangrove Partners, consists of (i) 5,260,419 shares of Common Stock over which Mangrove Partners Master Fund, Ltd., Mangrove Partners, and Nathaniel August (the “Mangrove Entities”) all share voting and dispositive power, and (ii) 4,127,258 shares of Common Stock issuable upon exercise of underlying warrants exercisable within 60 days of April 17, 2023 held by the Mangrove Entities. The principal address for Mangrove Partners Master Fund, Ltd. and Mangrove Partners is c/o Maples Corporate Services, Ltd., PO Box 309, Ugland House, South Church Street, George Town, Grand Cayman, Cayman Islands KY1-1104, and for Nathaniel August is 645 Madison Avenue, 14th Floor, New York, New York 10022.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(5)Consists of (i) 258,088 shares of Common Stock held by Dr. Brunn directly and (ii) 3,147,346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(6)Consists of 20,774 shares of Common Stock held by Mr. Tan directly. Mr. Tan departed the Company effective December 31, 2022. </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(7)Consists of (i) 156,731 shares of Common Stock held by Dr. Traber directly and (ii) 770,483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(8)Consists of (i) 202,403 shares of Common Stock held by Dr. Kishimoto directly and (ii) 826,029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(9)Consists of (i) 89,515 shares of Common Stock held by Dr. Johnston directly and (ii) 850,606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(10)Consists of (i) 212,881 shares of Common Stock held by Ms. Cox directly (ii) 32,840 shares of Common Stock issuable upon exercise of underlying warrants exercisable within 60 days of April 17, 2023, and (iii) 170,000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(11)We are not aware of any beneficial ownership of Common Stock by Dr. Ando, who retired from the Board on January 4,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(12)Consists of (i) 250,013 shares of Common Stock held by Mr. Barabe directly and (ii) 126,738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(13)Consists of (i) 7,000 shares of Common Stock held by Dr. de Silva directly and (ii) 91,111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(14)Consists of (i) 80,845 shares of Common Stock held by Mr. Myers directly, (ii) 19,704 shares of Common Stock issuable upon exercise of underlying warrants exercisable within 60 days of April 17, 2023, and (iii) 120,000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(15)Consists of 126,410 shares of Common Stock underlying outstanding stock options exercisable within 60 days of April 17, 2023 held by Mr. Sallin directly.</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09855"/>
                <wp:effectExtent l="0" t="0" r="0" b="0"/>
                <wp:wrapNone/>
                <wp:docPr id="56" name="Frame52"/>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49</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(16)Consists of 55,248 shares of Common Stock held by Mr. Zenner directly, and (ii) 132,820 shares of Common Stock underlying outstanding stock options exercisable within 60 days of April 17, 2023.</w:t>
      </w:r>
    </w:p>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(17)Includes (i) 38,582,031 shares of Common Stock owned directly or beneficially by our executive officers or members of our Board and (ii) 13,522,140 shares of Common Stock underlying outstanding stock options and warrants exercisable within 60 days of April 17, 2023.</w:t>
      </w:r>
    </w:p>
    <w:p>
      <w:pPr>
        <w:pStyle w:val="TextBody"/>
        <w:spacing w:before="120" w:after="120"/>
        <w:ind w:left="0" w:right="0" w:hanging="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9855"/>
                <wp:effectExtent l="0" t="0" r="0" b="0"/>
                <wp:wrapNone/>
                <wp:docPr id="57" name="Frame53"/>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50</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Certain Relationships</w:t>
      </w:r>
    </w:p>
    <w:p>
      <w:pPr>
        <w:pStyle w:val="TextBody"/>
        <w:spacing w:before="120" w:after="12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Policies And Procedures For Related Person Transactions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are certain transactions, arrangements and relationships with our directors, executive officers and stockholders owning 5% or more of our outstanding Common Stock since January 1,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April 2022 Offering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net proceeds to us of approximately $36.9 million. The following table sets forth the number of shares of Common Stock and accompanying warrants to purchase Common Stock purchased in our private placement offering by executive officers, as of the time of the offering, directors and related parties thereto:</w:t>
      </w:r>
    </w:p>
    <w:tbl>
      <w:tblPr>
        <w:tblW w:w="10205" w:type="dxa"/>
        <w:jc w:val="left"/>
        <w:tblInd w:w="0" w:type="dxa"/>
        <w:tblCellMar>
          <w:top w:w="28" w:type="dxa"/>
          <w:left w:w="28" w:type="dxa"/>
          <w:bottom w:w="28" w:type="dxa"/>
          <w:right w:w="28" w:type="dxa"/>
        </w:tblCellMar>
      </w:tblPr>
      <w:tblGrid>
        <w:gridCol w:w="1109"/>
        <w:gridCol w:w="895"/>
        <w:gridCol w:w="901"/>
        <w:gridCol w:w="109"/>
        <w:gridCol w:w="109"/>
        <w:gridCol w:w="109"/>
        <w:gridCol w:w="781"/>
        <w:gridCol w:w="662"/>
        <w:gridCol w:w="664"/>
        <w:gridCol w:w="109"/>
        <w:gridCol w:w="109"/>
        <w:gridCol w:w="109"/>
        <w:gridCol w:w="1096"/>
        <w:gridCol w:w="993"/>
        <w:gridCol w:w="996"/>
        <w:gridCol w:w="109"/>
        <w:gridCol w:w="109"/>
        <w:gridCol w:w="109"/>
        <w:gridCol w:w="359"/>
        <w:gridCol w:w="321"/>
        <w:gridCol w:w="447"/>
      </w:tblGrid>
      <w:tr>
        <w:trPr/>
        <w:tc>
          <w:tcPr>
            <w:tcW w:w="1109"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r>
      <w:tr>
        <w:trPr/>
        <w:tc>
          <w:tcPr>
            <w:tcW w:w="2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Common Stock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Common Stock Underlying Warrants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Purchase Price</w:t>
            </w:r>
          </w:p>
        </w:tc>
      </w:tr>
      <w:tr>
        <w:trPr/>
        <w:tc>
          <w:tcPr>
            <w:tcW w:w="29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6"/>
              </w:rPr>
              <w:t>5% Stockholders</w:t>
            </w:r>
            <w:r>
              <w:rPr>
                <w:rFonts w:ascii="Times New Roman;sans-serif" w:hAnsi="Times New Roman;sans-serif"/>
                <w:b/>
                <w:i/>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TAS Partners, LLC (affiliate of Timothy A. Springer,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6,681,600 </w:t>
            </w:r>
          </w:p>
        </w:tc>
        <w:tc>
          <w:tcPr>
            <w:tcW w:w="6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5,011,200 </w:t>
            </w:r>
          </w:p>
        </w:tc>
        <w:tc>
          <w:tcPr>
            <w:tcW w:w="9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$9,421,056</w:t>
            </w:r>
          </w:p>
        </w:tc>
      </w:tr>
    </w:tbl>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(1)Additional details regarding this stockholder and its equity holdings are provided in this proxy statement under the caption “Security Ownership of Certain Beneficial Owners and Management.”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employment agreements with our Named Executive Officers. For more information regarding these agreements, see the section in this proxy statement entitled “Executive and Director Compensation ⸻ Employment Agreements.”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Stockholders’ Proposals</w:t>
      </w:r>
    </w:p>
    <w:p>
      <w:pPr>
        <w:pStyle w:val="TextBody"/>
        <w:spacing w:lineRule="auto" w:line="288" w:before="120" w:after="120"/>
        <w:ind w:left="0" w:right="0" w:firstLine="360"/>
        <w:rPr/>
      </w:pPr>
      <w:r>
        <w:rPr>
          <w:rFonts w:ascii="Times New Roman;sans-serif" w:hAnsi="Times New Roman;sans-serif"/>
          <w:b w:val="false"/>
          <w:i/>
          <w:color w:val="000000"/>
          <w:sz w:val="20"/>
        </w:rPr>
        <w:t xml:space="preserve">Requirements for Stockholder Proposals or Nominations to be Brought Before the Annual Meeting. </w:t>
      </w:r>
      <w:r>
        <w:rPr>
          <w:rFonts w:ascii="Times New Roman;sans-serif" w:hAnsi="Times New Roman;sans-serif"/>
          <w:b w:val="false"/>
          <w:color w:val="000000"/>
          <w:sz w:val="20"/>
        </w:rPr>
        <w:t xml:space="preserve">Stockholders intending to present a proposal at the 2024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09855"/>
                <wp:effectExtent l="0" t="0" r="0" b="0"/>
                <wp:wrapNone/>
                <wp:docPr id="58" name="Frame54"/>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51</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90th day prior to the anniversary of the preceding year’s annual meeting. Therefore, the Company must receive notice of such a proposal or nomination for the 2024 Annual Meeting of Stockholders no earlier than the close of business on February 16, 2024 and no later than the close of business on March 18, 2024. The notice must contain the information required by the Bylaws, a copy of which is available upon request to our Secretary. In the event that the date of the 2024 Annual Meeting of Stockholders is more than 30 days before or more than 60 days after June 16, 2024, then our Secretary must receive such written notice not earlier than the close of business on the 120th day prior to the 2024 Annual Meeting of Stockholders and not later than the close of business on the 90th day prior to the 2024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2024 Annual Meeting of Stockholders must also comply with all applicable requirements of Rule 14a-19 under the Exchange Act. The advance notice requirement under Rule 14a-19 does not override or supersede the longer advance notice requirement under our Bylaws.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reserve the right to reject, rule out of order, or take other appropriate action with respect to any proposal that does not comply with these or other applicable requirements.</w:t>
      </w:r>
    </w:p>
    <w:p>
      <w:pPr>
        <w:pStyle w:val="TextBody"/>
        <w:spacing w:lineRule="auto" w:line="288" w:before="120" w:after="120"/>
        <w:ind w:left="0" w:right="0" w:firstLine="360"/>
        <w:rPr/>
      </w:pPr>
      <w:r>
        <w:rPr>
          <w:rFonts w:ascii="Times New Roman;sans-serif" w:hAnsi="Times New Roman;sans-serif"/>
          <w:b w:val="false"/>
          <w:i/>
          <w:color w:val="000000"/>
          <w:sz w:val="20"/>
        </w:rPr>
        <w:t>Requirements for Stockholder Proposals to be Considered for Inclusion in the Company’s Proxy Materials for the 2024 Annual Meeting of Stockholders</w:t>
      </w:r>
      <w:r>
        <w:rPr>
          <w:rFonts w:ascii="Times New Roman;sans-serif" w:hAnsi="Times New Roman;sans-serif"/>
          <w:b w:val="false"/>
          <w:color w:val="000000"/>
          <w:sz w:val="20"/>
        </w:rPr>
        <w:t>. Any stockholder who wishes to submit a proposal for inclusion in our proxy materials must comply with Rule 14a-8 promulgated under the Exchange Act. For such proposals to be included in our proxy materials for presentation at our 2024 Annual Meeting of Stockholders, all applicable requirements of Rule 14a-8 must be satisfied, and we must receive such proposals no later than December 29, 2023 at our offices at 65 Grove Street, Watertown, Massachusetts 02472, Attn: Secretary.</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Solicitation of Proxies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information contained in this proxy statement relating to the occupations and security holdings of our directors and officers is based upon information received from the individual directors and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09855"/>
                <wp:effectExtent l="0" t="0" r="0" b="0"/>
                <wp:wrapNone/>
                <wp:docPr id="59" name="Frame55"/>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52</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Selecta’s Annual Report on Form 10-K</w:t>
      </w:r>
    </w:p>
    <w:p>
      <w:pPr>
        <w:pStyle w:val="TextBody"/>
        <w:spacing w:before="120" w:after="120"/>
        <w:jc w:val="center"/>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Selecta’s Annual Report on Form 10-K for the fiscal year ended December 31, 2022, including financial statements and schedules thereto but not including exhibits, as filed with the SEC, will be sent to any stockholder of record on April 17, 2023 without charge upon written request addressed to: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Selecta Biosciences,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Secretary </w:t>
      </w:r>
    </w:p>
    <w:p>
      <w:pPr>
        <w:pStyle w:val="TextBody"/>
        <w:spacing w:lineRule="auto" w:line="288" w:before="0" w:after="0"/>
        <w:ind w:left="0" w:right="0" w:firstLine="585"/>
        <w:rPr>
          <w:rFonts w:ascii="Times New Roman;sans-serif" w:hAnsi="Times New Roman;sans-serif"/>
          <w:b w:val="false"/>
          <w:color w:val="000000"/>
          <w:sz w:val="20"/>
        </w:rPr>
      </w:pPr>
      <w:r>
        <w:rPr>
          <w:rFonts w:ascii="Times New Roman;sans-serif" w:hAnsi="Times New Roman;sans-serif"/>
          <w:b w:val="false"/>
          <w:color w:val="000000"/>
          <w:sz w:val="20"/>
        </w:rPr>
        <w:t>65 Grove Street</w:t>
      </w:r>
    </w:p>
    <w:p>
      <w:pPr>
        <w:pStyle w:val="TextBody"/>
        <w:spacing w:lineRule="auto" w:line="288" w:before="0" w:after="0"/>
        <w:ind w:left="0" w:right="0" w:firstLine="585"/>
        <w:rPr>
          <w:rFonts w:ascii="Times New Roman;sans-serif" w:hAnsi="Times New Roman;sans-serif"/>
          <w:b w:val="false"/>
          <w:color w:val="000000"/>
          <w:sz w:val="20"/>
        </w:rPr>
      </w:pPr>
      <w:r>
        <w:rPr>
          <w:rFonts w:ascii="Times New Roman;sans-serif" w:hAnsi="Times New Roman;sans-serif"/>
          <w:b w:val="false"/>
          <w:color w:val="000000"/>
          <w:sz w:val="20"/>
        </w:rPr>
        <w:t>Watertown, MA 02472</w:t>
      </w:r>
    </w:p>
    <w:p>
      <w:pPr>
        <w:pStyle w:val="TextBody"/>
        <w:spacing w:lineRule="auto" w:line="288" w:before="120" w:after="120"/>
        <w:ind w:left="0" w:right="0" w:firstLine="360"/>
        <w:rPr/>
      </w:pPr>
      <w:r>
        <w:rPr>
          <w:rFonts w:ascii="Times New Roman;sans-serif" w:hAnsi="Times New Roman;sans-serif"/>
          <w:b w:val="false"/>
          <w:color w:val="000000"/>
          <w:sz w:val="20"/>
        </w:rPr>
        <w:t xml:space="preserve">A reasonable fee will be charged for copies of exhibits. You also may access this proxy statement and our Annual Report on Form 10-K at </w:t>
      </w:r>
      <w:r>
        <w:rPr>
          <w:rFonts w:ascii="Times New Roman;sans-serif" w:hAnsi="Times New Roman;sans-serif"/>
          <w:b w:val="false"/>
          <w:i/>
          <w:color w:val="000000"/>
          <w:sz w:val="20"/>
        </w:rPr>
        <w:t>www.proxyvote.com</w:t>
      </w:r>
      <w:r>
        <w:rPr>
          <w:rFonts w:ascii="Times New Roman;sans-serif" w:hAnsi="Times New Roman;sans-serif"/>
          <w:b w:val="false"/>
          <w:color w:val="000000"/>
          <w:sz w:val="20"/>
        </w:rPr>
        <w:t xml:space="preserve">. You also may access our Annual Report on Form 10-K for the year ended December 31, 2022 on the “Financial Information” section of the “Investors &amp; Media” page of our website at </w:t>
      </w:r>
      <w:r>
        <w:rPr>
          <w:rFonts w:ascii="Times New Roman;sans-serif" w:hAnsi="Times New Roman;sans-serif"/>
          <w:b w:val="false"/>
          <w:i/>
          <w:color w:val="000000"/>
          <w:sz w:val="20"/>
        </w:rPr>
        <w:t>www.selectabio.com</w:t>
      </w:r>
      <w:r>
        <w:rPr>
          <w:rFonts w:ascii="Times New Roman;sans-serif" w:hAnsi="Times New Roman;sans-serif"/>
          <w:b w:val="false"/>
          <w:color w:val="000000"/>
          <w:sz w:val="20"/>
        </w:rPr>
        <w:t xml:space="preserve">. </w:t>
      </w:r>
    </w:p>
    <w:p>
      <w:pPr>
        <w:pStyle w:val="TextBody"/>
        <w:spacing w:before="120" w:after="12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spacing w:before="120" w:after="12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By Order of the Board of Directors </w:t>
      </w:r>
    </w:p>
    <w:p>
      <w:pPr>
        <w:pStyle w:val="TextBody"/>
        <w:spacing w:before="120" w:after="120"/>
        <w:rPr/>
      </w:pPr>
      <w:r>
        <w:rPr/>
      </w:r>
    </w:p>
    <w:p>
      <w:pPr>
        <w:pStyle w:val="TextBody"/>
        <w:spacing w:lineRule="auto" w:line="288" w:before="120" w:after="120"/>
        <w:rPr>
          <w:color w:val="000000"/>
        </w:rPr>
      </w:pPr>
      <w:r>
        <w:rPr>
          <w:color w:val="000000"/>
        </w:rPr>
        <w:t> </w:t>
      </w:r>
    </w:p>
    <w:tbl>
      <w:tblPr>
        <w:tblW w:w="4034" w:type="dxa"/>
        <w:jc w:val="left"/>
        <w:tblInd w:w="0" w:type="dxa"/>
        <w:tblCellMar>
          <w:top w:w="28" w:type="dxa"/>
          <w:left w:w="28" w:type="dxa"/>
          <w:bottom w:w="28" w:type="dxa"/>
          <w:right w:w="28" w:type="dxa"/>
        </w:tblCellMar>
      </w:tblPr>
      <w:tblGrid>
        <w:gridCol w:w="1293"/>
        <w:gridCol w:w="1135"/>
        <w:gridCol w:w="1606"/>
      </w:tblGrid>
      <w:tr>
        <w:trPr/>
        <w:tc>
          <w:tcPr>
            <w:tcW w:w="1293"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4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 Director</w:t>
            </w:r>
          </w:p>
        </w:tc>
      </w:tr>
    </w:tbl>
    <w:p>
      <w:pPr>
        <w:pStyle w:val="TextBody"/>
        <w:spacing w:before="20" w:after="12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Selecta Biosciences, Inc.</w:t>
      </w:r>
    </w:p>
    <w:p>
      <w:pPr>
        <w:pStyle w:val="TextBody"/>
        <w:spacing w:before="120" w:after="12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Watertown, Massachusetts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___________,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09855"/>
                <wp:effectExtent l="0" t="0" r="0" b="0"/>
                <wp:wrapNone/>
                <wp:docPr id="60" name="Frame56"/>
                <a:graphic xmlns:a="http://schemas.openxmlformats.org/drawingml/2006/main">
                  <a:graphicData uri="http://schemas.microsoft.com/office/word/2010/wordprocessingShape">
                    <wps:wsp>
                      <wps:cNvSpPr txBox="1"/>
                      <wps:spPr>
                        <a:xfrm>
                          <a:off x="0" y="0"/>
                          <a:ext cx="6480175" cy="109855"/>
                        </a:xfrm>
                        <a:prstGeom prst="rect"/>
                      </wps:spPr>
                      <wps:txb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5"/>
                        </w:rPr>
                      </w:pPr>
                      <w:r>
                        <w:rPr>
                          <w:rFonts w:ascii="Arial;sans-serif" w:hAnsi="Arial;sans-serif"/>
                          <w:b w:val="false"/>
                          <w:color w:val="000000"/>
                          <w:sz w:val="15"/>
                        </w:rPr>
                        <w:t>53</w:t>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drawing>
          <wp:inline distT="0" distB="63500" distL="0" distR="0">
            <wp:extent cx="6515100" cy="8391525"/>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6"/>
                    <a:stretch>
                      <a:fillRect/>
                    </a:stretch>
                  </pic:blipFill>
                  <pic:spPr bwMode="auto">
                    <a:xfrm>
                      <a:off x="0" y="0"/>
                      <a:ext cx="6515100" cy="8391525"/>
                    </a:xfrm>
                    <a:prstGeom prst="rect">
                      <a:avLst/>
                    </a:prstGeom>
                  </pic:spPr>
                </pic:pic>
              </a:graphicData>
            </a:graphic>
          </wp:inline>
        </w:drawing>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b79c18165ffd466592c8480f153786df_10">
        <w:r>
          <w:rPr>
            <w:rStyle w:val="InternetLink"/>
            <w:rFonts w:ascii="Times New Roman;sans-serif" w:hAnsi="Times New Roman;sans-serif"/>
            <w:b w:val="false"/>
            <w:color w:val="0000FF"/>
            <w:sz w:val="20"/>
            <w:u w:val="single"/>
          </w:rPr>
          <w:t>Table of Contents</w:t>
        </w:r>
      </w:hyperlink>
    </w:p>
    <w:p>
      <w:pPr>
        <w:pStyle w:val="TextBody"/>
        <w:jc w:val="center"/>
        <w:rPr/>
      </w:pPr>
      <w:r>
        <w:rPr/>
        <w:drawing>
          <wp:inline distT="0" distB="63500" distL="0" distR="0">
            <wp:extent cx="6515100" cy="8429625"/>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7"/>
                    <a:stretch>
                      <a:fillRect/>
                    </a:stretch>
                  </pic:blipFill>
                  <pic:spPr bwMode="auto">
                    <a:xfrm>
                      <a:off x="0" y="0"/>
                      <a:ext cx="6515100" cy="842962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32665</Words>
  <CharactersWithSpaces>211808</CharactersWithSpaces>
  <Paragraphs>2070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