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 Grove Street, Watertown, MA 02472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923-1400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SELB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October 25, 2021, Selecta Biosciences, Inc. (the “Company”) entered into a Sales Agreement (the “Sales Agreement”) with SVB Leerink LLC (“SVB Leerink”) to sell shares of the Company’s common stock, par value $0.0001 per share (the “Common Stock”), from time to time, through an “at the market” equity offering program under which SVB Leerink will act as sales agent. The shares of Common Stock sold pursuant to the Sales Agreement will be issued pursuant to the Company’s shelf registration statement on Form S-3 (File No. 333-241692), filed on August 6, 2020 with the Securities and Exchange Commission and related prospectus supplement, with respect to up to $75.0 million in sales of Common Stock, filed on October 25, 2021 with the Securities and Exchange Commission.</w:t>
      </w:r>
    </w:p>
    <w:p>
      <w:pPr>
        <w:spacing w:after="0" w:line="19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Under the Sales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Sales Agreement, SVB Leerink may sell the shares by methods deemed to be an “at the market offering” as defined in Rule 415(a)(4) promulgated under the Securities Act of 1933, as amended (the “Securities Act”), at market prices prevailing at the time of sale or at prices related to such prevailing market prices and/or any other method permitted by law. If expressly authorized by the Company, the SVB Leerink may also sell Common Stock in privately negotiated transactions. The Company will pay SVB Leerink a commission of up to 3.0% of the gross sales proceeds of any shares of Common Stock sold through SVB Leerink under the Sales Agreement, and also has provided SVB Leerink with customary indemnification rights. The offering of shares of Common Stock pursuant to the Sales Agreement will terminate upon the earlier of (i) the sale of all shares of Common Stock subject to the Sales Agreement and (ii) the termination of the Sales Agreement as permitted therein.</w:t>
      </w:r>
    </w:p>
    <w:p>
      <w:pPr>
        <w:spacing w:after="0" w:line="18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foregoing description of the material terms of the Sales Agreement is qualified in its entirety by reference to the full agreement, a copy of which is filed as Exhibit 1.1 to this Current Report on Form 8-K and is incorporated herein by reference.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legal opinion of Covington &amp; Burling LLP relating to the Common Stock being offered pursuant to the Sales Agreement is filed as Exhibit 5.1 to this Current Report on Form 8-K.</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On October 8, 2021, the Company delivered notice to Jefferies LLC that the Company was terminating its Open Market Sale Agreement (the “Sale Agreement”) with Jefferies LLC (“Jefferies”), with effect as of October 19, 2021. The Sale Agreement provided that the Company may sell Common Stock with aggregate gross sales proceeds of up to $50,000,000, from time to time, through an “at the market” equity offering program under which Jefferies acted as sales agent.</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1440" w:hanging="453"/>
        <w:spacing w:after="0"/>
        <w:tabs>
          <w:tab w:leader="none" w:pos="1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7"/>
        </w:trPr>
        <w:tc>
          <w:tcPr>
            <w:tcW w:w="1120" w:type="dxa"/>
            <w:vAlign w:val="bottom"/>
            <w:gridSpan w:val="2"/>
          </w:tcPr>
          <w:p>
            <w:pPr>
              <w:spacing w:after="0" w:line="147" w:lineRule="exact"/>
              <w:rPr>
                <w:sz w:val="20"/>
                <w:szCs w:val="20"/>
                <w:color w:val="auto"/>
              </w:rPr>
            </w:pPr>
            <w:r>
              <w:rPr>
                <w:rFonts w:ascii="Arial" w:cs="Arial" w:eastAsia="Arial" w:hAnsi="Arial"/>
                <w:sz w:val="14"/>
                <w:szCs w:val="14"/>
                <w:color w:val="auto"/>
              </w:rPr>
              <w:t>NUMBER</w:t>
            </w:r>
          </w:p>
        </w:tc>
        <w:tc>
          <w:tcPr>
            <w:tcW w:w="7220" w:type="dxa"/>
            <w:vAlign w:val="bottom"/>
            <w:gridSpan w:val="4"/>
          </w:tcPr>
          <w:p>
            <w:pPr>
              <w:spacing w:after="0" w:line="147" w:lineRule="exact"/>
              <w:rPr>
                <w:sz w:val="20"/>
                <w:szCs w:val="20"/>
                <w:color w:val="auto"/>
              </w:rPr>
            </w:pPr>
            <w:r>
              <w:rPr>
                <w:rFonts w:ascii="Arial" w:cs="Arial" w:eastAsia="Arial" w:hAnsi="Arial"/>
                <w:sz w:val="14"/>
                <w:szCs w:val="14"/>
                <w:color w:val="auto"/>
              </w:rPr>
              <w:t>EXHIBIT DESCRIPTION</w:t>
            </w: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4"/>
        </w:trPr>
        <w:tc>
          <w:tcPr>
            <w:tcW w:w="600" w:type="dxa"/>
            <w:vAlign w:val="bottom"/>
          </w:tcPr>
          <w:p>
            <w:pPr>
              <w:jc w:val="right"/>
              <w:ind w:right="216"/>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2"/>
                <w:szCs w:val="22"/>
                <w:color w:val="auto"/>
              </w:rPr>
            </w:pPr>
          </w:p>
        </w:tc>
        <w:tc>
          <w:tcPr>
            <w:tcW w:w="72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Sales Agreement, dated October 25, 2021, between Selecta Biosciences, Inc. and SVB Leerink LLC</w:t>
              </w:r>
            </w:hyperlink>
          </w:p>
        </w:tc>
      </w:tr>
      <w:tr>
        <w:trPr>
          <w:trHeight w:val="304"/>
        </w:trPr>
        <w:tc>
          <w:tcPr>
            <w:tcW w:w="600" w:type="dxa"/>
            <w:vAlign w:val="bottom"/>
          </w:tcPr>
          <w:p>
            <w:pPr>
              <w:jc w:val="right"/>
              <w:ind w:right="216"/>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722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Opinion of Covington &amp; Burling LLP</w:t>
              </w:r>
            </w:hyperlink>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04"/>
        </w:trPr>
        <w:tc>
          <w:tcPr>
            <w:tcW w:w="600" w:type="dxa"/>
            <w:vAlign w:val="bottom"/>
          </w:tcPr>
          <w:p>
            <w:pPr>
              <w:jc w:val="right"/>
              <w:ind w:right="216"/>
              <w:spacing w:after="0"/>
              <w:rPr>
                <w:sz w:val="20"/>
                <w:szCs w:val="20"/>
                <w:color w:val="auto"/>
              </w:rPr>
            </w:pPr>
            <w:r>
              <w:rPr>
                <w:rFonts w:ascii="Arial" w:cs="Arial" w:eastAsia="Arial" w:hAnsi="Arial"/>
                <w:sz w:val="18"/>
                <w:szCs w:val="18"/>
                <w:color w:val="auto"/>
                <w:w w:val="79"/>
              </w:rPr>
              <w:t>23.1</w:t>
            </w:r>
          </w:p>
        </w:tc>
        <w:tc>
          <w:tcPr>
            <w:tcW w:w="520" w:type="dxa"/>
            <w:vAlign w:val="bottom"/>
          </w:tcPr>
          <w:p>
            <w:pPr>
              <w:spacing w:after="0"/>
              <w:rPr>
                <w:sz w:val="24"/>
                <w:szCs w:val="24"/>
                <w:color w:val="auto"/>
              </w:rPr>
            </w:pPr>
          </w:p>
        </w:tc>
        <w:tc>
          <w:tcPr>
            <w:tcW w:w="45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Consent of Covington &amp; Burling LLP (included in Exhibit 5.1)</w:t>
              </w:r>
            </w:hyperlink>
          </w:p>
        </w:tc>
        <w:tc>
          <w:tcPr>
            <w:tcW w:w="2660" w:type="dxa"/>
            <w:vAlign w:val="bottom"/>
          </w:tcPr>
          <w:p>
            <w:pPr>
              <w:spacing w:after="0"/>
              <w:rPr>
                <w:sz w:val="24"/>
                <w:szCs w:val="24"/>
                <w:color w:val="auto"/>
              </w:rPr>
            </w:pPr>
          </w:p>
        </w:tc>
      </w:tr>
      <w:tr>
        <w:trPr>
          <w:trHeight w:val="345"/>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Carsten Brunn,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($0.0001 par value per 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October 25, 2021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Selecta Biosciences,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SVB Leerink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720" w:firstLine="436"/>
        <w:spacing w:after="0" w:line="27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first-mentioned Person. The term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w:t>
      </w:r>
      <w:r>
        <w:rPr>
          <w:rFonts w:ascii="Arial" w:cs="Arial" w:eastAsia="Arial" w:hAnsi="Arial"/>
          <w:sz w:val="18"/>
          <w:szCs w:val="18"/>
          <w:color w:val="auto"/>
        </w:rPr>
        <w:t xml:space="preserve"> </w:t>
      </w:r>
      <w:r>
        <w:rPr>
          <w:rFonts w:ascii="Arial" w:cs="Arial" w:eastAsia="Arial" w:hAnsi="Arial"/>
          <w:sz w:val="18"/>
          <w:szCs w:val="18"/>
          <w:b w:val="1"/>
          <w:bCs w:val="1"/>
          <w:color w:val="auto"/>
        </w:rPr>
        <w:t>control with</w:t>
      </w:r>
      <w:r>
        <w:rPr>
          <w:rFonts w:ascii="Arial" w:cs="Arial" w:eastAsia="Arial" w:hAnsi="Arial"/>
          <w:sz w:val="18"/>
          <w:szCs w:val="18"/>
          <w:color w:val="auto"/>
        </w:rPr>
        <w:t>”) means the possession, direct or indirect, of the power to direct or cause the direction of the management and policies of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through the ownership of voting securities, by contract or otherwise.</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Period</w:t>
      </w:r>
      <w:r>
        <w:rPr>
          <w:rFonts w:ascii="Arial" w:cs="Arial" w:eastAsia="Arial" w:hAnsi="Arial"/>
          <w:sz w:val="18"/>
          <w:szCs w:val="18"/>
          <w:color w:val="auto"/>
        </w:rPr>
        <w:t xml:space="preserve">” means the period commencing on the date of this Agreement and expiring on the date this Agreement is terminated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ectPr>
          <w:pgSz w:w="11900" w:h="16838" w:orient="portrait"/>
          <w:cols w:equalWidth="0" w:num="1">
            <w:col w:w="11020"/>
          </w:cols>
          <w:pgMar w:left="440" w:top="121" w:right="439" w:bottom="1440" w:gutter="0" w:footer="0" w:header="0"/>
        </w:sectPr>
      </w:pPr>
    </w:p>
    <w:bookmarkStart w:id="4" w:name="page5"/>
    <w:bookmarkEnd w:id="4"/>
    <w:p>
      <w:pPr>
        <w:ind w:left="4"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 in each case as authorized by the Company’s board of directors or a duly authorized committee thereof.</w:t>
      </w:r>
    </w:p>
    <w:p>
      <w:pPr>
        <w:spacing w:after="0" w:line="189"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from the sale of any Shares.</w:t>
      </w:r>
    </w:p>
    <w:p>
      <w:pPr>
        <w:spacing w:after="0" w:line="225"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Common Shares issued or issuable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jc w:val="both"/>
        <w:ind w:left="4" w:right="20" w:hanging="4"/>
        <w:spacing w:after="0" w:line="253"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each Settlement Date, (4) each Triggering Event Date with respect to which the Company is obligated to deliver a certificate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and (5) 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Time of Sale Information (including the Prospectus and any documents incorporated by reference therein and any supplements thereto) on or before a Representation Date:</w:t>
      </w:r>
    </w:p>
    <w:p>
      <w:pPr>
        <w:spacing w:after="0" w:line="192"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Commission a shelf registration statement on Form S-3 (or a successor registration statement on such form pertaining to the Shares to be sold pursuant to this Agreement) that contains a base prospectus relating to the issuance and sale of certain securities (the “</w:t>
      </w:r>
      <w:r>
        <w:rPr>
          <w:rFonts w:ascii="Arial" w:cs="Arial" w:eastAsia="Arial" w:hAnsi="Arial"/>
          <w:sz w:val="16"/>
          <w:szCs w:val="16"/>
          <w:b w:val="1"/>
          <w:bCs w:val="1"/>
          <w:color w:val="auto"/>
        </w:rPr>
        <w:t>Base Prospectus</w:t>
      </w:r>
      <w:r>
        <w:rPr>
          <w:rFonts w:ascii="Arial" w:cs="Arial" w:eastAsia="Arial" w:hAnsi="Arial"/>
          <w:sz w:val="16"/>
          <w:szCs w:val="16"/>
          <w:color w:val="auto"/>
        </w:rPr>
        <w:t>”). The Company has prepared a prospectus supplement to the Base Prospectus included as part of such Registration Statement at the time the Registration Statement became effective, which prospectus supplement specifically relates to the Shares to be issued from time to time pursuant to this Agreement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Such registration statement registers the issuance and sale by the Company of the Shares under the Securities Act.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together with Prospectus Supplement and any other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w:t>
      </w:r>
    </w:p>
    <w:p>
      <w:pPr>
        <w:sectPr>
          <w:pgSz w:w="11900" w:h="16838" w:orient="portrait"/>
          <w:cols w:equalWidth="0" w:num="1">
            <w:col w:w="11004"/>
          </w:cols>
          <w:pgMar w:left="436" w:top="270" w:right="45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Prospectus</w:t>
      </w:r>
      <w:r>
        <w:rPr>
          <w:rFonts w:ascii="Arial" w:cs="Arial" w:eastAsia="Arial" w:hAnsi="Arial"/>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8"/>
          <w:szCs w:val="18"/>
          <w:b w:val="1"/>
          <w:bCs w:val="1"/>
          <w:color w:val="auto"/>
        </w:rPr>
        <w:t>Prospectus</w:t>
      </w:r>
      <w:r>
        <w:rPr>
          <w:rFonts w:ascii="Arial" w:cs="Arial" w:eastAsia="Arial" w:hAnsi="Arial"/>
          <w:sz w:val="18"/>
          <w:szCs w:val="18"/>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8"/>
          <w:szCs w:val="18"/>
          <w:b w:val="1"/>
          <w:bCs w:val="1"/>
          <w:color w:val="auto"/>
        </w:rPr>
        <w:t>Original Registration Statement</w:t>
      </w:r>
      <w:r>
        <w:rPr>
          <w:rFonts w:ascii="Arial" w:cs="Arial" w:eastAsia="Arial" w:hAnsi="Arial"/>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9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Interactive Data Electronic Applications.</w:t>
      </w:r>
    </w:p>
    <w:p>
      <w:pPr>
        <w:spacing w:after="0" w:line="166"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At the time the Registration Statement was declared effective, the Company met or will meet the then-applicable requirements for use of Form S-3 under the Securities Act. During the Agency Period, each time the Company has filed or files an annual report on Form 10-K the Company will meet the then-applicable requirements for use of Form S-3 under the Securities Act, including, but not limited to, General Instruction I.B.1 thereto.</w:t>
      </w:r>
    </w:p>
    <w:p>
      <w:pPr>
        <w:spacing w:after="0" w:line="149" w:lineRule="exact"/>
        <w:rPr>
          <w:sz w:val="20"/>
          <w:szCs w:val="20"/>
          <w:color w:val="auto"/>
        </w:rPr>
      </w:pPr>
    </w:p>
    <w:p>
      <w:pPr>
        <w:ind w:right="200" w:firstLine="436"/>
        <w:spacing w:after="0" w:line="296"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Compliance with Registration Requirements</w:t>
      </w:r>
      <w:r>
        <w:rPr>
          <w:rFonts w:ascii="Arial" w:cs="Arial" w:eastAsia="Arial" w:hAnsi="Arial"/>
          <w:sz w:val="16"/>
          <w:szCs w:val="16"/>
          <w:color w:val="auto"/>
        </w:rPr>
        <w:t>. The Original Registration Statement has been and any Rule 462(b) Registration Statement will have been or will be declared effective by the Commission under the Securities Act.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61"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The Prospectus when filed complied in all material respects with the Securities Act and, if filed by electronic transmission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xml:space="preserve">”)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as the case may be, in all material respects with the Securities Act and did not and will not, as the case may be,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considered together do not contain any untrue statement of a material fact or omit to state a material fact necessary to make the statements therein, in the light of the circumstances under which they were made, not misleading. The Prospectus as of its date and at each Representation Date, does not and will not, as the case may be,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Free Writing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The Registration Statement and the offer and sale of the Shares as contemplated hereby meet the requirements of Rule 415 under the Securities Act and comply in all material respects with said Rule.</w:t>
      </w:r>
    </w:p>
    <w:p>
      <w:pPr>
        <w:sectPr>
          <w:pgSz w:w="11900" w:h="16838" w:orient="portrait"/>
          <w:cols w:equalWidth="0" w:num="1">
            <w:col w:w="11000"/>
          </w:cols>
          <w:pgMar w:left="440" w:top="270" w:right="459" w:bottom="1440" w:gutter="0" w:footer="0" w:header="0"/>
        </w:sectPr>
      </w:pPr>
    </w:p>
    <w:bookmarkStart w:id="6" w:name="page7"/>
    <w:bookmarkEnd w:id="6"/>
    <w:p>
      <w:pPr>
        <w:ind w:left="-436" w:right="40" w:firstLine="436"/>
        <w:spacing w:after="0" w:line="269"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Ineligible Issuer Status</w:t>
      </w:r>
      <w:r>
        <w:rPr>
          <w:rFonts w:ascii="Arial" w:cs="Arial" w:eastAsia="Arial" w:hAnsi="Arial"/>
          <w:sz w:val="17"/>
          <w:szCs w:val="17"/>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as the case may be, in all material respects with the requirements of Rule 433 under the Securities Act, including timely filing with the Commission or retention where required and legending pursuant to Rule 433 under the Securities Act,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as then amended and supplemented. Except for the Free Writing Prospectuses, if any, and electronic road shows related to the offering of Shares, if any, in each case, furnished to you before first use, the Company has not prepared, used or referred to, and will not, without your prior consent, prepare, use or refer to, any Free Writing Prospectus.</w:t>
      </w:r>
    </w:p>
    <w:p>
      <w:pPr>
        <w:spacing w:after="0" w:line="181" w:lineRule="exact"/>
        <w:rPr>
          <w:rFonts w:ascii="Arial" w:cs="Arial" w:eastAsia="Arial" w:hAnsi="Arial"/>
          <w:sz w:val="17"/>
          <w:szCs w:val="17"/>
          <w:color w:val="auto"/>
        </w:rPr>
      </w:pPr>
    </w:p>
    <w:p>
      <w:pPr>
        <w:ind w:left="-436" w:right="40" w:firstLine="436"/>
        <w:spacing w:after="0" w:line="30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ind w:left="-436" w:firstLine="436"/>
        <w:spacing w:after="0" w:line="272"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related thereto complied or will comply, at the time of such filing or effectiveness, in all material respects with the requirements of the Exchange Act, and, when read together with the other information in the Prospectus, at the time the Registration Statement and any amendments thereto become effective and at each Representation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left="-436" w:right="240" w:firstLine="436"/>
        <w:spacing w:after="0" w:line="277"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EGC Status</w:t>
      </w:r>
      <w:r>
        <w:rPr>
          <w:rFonts w:ascii="Arial" w:cs="Arial" w:eastAsia="Arial" w:hAnsi="Arial"/>
          <w:sz w:val="18"/>
          <w:szCs w:val="18"/>
          <w:color w:val="auto"/>
        </w:rPr>
        <w:t>. The Company qualifies as an emerging growth company, as defined in Section 2(a)(19) of the Securities Act, until no later than December 31, 2021.</w:t>
      </w:r>
    </w:p>
    <w:p>
      <w:pPr>
        <w:spacing w:after="0" w:line="170" w:lineRule="exact"/>
        <w:rPr>
          <w:sz w:val="20"/>
          <w:szCs w:val="20"/>
          <w:color w:val="auto"/>
        </w:rPr>
      </w:pPr>
    </w:p>
    <w:p>
      <w:pPr>
        <w:jc w:val="both"/>
        <w:ind w:left="-436" w:right="120" w:firstLine="436"/>
        <w:spacing w:after="0" w:line="259" w:lineRule="auto"/>
        <w:tabs>
          <w:tab w:leader="none" w:pos="22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Agreement</w:t>
      </w:r>
      <w:r>
        <w:rPr>
          <w:rFonts w:ascii="Arial" w:cs="Arial" w:eastAsia="Arial" w:hAnsi="Arial"/>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86" w:lineRule="exact"/>
        <w:rPr>
          <w:rFonts w:ascii="Arial" w:cs="Arial" w:eastAsia="Arial" w:hAnsi="Arial"/>
          <w:sz w:val="18"/>
          <w:szCs w:val="18"/>
          <w:color w:val="auto"/>
        </w:rPr>
      </w:pPr>
    </w:p>
    <w:p>
      <w:pPr>
        <w:ind w:left="-436" w:right="20" w:firstLine="436"/>
        <w:spacing w:after="0" w:line="293"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and outstanding capitalization as set forth in the sections of the Registration Statement and the Prospectus entitled “Capitalization” and “Description of Capital Stock” (subject to the issuance of Common Shares upon exercise of stock options and warrants disclosed as outstanding in the Registration Statement and the Prospectus and the grant of options under existing stock option plans described in the Registration Statement and the Prospectus); all of the issued and outstanding shares of capital stock of the Company, including the Common Shares, have been duly authorized and validly issued and are fully paid and non-assessable, have been issued in compliance with all applicable securities laws and were not issued in violation of any preemptive right, resale right, right of first refusal or similar right.</w:t>
      </w:r>
    </w:p>
    <w:p>
      <w:pPr>
        <w:spacing w:after="0" w:line="164" w:lineRule="exact"/>
        <w:rPr>
          <w:rFonts w:ascii="Arial" w:cs="Arial" w:eastAsia="Arial" w:hAnsi="Arial"/>
          <w:sz w:val="16"/>
          <w:szCs w:val="16"/>
          <w:color w:val="auto"/>
        </w:rPr>
      </w:pPr>
    </w:p>
    <w:p>
      <w:pPr>
        <w:ind w:left="-436" w:right="40" w:firstLine="436"/>
        <w:spacing w:after="0" w:line="31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Good Standing of Company</w:t>
      </w:r>
      <w:r>
        <w:rPr>
          <w:rFonts w:ascii="Arial" w:cs="Arial" w:eastAsia="Arial" w:hAnsi="Arial"/>
          <w:sz w:val="16"/>
          <w:szCs w:val="16"/>
          <w:color w:val="auto"/>
        </w:rPr>
        <w:t>. 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and the Prospectus, and to execute and deliver this Agreement and to issue, sell and deliver the Shares as contemplated herein.</w:t>
      </w:r>
    </w:p>
    <w:p>
      <w:pPr>
        <w:sectPr>
          <w:pgSz w:w="11900" w:h="16838" w:orient="portrait"/>
          <w:cols w:equalWidth="0" w:num="1">
            <w:col w:w="10584"/>
          </w:cols>
          <w:pgMar w:left="876" w:top="274" w:right="439" w:bottom="1440" w:gutter="0" w:footer="0" w:header="0"/>
        </w:sectPr>
      </w:pPr>
    </w:p>
    <w:bookmarkStart w:id="7" w:name="page8"/>
    <w:bookmarkEnd w:id="7"/>
    <w:p>
      <w:pPr>
        <w:ind w:left="-436" w:firstLine="436"/>
        <w:spacing w:after="0" w:line="254"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Qualification of Company</w:t>
      </w:r>
      <w:r>
        <w:rPr>
          <w:rFonts w:ascii="Arial" w:cs="Arial" w:eastAsia="Arial" w:hAnsi="Arial"/>
          <w:sz w:val="18"/>
          <w:szCs w:val="18"/>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taken as a whole, (ii) prevent or materially interfere with the consummation of the transactions contemplated hereby or (iii) result in the delisting of the Common Shares from the Nasdaq Global Market (the occurrence of any such effect or any such prevention or interference or any such result described in the foregoing clauses (i), (ii) or (iii) being herein referred to as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436" w:right="20" w:firstLine="436"/>
        <w:spacing w:after="0" w:line="267" w:lineRule="auto"/>
        <w:tabs>
          <w:tab w:leader="none" w:pos="21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and Foreign Qualification of Subsidiaries</w:t>
      </w:r>
      <w:r>
        <w:rPr>
          <w:rFonts w:ascii="Arial" w:cs="Arial" w:eastAsia="Arial" w:hAnsi="Arial"/>
          <w:sz w:val="17"/>
          <w:szCs w:val="17"/>
          <w:color w:val="auto"/>
        </w:rPr>
        <w:t>. The Company has no subsidiaries (as defined under the Securities Act) other than the subsidiaries most recently disclosed in its filings available on EDGAR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or similar governing documents of the Company and each Subsidiary and all amendments thereto have been delivered to you (including by being made available to you through EDGAR), and no changes therein will be made on or after the date hereof through and including the time of any time of purchase;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and each “significant subsidiary” of the Company, as that term is defined in Rule 1-02(w) of Regulation S-X under the Securities Act, is listed in Exhibit 21.1 to the Company’s most recent Annual Report on Form 10-K (or otherwise in a subsequent filing available on EDGAR).</w:t>
      </w:r>
    </w:p>
    <w:p>
      <w:pPr>
        <w:spacing w:after="0" w:line="188" w:lineRule="exact"/>
        <w:rPr>
          <w:rFonts w:ascii="Arial" w:cs="Arial" w:eastAsia="Arial" w:hAnsi="Arial"/>
          <w:sz w:val="17"/>
          <w:szCs w:val="17"/>
          <w:color w:val="auto"/>
        </w:rPr>
      </w:pPr>
    </w:p>
    <w:p>
      <w:pPr>
        <w:ind w:left="-436" w:right="160" w:firstLine="436"/>
        <w:spacing w:after="0" w:line="273" w:lineRule="auto"/>
        <w:tabs>
          <w:tab w:leader="none" w:pos="25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Authorization of the Shares</w:t>
      </w:r>
      <w:r>
        <w:rPr>
          <w:rFonts w:ascii="Arial" w:cs="Arial" w:eastAsia="Arial" w:hAnsi="Arial"/>
          <w:sz w:val="17"/>
          <w:szCs w:val="17"/>
          <w:color w:val="auto"/>
        </w:rPr>
        <w:t>. 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except for any such rights that have been waived; the Shares, when issued and delivered against payment therefor as provided herein, will be free of any restriction upon the voting or transfer thereof pursuant to the Delaware General Corporation Law or the Company’s charter and bylaws, each as amended to date and in the form filed as an exhibit to the Registration Statement, and any agreement or other instrument to which the Company is a party, except for any such rights that have been waived.</w:t>
      </w:r>
    </w:p>
    <w:p>
      <w:pPr>
        <w:spacing w:after="0" w:line="177" w:lineRule="exact"/>
        <w:rPr>
          <w:rFonts w:ascii="Arial" w:cs="Arial" w:eastAsia="Arial" w:hAnsi="Arial"/>
          <w:sz w:val="17"/>
          <w:szCs w:val="17"/>
          <w:color w:val="auto"/>
        </w:rPr>
      </w:pPr>
    </w:p>
    <w:p>
      <w:pPr>
        <w:ind w:left="-436" w:right="380" w:firstLine="436"/>
        <w:spacing w:after="0" w:line="277"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Description of Capital Stock</w:t>
      </w:r>
      <w:r>
        <w:rPr>
          <w:rFonts w:ascii="Arial" w:cs="Arial" w:eastAsia="Arial" w:hAnsi="Arial"/>
          <w:sz w:val="18"/>
          <w:szCs w:val="18"/>
          <w:color w:val="auto"/>
        </w:rPr>
        <w:t>. The capital stock of the Company, including the Shares, conforms in all material respects to each description thereof, if any, contained or incorporated by reference in the Registration Statement and the Prospectus.</w:t>
      </w:r>
    </w:p>
    <w:p>
      <w:pPr>
        <w:spacing w:after="0" w:line="170" w:lineRule="exact"/>
        <w:rPr>
          <w:rFonts w:ascii="Arial" w:cs="Arial" w:eastAsia="Arial" w:hAnsi="Arial"/>
          <w:sz w:val="18"/>
          <w:szCs w:val="18"/>
          <w:color w:val="auto"/>
        </w:rPr>
      </w:pPr>
    </w:p>
    <w:p>
      <w:pPr>
        <w:ind w:left="-436" w:right="160" w:firstLine="436"/>
        <w:spacing w:after="0" w:line="259" w:lineRule="auto"/>
        <w:tabs>
          <w:tab w:leader="none" w:pos="30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w:t>
      </w:r>
    </w:p>
    <w:p>
      <w:pPr>
        <w:sectPr>
          <w:pgSz w:w="11900" w:h="16838" w:orient="portrait"/>
          <w:cols w:equalWidth="0" w:num="1">
            <w:col w:w="10564"/>
          </w:cols>
          <w:pgMar w:left="876" w:top="274" w:right="459" w:bottom="1440" w:gutter="0" w:footer="0" w:header="0"/>
        </w:sectPr>
      </w:pPr>
    </w:p>
    <w:bookmarkStart w:id="8" w:name="page9"/>
    <w:bookmarkEnd w:id="8"/>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affected, or (C) any U.S. federal, state, local or foreign law, regulation or rule, or (D) any rule or regulation of any self-regulatory organization or other non-governmental regulatory authority having jurisdiction over the Company or the Subsidiaries (including, without limitation, the rules and regulations of the Nasdaq Global Market),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 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federal, state, local or foreign law, regulation or rule, or (D) any rule or regulation of any self-regulatory organization or other non-governmental regulatory authority having jurisdiction over the Company or the Shares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pacing w:after="0" w:line="169" w:lineRule="exact"/>
        <w:rPr>
          <w:sz w:val="20"/>
          <w:szCs w:val="20"/>
          <w:color w:val="auto"/>
        </w:rPr>
      </w:pPr>
    </w:p>
    <w:p>
      <w:pPr>
        <w:ind w:left="4" w:firstLine="436"/>
        <w:spacing w:after="0" w:line="269" w:lineRule="auto"/>
        <w:tabs>
          <w:tab w:leader="none" w:pos="699"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No Further Authorizations or Approvals Required</w:t>
      </w:r>
      <w:r>
        <w:rPr>
          <w:rFonts w:ascii="Arial" w:cs="Arial" w:eastAsia="Arial" w:hAnsi="Arial"/>
          <w:sz w:val="17"/>
          <w:szCs w:val="17"/>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Shares or the consummation by the Company of the transactions contemplated hereby, other than (i) the registration of the Shares under the Securities Act ,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Agent, (iii) under the Conduct Rules of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(iv) any listing applications and related consents or any notices required by the Nasdaq Global Market in the ordinary course of the offering of the Shares or (v) filings with the Commission pursuant to Rule 424(b) under the Securities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81" w:lineRule="exact"/>
        <w:rPr>
          <w:rFonts w:ascii="Arial" w:cs="Arial" w:eastAsia="Arial" w:hAnsi="Arial"/>
          <w:sz w:val="17"/>
          <w:szCs w:val="17"/>
          <w:color w:val="auto"/>
        </w:rPr>
      </w:pPr>
    </w:p>
    <w:p>
      <w:pPr>
        <w:ind w:left="704" w:hanging="264"/>
        <w:spacing w:after="0"/>
        <w:tabs>
          <w:tab w:leader="none" w:pos="704"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Preemptive or Similar Rights</w:t>
      </w:r>
      <w:r>
        <w:rPr>
          <w:rFonts w:ascii="Arial" w:cs="Arial" w:eastAsia="Arial" w:hAnsi="Arial"/>
          <w:sz w:val="16"/>
          <w:szCs w:val="16"/>
          <w:color w:val="auto"/>
        </w:rPr>
        <w:t>. Except as described in the Registration Statement and the Prospectus or as otherwise have been waived</w:t>
      </w:r>
    </w:p>
    <w:p>
      <w:pPr>
        <w:spacing w:after="0" w:line="46" w:lineRule="exact"/>
        <w:rPr>
          <w:rFonts w:ascii="Arial" w:cs="Arial" w:eastAsia="Arial" w:hAnsi="Arial"/>
          <w:sz w:val="16"/>
          <w:szCs w:val="16"/>
          <w:color w:val="auto"/>
        </w:rPr>
      </w:pPr>
    </w:p>
    <w:p>
      <w:pPr>
        <w:ind w:left="4" w:right="60" w:hanging="4"/>
        <w:spacing w:after="0" w:line="252" w:lineRule="auto"/>
        <w:tabs>
          <w:tab w:leader="none" w:pos="2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 has the right, contractual or otherwise, to cause the Company to issue or sell to it any Common Shares or shares of any other capital stock or other equity interests of the Company, (ii) no person has any preemptive rights, resale rights, rights of first refusal or other rights to purchase any Common Shares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Securities Act any Common Shares or shares of any other capital stock of or other equity interests in the Company or to include any such shares or interests in the Registration Statement or the offering contemplated thereby other than those that have been otherwise waived.</w:t>
      </w:r>
    </w:p>
    <w:p>
      <w:pPr>
        <w:spacing w:after="0" w:line="192" w:lineRule="exact"/>
        <w:rPr>
          <w:rFonts w:ascii="Arial" w:cs="Arial" w:eastAsia="Arial" w:hAnsi="Arial"/>
          <w:sz w:val="18"/>
          <w:szCs w:val="18"/>
          <w:color w:val="auto"/>
        </w:rPr>
      </w:pPr>
    </w:p>
    <w:p>
      <w:pPr>
        <w:ind w:left="4" w:right="240" w:firstLine="436"/>
        <w:spacing w:after="0" w:line="263" w:lineRule="auto"/>
        <w:tabs>
          <w:tab w:leader="none" w:pos="69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Regulatory Compliance</w:t>
      </w:r>
      <w:r>
        <w:rPr>
          <w:rFonts w:ascii="Arial" w:cs="Arial" w:eastAsia="Arial" w:hAnsi="Arial"/>
          <w:sz w:val="18"/>
          <w:szCs w:val="18"/>
          <w:color w:val="auto"/>
        </w:rPr>
        <w:t>. 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w:t>
      </w:r>
    </w:p>
    <w:p>
      <w:pPr>
        <w:sectPr>
          <w:pgSz w:w="11900" w:h="16838" w:orient="portrait"/>
          <w:cols w:equalWidth="0" w:num="1">
            <w:col w:w="11004"/>
          </w:cols>
          <w:pgMar w:left="436" w:top="274" w:right="459" w:bottom="1440" w:gutter="0" w:footer="0" w:header="0"/>
        </w:sectPr>
      </w:pPr>
    </w:p>
    <w:bookmarkStart w:id="9" w:name="page10"/>
    <w:bookmarkEnd w:id="9"/>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and the Prospectus or where such violation, default, revocation or adverse modification would not, individually or in the aggregate, reasonably be expected to have a Material Adverse Effect.</w:t>
      </w:r>
    </w:p>
    <w:p>
      <w:pPr>
        <w:spacing w:after="0" w:line="178" w:lineRule="exact"/>
        <w:rPr>
          <w:sz w:val="20"/>
          <w:szCs w:val="20"/>
          <w:color w:val="auto"/>
        </w:rPr>
      </w:pPr>
    </w:p>
    <w:p>
      <w:pPr>
        <w:ind w:right="80" w:firstLine="436"/>
        <w:spacing w:after="0" w:line="255"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Disclosure of Proceedings</w:t>
      </w:r>
      <w:r>
        <w:rPr>
          <w:rFonts w:ascii="Arial" w:cs="Arial" w:eastAsia="Arial" w:hAnsi="Arial"/>
          <w:sz w:val="18"/>
          <w:szCs w:val="18"/>
          <w:color w:val="auto"/>
        </w:rPr>
        <w:t>. Except as described in the Registration Statement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92" w:lineRule="exact"/>
        <w:rPr>
          <w:rFonts w:ascii="Arial" w:cs="Arial" w:eastAsia="Arial" w:hAnsi="Arial"/>
          <w:sz w:val="18"/>
          <w:szCs w:val="18"/>
          <w:color w:val="auto"/>
        </w:rPr>
      </w:pPr>
    </w:p>
    <w:p>
      <w:pPr>
        <w:jc w:val="both"/>
        <w:ind w:right="120" w:firstLine="436"/>
        <w:spacing w:after="0" w:line="263"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whose report on the consolidated financial statements of the Company and the Subsidiaries is included in the Registration Statement and the Prospectus, are independent registered public accountants as required by the Securities Act and the rules of the Public Company Accounting Oversight Board.</w:t>
      </w:r>
    </w:p>
    <w:p>
      <w:pPr>
        <w:spacing w:after="0" w:line="183" w:lineRule="exact"/>
        <w:rPr>
          <w:rFonts w:ascii="Arial" w:cs="Arial" w:eastAsia="Arial" w:hAnsi="Arial"/>
          <w:sz w:val="18"/>
          <w:szCs w:val="18"/>
          <w:color w:val="auto"/>
        </w:rPr>
      </w:pPr>
    </w:p>
    <w:p>
      <w:pPr>
        <w:ind w:firstLine="436"/>
        <w:spacing w:after="0" w:line="285" w:lineRule="auto"/>
        <w:tabs>
          <w:tab w:leader="none" w:pos="67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Securities Act and the Exchange Act and in conformity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during the periods involved, and all adjustments necessary for a fair presentation of results for such periods have been made; all pro forma financial information included in the Registration Statement and the Prospectus presents fairly in all material respects the information shown therein, has been prepared in accordance with the provisions of the Securities Act and the Rules and Regulations with respect to pro forma financial information, has been properly compiled on the pro forma bases described therein in accordance with the provisions of the Securities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or the Prospectus that are not included as required; the Company and the Subsidiaries do not have any material liabilities or obligations, direct or contingent (including any off-balance sheet obligations), that are not described in the Registration Statement and the Prospectus; and any disclosures contained in the Registration Statement and the Prospectus that constitute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68" w:lineRule="exact"/>
        <w:rPr>
          <w:rFonts w:ascii="Arial" w:cs="Arial" w:eastAsia="Arial" w:hAnsi="Arial"/>
          <w:sz w:val="16"/>
          <w:szCs w:val="16"/>
          <w:color w:val="auto"/>
        </w:rPr>
      </w:pPr>
    </w:p>
    <w:p>
      <w:pPr>
        <w:ind w:right="140" w:firstLine="436"/>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Stock Option Grants</w:t>
      </w:r>
      <w:r>
        <w:rPr>
          <w:rFonts w:ascii="Arial" w:cs="Arial" w:eastAsia="Arial" w:hAnsi="Arial"/>
          <w:sz w:val="18"/>
          <w:szCs w:val="18"/>
          <w:color w:val="auto"/>
        </w:rPr>
        <w:t>. Except as would not, individually or in the aggregate, reasonably be expected to have a Material Adverse Effect, each stock option granted under any stock option plan of the Company or any Subsidiary (each, a “</w:t>
      </w:r>
      <w:r>
        <w:rPr>
          <w:rFonts w:ascii="Arial" w:cs="Arial" w:eastAsia="Arial" w:hAnsi="Arial"/>
          <w:sz w:val="18"/>
          <w:szCs w:val="18"/>
          <w:b w:val="1"/>
          <w:bCs w:val="1"/>
          <w:color w:val="auto"/>
        </w:rPr>
        <w:t>Stock Plan</w:t>
      </w:r>
      <w:r>
        <w:rPr>
          <w:rFonts w:ascii="Arial" w:cs="Arial" w:eastAsia="Arial" w:hAnsi="Arial"/>
          <w:sz w:val="18"/>
          <w:szCs w:val="18"/>
          <w:color w:val="auto"/>
        </w:rPr>
        <w:t>”) was granted with a per share exercise price no less than the fair market value per Common Share,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 Section 424(d)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no less than 110% of the fair market value per Common Share, on the grant date of such option, as determined by the Company’s board of directors, and no such grant involved any “back-dating,”</w:t>
      </w:r>
    </w:p>
    <w:p>
      <w:pPr>
        <w:sectPr>
          <w:pgSz w:w="11900" w:h="16838" w:orient="portrait"/>
          <w:cols w:equalWidth="0" w:num="1">
            <w:col w:w="11000"/>
          </w:cols>
          <w:pgMar w:left="440" w:top="274" w:right="459" w:bottom="1440" w:gutter="0" w:footer="0" w:header="0"/>
        </w:sectPr>
      </w:pPr>
    </w:p>
    <w:bookmarkStart w:id="10" w:name="page11"/>
    <w:bookmarkEnd w:id="10"/>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“forward-dating” or similar practice with respect to the effective date of such grant; except as would not, individually or in the aggregate, reasonably be expected to have a Material Adverse Effect, each such option (i) was granted in compliance with applicable law and with the applicable Stock Plan(s),</w:t>
      </w:r>
    </w:p>
    <w:p>
      <w:pPr>
        <w:ind w:left="4" w:right="120" w:hanging="4"/>
        <w:spacing w:after="0" w:line="255"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89" w:lineRule="exact"/>
        <w:rPr>
          <w:rFonts w:ascii="Arial" w:cs="Arial" w:eastAsia="Arial" w:hAnsi="Arial"/>
          <w:sz w:val="18"/>
          <w:szCs w:val="18"/>
          <w:color w:val="auto"/>
        </w:rPr>
      </w:pPr>
    </w:p>
    <w:p>
      <w:pPr>
        <w:ind w:left="4" w:right="20" w:firstLine="436"/>
        <w:spacing w:after="0" w:line="286" w:lineRule="auto"/>
        <w:tabs>
          <w:tab w:leader="none" w:pos="699"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set forth or contemplated in, or subsequently incorporated by reference into, the Registration Statement or the Prospectus, subsequent to the respective dates as of which information is given in the Registration Statement and the Prospectus, there has not been (i) any material adverse change, or any development involving a prospective material adverse change, in the business, properties, management, financial condition, or results of operations of the Company and the Subsidiaries taken as a whole (a “</w:t>
      </w:r>
      <w:r>
        <w:rPr>
          <w:rFonts w:ascii="Arial" w:cs="Arial" w:eastAsia="Arial" w:hAnsi="Arial"/>
          <w:sz w:val="16"/>
          <w:szCs w:val="16"/>
          <w:b w:val="1"/>
          <w:bCs w:val="1"/>
          <w:color w:val="auto"/>
        </w:rPr>
        <w:t>Material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Change</w:t>
      </w:r>
      <w:r>
        <w:rPr>
          <w:rFonts w:ascii="Arial" w:cs="Arial" w:eastAsia="Arial" w:hAnsi="Arial"/>
          <w:sz w:val="16"/>
          <w:szCs w:val="16"/>
          <w:color w:val="auto"/>
        </w:rPr>
        <w:t>”), (ii) any transaction which is material to the Company and the Subsidiaries taken as a whole, (iii) any obligation or liability, direct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 (including any off-balance sheet obligations), incurred by the Company or any Subsidiary, which is material to 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(as the same may be amended, restated or replaced), and as described in the Registration Statement and the Prospectus, the issuance of Common Shares upon exercise of stock options and warrants described as outstanding in the Registration Statement and the Prospectus, the grant in the ordinary course of business of awards under equity incentive plans described in the Registration Statement and the Prospectus and the repurchase by the Company or forfeiture of shares of common stock by the holder thereof pursuant to the terms of equity awards described as outstanding in the Registration Statement and the Prospectus) or (v) any dividend or distribution of any kind declared, paid or made on the capital stock of the Company or any Subsidiary.</w:t>
      </w:r>
    </w:p>
    <w:p>
      <w:pPr>
        <w:spacing w:after="0" w:line="173" w:lineRule="exact"/>
        <w:rPr>
          <w:rFonts w:ascii="Arial" w:cs="Arial" w:eastAsia="Arial" w:hAnsi="Arial"/>
          <w:sz w:val="16"/>
          <w:szCs w:val="16"/>
          <w:color w:val="auto"/>
        </w:rPr>
      </w:pPr>
    </w:p>
    <w:p>
      <w:pPr>
        <w:ind w:left="4" w:firstLine="436"/>
        <w:spacing w:after="0" w:line="279" w:lineRule="auto"/>
        <w:tabs>
          <w:tab w:leader="none" w:pos="699"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Neither the Company nor any Subsidiary is and, after giving effect to the offering and sale of the Shares and the application of the proceeds thereof, neither of the Company nor any Subsidiary will be, an “investment company” or an entity “controlled” by an “investment company,” as such terms are defined in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or a “passive foreign investment company” or a “controlled foreign corporation,” as such terms are defined in the Code.</w:t>
      </w:r>
    </w:p>
    <w:p>
      <w:pPr>
        <w:spacing w:after="0" w:line="171" w:lineRule="exact"/>
        <w:rPr>
          <w:rFonts w:ascii="Arial" w:cs="Arial" w:eastAsia="Arial" w:hAnsi="Arial"/>
          <w:sz w:val="17"/>
          <w:szCs w:val="17"/>
          <w:color w:val="auto"/>
        </w:rPr>
      </w:pPr>
    </w:p>
    <w:p>
      <w:pPr>
        <w:ind w:left="4" w:right="40" w:firstLine="436"/>
        <w:spacing w:after="0" w:line="270" w:lineRule="auto"/>
        <w:tabs>
          <w:tab w:leader="none" w:pos="739"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the Subsidiaries own any real property; the Company and each of the Subsidiaries have good and marketable title to all tangible personal property described in the Registration Statement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80" w:lineRule="exact"/>
        <w:rPr>
          <w:rFonts w:ascii="Arial" w:cs="Arial" w:eastAsia="Arial" w:hAnsi="Arial"/>
          <w:sz w:val="17"/>
          <w:szCs w:val="17"/>
          <w:color w:val="auto"/>
        </w:rPr>
      </w:pPr>
    </w:p>
    <w:p>
      <w:pPr>
        <w:ind w:left="4" w:firstLine="436"/>
        <w:spacing w:after="0" w:line="288" w:lineRule="auto"/>
        <w:tabs>
          <w:tab w:leader="none" w:pos="699"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disclosed in the Registration Statement and the Prospectus, the Company and the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Registration Statement and the Prospectus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except as such failure to own or obtain rights would not result in a Material Adverse Effect; except as disclosed in the Registration Statement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w:t>
      </w:r>
    </w:p>
    <w:p>
      <w:pPr>
        <w:sectPr>
          <w:pgSz w:w="11900" w:h="16838" w:orient="portrait"/>
          <w:cols w:equalWidth="0" w:num="1">
            <w:col w:w="11004"/>
          </w:cols>
          <w:pgMar w:left="436" w:top="274" w:right="459" w:bottom="1440" w:gutter="0" w:footer="0" w:header="0"/>
        </w:sectPr>
      </w:pPr>
    </w:p>
    <w:bookmarkStart w:id="11" w:name="page12"/>
    <w:bookmarkEnd w:id="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and the Prospectus, in the current or proposed conduct of the businesses of the Company in the manner and to the extent described in the Registration Statement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6"/>
          <w:szCs w:val="16"/>
          <w:b w:val="1"/>
          <w:bCs w:val="1"/>
          <w:color w:val="auto"/>
        </w:rPr>
        <w:t>USPTO</w:t>
      </w:r>
      <w:r>
        <w:rPr>
          <w:rFonts w:ascii="Arial" w:cs="Arial" w:eastAsia="Arial" w:hAnsi="Arial"/>
          <w:sz w:val="16"/>
          <w:szCs w:val="16"/>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Registration Statement and the Prospectus is accurate and complete in all material respects and presents fairly the information purported to be described therein.</w:t>
      </w:r>
    </w:p>
    <w:p>
      <w:pPr>
        <w:spacing w:after="0" w:line="182" w:lineRule="exact"/>
        <w:rPr>
          <w:sz w:val="20"/>
          <w:szCs w:val="20"/>
          <w:color w:val="auto"/>
        </w:rPr>
      </w:pPr>
    </w:p>
    <w:p>
      <w:pPr>
        <w:ind w:firstLine="436"/>
        <w:spacing w:after="0" w:line="255"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Labor Matters</w:t>
      </w:r>
      <w:r>
        <w:rPr>
          <w:rFonts w:ascii="Arial" w:cs="Arial" w:eastAsia="Arial" w:hAnsi="Arial"/>
          <w:sz w:val="18"/>
          <w:szCs w:val="18"/>
          <w:color w:val="auto"/>
        </w:rPr>
        <w:t>.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92" w:lineRule="exact"/>
        <w:rPr>
          <w:rFonts w:ascii="Arial" w:cs="Arial" w:eastAsia="Arial" w:hAnsi="Arial"/>
          <w:sz w:val="18"/>
          <w:szCs w:val="18"/>
          <w:color w:val="auto"/>
        </w:rPr>
      </w:pPr>
    </w:p>
    <w:p>
      <w:pPr>
        <w:ind w:right="40" w:firstLine="436"/>
        <w:spacing w:after="0" w:line="286" w:lineRule="auto"/>
        <w:tabs>
          <w:tab w:leader="none" w:pos="68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Environmental Matters</w:t>
      </w:r>
      <w:r>
        <w:rPr>
          <w:rFonts w:ascii="Arial" w:cs="Arial" w:eastAsia="Arial" w:hAnsi="Arial"/>
          <w:sz w:val="16"/>
          <w:szCs w:val="16"/>
          <w:color w:val="auto"/>
        </w:rPr>
        <w:t>. 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(including, without limitation, pollutants, contaminants, hazardous or toxic substances or wastes) that is regulated by or may give rise to liability under any Environmental Law).</w:t>
      </w:r>
    </w:p>
    <w:p>
      <w:pPr>
        <w:sectPr>
          <w:pgSz w:w="11900" w:h="16838" w:orient="portrait"/>
          <w:cols w:equalWidth="0" w:num="1">
            <w:col w:w="11000"/>
          </w:cols>
          <w:pgMar w:left="440" w:top="274" w:right="459" w:bottom="1440" w:gutter="0" w:footer="0" w:header="0"/>
        </w:sectPr>
      </w:pPr>
    </w:p>
    <w:bookmarkStart w:id="12" w:name="page13"/>
    <w:bookmarkEnd w:id="12"/>
    <w:p>
      <w:pPr>
        <w:ind w:left="4" w:right="180" w:firstLine="436"/>
        <w:spacing w:after="0" w:line="301" w:lineRule="auto"/>
        <w:tabs>
          <w:tab w:leader="none" w:pos="76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w:t>
      </w:r>
      <w:r>
        <w:rPr>
          <w:rFonts w:ascii="Arial" w:cs="Arial" w:eastAsia="Arial" w:hAnsi="Arial"/>
          <w:sz w:val="16"/>
          <w:szCs w:val="16"/>
          <w:color w:val="auto"/>
        </w:rPr>
        <w:t>. Except as described in the Registration Statement and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57" w:lineRule="exact"/>
        <w:rPr>
          <w:rFonts w:ascii="Arial" w:cs="Arial" w:eastAsia="Arial" w:hAnsi="Arial"/>
          <w:sz w:val="16"/>
          <w:szCs w:val="16"/>
          <w:color w:val="auto"/>
        </w:rPr>
      </w:pPr>
    </w:p>
    <w:p>
      <w:pPr>
        <w:ind w:left="4" w:right="80" w:firstLine="436"/>
        <w:spacing w:after="0" w:line="291" w:lineRule="auto"/>
        <w:tabs>
          <w:tab w:leader="none" w:pos="78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Insurance Matters</w:t>
      </w:r>
      <w:r>
        <w:rPr>
          <w:rFonts w:ascii="Arial" w:cs="Arial" w:eastAsia="Arial" w:hAnsi="Arial"/>
          <w:sz w:val="16"/>
          <w:szCs w:val="16"/>
          <w:color w:val="auto"/>
        </w:rPr>
        <w:t>. 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66" w:lineRule="exact"/>
        <w:rPr>
          <w:rFonts w:ascii="Arial" w:cs="Arial" w:eastAsia="Arial" w:hAnsi="Arial"/>
          <w:sz w:val="16"/>
          <w:szCs w:val="16"/>
          <w:color w:val="auto"/>
        </w:rPr>
      </w:pPr>
    </w:p>
    <w:p>
      <w:pPr>
        <w:ind w:left="4" w:right="300" w:firstLine="436"/>
        <w:spacing w:after="0" w:line="279" w:lineRule="auto"/>
        <w:tabs>
          <w:tab w:leader="none" w:pos="769"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Termination Notices</w:t>
      </w:r>
      <w:r>
        <w:rPr>
          <w:rFonts w:ascii="Arial" w:cs="Arial" w:eastAsia="Arial" w:hAnsi="Arial"/>
          <w:sz w:val="17"/>
          <w:szCs w:val="17"/>
          <w:color w:val="auto"/>
        </w:rPr>
        <w:t>. Except as referred to or described in the Registration Statement or the Prospectus, neither the Company nor any Subsidiary has sent or received any communication regarding termination of, or intent not to renew, any of the contracts or agreements referred to or described in the Registration Statement or the Prospectus, and no such termination or non-renewal has been threatened by the Company or any Subsidiary or, to the Company’s knowledge, any counterparty to any such contract or agreement.</w:t>
      </w:r>
    </w:p>
    <w:p>
      <w:pPr>
        <w:spacing w:after="0" w:line="171" w:lineRule="exact"/>
        <w:rPr>
          <w:rFonts w:ascii="Arial" w:cs="Arial" w:eastAsia="Arial" w:hAnsi="Arial"/>
          <w:sz w:val="17"/>
          <w:szCs w:val="17"/>
          <w:color w:val="auto"/>
        </w:rPr>
      </w:pPr>
    </w:p>
    <w:p>
      <w:pPr>
        <w:ind w:left="4" w:right="40" w:firstLine="436"/>
        <w:spacing w:after="0" w:line="283" w:lineRule="auto"/>
        <w:tabs>
          <w:tab w:leader="none" w:pos="78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4" w:right="360" w:hanging="4"/>
        <w:spacing w:after="0" w:line="260"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controls over financial reporting.</w:t>
      </w:r>
    </w:p>
    <w:p>
      <w:pPr>
        <w:spacing w:after="0" w:line="185" w:lineRule="exact"/>
        <w:rPr>
          <w:rFonts w:ascii="Arial" w:cs="Arial" w:eastAsia="Arial" w:hAnsi="Arial"/>
          <w:sz w:val="18"/>
          <w:szCs w:val="18"/>
          <w:color w:val="auto"/>
        </w:rPr>
      </w:pPr>
    </w:p>
    <w:p>
      <w:pPr>
        <w:ind w:left="4" w:firstLine="436"/>
        <w:spacing w:after="0" w:line="287" w:lineRule="auto"/>
        <w:tabs>
          <w:tab w:leader="none" w:pos="76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its Subsidiaries have established and maintain and evaluate “disclosure controls and procedures” (as such term is defined in Rule 13a-15 under the Exchange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Act) of the Company were identified in connection with the audit by the Company’s independent registered public accountants of the Company’s financial statements for the fiscal year ended December 31, 2020;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principal executive officer and principal financial officer of the Company have made all certifications required by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and any related rules and regulations promulgated by the Commission, and the statements contained in each such certification are complete and correct in all material respects.</w:t>
      </w:r>
    </w:p>
    <w:p>
      <w:pPr>
        <w:sectPr>
          <w:pgSz w:w="11900" w:h="16838" w:orient="portrait"/>
          <w:cols w:equalWidth="0" w:num="1">
            <w:col w:w="11004"/>
          </w:cols>
          <w:pgMar w:left="436" w:top="274" w:right="459" w:bottom="1440" w:gutter="0" w:footer="0" w:header="0"/>
        </w:sectPr>
      </w:pPr>
    </w:p>
    <w:bookmarkStart w:id="13" w:name="page14"/>
    <w:bookmarkEnd w:id="13"/>
    <w:p>
      <w:pPr>
        <w:ind w:left="4" w:right="180" w:firstLine="436"/>
        <w:spacing w:after="0" w:line="263" w:lineRule="auto"/>
        <w:tabs>
          <w:tab w:leader="none" w:pos="72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Compliance</w:t>
      </w:r>
      <w:r>
        <w:rPr>
          <w:rFonts w:ascii="Arial" w:cs="Arial" w:eastAsia="Arial" w:hAnsi="Arial"/>
          <w:sz w:val="18"/>
          <w:szCs w:val="18"/>
          <w:color w:val="auto"/>
        </w:rPr>
        <w:t>. The Company has taken all actions reasonably necessary to ensure that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83" w:lineRule="exact"/>
        <w:rPr>
          <w:rFonts w:ascii="Arial" w:cs="Arial" w:eastAsia="Arial" w:hAnsi="Arial"/>
          <w:sz w:val="18"/>
          <w:szCs w:val="18"/>
          <w:color w:val="auto"/>
        </w:rPr>
      </w:pPr>
    </w:p>
    <w:p>
      <w:pPr>
        <w:ind w:left="4" w:right="40" w:firstLine="436"/>
        <w:spacing w:after="0" w:line="342" w:lineRule="auto"/>
        <w:tabs>
          <w:tab w:leader="none" w:pos="78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Each “forward-looking statement” (within the meaning of Section 27A of the Securities Act or Section 21E of the Exchange Act) contained in the Registration Statement and the Prospectus has been made or reaffirmed with a reasonable basis and in good faith.</w:t>
      </w:r>
    </w:p>
    <w:p>
      <w:pPr>
        <w:spacing w:after="0" w:line="123" w:lineRule="exact"/>
        <w:rPr>
          <w:rFonts w:ascii="Arial" w:cs="Arial" w:eastAsia="Arial" w:hAnsi="Arial"/>
          <w:sz w:val="16"/>
          <w:szCs w:val="16"/>
          <w:color w:val="auto"/>
        </w:rPr>
      </w:pPr>
    </w:p>
    <w:p>
      <w:pPr>
        <w:ind w:left="4" w:right="360" w:firstLine="436"/>
        <w:spacing w:after="0" w:line="277" w:lineRule="auto"/>
        <w:tabs>
          <w:tab w:leader="none" w:pos="78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and market-related data included in the Registration Statement and the Prospectus are based on or derived from sources that the Company believes to be reliable and accurate.</w:t>
      </w:r>
    </w:p>
    <w:p>
      <w:pPr>
        <w:spacing w:after="0" w:line="170" w:lineRule="exact"/>
        <w:rPr>
          <w:rFonts w:ascii="Arial" w:cs="Arial" w:eastAsia="Arial" w:hAnsi="Arial"/>
          <w:sz w:val="18"/>
          <w:szCs w:val="18"/>
          <w:color w:val="auto"/>
        </w:rPr>
      </w:pPr>
    </w:p>
    <w:p>
      <w:pPr>
        <w:ind w:left="4" w:firstLine="436"/>
        <w:spacing w:after="0" w:line="290" w:lineRule="auto"/>
        <w:tabs>
          <w:tab w:leader="none" w:pos="70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FCPA, etc</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165" w:lineRule="exact"/>
        <w:rPr>
          <w:rFonts w:ascii="Arial" w:cs="Arial" w:eastAsia="Arial" w:hAnsi="Arial"/>
          <w:sz w:val="16"/>
          <w:szCs w:val="16"/>
          <w:color w:val="auto"/>
        </w:rPr>
      </w:pPr>
    </w:p>
    <w:p>
      <w:pPr>
        <w:ind w:left="4" w:right="180" w:firstLine="436"/>
        <w:spacing w:after="0" w:line="293" w:lineRule="auto"/>
        <w:tabs>
          <w:tab w:leader="none" w:pos="70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64" w:lineRule="exact"/>
        <w:rPr>
          <w:rFonts w:ascii="Arial" w:cs="Arial" w:eastAsia="Arial" w:hAnsi="Arial"/>
          <w:sz w:val="16"/>
          <w:szCs w:val="16"/>
          <w:color w:val="auto"/>
        </w:rPr>
      </w:pPr>
    </w:p>
    <w:p>
      <w:pPr>
        <w:ind w:left="4" w:firstLine="436"/>
        <w:spacing w:after="0" w:line="284" w:lineRule="auto"/>
        <w:tabs>
          <w:tab w:leader="none" w:pos="78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currently subject to or has been subject in the last five (5) years to any sanctions administered or enforced by the Office of Foreign Assets Control of the U.S. Treasury Department, the United Nations Security Council, the European Union, Her Majesty’s Treasury or any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organized or resident in a country or territory that is the subject of Sanctions, including, without limitation, Crimea, Cuba, Iran, North Korea, and Syria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directly or indirectly use the proceeds of the offering of the Shares contemplated hereby, or lend, contribute or otherwise make available such proceeds to any Subsidiary, joint venture partner or other person or entity</w:t>
      </w:r>
    </w:p>
    <w:p>
      <w:pPr>
        <w:spacing w:after="0" w:line="2" w:lineRule="exact"/>
        <w:rPr>
          <w:rFonts w:ascii="Arial" w:cs="Arial" w:eastAsia="Arial" w:hAnsi="Arial"/>
          <w:sz w:val="16"/>
          <w:szCs w:val="16"/>
          <w:color w:val="auto"/>
        </w:rPr>
      </w:pPr>
    </w:p>
    <w:p>
      <w:pPr>
        <w:ind w:left="4" w:right="20" w:hanging="4"/>
        <w:spacing w:after="0" w:line="253" w:lineRule="auto"/>
        <w:tabs>
          <w:tab w:leader="none" w:pos="2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with any person or country that, at the time of such funding or facilitation, is the subject of Sanctions or a Sanctioned Country, respectively, or (ii) in any other manner that will result in a violation by any person (including any person participating in the transaction, whether as underwriter, advisor, investor, or otherwise) of Sanctions. For the past five years, none of the Company or any Subsidiaries has engaged in any direct or indirect dealings or transactions with any person or country that, at the time of such dealing or transaction, was the subject of Sanctions or a Sanctioned Country, respectively.</w:t>
      </w:r>
    </w:p>
    <w:p>
      <w:pPr>
        <w:spacing w:after="0" w:line="190" w:lineRule="exact"/>
        <w:rPr>
          <w:rFonts w:ascii="Arial" w:cs="Arial" w:eastAsia="Arial" w:hAnsi="Arial"/>
          <w:sz w:val="18"/>
          <w:szCs w:val="18"/>
          <w:color w:val="auto"/>
        </w:rPr>
      </w:pPr>
    </w:p>
    <w:p>
      <w:pPr>
        <w:ind w:left="4" w:right="20" w:firstLine="436"/>
        <w:spacing w:after="0" w:line="286" w:lineRule="auto"/>
        <w:tabs>
          <w:tab w:leader="none" w:pos="709"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Patriot Act</w:t>
      </w:r>
      <w:r>
        <w:rPr>
          <w:rFonts w:ascii="Arial" w:cs="Arial" w:eastAsia="Arial" w:hAnsi="Arial"/>
          <w:sz w:val="17"/>
          <w:szCs w:val="17"/>
          <w:color w:val="auto"/>
        </w:rPr>
        <w:t>. The Company acknowledges that, in accordance with the requirements of the USA PATRIOT Act, the Agent is required to obtain, verify and record information that identifies their respective clients, including the Company, which information may include the name and address of their respective clients, as well as other information that will allow the Agent to properly identify their respective clients.</w:t>
      </w:r>
    </w:p>
    <w:p>
      <w:pPr>
        <w:sectPr>
          <w:pgSz w:w="11900" w:h="16838" w:orient="portrait"/>
          <w:cols w:equalWidth="0" w:num="1">
            <w:col w:w="10964"/>
          </w:cols>
          <w:pgMar w:left="436" w:top="274" w:right="499" w:bottom="1440" w:gutter="0" w:footer="0" w:header="0"/>
        </w:sectPr>
      </w:pPr>
    </w:p>
    <w:bookmarkStart w:id="14" w:name="page15"/>
    <w:bookmarkEnd w:id="14"/>
    <w:p>
      <w:pPr>
        <w:ind w:left="4" w:right="80" w:firstLine="436"/>
        <w:spacing w:after="0" w:line="259" w:lineRule="auto"/>
        <w:tabs>
          <w:tab w:leader="none" w:pos="889"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Dividend Restrictions</w:t>
      </w:r>
      <w:r>
        <w:rPr>
          <w:rFonts w:ascii="Arial" w:cs="Arial" w:eastAsia="Arial" w:hAnsi="Arial"/>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and the Prospectus.</w:t>
      </w:r>
    </w:p>
    <w:p>
      <w:pPr>
        <w:spacing w:after="0" w:line="186" w:lineRule="exact"/>
        <w:rPr>
          <w:rFonts w:ascii="Arial" w:cs="Arial" w:eastAsia="Arial" w:hAnsi="Arial"/>
          <w:sz w:val="18"/>
          <w:szCs w:val="18"/>
          <w:color w:val="auto"/>
        </w:rPr>
      </w:pPr>
    </w:p>
    <w:p>
      <w:pPr>
        <w:ind w:left="4" w:right="60" w:firstLine="436"/>
        <w:spacing w:after="0" w:line="286" w:lineRule="auto"/>
        <w:tabs>
          <w:tab w:leader="none" w:pos="78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Health Regulatory Compliance</w:t>
      </w:r>
      <w:r>
        <w:rPr>
          <w:rFonts w:ascii="Arial" w:cs="Arial" w:eastAsia="Arial" w:hAnsi="Arial"/>
          <w:sz w:val="16"/>
          <w:szCs w:val="16"/>
          <w:color w:val="auto"/>
        </w:rPr>
        <w:t>. The preclinical studies and clinical trials conducted by or, to the Company’s knowledge, on behalf of the Company that are described in, or the results of which are referred to in, the Registration Statement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and the Prospectus; and except as disclosed in the Registration Statement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requiring the termination, suspension or material adverse modification of any clinical trials that are described or referred to in the Registration Statement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73" w:lineRule="exact"/>
        <w:rPr>
          <w:rFonts w:ascii="Arial" w:cs="Arial" w:eastAsia="Arial" w:hAnsi="Arial"/>
          <w:sz w:val="16"/>
          <w:szCs w:val="16"/>
          <w:color w:val="auto"/>
        </w:rPr>
      </w:pPr>
    </w:p>
    <w:p>
      <w:pPr>
        <w:ind w:left="4" w:right="100" w:firstLine="436"/>
        <w:spacing w:after="0" w:line="283" w:lineRule="auto"/>
        <w:tabs>
          <w:tab w:leader="none" w:pos="78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xml:space="preserve"> The Company and the Subsidiaries are, and since January 1, 2017 have been, in compliance with all applicable Health Care Laws except where failure to be in compliance would not be expected reasonably to have a Material Adverse Effect.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(i) the Federal Food, Drug, and Cosmetic Act (21 U.S.C. §§ 301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w:t>
      </w:r>
    </w:p>
    <w:p>
      <w:pPr>
        <w:spacing w:after="0" w:line="5" w:lineRule="exact"/>
        <w:rPr>
          <w:rFonts w:ascii="Arial" w:cs="Arial" w:eastAsia="Arial" w:hAnsi="Arial"/>
          <w:sz w:val="16"/>
          <w:szCs w:val="16"/>
          <w:color w:val="auto"/>
        </w:rPr>
      </w:pPr>
    </w:p>
    <w:p>
      <w:pPr>
        <w:ind w:left="4" w:hanging="4"/>
        <w:spacing w:after="0" w:line="267" w:lineRule="auto"/>
        <w:tabs>
          <w:tab w:leader="none" w:pos="319"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w:t>
      </w:r>
    </w:p>
    <w:p>
      <w:pPr>
        <w:sectPr>
          <w:pgSz w:w="11900" w:h="16838" w:orient="portrait"/>
          <w:cols w:equalWidth="0" w:num="1">
            <w:col w:w="10984"/>
          </w:cols>
          <w:pgMar w:left="436" w:top="274" w:right="479" w:bottom="1440" w:gutter="0" w:footer="0" w:header="0"/>
        </w:sectPr>
      </w:pPr>
    </w:p>
    <w:bookmarkStart w:id="15" w:name="page16"/>
    <w:bookmarkEnd w:id="15"/>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165" w:lineRule="exact"/>
        <w:rPr>
          <w:sz w:val="20"/>
          <w:szCs w:val="20"/>
          <w:color w:val="auto"/>
        </w:rPr>
      </w:pPr>
    </w:p>
    <w:p>
      <w:pPr>
        <w:ind w:firstLine="436"/>
        <w:spacing w:after="0" w:line="285" w:lineRule="auto"/>
        <w:tabs>
          <w:tab w:leader="none" w:pos="78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Cybersecurity and Data Privacy</w:t>
      </w:r>
      <w:r>
        <w:rPr>
          <w:rFonts w:ascii="Arial" w:cs="Arial" w:eastAsia="Arial" w:hAnsi="Arial"/>
          <w:sz w:val="16"/>
          <w:szCs w:val="16"/>
          <w:color w:val="auto"/>
        </w:rPr>
        <w:t>. The Company and the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Arial" w:cs="Arial" w:eastAsia="Arial" w:hAnsi="Arial"/>
          <w:sz w:val="16"/>
          <w:szCs w:val="16"/>
          <w:b w:val="1"/>
          <w:bCs w:val="1"/>
          <w:color w:val="auto"/>
        </w:rPr>
        <w:t>Confidential Data</w:t>
      </w:r>
      <w:r>
        <w:rPr>
          <w:rFonts w:ascii="Arial" w:cs="Arial" w:eastAsia="Arial" w:hAnsi="Arial"/>
          <w:sz w:val="16"/>
          <w:szCs w:val="16"/>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w:t>
      </w:r>
    </w:p>
    <w:p>
      <w:pPr>
        <w:spacing w:after="0" w:line="173" w:lineRule="exact"/>
        <w:rPr>
          <w:rFonts w:ascii="Arial" w:cs="Arial" w:eastAsia="Arial" w:hAnsi="Arial"/>
          <w:sz w:val="16"/>
          <w:szCs w:val="16"/>
          <w:color w:val="auto"/>
        </w:rPr>
      </w:pPr>
    </w:p>
    <w:p>
      <w:pPr>
        <w:jc w:val="both"/>
        <w:ind w:right="340" w:firstLine="436"/>
        <w:spacing w:after="0" w:line="311" w:lineRule="auto"/>
        <w:tabs>
          <w:tab w:leader="none" w:pos="78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capital stock of the Company, except as have been otherwise waived.</w:t>
      </w:r>
    </w:p>
    <w:p>
      <w:pPr>
        <w:spacing w:after="0" w:line="148" w:lineRule="exact"/>
        <w:rPr>
          <w:rFonts w:ascii="Arial" w:cs="Arial" w:eastAsia="Arial" w:hAnsi="Arial"/>
          <w:sz w:val="16"/>
          <w:szCs w:val="16"/>
          <w:color w:val="auto"/>
        </w:rPr>
      </w:pPr>
    </w:p>
    <w:p>
      <w:pPr>
        <w:ind w:right="300" w:firstLine="436"/>
        <w:spacing w:after="0" w:line="263" w:lineRule="auto"/>
        <w:tabs>
          <w:tab w:leader="none" w:pos="72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183" w:lineRule="exact"/>
        <w:rPr>
          <w:rFonts w:ascii="Arial" w:cs="Arial" w:eastAsia="Arial" w:hAnsi="Arial"/>
          <w:sz w:val="18"/>
          <w:szCs w:val="18"/>
          <w:color w:val="auto"/>
        </w:rPr>
      </w:pPr>
    </w:p>
    <w:p>
      <w:pPr>
        <w:ind w:right="20" w:firstLine="436"/>
        <w:spacing w:after="0" w:line="296" w:lineRule="auto"/>
        <w:tabs>
          <w:tab w:leader="none" w:pos="74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 Price Stabilization or Manipulation; Compliance with Regulation M</w:t>
      </w:r>
      <w:r>
        <w:rPr>
          <w:rFonts w:ascii="Arial" w:cs="Arial" w:eastAsia="Arial" w:hAnsi="Arial"/>
          <w:sz w:val="16"/>
          <w:szCs w:val="16"/>
          <w:color w:val="auto"/>
        </w:rPr>
        <w:t>. None of the Company, any of the Subsidiaries or any of their respective directors, officers or affiliates has taken, directly or indirectly, any action designed, or which has constituted or might reasonably be expected to cause or result in the stabilization or manipulation of the price of any security of the Company to facilitate the sale or resale of the Shares in violation of Regulation M under the Exchange Act. The Company acknowledges that the Agent may engage in passive market making transactions in the Shares on the Nasdaq Global Market in accordance with Regulation M. The Common Shares are “actively traded securities” (as defined in Regulation M).</w:t>
      </w:r>
    </w:p>
    <w:p>
      <w:pPr>
        <w:spacing w:after="0" w:line="161" w:lineRule="exact"/>
        <w:rPr>
          <w:rFonts w:ascii="Arial" w:cs="Arial" w:eastAsia="Arial" w:hAnsi="Arial"/>
          <w:sz w:val="16"/>
          <w:szCs w:val="16"/>
          <w:color w:val="auto"/>
        </w:rPr>
      </w:pPr>
    </w:p>
    <w:p>
      <w:pPr>
        <w:ind w:right="40" w:firstLine="436"/>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and the Prospectus.</w:t>
      </w:r>
    </w:p>
    <w:p>
      <w:pPr>
        <w:spacing w:after="0" w:line="186" w:lineRule="exact"/>
        <w:rPr>
          <w:rFonts w:ascii="Arial" w:cs="Arial" w:eastAsia="Arial" w:hAnsi="Arial"/>
          <w:sz w:val="18"/>
          <w:szCs w:val="18"/>
          <w:color w:val="auto"/>
        </w:rPr>
      </w:pPr>
    </w:p>
    <w:p>
      <w:pPr>
        <w:ind w:right="280" w:firstLine="436"/>
        <w:spacing w:after="0" w:line="301" w:lineRule="auto"/>
        <w:tabs>
          <w:tab w:leader="none" w:pos="78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ERISA Matters</w:t>
      </w:r>
      <w:r>
        <w:rPr>
          <w:rFonts w:ascii="Arial" w:cs="Arial" w:eastAsia="Arial" w:hAnsi="Arial"/>
          <w:sz w:val="16"/>
          <w:szCs w:val="16"/>
          <w:color w:val="auto"/>
        </w:rPr>
        <w:t>. 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that is a member of a controlled group of corporations within the meaning of Section 414 of the</w:t>
      </w:r>
    </w:p>
    <w:p>
      <w:pPr>
        <w:sectPr>
          <w:pgSz w:w="11900" w:h="16838" w:orient="portrait"/>
          <w:cols w:equalWidth="0" w:num="1">
            <w:col w:w="10940"/>
          </w:cols>
          <w:pgMar w:left="440" w:top="274" w:right="519" w:bottom="1440" w:gutter="0" w:footer="0" w:header="0"/>
        </w:sectPr>
      </w:pPr>
    </w:p>
    <w:bookmarkStart w:id="16" w:name="page17"/>
    <w:bookmarkEnd w:id="1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Code, including its subsidiaries, would have liability (each a “</w:t>
      </w:r>
      <w:r>
        <w:rPr>
          <w:rFonts w:ascii="Arial" w:cs="Arial" w:eastAsia="Arial" w:hAnsi="Arial"/>
          <w:sz w:val="16"/>
          <w:szCs w:val="16"/>
          <w:b w:val="1"/>
          <w:bCs w:val="1"/>
          <w:color w:val="auto"/>
        </w:rPr>
        <w:t>Plan</w:t>
      </w:r>
      <w:r>
        <w:rPr>
          <w:rFonts w:ascii="Arial" w:cs="Arial" w:eastAsia="Arial" w:hAnsi="Arial"/>
          <w:sz w:val="16"/>
          <w:szCs w:val="16"/>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163" w:lineRule="exact"/>
        <w:rPr>
          <w:sz w:val="20"/>
          <w:szCs w:val="20"/>
          <w:color w:val="auto"/>
        </w:rPr>
      </w:pPr>
    </w:p>
    <w:p>
      <w:pPr>
        <w:jc w:val="both"/>
        <w:ind w:right="320" w:firstLine="436"/>
        <w:spacing w:after="0" w:line="279" w:lineRule="auto"/>
        <w:tabs>
          <w:tab w:leader="none" w:pos="78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Stock Exchange Listing</w:t>
      </w:r>
      <w:r>
        <w:rPr>
          <w:rFonts w:ascii="Arial" w:cs="Arial" w:eastAsia="Arial" w:hAnsi="Arial"/>
          <w:sz w:val="17"/>
          <w:szCs w:val="17"/>
          <w:color w:val="auto"/>
        </w:rPr>
        <w:t>. The Common Shares are registered pursuant to Section 12(b) of the Exchange Act and are listed on the Nasdaq Global Market, and the Company has taken no action designed to, or likely to have the effect of, terminating the registration of the Common Shares under the Exchange Act or delisting the Common Shares from the Nasdaq Global Market, nor has the Company received any notification that the Commission or the Nasdaq Global Market is contemplating terminating such registration or listing.</w:t>
      </w:r>
    </w:p>
    <w:p>
      <w:pPr>
        <w:spacing w:after="0" w:line="171" w:lineRule="exact"/>
        <w:rPr>
          <w:rFonts w:ascii="Arial" w:cs="Arial" w:eastAsia="Arial" w:hAnsi="Arial"/>
          <w:sz w:val="17"/>
          <w:szCs w:val="17"/>
          <w:color w:val="auto"/>
        </w:rPr>
      </w:pPr>
    </w:p>
    <w:p>
      <w:pPr>
        <w:ind w:right="660" w:firstLine="436"/>
        <w:spacing w:after="0" w:line="308" w:lineRule="auto"/>
        <w:tabs>
          <w:tab w:leader="none" w:pos="86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Selecta RUS</w:t>
      </w:r>
      <w:r>
        <w:rPr>
          <w:rFonts w:ascii="Arial" w:cs="Arial" w:eastAsia="Arial" w:hAnsi="Arial"/>
          <w:sz w:val="17"/>
          <w:szCs w:val="17"/>
          <w:color w:val="auto"/>
        </w:rPr>
        <w:t>. Selecta (RUS) Limited Liability Company (i) does not own any Intellectual Property or assets that are material to the Company’s business and (ii) does not have any operations that are material to the Company’s business or prospects.</w:t>
      </w:r>
    </w:p>
    <w:p>
      <w:pPr>
        <w:spacing w:after="0" w:line="146" w:lineRule="exact"/>
        <w:rPr>
          <w:rFonts w:ascii="Arial" w:cs="Arial" w:eastAsia="Arial" w:hAnsi="Arial"/>
          <w:sz w:val="17"/>
          <w:szCs w:val="17"/>
          <w:color w:val="auto"/>
        </w:rPr>
      </w:pPr>
    </w:p>
    <w:p>
      <w:pPr>
        <w:ind w:left="780" w:hanging="34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Timely Filing</w:t>
      </w:r>
      <w:r>
        <w:rPr>
          <w:rFonts w:ascii="Arial" w:cs="Arial" w:eastAsia="Arial" w:hAnsi="Arial"/>
          <w:sz w:val="18"/>
          <w:szCs w:val="18"/>
          <w:color w:val="auto"/>
        </w:rPr>
        <w:t>. The Company has timely made all filings required to be made under the Exchange Act.</w:t>
      </w:r>
    </w:p>
    <w:p>
      <w:pPr>
        <w:spacing w:after="0" w:line="225" w:lineRule="exact"/>
        <w:rPr>
          <w:rFonts w:ascii="Arial" w:cs="Arial" w:eastAsia="Arial" w:hAnsi="Arial"/>
          <w:sz w:val="18"/>
          <w:szCs w:val="18"/>
          <w:color w:val="auto"/>
        </w:rPr>
      </w:pPr>
    </w:p>
    <w:p>
      <w:pPr>
        <w:ind w:right="60" w:firstLine="436"/>
        <w:spacing w:after="0" w:line="277" w:lineRule="auto"/>
        <w:tabs>
          <w:tab w:leader="none" w:pos="78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right="20" w:firstLine="436"/>
        <w:spacing w:after="0" w:line="259"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70" w:lineRule="auto"/>
        <w:tabs>
          <w:tab w:leader="none" w:pos="1078"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Issuance Notice</w:t>
      </w:r>
      <w:r>
        <w:rPr>
          <w:rFonts w:ascii="Arial" w:cs="Arial" w:eastAsia="Arial" w:hAnsi="Arial"/>
          <w:sz w:val="17"/>
          <w:szCs w:val="17"/>
          <w:color w:val="auto"/>
        </w:rPr>
        <w:t xml:space="preserve">. Upon the terms and subject to the conditions set forth herein, on any Trading Day during the Agency Period on which the conditions set forth in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have been satisfied, the Company may exercise its right to request an issuance of Shares by delivering to the Agent an Issuance Notice;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so identified in writing by the Agent and confirmed by the Company by telephone (including a voicemail message to the persons so identified), with the understanding that, with adequate prior written notice, the Agent may modify the list of such persons from time to time.</w:t>
      </w:r>
    </w:p>
    <w:p>
      <w:pPr>
        <w:sectPr>
          <w:pgSz w:w="11900" w:h="16838" w:orient="portrait"/>
          <w:cols w:equalWidth="0" w:num="1">
            <w:col w:w="10960"/>
          </w:cols>
          <w:pgMar w:left="440" w:top="270" w:right="499" w:bottom="1440" w:gutter="0" w:footer="0" w:header="0"/>
        </w:sectPr>
      </w:pPr>
    </w:p>
    <w:bookmarkStart w:id="17" w:name="page18"/>
    <w:bookmarkEnd w:id="17"/>
    <w:p>
      <w:pPr>
        <w:ind w:left="4" w:firstLine="419"/>
        <w:spacing w:after="0" w:line="291" w:lineRule="auto"/>
        <w:tabs>
          <w:tab w:leader="none" w:pos="691"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Efforts</w:t>
      </w:r>
      <w:r>
        <w:rPr>
          <w:rFonts w:ascii="Arial" w:cs="Arial" w:eastAsia="Arial" w:hAnsi="Arial"/>
          <w:sz w:val="16"/>
          <w:szCs w:val="16"/>
          <w:color w:val="auto"/>
        </w:rPr>
        <w:t xml:space="preserve">. Upon the terms and subject to the conditions set forth in this Agreement, upon the receipt of an Issuance Notice (including by email correspondence to each of the individuals of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8" w:lineRule="exact"/>
        <w:rPr>
          <w:rFonts w:ascii="Arial" w:cs="Arial" w:eastAsia="Arial" w:hAnsi="Arial"/>
          <w:sz w:val="16"/>
          <w:szCs w:val="16"/>
          <w:color w:val="auto"/>
        </w:rPr>
      </w:pPr>
    </w:p>
    <w:p>
      <w:pPr>
        <w:ind w:left="4" w:firstLine="419"/>
        <w:spacing w:after="0" w:line="272" w:lineRule="auto"/>
        <w:tabs>
          <w:tab w:leader="none" w:pos="741"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Method of Offer and Sale</w:t>
      </w:r>
      <w:r>
        <w:rPr>
          <w:rFonts w:ascii="Arial" w:cs="Arial" w:eastAsia="Arial" w:hAnsi="Arial"/>
          <w:sz w:val="17"/>
          <w:szCs w:val="17"/>
          <w:color w:val="auto"/>
        </w:rPr>
        <w:t>. The Shares may be offered and sold (A) in negotiated transactions with the express consent of the Company or (B) by any other method permitted by law deemed to be an “at the market” offering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 The Company may sell Shares to the Agent as principal at a price agreed upon at each relevant time Shares are sold pursuant to this Agreement if the Company and the Agent enter into a separate written agreement setting forth the terms of such sale.</w:t>
      </w:r>
    </w:p>
    <w:p>
      <w:pPr>
        <w:spacing w:after="0" w:line="69" w:lineRule="exact"/>
        <w:rPr>
          <w:rFonts w:ascii="Arial" w:cs="Arial" w:eastAsia="Arial" w:hAnsi="Arial"/>
          <w:sz w:val="17"/>
          <w:szCs w:val="17"/>
          <w:color w:val="auto"/>
        </w:rPr>
      </w:pPr>
    </w:p>
    <w:p>
      <w:pPr>
        <w:ind w:left="4" w:right="80" w:firstLine="419"/>
        <w:spacing w:after="0" w:line="275" w:lineRule="auto"/>
        <w:tabs>
          <w:tab w:leader="none" w:pos="731"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xml:space="preserve">. If acting as sales agent hereunder, the Agent will provide written confirmation (including by email correspondence to each of the individuals of the Company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if receipt of such correspondence is actually acknowledged by any of the individuals to whom the notice is sent, other than via auto-reply)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68" w:lineRule="exact"/>
        <w:rPr>
          <w:rFonts w:ascii="Arial" w:cs="Arial" w:eastAsia="Arial" w:hAnsi="Arial"/>
          <w:sz w:val="17"/>
          <w:szCs w:val="17"/>
          <w:color w:val="auto"/>
        </w:rPr>
      </w:pPr>
    </w:p>
    <w:p>
      <w:pPr>
        <w:ind w:left="4" w:right="60" w:firstLine="419"/>
        <w:spacing w:after="0" w:line="254" w:lineRule="auto"/>
        <w:tabs>
          <w:tab w:leader="none" w:pos="681"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 w:firstLine="419"/>
        <w:spacing w:after="0" w:line="285" w:lineRule="auto"/>
        <w:tabs>
          <w:tab w:leader="none" w:pos="731"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w:t>
      </w:r>
    </w:p>
    <w:p>
      <w:pPr>
        <w:spacing w:after="0" w:line="1" w:lineRule="exact"/>
        <w:rPr>
          <w:rFonts w:ascii="Arial" w:cs="Arial" w:eastAsia="Arial" w:hAnsi="Arial"/>
          <w:sz w:val="16"/>
          <w:szCs w:val="16"/>
          <w:color w:val="auto"/>
        </w:rPr>
      </w:pPr>
    </w:p>
    <w:p>
      <w:pPr>
        <w:ind w:left="4" w:right="60" w:hanging="4"/>
        <w:spacing w:after="0" w:line="252" w:lineRule="auto"/>
        <w:tabs>
          <w:tab w:leader="none" w:pos="258"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color w:val="auto"/>
        </w:rPr>
        <w:t xml:space="preserve">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ectPr>
          <w:pgSz w:w="11900" w:h="16838" w:orient="portrait"/>
          <w:cols w:equalWidth="0" w:num="1">
            <w:col w:w="10544"/>
          </w:cols>
          <w:pgMar w:left="876" w:top="274" w:right="479" w:bottom="1440" w:gutter="0" w:footer="0" w:header="0"/>
        </w:sectPr>
      </w:pPr>
    </w:p>
    <w:bookmarkStart w:id="18" w:name="page19"/>
    <w:bookmarkEnd w:id="18"/>
    <w:p>
      <w:pPr>
        <w:ind w:left="440" w:right="200" w:firstLine="419"/>
        <w:spacing w:after="0" w:line="279" w:lineRule="auto"/>
        <w:tabs>
          <w:tab w:leader="none" w:pos="121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Guarantee of Placement, Etc.</w:t>
      </w:r>
      <w:r>
        <w:rPr>
          <w:rFonts w:ascii="Arial" w:cs="Arial" w:eastAsia="Arial" w:hAnsi="Arial"/>
          <w:sz w:val="17"/>
          <w:szCs w:val="17"/>
          <w:color w:val="auto"/>
        </w:rPr>
        <w:t xml:space="preserve"> The Company acknowledges and agrees that (A) there can be no assurance that the Agent will be successful in placing Shares and (B) the Agent will incur no liability or obligation to the Company or any other Person if it does not sell Shares, and (C) the Agent shall be under no obligation to purchase Shares on a principal basis pursuant to this Agreement, unless the Company and the Agent enter into a separate written agreement setting forth the terms of such sale.</w:t>
      </w:r>
    </w:p>
    <w:p>
      <w:pPr>
        <w:spacing w:after="0" w:line="63" w:lineRule="exact"/>
        <w:rPr>
          <w:rFonts w:ascii="Arial" w:cs="Arial" w:eastAsia="Arial" w:hAnsi="Arial"/>
          <w:sz w:val="17"/>
          <w:szCs w:val="17"/>
          <w:color w:val="auto"/>
        </w:rPr>
      </w:pPr>
    </w:p>
    <w:p>
      <w:pPr>
        <w:ind w:left="440" w:right="60" w:firstLine="419"/>
        <w:spacing w:after="0" w:line="263" w:lineRule="auto"/>
        <w:tabs>
          <w:tab w:leader="none" w:pos="126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3" w:lineRule="exact"/>
        <w:rPr>
          <w:rFonts w:ascii="Arial" w:cs="Arial" w:eastAsia="Arial" w:hAnsi="Arial"/>
          <w:sz w:val="18"/>
          <w:szCs w:val="18"/>
          <w:color w:val="auto"/>
        </w:rPr>
      </w:pPr>
    </w:p>
    <w:p>
      <w:pPr>
        <w:jc w:val="both"/>
        <w:ind w:right="40" w:firstLine="436"/>
        <w:spacing w:after="0" w:line="263"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183" w:lineRule="exact"/>
        <w:rPr>
          <w:rFonts w:ascii="Arial" w:cs="Arial" w:eastAsia="Arial" w:hAnsi="Arial"/>
          <w:sz w:val="18"/>
          <w:szCs w:val="18"/>
          <w:color w:val="auto"/>
        </w:rPr>
      </w:pPr>
    </w:p>
    <w:p>
      <w:pPr>
        <w:ind w:firstLine="436"/>
        <w:spacing w:after="0" w:line="284"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“Blue Sky Survey” or memorandum and a “Canadian wrapper,” and any supplements thereto, advising the Agent of such qualifications, registrations, determinations and exemptions, (vii) the reasonable fees and documented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Nasdaq Global Market. The fees and disbursements of Agent’s counsel pursuant to subsections (vi), (vii) and (viii), above shall not exceed (A) $75,000 in connection with execution of this Agreement and (B) $15,000 in connection with each Triggering Event Date (as defined below) on which the Company is required to provide a certificate pursuant to Section 4(o).</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00" w:firstLine="436"/>
        <w:spacing w:after="0" w:line="275"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w:t>
      </w:r>
    </w:p>
    <w:p>
      <w:pPr>
        <w:sectPr>
          <w:pgSz w:w="11900" w:h="16838" w:orient="portrait"/>
          <w:cols w:equalWidth="0" w:num="1">
            <w:col w:w="11000"/>
          </w:cols>
          <w:pgMar w:left="440" w:top="274" w:right="459" w:bottom="1440" w:gutter="0" w:footer="0" w:header="0"/>
        </w:sectPr>
      </w:pPr>
    </w:p>
    <w:bookmarkStart w:id="19" w:name="page20"/>
    <w:bookmarkEnd w:id="19"/>
    <w:p>
      <w:pPr>
        <w:ind w:right="1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or Exchange Act (each an “</w:t>
      </w:r>
      <w:r>
        <w:rPr>
          <w:rFonts w:ascii="Arial" w:cs="Arial" w:eastAsia="Arial" w:hAnsi="Arial"/>
          <w:sz w:val="18"/>
          <w:szCs w:val="18"/>
          <w:b w:val="1"/>
          <w:bCs w:val="1"/>
          <w:color w:val="auto"/>
        </w:rPr>
        <w:t>Interim Prospectus</w:t>
      </w:r>
      <w:r>
        <w:rPr>
          <w:rFonts w:ascii="Arial" w:cs="Arial" w:eastAsia="Arial" w:hAnsi="Arial"/>
          <w:sz w:val="18"/>
          <w:szCs w:val="18"/>
          <w:color w:val="auto"/>
        </w:rPr>
        <w:t xml:space="preserve"> Supplement”), such summary information and, at least once a quarter and subject to this </w:t>
      </w:r>
      <w:r>
        <w:rPr>
          <w:rFonts w:ascii="Arial" w:cs="Arial" w:eastAsia="Arial" w:hAnsi="Arial"/>
          <w:sz w:val="18"/>
          <w:szCs w:val="18"/>
          <w:u w:val="single" w:color="auto"/>
          <w:color w:val="auto"/>
        </w:rPr>
        <w:t>Section 4</w:t>
      </w:r>
      <w:r>
        <w:rPr>
          <w:rFonts w:ascii="Arial" w:cs="Arial" w:eastAsia="Arial" w:hAnsi="Arial"/>
          <w:sz w:val="18"/>
          <w:szCs w:val="18"/>
          <w:color w:val="auto"/>
        </w:rPr>
        <w:t>, file such Interim Prospectus Supplement pursuant to Rule 424(b) under the Securities Act (and within the time periods required by Rule 424(b) and Rule 430B under the Securities Act)).</w:t>
      </w:r>
    </w:p>
    <w:p>
      <w:pPr>
        <w:spacing w:after="0" w:line="180" w:lineRule="exact"/>
        <w:rPr>
          <w:sz w:val="20"/>
          <w:szCs w:val="20"/>
          <w:color w:val="auto"/>
        </w:rPr>
      </w:pPr>
    </w:p>
    <w:p>
      <w:pPr>
        <w:ind w:firstLine="436"/>
        <w:spacing w:after="0" w:line="287"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7" w:lineRule="exact"/>
        <w:rPr>
          <w:rFonts w:ascii="Arial" w:cs="Arial" w:eastAsia="Arial" w:hAnsi="Arial"/>
          <w:sz w:val="16"/>
          <w:szCs w:val="16"/>
          <w:color w:val="auto"/>
        </w:rPr>
      </w:pPr>
    </w:p>
    <w:p>
      <w:pPr>
        <w:ind w:right="40" w:firstLine="436"/>
        <w:spacing w:after="0" w:line="288"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 4(d) or Section 4(f).</w:t>
      </w:r>
    </w:p>
    <w:p>
      <w:pPr>
        <w:spacing w:after="0" w:line="168" w:lineRule="exact"/>
        <w:rPr>
          <w:rFonts w:ascii="Arial" w:cs="Arial" w:eastAsia="Arial" w:hAnsi="Arial"/>
          <w:sz w:val="16"/>
          <w:szCs w:val="16"/>
          <w:color w:val="auto"/>
        </w:rPr>
      </w:pPr>
    </w:p>
    <w:p>
      <w:pPr>
        <w:ind w:right="40" w:firstLine="436"/>
        <w:spacing w:after="0" w:line="273"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During any period in which an Issuance Notice is pending, prior to effecting any amendment or supplement to the Registration Statement (including any registration statement filed under Rule 462(b) under the Securities Act) or the Prospectus (excluding any amendment or supplement through incorporation of any report filed under the Exchange Act) that affects the offer and sale of the Shares as contemplated by this Agreement, the Company shall furnish to the Agent for review, a reasonable amount of time prior to the proposed time of filing or use thereof, a copy of each such proposed amendment or supplement, and file with the Commission within the applicable period specified in Rule 424(b) under the Securities Act any prospectus required to be filed pursuant to such Rule.</w:t>
      </w:r>
    </w:p>
    <w:p>
      <w:pPr>
        <w:spacing w:after="0" w:line="177" w:lineRule="exact"/>
        <w:rPr>
          <w:rFonts w:ascii="Arial" w:cs="Arial" w:eastAsia="Arial" w:hAnsi="Arial"/>
          <w:sz w:val="17"/>
          <w:szCs w:val="17"/>
          <w:color w:val="auto"/>
        </w:rPr>
      </w:pPr>
    </w:p>
    <w:p>
      <w:pPr>
        <w:jc w:val="both"/>
        <w:ind w:right="80" w:firstLine="436"/>
        <w:spacing w:after="0" w:line="259"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436"/>
        <w:spacing w:after="0" w:line="275" w:lineRule="auto"/>
        <w:tabs>
          <w:tab w:leader="none" w:pos="66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w:t>
      </w:r>
    </w:p>
    <w:p>
      <w:pPr>
        <w:sectPr>
          <w:pgSz w:w="11900" w:h="16838" w:orient="portrait"/>
          <w:cols w:equalWidth="0" w:num="1">
            <w:col w:w="11020"/>
          </w:cols>
          <w:pgMar w:left="440" w:top="270" w:right="43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amending or supplementing any such free writing prospectus, the Company shall furnish to the Agent for review, a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72" w:lineRule="exact"/>
        <w:rPr>
          <w:sz w:val="20"/>
          <w:szCs w:val="20"/>
          <w:color w:val="auto"/>
        </w:rPr>
      </w:pPr>
    </w:p>
    <w:p>
      <w:pPr>
        <w:ind w:right="220" w:firstLine="436"/>
        <w:spacing w:after="0" w:line="263"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3" w:lineRule="exact"/>
        <w:rPr>
          <w:rFonts w:ascii="Arial" w:cs="Arial" w:eastAsia="Arial" w:hAnsi="Arial"/>
          <w:sz w:val="18"/>
          <w:szCs w:val="18"/>
          <w:color w:val="auto"/>
        </w:rPr>
      </w:pPr>
    </w:p>
    <w:p>
      <w:pPr>
        <w:ind w:right="60" w:firstLine="436"/>
        <w:spacing w:after="0" w:line="285"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during such same period the Agent is required to deliver a prospectus in respect of transactions in the Shares,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promptly prepare and file with the Commission such an amendment or supplement.</w:t>
      </w:r>
    </w:p>
    <w:p>
      <w:pPr>
        <w:spacing w:after="0" w:line="173" w:lineRule="exact"/>
        <w:rPr>
          <w:rFonts w:ascii="Arial" w:cs="Arial" w:eastAsia="Arial" w:hAnsi="Arial"/>
          <w:sz w:val="16"/>
          <w:szCs w:val="16"/>
          <w:color w:val="auto"/>
        </w:rPr>
      </w:pPr>
    </w:p>
    <w:p>
      <w:pPr>
        <w:ind w:right="120" w:firstLine="436"/>
        <w:spacing w:after="0" w:line="270"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ectPr>
          <w:pgSz w:w="11900" w:h="16838" w:orient="portrait"/>
          <w:cols w:equalWidth="0" w:num="1">
            <w:col w:w="11000"/>
          </w:cols>
          <w:pgMar w:left="440" w:top="274" w:right="459" w:bottom="1440" w:gutter="0" w:footer="0" w:header="0"/>
        </w:sectPr>
      </w:pPr>
    </w:p>
    <w:bookmarkStart w:id="21" w:name="page22"/>
    <w:bookmarkEnd w:id="21"/>
    <w:p>
      <w:pPr>
        <w:ind w:left="-436" w:right="120" w:firstLine="436"/>
        <w:spacing w:after="0" w:line="311" w:lineRule="auto"/>
        <w:tabs>
          <w:tab w:leader="none" w:pos="21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(12)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ind w:left="-436" w:firstLine="436"/>
        <w:spacing w:after="0" w:line="263" w:lineRule="auto"/>
        <w:tabs>
          <w:tab w:leader="none" w:pos="25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pursuant to an outstanding Issuance Notice under this Agreement.</w:t>
      </w:r>
    </w:p>
    <w:p>
      <w:pPr>
        <w:spacing w:after="0" w:line="183" w:lineRule="exact"/>
        <w:rPr>
          <w:rFonts w:ascii="Arial" w:cs="Arial" w:eastAsia="Arial" w:hAnsi="Arial"/>
          <w:sz w:val="18"/>
          <w:szCs w:val="18"/>
          <w:color w:val="auto"/>
        </w:rPr>
      </w:pPr>
    </w:p>
    <w:p>
      <w:pPr>
        <w:ind w:left="224" w:hanging="224"/>
        <w:spacing w:after="0"/>
        <w:tabs>
          <w:tab w:leader="none" w:pos="2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left="-436" w:right="220" w:firstLine="436"/>
        <w:spacing w:after="0" w:line="259" w:lineRule="auto"/>
        <w:tabs>
          <w:tab w:leader="none" w:pos="30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ind w:left="-436" w:right="40" w:firstLine="436"/>
        <w:spacing w:after="0" w:line="291" w:lineRule="auto"/>
        <w:tabs>
          <w:tab w:leader="none" w:pos="25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left="-436" w:right="180" w:firstLine="436"/>
        <w:spacing w:after="0" w:line="277" w:lineRule="auto"/>
        <w:tabs>
          <w:tab w:leader="none" w:pos="25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sz w:val="20"/>
          <w:szCs w:val="20"/>
          <w:color w:val="auto"/>
        </w:rPr>
      </w:pPr>
    </w:p>
    <w:p>
      <w:pPr>
        <w:ind w:left="-436" w:right="60" w:firstLine="436"/>
        <w:spacing w:after="0" w:line="311" w:lineRule="auto"/>
        <w:tabs>
          <w:tab w:leader="none" w:pos="29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left="-436" w:right="240" w:firstLine="436"/>
        <w:spacing w:after="0" w:line="263" w:lineRule="auto"/>
        <w:tabs>
          <w:tab w:leader="none" w:pos="2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3" w:lineRule="exact"/>
        <w:rPr>
          <w:rFonts w:ascii="Arial" w:cs="Arial" w:eastAsia="Arial" w:hAnsi="Arial"/>
          <w:sz w:val="18"/>
          <w:szCs w:val="18"/>
          <w:color w:val="auto"/>
        </w:rPr>
      </w:pPr>
    </w:p>
    <w:p>
      <w:pPr>
        <w:ind w:left="-436" w:firstLine="436"/>
        <w:spacing w:after="0" w:line="287" w:lineRule="auto"/>
        <w:tabs>
          <w:tab w:leader="none" w:pos="28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including those required to be performed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and (C) containing any other certification that the Agent shall reasonably request. The requirement to provide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shall be automatically waived with no further action of the Agent or Company for any Triggering Event Date occurring at a time when no Issuance Notice is pending or a</w:t>
      </w:r>
    </w:p>
    <w:p>
      <w:pPr>
        <w:sectPr>
          <w:pgSz w:w="11900" w:h="16838" w:orient="portrait"/>
          <w:cols w:equalWidth="0" w:num="1">
            <w:col w:w="10564"/>
          </w:cols>
          <w:pgMar w:left="876" w:top="274" w:right="459" w:bottom="1440" w:gutter="0" w:footer="0" w:header="0"/>
        </w:sectPr>
      </w:pPr>
    </w:p>
    <w:bookmarkStart w:id="22" w:name="page23"/>
    <w:bookmarkEnd w:id="22"/>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suspension is in effect, which automatic waiver shall continue until the date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dated as of the date that the instructions for the sale of Shares are issued.</w:t>
      </w:r>
    </w:p>
    <w:p>
      <w:pPr>
        <w:spacing w:after="0" w:line="161" w:lineRule="exact"/>
        <w:rPr>
          <w:sz w:val="20"/>
          <w:szCs w:val="20"/>
          <w:color w:val="auto"/>
        </w:rPr>
      </w:pPr>
    </w:p>
    <w:p>
      <w:pPr>
        <w:ind w:firstLine="436"/>
        <w:spacing w:after="0" w:line="268" w:lineRule="auto"/>
        <w:tabs>
          <w:tab w:leader="none" w:pos="69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to be furnished, at the request of the Agent, a negative assurances letter and the written legal opinion of Covington &amp; Burling LLP, counsel to the Company, or other counsel reasonably satisfactory to the Agent, and the written legal opinion of Wolf Greenfield, intellectual property counsel for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be required to furnish no more than one legal opinion and negative assurance letter hereunder per each filing of an annual report on Form 10-K or a quarterly report on Form 10-Q;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Company shall be required to furnish no more than one such opinion from intellectual property counsel hereunder in any twelve (12) month period.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6" w:lineRule="exact"/>
        <w:rPr>
          <w:rFonts w:ascii="Arial" w:cs="Arial" w:eastAsia="Arial" w:hAnsi="Arial"/>
          <w:sz w:val="17"/>
          <w:szCs w:val="17"/>
          <w:color w:val="auto"/>
        </w:rPr>
      </w:pPr>
    </w:p>
    <w:p>
      <w:pPr>
        <w:ind w:right="20" w:firstLine="436"/>
        <w:spacing w:after="0" w:line="269" w:lineRule="auto"/>
        <w:tabs>
          <w:tab w:leader="none" w:pos="69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1" w:lineRule="exact"/>
        <w:rPr>
          <w:rFonts w:ascii="Arial" w:cs="Arial" w:eastAsia="Arial" w:hAnsi="Arial"/>
          <w:sz w:val="17"/>
          <w:szCs w:val="17"/>
          <w:color w:val="auto"/>
        </w:rPr>
      </w:pPr>
    </w:p>
    <w:p>
      <w:pPr>
        <w:ind w:right="60" w:firstLine="436"/>
        <w:spacing w:after="0" w:line="254" w:lineRule="auto"/>
        <w:tabs>
          <w:tab w:leader="none" w:pos="66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4" w:lineRule="exact"/>
        <w:rPr>
          <w:rFonts w:ascii="Arial" w:cs="Arial" w:eastAsia="Arial" w:hAnsi="Arial"/>
          <w:sz w:val="18"/>
          <w:szCs w:val="18"/>
          <w:color w:val="auto"/>
        </w:rPr>
      </w:pPr>
    </w:p>
    <w:p>
      <w:pPr>
        <w:ind w:right="400" w:firstLine="436"/>
        <w:spacing w:after="0" w:line="342" w:lineRule="auto"/>
        <w:tabs>
          <w:tab w:leader="none" w:pos="67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right="300" w:firstLine="436"/>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ectPr>
          <w:pgSz w:w="11900" w:h="16838" w:orient="portrait"/>
          <w:cols w:equalWidth="0" w:num="1">
            <w:col w:w="11020"/>
          </w:cols>
          <w:pgMar w:left="440" w:top="274" w:right="439" w:bottom="1440" w:gutter="0" w:footer="0" w:header="0"/>
        </w:sectPr>
      </w:pPr>
    </w:p>
    <w:bookmarkStart w:id="23" w:name="page24"/>
    <w:bookmarkEnd w:id="23"/>
    <w:p>
      <w:pPr>
        <w:ind w:left="4" w:right="20" w:firstLine="436"/>
        <w:spacing w:after="0" w:line="272" w:lineRule="auto"/>
        <w:tabs>
          <w:tab w:leader="none" w:pos="699"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w:t>
      </w:r>
      <w:r>
        <w:rPr>
          <w:rFonts w:ascii="Arial" w:cs="Arial" w:eastAsia="Arial" w:hAnsi="Arial"/>
          <w:sz w:val="17"/>
          <w:szCs w:val="17"/>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w:t>
      </w:r>
    </w:p>
    <w:p>
      <w:pPr>
        <w:spacing w:after="0" w:line="177" w:lineRule="exact"/>
        <w:rPr>
          <w:rFonts w:ascii="Arial" w:cs="Arial" w:eastAsia="Arial" w:hAnsi="Arial"/>
          <w:sz w:val="17"/>
          <w:szCs w:val="17"/>
          <w:color w:val="auto"/>
        </w:rPr>
      </w:pPr>
    </w:p>
    <w:p>
      <w:pPr>
        <w:ind w:left="4" w:firstLine="436"/>
        <w:spacing w:after="0" w:line="283" w:lineRule="auto"/>
        <w:tabs>
          <w:tab w:leader="none" w:pos="69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restrictions will not be required in connection with the Company’s</w:t>
      </w:r>
    </w:p>
    <w:p>
      <w:pPr>
        <w:spacing w:after="0" w:line="5" w:lineRule="exact"/>
        <w:rPr>
          <w:rFonts w:ascii="Arial" w:cs="Arial" w:eastAsia="Arial" w:hAnsi="Arial"/>
          <w:sz w:val="16"/>
          <w:szCs w:val="16"/>
          <w:color w:val="auto"/>
        </w:rPr>
      </w:pPr>
    </w:p>
    <w:p>
      <w:pPr>
        <w:ind w:left="4" w:hanging="4"/>
        <w:spacing w:after="0" w:line="281" w:lineRule="auto"/>
        <w:tabs>
          <w:tab w:leader="none" w:pos="2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(ii) issuance or sale of Common Shares pursuant to any dividend reinvestment plan that the Company may adopt from time to time, (iii) issuance or sale of Common Shares issuable upon exchange, conversion or redemption of securities or the exercise or vesting of warrants, options or other equity awards outstanding or disclosed in filings by the Company available on EDGAR or otherwise in writing to the Agent,</w:t>
      </w:r>
    </w:p>
    <w:p>
      <w:pPr>
        <w:spacing w:after="0" w:line="3" w:lineRule="exact"/>
        <w:rPr>
          <w:rFonts w:ascii="Arial" w:cs="Arial" w:eastAsia="Arial" w:hAnsi="Arial"/>
          <w:sz w:val="16"/>
          <w:szCs w:val="16"/>
          <w:color w:val="auto"/>
        </w:rPr>
      </w:pPr>
    </w:p>
    <w:p>
      <w:pPr>
        <w:ind w:left="4" w:hanging="4"/>
        <w:spacing w:after="0" w:line="252" w:lineRule="auto"/>
        <w:tabs>
          <w:tab w:leader="none" w:pos="3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 or sale of up to 5% of the outstanding Common Shares, or securities convertible into or exchangeable for Common Shares, immediately prior to giving effect to such issuance or sale, in connection with mergers, acquisitions, other business combinations, joint ventures, collaborations or strategic arrangements occurring after the date of this Agreement, (v) modification of any outstanding options, warrants of any rights to purchase or acquire Common Shares, (vi) issuance or sale of Common Shares, or securities convertible into or exercisable for Common Shares, offered and sold in a privately negotiated transaction to vendors, customers, strategic partners or potential strategic partners conducted in a manner so as not to be integrated with the offering of Common Shares hereby and (vii) for the avoidance of doubt, non-public discussions or negotiations with respect to any of the foregoing.</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ind w:left="4" w:right="40" w:firstLine="436"/>
        <w:spacing w:after="0" w:line="301" w:lineRule="auto"/>
        <w:tabs>
          <w:tab w:leader="none" w:pos="68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49" w:lineRule="exact"/>
        <w:rPr>
          <w:rFonts w:ascii="Arial" w:cs="Arial" w:eastAsia="Arial" w:hAnsi="Arial"/>
          <w:sz w:val="16"/>
          <w:szCs w:val="16"/>
          <w:color w:val="auto"/>
        </w:rPr>
      </w:pPr>
    </w:p>
    <w:p>
      <w:pPr>
        <w:ind w:left="444" w:right="420" w:firstLine="419"/>
        <w:spacing w:after="0" w:line="257" w:lineRule="auto"/>
        <w:tabs>
          <w:tab w:leader="none" w:pos="108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ectPr>
          <w:pgSz w:w="11900" w:h="16838" w:orient="portrait"/>
          <w:cols w:equalWidth="0" w:num="1">
            <w:col w:w="10984"/>
          </w:cols>
          <w:pgMar w:left="436" w:top="274" w:right="479" w:bottom="1440" w:gutter="0" w:footer="0" w:header="0"/>
        </w:sectPr>
      </w:pPr>
    </w:p>
    <w:bookmarkStart w:id="24" w:name="page25"/>
    <w:bookmarkEnd w:id="24"/>
    <w:p>
      <w:pPr>
        <w:ind w:left="440" w:right="60" w:firstLine="419"/>
        <w:spacing w:after="0" w:line="257" w:lineRule="auto"/>
        <w:tabs>
          <w:tab w:leader="none" w:pos="112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79" w:lineRule="exact"/>
        <w:rPr>
          <w:rFonts w:ascii="Arial" w:cs="Arial" w:eastAsia="Arial" w:hAnsi="Arial"/>
          <w:sz w:val="18"/>
          <w:szCs w:val="18"/>
          <w:color w:val="auto"/>
        </w:rPr>
      </w:pPr>
    </w:p>
    <w:p>
      <w:pPr>
        <w:ind w:left="440" w:firstLine="419"/>
        <w:spacing w:after="0" w:line="285" w:lineRule="auto"/>
        <w:tabs>
          <w:tab w:leader="none" w:pos="1178"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Material Adverse Changes</w:t>
      </w:r>
      <w:r>
        <w:rPr>
          <w:rFonts w:ascii="Arial" w:cs="Arial" w:eastAsia="Arial" w:hAnsi="Arial"/>
          <w:sz w:val="16"/>
          <w:szCs w:val="16"/>
          <w:color w:val="auto"/>
        </w:rPr>
        <w:t>. Except as disclosed in the Prospectus, (a) there shall not have occurred any Material Adverse Change that, in the judgment of the Agent,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Section 3(a)(62) of the Exchange Act.</w:t>
      </w:r>
    </w:p>
    <w:p>
      <w:pPr>
        <w:spacing w:after="0" w:line="102" w:lineRule="exact"/>
        <w:rPr>
          <w:rFonts w:ascii="Arial" w:cs="Arial" w:eastAsia="Arial" w:hAnsi="Arial"/>
          <w:sz w:val="16"/>
          <w:szCs w:val="16"/>
          <w:color w:val="auto"/>
        </w:rPr>
      </w:pPr>
    </w:p>
    <w:p>
      <w:pPr>
        <w:jc w:val="both"/>
        <w:ind w:left="440" w:right="360" w:firstLine="419"/>
        <w:spacing w:after="0" w:line="287" w:lineRule="auto"/>
        <w:tabs>
          <w:tab w:leader="none" w:pos="1168"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Common Shares; Other Events</w:t>
      </w:r>
      <w:r>
        <w:rPr>
          <w:rFonts w:ascii="Arial" w:cs="Arial" w:eastAsia="Arial" w:hAnsi="Arial"/>
          <w:sz w:val="16"/>
          <w:szCs w:val="16"/>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w:t>
      </w:r>
    </w:p>
    <w:p>
      <w:pPr>
        <w:spacing w:after="0" w:line="2" w:lineRule="exact"/>
        <w:rPr>
          <w:rFonts w:ascii="Arial" w:cs="Arial" w:eastAsia="Arial" w:hAnsi="Arial"/>
          <w:sz w:val="16"/>
          <w:szCs w:val="16"/>
          <w:color w:val="auto"/>
        </w:rPr>
      </w:pPr>
    </w:p>
    <w:p>
      <w:pPr>
        <w:ind w:left="440" w:right="20"/>
        <w:spacing w:after="0" w:line="268" w:lineRule="auto"/>
        <w:rPr>
          <w:rFonts w:ascii="Arial" w:cs="Arial" w:eastAsia="Arial" w:hAnsi="Arial"/>
          <w:sz w:val="16"/>
          <w:szCs w:val="16"/>
          <w:color w:val="auto"/>
        </w:rPr>
      </w:pPr>
      <w:r>
        <w:rPr>
          <w:rFonts w:ascii="Arial" w:cs="Arial" w:eastAsia="Arial" w:hAnsi="Arial"/>
          <w:sz w:val="17"/>
          <w:szCs w:val="17"/>
          <w:color w:val="auto"/>
        </w:rPr>
        <w:t>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(ii) a general banking moratorium shall have been declared by U.S.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any such case, in the judgment of the Agent is material and adverse and makes it impractical and inadvisable to market the Shares in the manner and on the terms described in the Prospectus or to enforce contracts for the sale of securities;</w:t>
      </w:r>
    </w:p>
    <w:p>
      <w:pPr>
        <w:spacing w:after="0" w:line="181" w:lineRule="exact"/>
        <w:rPr>
          <w:rFonts w:ascii="Arial" w:cs="Arial" w:eastAsia="Arial" w:hAnsi="Arial"/>
          <w:sz w:val="16"/>
          <w:szCs w:val="16"/>
          <w:color w:val="auto"/>
        </w:rPr>
      </w:pPr>
    </w:p>
    <w:p>
      <w:pPr>
        <w:ind w:right="60" w:firstLine="436"/>
        <w:spacing w:after="0" w:line="275"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6" w:lineRule="exact"/>
        <w:rPr>
          <w:rFonts w:ascii="Arial" w:cs="Arial" w:eastAsia="Arial" w:hAnsi="Arial"/>
          <w:sz w:val="17"/>
          <w:szCs w:val="17"/>
          <w:color w:val="auto"/>
        </w:rPr>
      </w:pPr>
    </w:p>
    <w:p>
      <w:pPr>
        <w:ind w:right="140" w:firstLine="436"/>
        <w:spacing w:after="0" w:line="311"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8" w:lineRule="exact"/>
        <w:rPr>
          <w:rFonts w:ascii="Arial" w:cs="Arial" w:eastAsia="Arial" w:hAnsi="Arial"/>
          <w:sz w:val="16"/>
          <w:szCs w:val="16"/>
          <w:color w:val="auto"/>
        </w:rPr>
      </w:pPr>
    </w:p>
    <w:p>
      <w:pPr>
        <w:ind w:right="180" w:firstLine="436"/>
        <w:spacing w:after="0" w:line="259"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Agent Counsel Legal Opinion</w:t>
      </w:r>
      <w:r>
        <w:rPr>
          <w:rFonts w:ascii="Arial" w:cs="Arial" w:eastAsia="Arial" w:hAnsi="Arial"/>
          <w:sz w:val="18"/>
          <w:szCs w:val="18"/>
          <w:color w:val="auto"/>
        </w:rPr>
        <w:t>. Agent shall have received from Goodwin Procter LLP, counsel for Agent, such opinion or opinions, on or before the date on which the delivery of the Company counsel legal opinion is required pursuant to Section 4(p), with respect to such matters as Agent may reasonably require, and the Company shall have furnished to such counsel such documents as they request for enabling them to pass upon such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121" w:lineRule="exact"/>
        <w:rPr>
          <w:sz w:val="20"/>
          <w:szCs w:val="20"/>
          <w:color w:val="auto"/>
        </w:rPr>
      </w:pPr>
    </w:p>
    <w:p>
      <w:pPr>
        <w:ind w:right="120" w:firstLine="436"/>
        <w:spacing w:after="0" w:line="301" w:lineRule="auto"/>
        <w:tabs>
          <w:tab w:leader="none" w:pos="68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w:t>
      </w:r>
    </w:p>
    <w:p>
      <w:pPr>
        <w:sectPr>
          <w:pgSz w:w="11900" w:h="16838" w:orient="portrait"/>
          <w:cols w:equalWidth="0" w:num="1">
            <w:col w:w="11000"/>
          </w:cols>
          <w:pgMar w:left="440" w:top="274" w:right="459" w:bottom="1440" w:gutter="0" w:footer="0" w:header="0"/>
        </w:sectPr>
      </w:pPr>
    </w:p>
    <w:bookmarkStart w:id="25" w:name="page26"/>
    <w:bookmarkEnd w:id="25"/>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76" w:lineRule="exact"/>
        <w:rPr>
          <w:sz w:val="20"/>
          <w:szCs w:val="20"/>
          <w:color w:val="auto"/>
        </w:rPr>
      </w:pPr>
    </w:p>
    <w:p>
      <w:pPr>
        <w:ind w:firstLine="436"/>
        <w:spacing w:after="0" w:line="285"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last sentence of the eighth paragraph under the caption “Plan of Distribution” in the Prospectus, and to reimburse the Company and each such director, officer and controlling person for any and all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384" w:lineRule="exact"/>
        <w:rPr>
          <w:rFonts w:ascii="Arial" w:cs="Arial" w:eastAsia="Arial" w:hAnsi="Arial"/>
          <w:sz w:val="16"/>
          <w:szCs w:val="16"/>
          <w:color w:val="auto"/>
        </w:rPr>
      </w:pPr>
    </w:p>
    <w:p>
      <w:pPr>
        <w:ind w:right="20" w:firstLine="436"/>
        <w:spacing w:after="0" w:line="272" w:lineRule="auto"/>
        <w:tabs>
          <w:tab w:leader="none" w:pos="68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Notifications and Other Indemnification Procedures</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such indemnified party will, if a claim in respect thereof is to be made against an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w:t>
      </w:r>
    </w:p>
    <w:p>
      <w:pPr>
        <w:sectPr>
          <w:pgSz w:w="11900" w:h="16838" w:orient="portrait"/>
          <w:cols w:equalWidth="0" w:num="1">
            <w:col w:w="11000"/>
          </w:cols>
          <w:pgMar w:left="440" w:top="274" w:right="459" w:bottom="1440" w:gutter="0" w:footer="0" w:header="0"/>
        </w:sectPr>
      </w:pPr>
    </w:p>
    <w:bookmarkStart w:id="26" w:name="page27"/>
    <w:bookmarkEnd w:id="26"/>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or the Company (in the case of counsel for the indemnified parties referred to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74" w:lineRule="exact"/>
        <w:rPr>
          <w:sz w:val="20"/>
          <w:szCs w:val="20"/>
          <w:color w:val="auto"/>
        </w:rPr>
      </w:pPr>
    </w:p>
    <w:p>
      <w:pPr>
        <w:ind w:left="4" w:firstLine="436"/>
        <w:spacing w:after="0" w:line="285" w:lineRule="auto"/>
        <w:tabs>
          <w:tab w:leader="none" w:pos="69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78" w:lineRule="exact"/>
        <w:rPr>
          <w:rFonts w:ascii="Arial" w:cs="Arial" w:eastAsia="Arial" w:hAnsi="Arial"/>
          <w:sz w:val="17"/>
          <w:szCs w:val="17"/>
          <w:color w:val="auto"/>
        </w:rPr>
      </w:pPr>
    </w:p>
    <w:p>
      <w:pPr>
        <w:ind w:left="4" w:right="20" w:firstLine="436"/>
        <w:spacing w:after="0" w:line="286" w:lineRule="auto"/>
        <w:tabs>
          <w:tab w:leader="none" w:pos="689"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ectPr>
          <w:pgSz w:w="11900" w:h="16838" w:orient="portrait"/>
          <w:cols w:equalWidth="0" w:num="1">
            <w:col w:w="11024"/>
          </w:cols>
          <w:pgMar w:left="436" w:top="274" w:right="439" w:bottom="1440" w:gutter="0" w:footer="0" w:header="0"/>
        </w:sectPr>
      </w:pPr>
    </w:p>
    <w:bookmarkStart w:id="27" w:name="page28"/>
    <w:bookmarkEnd w:id="27"/>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12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right="20" w:firstLine="436"/>
        <w:spacing w:after="0" w:line="277"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75" w:lineRule="auto"/>
        <w:tabs>
          <w:tab w:leader="none" w:pos="1078"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Either party may terminate this Agreement prior to the end of the Agency Period, by giving written notice as required by this Agreement, upon ten (10) Trading Days’ notice to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68" w:lineRule="exact"/>
        <w:rPr>
          <w:rFonts w:ascii="Arial" w:cs="Arial" w:eastAsia="Arial" w:hAnsi="Arial"/>
          <w:sz w:val="17"/>
          <w:szCs w:val="17"/>
          <w:color w:val="auto"/>
        </w:rPr>
      </w:pPr>
    </w:p>
    <w:p>
      <w:pPr>
        <w:ind w:left="440" w:right="180" w:firstLine="419"/>
        <w:spacing w:after="0" w:line="257" w:lineRule="auto"/>
        <w:tabs>
          <w:tab w:leader="none" w:pos="11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36"/>
        <w:spacing w:after="0" w:line="291"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w:t>
      </w:r>
    </w:p>
    <w:p>
      <w:pPr>
        <w:sectPr>
          <w:pgSz w:w="11900" w:h="16838" w:orient="portrait"/>
          <w:cols w:equalWidth="0" w:num="1">
            <w:col w:w="11000"/>
          </w:cols>
          <w:pgMar w:left="440" w:top="274" w:right="45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reasonable opinion of the party seeking to make disclosure to comply with the requirements of applicable law or stock exchange rules and except for the disclosure required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8" w:lineRule="exact"/>
        <w:rPr>
          <w:sz w:val="20"/>
          <w:szCs w:val="20"/>
          <w:color w:val="auto"/>
        </w:rPr>
      </w:pPr>
    </w:p>
    <w:p>
      <w:pPr>
        <w:ind w:firstLine="436"/>
        <w:spacing w:after="0" w:line="289"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ind w:right="100" w:firstLine="436"/>
        <w:spacing w:after="0" w:line="254"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right="440" w:firstLine="436"/>
        <w:spacing w:after="0" w:line="27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Peter M. Fry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Stuart R. Nayman, Esq.</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Watertown, Massachusetts 02472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Kevin Tan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Ann K. Donohue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Matthew W. Bartholomae</w:t>
      </w:r>
    </w:p>
    <w:p>
      <w:pPr>
        <w:sectPr>
          <w:pgSz w:w="11900" w:h="16838" w:orient="portrait"/>
          <w:cols w:equalWidth="0" w:num="1">
            <w:col w:w="10980"/>
          </w:cols>
          <w:pgMar w:left="440" w:top="274" w:right="47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New York Times Building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10018-1405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Brian K. Rosenzweig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right="220" w:firstLine="436"/>
        <w:spacing w:after="0" w:line="311"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ind w:right="220" w:firstLine="436"/>
        <w:spacing w:after="0" w:line="259" w:lineRule="auto"/>
        <w:tabs>
          <w:tab w:leader="none" w:pos="6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ind w:firstLine="436"/>
        <w:spacing w:after="0" w:line="269"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rFonts w:ascii="Arial" w:cs="Arial" w:eastAsia="Arial" w:hAnsi="Arial"/>
          <w:sz w:val="17"/>
          <w:szCs w:val="17"/>
          <w:color w:val="auto"/>
        </w:rPr>
      </w:pPr>
    </w:p>
    <w:p>
      <w:pPr>
        <w:ind w:right="20" w:firstLine="436"/>
        <w:spacing w:after="0" w:line="272"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rFonts w:ascii="Arial" w:cs="Arial" w:eastAsia="Arial" w:hAnsi="Arial"/>
          <w:sz w:val="17"/>
          <w:szCs w:val="17"/>
          <w:color w:val="auto"/>
        </w:rPr>
      </w:pPr>
    </w:p>
    <w:p>
      <w:pPr>
        <w:ind w:firstLine="436"/>
        <w:spacing w:after="0" w:line="25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In the event that the Agent is a Covered Entity and such Agent or a BHC Act Affiliate of such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1000"/>
          </w:cols>
          <w:pgMar w:left="440" w:top="274" w:right="459" w:bottom="1440" w:gutter="0" w:footer="0" w:header="0"/>
        </w:sectPr>
      </w:pPr>
    </w:p>
    <w:bookmarkStart w:id="30" w:name="page31"/>
    <w:bookmarkEnd w:id="30"/>
    <w:p>
      <w:pPr>
        <w:ind w:left="4"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hanging="4"/>
        <w:spacing w:after="0" w:line="253" w:lineRule="auto"/>
        <w:tabs>
          <w:tab w:leader="none" w:pos="3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2" w:lineRule="exact"/>
        <w:rPr>
          <w:rFonts w:ascii="Arial" w:cs="Arial" w:eastAsia="Arial" w:hAnsi="Arial"/>
          <w:sz w:val="18"/>
          <w:szCs w:val="18"/>
          <w:color w:val="auto"/>
        </w:rPr>
      </w:pPr>
    </w:p>
    <w:p>
      <w:pPr>
        <w:ind w:left="4" w:right="20" w:firstLine="436"/>
        <w:spacing w:after="0" w:line="255" w:lineRule="auto"/>
        <w:tabs>
          <w:tab w:leader="none" w:pos="65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92"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[Signature Page Immediately Follows]</w:t>
      </w:r>
    </w:p>
    <w:p>
      <w:pPr>
        <w:sectPr>
          <w:pgSz w:w="11900" w:h="16838" w:orient="portrait"/>
          <w:cols w:equalWidth="0" w:num="1">
            <w:col w:w="10984"/>
          </w:cols>
          <w:pgMar w:left="436" w:top="274" w:right="479" w:bottom="1440" w:gutter="0" w:footer="0" w:header="0"/>
        </w:sectPr>
      </w:pPr>
    </w:p>
    <w:bookmarkStart w:id="31" w:name="page32"/>
    <w:bookmarkEnd w:id="31"/>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Carsten Brunn, Ph.D.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SVB LEERINK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Peter Fry</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Head of Alternative Equities</w:t>
      </w:r>
    </w:p>
    <w:p>
      <w:pPr>
        <w:sectPr>
          <w:pgSz w:w="11900" w:h="16838" w:orient="portrait"/>
          <w:cols w:equalWidth="0" w:num="1">
            <w:col w:w="10700"/>
          </w:cols>
          <w:pgMar w:left="440" w:top="274" w:right="759" w:bottom="1440" w:gutter="0" w:footer="0" w:header="0"/>
        </w:sectPr>
      </w:pPr>
    </w:p>
    <w:bookmarkStart w:id="32" w:name="page33"/>
    <w:bookmarkEnd w:id="32"/>
    <w:p>
      <w:pPr>
        <w:jc w:val="center"/>
        <w:ind w:right="-2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3"/>
        <w:spacing w:after="0"/>
        <w:rPr>
          <w:sz w:val="20"/>
          <w:szCs w:val="20"/>
          <w:color w:val="auto"/>
        </w:rPr>
      </w:pPr>
      <w:r>
        <w:rPr>
          <w:rFonts w:ascii="Arial" w:cs="Arial" w:eastAsia="Arial" w:hAnsi="Arial"/>
          <w:sz w:val="18"/>
          <w:szCs w:val="18"/>
          <w:b w:val="1"/>
          <w:bCs w:val="1"/>
          <w:u w:val="single" w:color="auto"/>
          <w:color w:val="auto"/>
        </w:rPr>
        <w:t>FORM OF PLACEMENT NOTICE</w:t>
      </w:r>
    </w:p>
    <w:p>
      <w:pPr>
        <w:spacing w:after="0" w:line="121" w:lineRule="exact"/>
        <w:rPr>
          <w:sz w:val="20"/>
          <w:szCs w:val="20"/>
          <w:color w:val="auto"/>
        </w:rPr>
      </w:pPr>
    </w:p>
    <w:p>
      <w:pPr>
        <w:ind w:left="4"/>
        <w:spacing w:after="0"/>
        <w:tabs>
          <w:tab w:leader="none" w:pos="644" w:val="left"/>
          <w:tab w:leader="none" w:pos="1424" w:val="left"/>
        </w:tabs>
        <w:rPr>
          <w:sz w:val="20"/>
          <w:szCs w:val="20"/>
          <w:color w:val="auto"/>
        </w:rPr>
      </w:pPr>
      <w:r>
        <w:rPr>
          <w:rFonts w:ascii="Arial" w:cs="Arial" w:eastAsia="Arial" w:hAnsi="Arial"/>
          <w:sz w:val="18"/>
          <w:szCs w:val="18"/>
          <w:color w:val="auto"/>
        </w:rPr>
        <w:t>From:</w:t>
        <w:tab/>
        <w:t>[</w:t>
      </w:r>
      <w:r>
        <w:rPr>
          <w:sz w:val="20"/>
          <w:szCs w:val="20"/>
          <w:color w:val="auto"/>
        </w:rPr>
        <w:tab/>
      </w:r>
      <w:r>
        <w:rPr>
          <w:rFonts w:ascii="Arial" w:cs="Arial" w:eastAsia="Arial" w:hAnsi="Arial"/>
          <w:sz w:val="18"/>
          <w:szCs w:val="18"/>
          <w:color w:val="auto"/>
        </w:rPr>
        <w:t>]</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80" w:type="dxa"/>
            <w:vAlign w:val="bottom"/>
          </w:tcPr>
          <w:p>
            <w:pPr>
              <w:jc w:val="right"/>
              <w:ind w:right="381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Selecta Biosciences, Inc.</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Cc:</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80" w:type="dxa"/>
            <w:vAlign w:val="bottom"/>
          </w:tcPr>
          <w:p>
            <w:pPr>
              <w:jc w:val="right"/>
              <w:ind w:right="377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To:</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SVB Leerink LLC</w:t>
            </w:r>
          </w:p>
        </w:tc>
      </w:t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Subject:</w:t>
            </w:r>
          </w:p>
        </w:tc>
        <w:tc>
          <w:tcPr>
            <w:tcW w:w="4480" w:type="dxa"/>
            <w:vAlign w:val="bottom"/>
          </w:tcPr>
          <w:p>
            <w:pPr>
              <w:jc w:val="right"/>
              <w:spacing w:after="0"/>
              <w:rPr>
                <w:sz w:val="20"/>
                <w:szCs w:val="20"/>
                <w:color w:val="auto"/>
              </w:rPr>
            </w:pPr>
            <w:r>
              <w:rPr>
                <w:rFonts w:ascii="Arial" w:cs="Arial" w:eastAsia="Arial" w:hAnsi="Arial"/>
                <w:sz w:val="18"/>
                <w:szCs w:val="18"/>
                <w:color w:val="auto"/>
                <w:w w:val="95"/>
              </w:rPr>
              <w:t>SVB Leerink LLC At the Market Offering—Issuance Notice</w:t>
            </w:r>
          </w:p>
        </w:tc>
      </w:tr>
    </w:tbl>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Pursuant to the terms and subject to the conditions contained in the Sales Agreement, dated October 25, 2021 (the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by and between Selecta Biosciences, Inc.,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and SVB Leerink LLC (the “</w:t>
      </w:r>
      <w:r>
        <w:rPr>
          <w:rFonts w:ascii="Arial" w:cs="Arial" w:eastAsia="Arial" w:hAnsi="Arial"/>
          <w:sz w:val="16"/>
          <w:szCs w:val="16"/>
          <w:b w:val="1"/>
          <w:bCs w:val="1"/>
          <w:u w:val="single" w:color="auto"/>
          <w:color w:val="auto"/>
        </w:rPr>
        <w:t>Agent</w:t>
      </w:r>
      <w:r>
        <w:rPr>
          <w:rFonts w:ascii="Arial" w:cs="Arial" w:eastAsia="Arial" w:hAnsi="Arial"/>
          <w:sz w:val="16"/>
          <w:szCs w:val="16"/>
          <w:color w:val="auto"/>
        </w:rPr>
        <w:t>”), I hereby request on behalf of the Company that the Agent sell up to [ ] shares of common stock, $0.0001 par value per share, of the Company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at a minimum market price of</w:t>
      </w:r>
    </w:p>
    <w:p>
      <w:pPr>
        <w:spacing w:after="0" w:line="2" w:lineRule="exact"/>
        <w:rPr>
          <w:sz w:val="20"/>
          <w:szCs w:val="20"/>
          <w:color w:val="auto"/>
        </w:rPr>
      </w:pPr>
    </w:p>
    <w:p>
      <w:pPr>
        <w:ind w:left="4" w:right="60" w:hanging="4"/>
        <w:spacing w:after="0" w:line="323" w:lineRule="auto"/>
        <w:tabs>
          <w:tab w:leader="none" w:pos="31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per share[;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more than [ ] Shares shall be sold in any one Trading Day (as such term is defined in Section 3 of the Agreement)]. Sales should begin [on the date of this Issuance Notice] and end on [DATE] [until all Shares that are the subject of this Issuance Notice are sold].</w:t>
      </w:r>
    </w:p>
    <w:p>
      <w:pPr>
        <w:sectPr>
          <w:pgSz w:w="11900" w:h="16838" w:orient="portrait"/>
          <w:cols w:equalWidth="0" w:num="1">
            <w:col w:w="10824"/>
          </w:cols>
          <w:pgMar w:left="436" w:top="270" w:right="6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ectPr>
          <w:pgSz w:w="11900" w:h="16838" w:orient="portrait"/>
          <w:cols w:equalWidth="0" w:num="1">
            <w:col w:w="9019"/>
          </w:cols>
          <w:pgMar w:left="1440" w:top="27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13284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20"/>
        <w:spacing w:after="0" w:line="266" w:lineRule="auto"/>
        <w:rPr>
          <w:sz w:val="20"/>
          <w:szCs w:val="20"/>
          <w:color w:val="auto"/>
        </w:rPr>
      </w:pPr>
      <w:r>
        <w:rPr>
          <w:rFonts w:ascii="Arial" w:cs="Arial" w:eastAsia="Arial" w:hAnsi="Arial"/>
          <w:sz w:val="18"/>
          <w:szCs w:val="18"/>
          <w:b w:val="1"/>
          <w:bCs w:val="1"/>
          <w:color w:val="auto"/>
        </w:rPr>
        <w:t>BEIJING BRUSSELS DUBAI FRANKFURT JOHANNESBURG LONDON LOS ANGELES NEW YORK PALO ALTO SAN FRANCISCO SEOUL SHANGHAI WASHINGTON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 02472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New York Times Building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 10018-1405</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 +1 212 841 1000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25, 2021</w:t>
      </w:r>
    </w:p>
    <w:p>
      <w:pPr>
        <w:spacing w:after="0" w:line="1387" w:lineRule="exact"/>
        <w:rPr>
          <w:sz w:val="20"/>
          <w:szCs w:val="20"/>
          <w:color w:val="auto"/>
        </w:rPr>
      </w:pPr>
    </w:p>
    <w:p>
      <w:pPr>
        <w:sectPr>
          <w:pgSz w:w="11900" w:h="16838" w:orient="portrait"/>
          <w:cols w:equalWidth="0" w:num="2">
            <w:col w:w="7240" w:space="720"/>
            <w:col w:w="3060"/>
          </w:cols>
          <w:pgMar w:left="440" w:top="121" w:right="439" w:bottom="1440" w:gutter="0" w:footer="0" w:header="0"/>
        </w:sectPr>
      </w:pPr>
    </w:p>
    <w:p>
      <w:pPr>
        <w:spacing w:after="0" w:line="25"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We have acted as counsel to Selecta Biosciences,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registration by the Company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the offer and sale of shares of the Company’s common stock, $0.0001 par value per share, having an aggregate offering price of up to $75,000,000 (the “</w:t>
      </w:r>
      <w:r>
        <w:rPr>
          <w:rFonts w:ascii="Arial" w:cs="Arial" w:eastAsia="Arial" w:hAnsi="Arial"/>
          <w:sz w:val="16"/>
          <w:szCs w:val="16"/>
          <w:i w:val="1"/>
          <w:iCs w:val="1"/>
          <w:color w:val="auto"/>
        </w:rPr>
        <w:t>Shares</w:t>
      </w:r>
      <w:r>
        <w:rPr>
          <w:rFonts w:ascii="Arial" w:cs="Arial" w:eastAsia="Arial" w:hAnsi="Arial"/>
          <w:sz w:val="16"/>
          <w:szCs w:val="16"/>
          <w:color w:val="auto"/>
        </w:rPr>
        <w:t>”), pursuant to the Sales Agreement, dated October 25, 2021, between the Company and SVB Leerink LLC, as sales agent (the “</w:t>
      </w:r>
      <w:r>
        <w:rPr>
          <w:rFonts w:ascii="Arial" w:cs="Arial" w:eastAsia="Arial" w:hAnsi="Arial"/>
          <w:sz w:val="16"/>
          <w:szCs w:val="16"/>
          <w:i w:val="1"/>
          <w:iCs w:val="1"/>
          <w:color w:val="auto"/>
        </w:rPr>
        <w:t>Sales Agreement</w:t>
      </w:r>
      <w:r>
        <w:rPr>
          <w:rFonts w:ascii="Arial" w:cs="Arial" w:eastAsia="Arial" w:hAnsi="Arial"/>
          <w:sz w:val="16"/>
          <w:szCs w:val="16"/>
          <w:color w:val="auto"/>
        </w:rPr>
        <w:t>”). The offer and sale of the Shares are being registered under the Securities Act pursuant to the Company’s registration statement on Form S-3 (File No. 333-241692), which was filed with the Securities and Exchange Commission on August 6, 2020 (such registration statement, as amended as of the date hereof, is herein referred to as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w:t>
      </w:r>
    </w:p>
    <w:p>
      <w:pPr>
        <w:spacing w:after="0" w:line="16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have reviewed the Sales Agreement, the Registration Statement, and the prospectus, dated August 14, 2020, as supplemented by a prospectus supplement dated October 25, 2021, with respect to the offer and sale of the Shares, as filed with the Securities and Exchange Commission on October 25, 2021. We have also reviewed such corporate records, certificates and other documents, and such questions of law, as we have considered necessary or appropriate for the purposes of this opinion.</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We have assumed that all signatures are genuine, that all documents submitted to us as originals are authentic and that all copies of documents submitted to us conform to the originals.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duly authorized, and when issued and sold by the Company pursuant to the terms of the Sales Agreement and upon receipt by the Company of full payment therefor in accordance with the Sales Agreement, will be validly issued, fully paid and non-assessable.</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We are members of the bar of the State of New York. We do not express any opinion herein on any laws other than the law of the State of New York, the Delaware General Corporation Law, applicable provisions of the Delaware Constitution and reported judicial decisions interpreting these laws.</w:t>
      </w:r>
    </w:p>
    <w:p>
      <w:pPr>
        <w:sectPr>
          <w:pgSz w:w="11900" w:h="16838" w:orient="portrait"/>
          <w:cols w:equalWidth="0" w:num="1">
            <w:col w:w="11020"/>
          </w:cols>
          <w:pgMar w:left="440" w:top="121"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865505" cy="128905"/>
                    </a:xfrm>
                    <a:prstGeom prst="rect">
                      <a:avLst/>
                    </a:prstGeom>
                    <a:noFill/>
                  </pic:spPr>
                </pic:pic>
              </a:graphicData>
            </a:graphic>
          </wp:anchor>
        </w:drawing>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dated the date hereof related to the offering of the Shares. We also hereby consent to the reference to our firm under the heading “Legal Matters” in the prospectus supplement constituting part of the Registration Statement. In giving such consent, we do not thereby admit that we are in the category of persons whose consent is required under Section 7 of the Securities Act.</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Covington &amp; Burling LLP</w:t>
      </w:r>
    </w:p>
    <w:sectPr>
      <w:pgSz w:w="11900" w:h="16838" w:orient="portrait"/>
      <w:cols w:equalWidth="0" w:num="1">
        <w:col w:w="10920"/>
      </w:cols>
      <w:pgMar w:left="440" w:top="47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decimal"/>
      <w:start w:val="3"/>
    </w:lvl>
    <w:lvl w:ilvl="1">
      <w:lvlJc w:val="left"/>
      <w:lvlText w:val="(%2)"/>
      <w:numFmt w:val="lowerLetter"/>
      <w:start w:val="1"/>
    </w:lvl>
  </w:abstractNum>
  <w:abstractNum w:abstractNumId="4">
    <w:nsid w:val="189A769B"/>
    <w:multiLevelType w:val="hybridMultilevel"/>
    <w:lvl w:ilvl="0">
      <w:lvlJc w:val="left"/>
      <w:lvlText w:val="(%1)"/>
      <w:numFmt w:val="lowerLetter"/>
      <w:start w:val="2"/>
    </w:lvl>
  </w:abstractNum>
  <w:abstractNum w:abstractNumId="5">
    <w:nsid w:val="54E49EB4"/>
    <w:multiLevelType w:val="hybridMultilevel"/>
    <w:lvl w:ilvl="0">
      <w:lvlJc w:val="left"/>
      <w:lvlText w:val="(%1)"/>
      <w:numFmt w:val="lowerLetter"/>
      <w:start w:val="3"/>
    </w:lvl>
  </w:abstractNum>
  <w:abstractNum w:abstractNumId="6">
    <w:nsid w:val="71F32454"/>
    <w:multiLevelType w:val="hybridMultilevel"/>
    <w:lvl w:ilvl="0">
      <w:lvlJc w:val="left"/>
      <w:lvlText w:val="(%1)"/>
      <w:numFmt w:val="lowerLetter"/>
      <w:start w:val="6"/>
    </w:lvl>
  </w:abstractNum>
  <w:abstractNum w:abstractNumId="7">
    <w:nsid w:val="2CA88611"/>
    <w:multiLevelType w:val="hybridMultilevel"/>
    <w:lvl w:ilvl="0">
      <w:lvlJc w:val="left"/>
      <w:lvlText w:val="(%1)"/>
      <w:numFmt w:val="lowerLetter"/>
      <w:start w:val="9"/>
    </w:lvl>
  </w:abstractNum>
  <w:abstractNum w:abstractNumId="8">
    <w:nsid w:val="836C40E"/>
    <w:multiLevelType w:val="hybridMultilevel"/>
    <w:lvl w:ilvl="0">
      <w:lvlJc w:val="left"/>
      <w:lvlText w:val="%1"/>
      <w:numFmt w:val="lowerLetter"/>
      <w:start w:val="1"/>
    </w:lvl>
    <w:lvl w:ilvl="1">
      <w:lvlJc w:val="left"/>
      <w:lvlText w:val="(%2)"/>
      <w:numFmt w:val="lowerLetter"/>
      <w:start w:val="14"/>
    </w:lvl>
  </w:abstractNum>
  <w:abstractNum w:abstractNumId="9">
    <w:nsid w:val="2901D82"/>
    <w:multiLevelType w:val="hybridMultilevel"/>
    <w:lvl w:ilvl="0">
      <w:lvlJc w:val="left"/>
      <w:lvlText w:val="(%1)"/>
      <w:numFmt w:val="lowerLetter"/>
      <w:start w:val="9"/>
    </w:lvl>
    <w:lvl w:ilvl="1">
      <w:lvlJc w:val="left"/>
      <w:lvlText w:val="(%2)"/>
      <w:numFmt w:val="lowerLetter"/>
      <w:start w:val="16"/>
    </w:lvl>
  </w:abstractNum>
  <w:abstractNum w:abstractNumId="10">
    <w:nsid w:val="3A95F874"/>
    <w:multiLevelType w:val="hybridMultilevel"/>
    <w:lvl w:ilvl="0">
      <w:lvlJc w:val="left"/>
      <w:lvlText w:val="(%1)"/>
      <w:numFmt w:val="lowerLetter"/>
      <w:start w:val="17"/>
    </w:lvl>
  </w:abstractNum>
  <w:abstractNum w:abstractNumId="11">
    <w:nsid w:val="8138641"/>
    <w:multiLevelType w:val="hybridMultilevel"/>
    <w:lvl w:ilvl="0">
      <w:lvlJc w:val="left"/>
      <w:lvlText w:val="(%1)"/>
      <w:numFmt w:val="lowerLetter"/>
      <w:start w:val="35"/>
    </w:lvl>
    <w:lvl w:ilvl="1">
      <w:lvlJc w:val="left"/>
      <w:lvlText w:val="(%2)"/>
      <w:numFmt w:val="lowerLetter"/>
      <w:start w:val="21"/>
    </w:lvl>
  </w:abstractNum>
  <w:abstractNum w:abstractNumId="12">
    <w:nsid w:val="1E7FF521"/>
    <w:multiLevelType w:val="hybridMultilevel"/>
    <w:lvl w:ilvl="0">
      <w:lvlJc w:val="left"/>
      <w:lvlText w:val="(%1)"/>
      <w:numFmt w:val="lowerLetter"/>
      <w:start w:val="25"/>
    </w:lvl>
  </w:abstractNum>
  <w:abstractNum w:abstractNumId="13">
    <w:nsid w:val="7C3DBD3D"/>
    <w:multiLevelType w:val="hybridMultilevel"/>
    <w:lvl w:ilvl="0">
      <w:lvlJc w:val="left"/>
      <w:lvlText w:val="%1"/>
      <w:numFmt w:val="lowerLetter"/>
      <w:start w:val="1"/>
    </w:lvl>
    <w:lvl w:ilvl="1">
      <w:lvlJc w:val="left"/>
      <w:lvlText w:val="(%2)"/>
      <w:numFmt w:val="lowerLetter"/>
      <w:start w:val="27"/>
    </w:lvl>
  </w:abstractNum>
  <w:abstractNum w:abstractNumId="14">
    <w:nsid w:val="737B8DDC"/>
    <w:multiLevelType w:val="hybridMultilevel"/>
    <w:lvl w:ilvl="0">
      <w:lvlJc w:val="left"/>
      <w:lvlText w:val="(%1)"/>
      <w:numFmt w:val="lowerLetter"/>
      <w:start w:val="35"/>
    </w:lvl>
    <w:lvl w:ilvl="1">
      <w:lvlJc w:val="left"/>
      <w:lvlText w:val="(%2)"/>
      <w:numFmt w:val="lowerLetter"/>
      <w:start w:val="31"/>
    </w:lvl>
  </w:abstractNum>
  <w:abstractNum w:abstractNumId="15">
    <w:nsid w:val="6CEAF087"/>
    <w:multiLevelType w:val="hybridMultilevel"/>
    <w:lvl w:ilvl="0">
      <w:lvlJc w:val="left"/>
      <w:lvlText w:val="%1"/>
      <w:numFmt w:val="lowerLetter"/>
      <w:start w:val="1"/>
    </w:lvl>
    <w:lvl w:ilvl="1">
      <w:lvlJc w:val="left"/>
      <w:lvlText w:val="(%2)"/>
      <w:numFmt w:val="lowerLetter"/>
      <w:start w:val="32"/>
    </w:lvl>
  </w:abstractNum>
  <w:abstractNum w:abstractNumId="16">
    <w:nsid w:val="22221A70"/>
    <w:multiLevelType w:val="hybridMultilevel"/>
    <w:lvl w:ilvl="0">
      <w:lvlJc w:val="left"/>
      <w:lvlText w:val="(%1)"/>
      <w:numFmt w:val="lowerLetter"/>
      <w:start w:val="9"/>
    </w:lvl>
    <w:lvl w:ilvl="1">
      <w:lvlJc w:val="left"/>
      <w:lvlText w:val="(%2)"/>
      <w:numFmt w:val="lowerLetter"/>
      <w:start w:val="38"/>
    </w:lvl>
  </w:abstractNum>
  <w:abstractNum w:abstractNumId="17">
    <w:nsid w:val="4516DDE9"/>
    <w:multiLevelType w:val="hybridMultilevel"/>
    <w:lvl w:ilvl="0">
      <w:lvlJc w:val="left"/>
      <w:lvlText w:val="%1"/>
      <w:numFmt w:val="lowerLetter"/>
      <w:start w:val="1"/>
    </w:lvl>
    <w:lvl w:ilvl="1">
      <w:lvlJc w:val="left"/>
      <w:lvlText w:val="(%2)"/>
      <w:numFmt w:val="lowerLetter"/>
      <w:start w:val="39"/>
    </w:lvl>
  </w:abstractNum>
  <w:abstractNum w:abstractNumId="18">
    <w:nsid w:val="3006C83E"/>
    <w:multiLevelType w:val="hybridMultilevel"/>
    <w:lvl w:ilvl="0">
      <w:lvlJc w:val="left"/>
      <w:lvlText w:val="(%1)"/>
      <w:numFmt w:val="lowerLetter"/>
      <w:start w:val="61"/>
    </w:lvl>
    <w:lvl w:ilvl="1">
      <w:lvlJc w:val="left"/>
      <w:lvlText w:val="%2"/>
      <w:numFmt w:val="lowerLetter"/>
      <w:start w:val="1"/>
    </w:lvl>
  </w:abstractNum>
  <w:abstractNum w:abstractNumId="19">
    <w:nsid w:val="614FD4A1"/>
    <w:multiLevelType w:val="hybridMultilevel"/>
    <w:lvl w:ilvl="0">
      <w:lvlJc w:val="left"/>
      <w:lvlText w:val="(%1)"/>
      <w:numFmt w:val="lowerLetter"/>
      <w:start w:val="42"/>
    </w:lvl>
  </w:abstractNum>
  <w:abstractNum w:abstractNumId="20">
    <w:nsid w:val="419AC241"/>
    <w:multiLevelType w:val="hybridMultilevel"/>
    <w:lvl w:ilvl="0">
      <w:lvlJc w:val="left"/>
      <w:lvlText w:val="(%1)"/>
      <w:numFmt w:val="lowerLetter"/>
      <w:start w:val="48"/>
    </w:lvl>
  </w:abstractNum>
  <w:abstractNum w:abstractNumId="21">
    <w:nsid w:val="5577F8E1"/>
    <w:multiLevelType w:val="hybridMultilevel"/>
    <w:lvl w:ilvl="0">
      <w:lvlJc w:val="left"/>
      <w:lvlText w:val="(%1)"/>
      <w:numFmt w:val="lowerLetter"/>
      <w:start w:val="1"/>
    </w:lvl>
    <w:lvl w:ilvl="1">
      <w:lvlJc w:val="left"/>
      <w:lvlText w:val="(%2)"/>
      <w:numFmt w:val="lowerLetter"/>
      <w:start w:val="9"/>
    </w:lvl>
  </w:abstractNum>
  <w:abstractNum w:abstractNumId="22">
    <w:nsid w:val="440BADFC"/>
    <w:multiLevelType w:val="hybridMultilevel"/>
    <w:lvl w:ilvl="0">
      <w:lvlJc w:val="left"/>
      <w:lvlText w:val="%1"/>
      <w:numFmt w:val="lowerRoman"/>
      <w:start w:val="1"/>
    </w:lvl>
    <w:lvl w:ilvl="1">
      <w:lvlJc w:val="left"/>
      <w:lvlText w:val="(%2)"/>
      <w:numFmt w:val="lowerRoman"/>
      <w:start w:val="2"/>
    </w:lvl>
  </w:abstractNum>
  <w:abstractNum w:abstractNumId="23">
    <w:nsid w:val="5072367"/>
    <w:multiLevelType w:val="hybridMultilevel"/>
    <w:lvl w:ilvl="0">
      <w:lvlJc w:val="left"/>
      <w:lvlText w:val="(%1)"/>
      <w:numFmt w:val="lowerRoman"/>
      <w:start w:val="5"/>
    </w:lvl>
    <w:lvl w:ilvl="1">
      <w:lvlJc w:val="left"/>
      <w:lvlText w:val="%2"/>
      <w:numFmt w:val="lowerRoman"/>
      <w:start w:val="1"/>
    </w:lvl>
  </w:abstractNum>
  <w:abstractNum w:abstractNumId="24">
    <w:nsid w:val="3804823E"/>
    <w:multiLevelType w:val="hybridMultilevel"/>
    <w:lvl w:ilvl="0">
      <w:lvlJc w:val="left"/>
      <w:lvlText w:val="%1"/>
      <w:numFmt w:val="lowerLetter"/>
      <w:start w:val="1"/>
    </w:lvl>
    <w:lvl w:ilvl="1">
      <w:lvlJc w:val="left"/>
      <w:lvlText w:val="(%2)"/>
      <w:numFmt w:val="lowerRoman"/>
      <w:start w:val="7"/>
    </w:lvl>
  </w:abstractNum>
  <w:abstractNum w:abstractNumId="25">
    <w:nsid w:val="77465F01"/>
    <w:multiLevelType w:val="hybridMultilevel"/>
    <w:lvl w:ilvl="0">
      <w:lvlJc w:val="left"/>
      <w:lvlText w:val="(%1)"/>
      <w:numFmt w:val="lowerLetter"/>
      <w:start w:val="3"/>
    </w:lvl>
    <w:lvl w:ilvl="1">
      <w:lvlJc w:val="left"/>
      <w:lvlText w:val="%2"/>
      <w:numFmt w:val="lowerRoman"/>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lowerLetter"/>
      <w:start w:val="7"/>
    </w:lvl>
  </w:abstractNum>
  <w:abstractNum w:abstractNumId="29">
    <w:nsid w:val="5E884ADC"/>
    <w:multiLevelType w:val="hybridMultilevel"/>
    <w:lvl w:ilvl="0">
      <w:lvlJc w:val="left"/>
      <w:lvlText w:val="(%1)"/>
      <w:numFmt w:val="lowerLetter"/>
      <w:start w:val="10"/>
    </w:lvl>
  </w:abstractNum>
  <w:abstractNum w:abstractNumId="30">
    <w:nsid w:val="51EAD36B"/>
    <w:multiLevelType w:val="hybridMultilevel"/>
    <w:lvl w:ilvl="0">
      <w:lvlJc w:val="left"/>
      <w:lvlText w:val="(%1)"/>
      <w:numFmt w:val="upperLetter"/>
      <w:start w:val="1"/>
    </w:lvl>
  </w:abstractNum>
  <w:abstractNum w:abstractNumId="31">
    <w:nsid w:val="2D517796"/>
    <w:multiLevelType w:val="hybridMultilevel"/>
    <w:lvl w:ilvl="0">
      <w:lvlJc w:val="left"/>
      <w:lvlText w:val="(%1)"/>
      <w:numFmt w:val="lowerLetter"/>
      <w:start w:val="16"/>
    </w:lvl>
  </w:abstractNum>
  <w:abstractNum w:abstractNumId="32">
    <w:nsid w:val="580BD78F"/>
    <w:multiLevelType w:val="hybridMultilevel"/>
    <w:lvl w:ilvl="0">
      <w:lvlJc w:val="left"/>
      <w:lvlText w:val="%1"/>
      <w:numFmt w:val="lowerRoman"/>
      <w:start w:val="1"/>
    </w:lvl>
    <w:lvl w:ilvl="1">
      <w:lvlJc w:val="left"/>
      <w:lvlText w:val="(%2)"/>
      <w:numFmt w:val="lowerLetter"/>
      <w:start w:val="21"/>
    </w:lvl>
  </w:abstractNum>
  <w:abstractNum w:abstractNumId="33">
    <w:nsid w:val="153EA438"/>
    <w:multiLevelType w:val="hybridMultilevel"/>
    <w:lvl w:ilvl="0">
      <w:lvlJc w:val="left"/>
      <w:lvlText w:val="(%1)"/>
      <w:numFmt w:val="lowerRoman"/>
      <w:start w:val="1"/>
    </w:lvl>
    <w:lvl w:ilvl="1">
      <w:lvlJc w:val="left"/>
      <w:lvlText w:val="%2"/>
      <w:numFmt w:val="lowerLetter"/>
      <w:start w:val="1"/>
    </w:lvl>
  </w:abstractNum>
  <w:abstractNum w:abstractNumId="34">
    <w:nsid w:val="3855585C"/>
    <w:multiLevelType w:val="hybridMultilevel"/>
    <w:lvl w:ilvl="0">
      <w:lvlJc w:val="left"/>
      <w:lvlText w:val="(%1)"/>
      <w:numFmt w:val="lowerRoman"/>
      <w:start w:val="4"/>
    </w:lvl>
    <w:lvl w:ilvl="1">
      <w:lvlJc w:val="left"/>
      <w:lvlText w:val="%2"/>
      <w:numFmt w:val="lowerLetter"/>
      <w:start w:val="1"/>
    </w:lvl>
  </w:abstractNum>
  <w:abstractNum w:abstractNumId="35">
    <w:nsid w:val="70A64E2A"/>
    <w:multiLevelType w:val="hybridMultilevel"/>
    <w:lvl w:ilvl="0">
      <w:lvlJc w:val="left"/>
      <w:lvlText w:val="(%1)"/>
      <w:numFmt w:val="lowerLetter"/>
      <w:start w:val="1"/>
    </w:lvl>
    <w:lvl w:ilvl="1">
      <w:lvlJc w:val="left"/>
      <w:lvlText w:val="(%2)"/>
      <w:numFmt w:val="lowerLetter"/>
      <w:start w:val="9"/>
    </w:lvl>
  </w:abstractNum>
  <w:abstractNum w:abstractNumId="36">
    <w:nsid w:val="6A2342EC"/>
    <w:multiLevelType w:val="hybridMultilevel"/>
    <w:lvl w:ilvl="0">
      <w:lvlJc w:val="left"/>
      <w:lvlText w:val="%1"/>
      <w:numFmt w:val="lowerLetter"/>
      <w:start w:val="1"/>
    </w:lvl>
    <w:lvl w:ilvl="1">
      <w:lvlJc w:val="left"/>
      <w:lvlText w:val="(%2)"/>
      <w:numFmt w:val="lowerRoman"/>
      <w:start w:val="2"/>
    </w:lvl>
  </w:abstractNum>
  <w:abstractNum w:abstractNumId="37">
    <w:nsid w:val="2A487CB0"/>
    <w:multiLevelType w:val="hybridMultilevel"/>
    <w:lvl w:ilvl="0">
      <w:lvlJc w:val="left"/>
      <w:lvlText w:val="(%1)"/>
      <w:numFmt w:val="lowerLetter"/>
      <w:start w:val="2"/>
    </w:lvl>
    <w:lvl w:ilvl="1">
      <w:lvlJc w:val="left"/>
      <w:lvlText w:val="%2"/>
      <w:numFmt w:val="lowerRoman"/>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1"/>
    </w:lvl>
    <w:lvl w:ilvl="1">
      <w:lvlJc w:val="left"/>
      <w:lvlText w:val="(%2)"/>
      <w:numFmt w:val="lowerLetter"/>
      <w:start w:val="4"/>
    </w:lvl>
  </w:abstractNum>
  <w:abstractNum w:abstractNumId="41">
    <w:nsid w:val="57E4CCAF"/>
    <w:multiLevelType w:val="hybridMultilevel"/>
    <w:lvl w:ilvl="0">
      <w:lvlJc w:val="left"/>
      <w:lvlText w:val="(%1)"/>
      <w:numFmt w:val="lowerLetter"/>
      <w:start w:val="9"/>
    </w:lvl>
    <w:lvl w:ilvl="1">
      <w:lvlJc w:val="left"/>
      <w:lvlText w:val="(%2)"/>
      <w:numFmt w:val="lowerLetter"/>
      <w:start w:val="5"/>
    </w:lvl>
  </w:abstractNum>
  <w:abstractNum w:abstractNumId="42">
    <w:nsid w:val="7A6D8D3C"/>
    <w:multiLevelType w:val="hybridMultilevel"/>
    <w:lvl w:ilvl="0">
      <w:lvlJc w:val="left"/>
      <w:lvlText w:val="(%1)"/>
      <w:numFmt w:val="lowerLetter"/>
      <w:start w:val="1"/>
    </w:lvl>
    <w:lvl w:ilvl="1">
      <w:lvlJc w:val="left"/>
      <w:lvlText w:val="(%2)"/>
      <w:numFmt w:val="lowerRoman"/>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lowerLetter"/>
      <w:start w:val="5"/>
    </w:lvl>
  </w:abstractNum>
  <w:abstractNum w:abstractNumId="46">
    <w:nsid w:val="38437FDB"/>
    <w:multiLevelType w:val="hybridMultilevel"/>
    <w:lvl w:ilvl="0">
      <w:lvlJc w:val="left"/>
      <w:lvlText w:val="(%1)"/>
      <w:numFmt w:val="lowerLetter"/>
      <w:start w:val="61"/>
    </w:lvl>
    <w:lvl w:ilvl="1">
      <w:lvlJc w:val="left"/>
      <w:lvlText w:val="(%2)"/>
      <w:numFmt w:val="lowerLetter"/>
      <w:start w:val="10"/>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2021-10-25T07:07:37Z</dcterms:created>
  <dcterms:modified xsi:type="dcterms:W3CDTF">2021-10-25T07:07:37Z</dcterms:modified>
</cp:coreProperties>
</file>