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001-37798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5880" w:type="dxa"/>
            <w:vAlign w:val="bottom"/>
          </w:tcPr>
          <w:p>
            <w:pPr>
              <w:jc w:val="center"/>
              <w:ind w:right="3399"/>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26-1622110</w:t>
            </w:r>
          </w:p>
        </w:tc>
      </w:tr>
      <w:tr>
        <w:trPr>
          <w:trHeight w:val="148"/>
        </w:trPr>
        <w:tc>
          <w:tcPr>
            <w:tcW w:w="5880" w:type="dxa"/>
            <w:vAlign w:val="bottom"/>
          </w:tcPr>
          <w:p>
            <w:pPr>
              <w:jc w:val="center"/>
              <w:ind w:right="33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80" w:type="dxa"/>
            <w:vAlign w:val="bottom"/>
          </w:tcPr>
          <w:p>
            <w:pPr>
              <w:jc w:val="center"/>
              <w:ind w:right="3399"/>
              <w:spacing w:after="0"/>
              <w:rPr>
                <w:sz w:val="20"/>
                <w:szCs w:val="20"/>
                <w:color w:val="auto"/>
              </w:rPr>
            </w:pPr>
            <w:r>
              <w:rPr>
                <w:rFonts w:ascii="Arial" w:cs="Arial" w:eastAsia="Arial" w:hAnsi="Arial"/>
                <w:sz w:val="14"/>
                <w:szCs w:val="14"/>
                <w:b w:val="1"/>
                <w:bCs w:val="1"/>
                <w:color w:val="auto"/>
                <w:w w:val="93"/>
              </w:rPr>
              <w:t>of 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880" w:type="dxa"/>
            <w:vAlign w:val="bottom"/>
          </w:tcPr>
          <w:p>
            <w:pPr>
              <w:jc w:val="center"/>
              <w:ind w:right="3399"/>
              <w:spacing w:after="0"/>
              <w:rPr>
                <w:sz w:val="20"/>
                <w:szCs w:val="20"/>
                <w:color w:val="auto"/>
              </w:rPr>
            </w:pPr>
            <w:r>
              <w:rPr>
                <w:rFonts w:ascii="Arial" w:cs="Arial" w:eastAsia="Arial" w:hAnsi="Arial"/>
                <w:sz w:val="18"/>
                <w:szCs w:val="18"/>
                <w:b w:val="1"/>
                <w:bCs w:val="1"/>
                <w:color w:val="auto"/>
                <w:w w:val="89"/>
              </w:rPr>
              <w:t>65 Grove Street,</w:t>
            </w:r>
          </w:p>
        </w:tc>
        <w:tc>
          <w:tcPr>
            <w:tcW w:w="1440" w:type="dxa"/>
            <w:vAlign w:val="bottom"/>
          </w:tcPr>
          <w:p>
            <w:pPr>
              <w:spacing w:after="0"/>
              <w:rPr>
                <w:sz w:val="24"/>
                <w:szCs w:val="24"/>
                <w:color w:val="auto"/>
              </w:rPr>
            </w:pPr>
          </w:p>
        </w:tc>
      </w:tr>
      <w:tr>
        <w:trPr>
          <w:trHeight w:val="225"/>
        </w:trPr>
        <w:tc>
          <w:tcPr>
            <w:tcW w:w="5880" w:type="dxa"/>
            <w:vAlign w:val="bottom"/>
          </w:tcPr>
          <w:p>
            <w:pPr>
              <w:jc w:val="center"/>
              <w:ind w:right="3399"/>
              <w:spacing w:after="0"/>
              <w:rPr>
                <w:sz w:val="20"/>
                <w:szCs w:val="20"/>
                <w:color w:val="auto"/>
              </w:rPr>
            </w:pPr>
            <w:r>
              <w:rPr>
                <w:rFonts w:ascii="Arial" w:cs="Arial" w:eastAsia="Arial" w:hAnsi="Arial"/>
                <w:sz w:val="18"/>
                <w:szCs w:val="18"/>
                <w:b w:val="1"/>
                <w:bCs w:val="1"/>
                <w:color w:val="auto"/>
                <w:w w:val="95"/>
              </w:rPr>
              <w:t>Watertown, MA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02472</w:t>
            </w:r>
          </w:p>
        </w:tc>
      </w:tr>
      <w:tr>
        <w:trPr>
          <w:trHeight w:val="186"/>
        </w:trPr>
        <w:tc>
          <w:tcPr>
            <w:tcW w:w="5880" w:type="dxa"/>
            <w:vAlign w:val="bottom"/>
          </w:tcPr>
          <w:p>
            <w:pPr>
              <w:jc w:val="center"/>
              <w:ind w:right="34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5880" w:type="dxa"/>
            <w:vAlign w:val="bottom"/>
          </w:tcPr>
          <w:p>
            <w:pPr>
              <w:jc w:val="right"/>
              <w:ind w:right="1319"/>
              <w:spacing w:after="0"/>
              <w:rPr>
                <w:sz w:val="20"/>
                <w:szCs w:val="20"/>
                <w:color w:val="auto"/>
              </w:rPr>
            </w:pPr>
            <w:r>
              <w:rPr>
                <w:rFonts w:ascii="Arial" w:cs="Arial" w:eastAsia="Arial" w:hAnsi="Arial"/>
                <w:sz w:val="18"/>
                <w:szCs w:val="18"/>
                <w:b w:val="1"/>
                <w:bCs w:val="1"/>
                <w:color w:val="auto"/>
              </w:rPr>
              <w:t>(617) 923-1400</w:t>
            </w:r>
          </w:p>
        </w:tc>
        <w:tc>
          <w:tcPr>
            <w:tcW w:w="1440" w:type="dxa"/>
            <w:vAlign w:val="bottom"/>
          </w:tcPr>
          <w:p>
            <w:pPr>
              <w:spacing w:after="0"/>
              <w:rPr>
                <w:sz w:val="24"/>
                <w:szCs w:val="24"/>
                <w:color w:val="auto"/>
              </w:rPr>
            </w:pPr>
          </w:p>
        </w:tc>
      </w:tr>
      <w:tr>
        <w:trPr>
          <w:trHeight w:val="186"/>
        </w:trPr>
        <w:tc>
          <w:tcPr>
            <w:tcW w:w="5880" w:type="dxa"/>
            <w:vAlign w:val="bottom"/>
          </w:tcPr>
          <w:p>
            <w:pPr>
              <w:jc w:val="center"/>
              <w:ind w:left="18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SELB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1440" w:gutter="0" w:footer="0" w:header="0"/>
        </w:sectPr>
      </w:pPr>
    </w:p>
    <w:bookmarkStart w:id="1" w:name="page2"/>
    <w:bookmarkEnd w:id="1"/>
    <w:p>
      <w:pPr>
        <w:ind w:right="340" w:firstLine="44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0"/>
          <w:szCs w:val="20"/>
          <w:color w:val="auto"/>
        </w:rPr>
      </w:pPr>
    </w:p>
    <w:p>
      <w:pPr>
        <w:ind w:right="120" w:firstLine="4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0"/>
          <w:szCs w:val="20"/>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4, 2023, the registrant had 153,427,571 shares of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860" w:type="dxa"/>
            <w:vAlign w:val="bottom"/>
            <w:gridSpan w:val="23"/>
          </w:tcPr>
          <w:p>
            <w:pPr>
              <w:spacing w:after="0"/>
              <w:rPr>
                <w:sz w:val="20"/>
                <w:szCs w:val="20"/>
                <w:color w:val="auto"/>
              </w:rPr>
            </w:pPr>
            <w:r>
              <w:rPr>
                <w:rFonts w:ascii="Arial" w:cs="Arial" w:eastAsia="Arial" w:hAnsi="Arial"/>
                <w:sz w:val="18"/>
                <w:szCs w:val="18"/>
                <w:b w:val="1"/>
                <w:bCs w:val="1"/>
                <w:color w:val="0000EE"/>
              </w:rPr>
              <w:t>Table of Contents</w:t>
            </w:r>
          </w:p>
        </w:tc>
        <w:tc>
          <w:tcPr>
            <w:tcW w:w="280" w:type="dxa"/>
            <w:vAlign w:val="bottom"/>
          </w:tcPr>
          <w:p>
            <w:pPr>
              <w:spacing w:after="0"/>
              <w:rPr>
                <w:sz w:val="17"/>
                <w:szCs w:val="17"/>
                <w:color w:val="auto"/>
              </w:rPr>
            </w:pPr>
          </w:p>
        </w:tc>
      </w:tr>
      <w:tr>
        <w:trPr>
          <w:trHeight w:val="534"/>
        </w:trPr>
        <w:tc>
          <w:tcPr>
            <w:tcW w:w="8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10"/>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4"/>
                <w:szCs w:val="24"/>
                <w:color w:val="auto"/>
              </w:rPr>
            </w:pPr>
          </w:p>
        </w:tc>
      </w:tr>
      <w:tr>
        <w:trPr>
          <w:trHeight w:val="526"/>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00" w:type="dxa"/>
            <w:vAlign w:val="bottom"/>
            <w:gridSpan w:val="11"/>
          </w:tcPr>
          <w:p>
            <w:pPr>
              <w:jc w:val="center"/>
              <w:ind w:right="3620"/>
              <w:spacing w:after="0"/>
              <w:rPr>
                <w:sz w:val="20"/>
                <w:szCs w:val="20"/>
                <w:color w:val="auto"/>
              </w:rPr>
            </w:pPr>
            <w:r>
              <w:rPr>
                <w:rFonts w:ascii="Arial" w:cs="Arial" w:eastAsia="Arial" w:hAnsi="Arial"/>
                <w:sz w:val="18"/>
                <w:szCs w:val="18"/>
                <w:color w:val="0000EE"/>
                <w:w w:val="98"/>
              </w:rPr>
              <w:t>PART I. FINANCIAL INFORMATION</w:t>
            </w:r>
          </w:p>
        </w:tc>
        <w:tc>
          <w:tcPr>
            <w:tcW w:w="280" w:type="dxa"/>
            <w:vAlign w:val="bottom"/>
          </w:tcPr>
          <w:p>
            <w:pPr>
              <w:spacing w:after="0"/>
              <w:rPr>
                <w:sz w:val="24"/>
                <w:szCs w:val="24"/>
                <w:color w:val="auto"/>
              </w:rPr>
            </w:pP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9"/>
              </w:rPr>
              <w:t>Financial Statements (unaudited)</w:t>
            </w:r>
          </w:p>
        </w:tc>
        <w:tc>
          <w:tcPr>
            <w:tcW w:w="1160" w:type="dxa"/>
            <w:vAlign w:val="bottom"/>
            <w:gridSpan w:val="2"/>
          </w:tcPr>
          <w:p>
            <w:pPr>
              <w:spacing w:after="0"/>
              <w:rPr>
                <w:sz w:val="24"/>
                <w:szCs w:val="24"/>
                <w:color w:val="auto"/>
              </w:rPr>
            </w:pPr>
          </w:p>
        </w:tc>
        <w:tc>
          <w:tcPr>
            <w:tcW w:w="2880" w:type="dxa"/>
            <w:vAlign w:val="bottom"/>
            <w:tcBorders>
              <w:top w:val="single" w:sz="8" w:color="0000EE"/>
            </w:tcBorders>
            <w:gridSpan w:val="6"/>
          </w:tcPr>
          <w:p>
            <w:pPr>
              <w:spacing w:after="0"/>
              <w:rPr>
                <w:sz w:val="24"/>
                <w:szCs w:val="24"/>
                <w:color w:val="auto"/>
              </w:rPr>
            </w:pPr>
          </w:p>
        </w:tc>
        <w:tc>
          <w:tcPr>
            <w:tcW w:w="36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20" w:type="dxa"/>
            <w:vAlign w:val="bottom"/>
          </w:tcPr>
          <w:p>
            <w:pPr>
              <w:spacing w:after="0"/>
              <w:rPr>
                <w:sz w:val="24"/>
                <w:szCs w:val="24"/>
                <w:color w:val="auto"/>
              </w:rPr>
            </w:pPr>
          </w:p>
        </w:tc>
        <w:tc>
          <w:tcPr>
            <w:tcW w:w="10040" w:type="dxa"/>
            <w:vAlign w:val="bottom"/>
            <w:gridSpan w:val="22"/>
          </w:tcPr>
          <w:p>
            <w:pPr>
              <w:spacing w:after="0"/>
              <w:rPr>
                <w:sz w:val="20"/>
                <w:szCs w:val="20"/>
                <w:color w:val="auto"/>
              </w:rPr>
            </w:pPr>
            <w:r>
              <w:rPr>
                <w:rFonts w:ascii="Arial" w:cs="Arial" w:eastAsia="Arial" w:hAnsi="Arial"/>
                <w:sz w:val="18"/>
                <w:szCs w:val="18"/>
                <w:color w:val="0000EE"/>
              </w:rPr>
              <w:t>Consolidated Balance Sheets as of June 30, 2023 and December 31, 2022</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10040" w:type="dxa"/>
            <w:vAlign w:val="bottom"/>
            <w:gridSpan w:val="22"/>
          </w:tcPr>
          <w:p>
            <w:pPr>
              <w:spacing w:after="0"/>
              <w:rPr>
                <w:sz w:val="20"/>
                <w:szCs w:val="20"/>
                <w:color w:val="auto"/>
              </w:rPr>
            </w:pPr>
            <w:r>
              <w:rPr>
                <w:rFonts w:ascii="Arial" w:cs="Arial" w:eastAsia="Arial" w:hAnsi="Arial"/>
                <w:sz w:val="18"/>
                <w:szCs w:val="18"/>
                <w:color w:val="0000EE"/>
                <w:w w:val="91"/>
              </w:rPr>
              <w:t>Consolidated Statements of Operations and Comprehensive Income (Loss) for the Three and Six Months ended June 30, 2023 and 2022</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10040" w:type="dxa"/>
            <w:vAlign w:val="bottom"/>
            <w:gridSpan w:val="22"/>
          </w:tcPr>
          <w:p>
            <w:pPr>
              <w:spacing w:after="0"/>
              <w:rPr>
                <w:sz w:val="20"/>
                <w:szCs w:val="20"/>
                <w:color w:val="auto"/>
              </w:rPr>
            </w:pPr>
            <w:r>
              <w:rPr>
                <w:rFonts w:ascii="Arial" w:cs="Arial" w:eastAsia="Arial" w:hAnsi="Arial"/>
                <w:sz w:val="18"/>
                <w:szCs w:val="18"/>
                <w:color w:val="0000EE"/>
                <w:w w:val="91"/>
              </w:rPr>
              <w:t>Consolidated Statements of Changes in Stockholders’ Equity (Deficit) for the Three Months ended March 31, and June 30, 2023 and 2022</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20" w:type="dxa"/>
            <w:vAlign w:val="bottom"/>
          </w:tcPr>
          <w:p>
            <w:pPr>
              <w:spacing w:after="0"/>
              <w:rPr>
                <w:sz w:val="24"/>
                <w:szCs w:val="24"/>
                <w:color w:val="auto"/>
              </w:rPr>
            </w:pPr>
          </w:p>
        </w:tc>
        <w:tc>
          <w:tcPr>
            <w:tcW w:w="650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8"/>
                <w:szCs w:val="18"/>
                <w:color w:val="0000EE"/>
                <w:w w:val="89"/>
              </w:rPr>
              <w:t>Consolidated Statements of Cash Flows for the Six Months ended June 30, 2023 and 2022</w:t>
            </w:r>
          </w:p>
        </w:tc>
        <w:tc>
          <w:tcPr>
            <w:tcW w:w="3460" w:type="dxa"/>
            <w:vAlign w:val="bottom"/>
            <w:tcBorders>
              <w:top w:val="single" w:sz="8" w:color="0000EE"/>
            </w:tcBorders>
            <w:gridSpan w:val="2"/>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20" w:type="dxa"/>
            <w:vAlign w:val="bottom"/>
          </w:tcPr>
          <w:p>
            <w:pPr>
              <w:spacing w:after="0"/>
              <w:rPr>
                <w:sz w:val="24"/>
                <w:szCs w:val="24"/>
                <w:color w:val="auto"/>
              </w:rPr>
            </w:pPr>
          </w:p>
        </w:tc>
        <w:tc>
          <w:tcPr>
            <w:tcW w:w="10040" w:type="dxa"/>
            <w:vAlign w:val="bottom"/>
            <w:gridSpan w:val="22"/>
          </w:tcPr>
          <w:p>
            <w:pPr>
              <w:spacing w:after="0"/>
              <w:rPr>
                <w:sz w:val="20"/>
                <w:szCs w:val="20"/>
                <w:color w:val="auto"/>
              </w:rPr>
            </w:pPr>
            <w:r>
              <w:rPr>
                <w:rFonts w:ascii="Arial" w:cs="Arial" w:eastAsia="Arial" w:hAnsi="Arial"/>
                <w:sz w:val="18"/>
                <w:szCs w:val="18"/>
                <w:color w:val="0000EE"/>
              </w:rPr>
              <w:t>Notes to Consolidated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8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5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56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4.</w:t>
            </w:r>
          </w:p>
        </w:tc>
        <w:tc>
          <w:tcPr>
            <w:tcW w:w="10040" w:type="dxa"/>
            <w:vAlign w:val="bottom"/>
            <w:gridSpan w:val="22"/>
          </w:tcPr>
          <w:p>
            <w:pPr>
              <w:spacing w:after="0"/>
              <w:rPr>
                <w:sz w:val="20"/>
                <w:szCs w:val="20"/>
                <w:color w:val="auto"/>
              </w:rPr>
            </w:pPr>
            <w:r>
              <w:rPr>
                <w:rFonts w:ascii="Arial" w:cs="Arial" w:eastAsia="Arial" w:hAnsi="Arial"/>
                <w:sz w:val="18"/>
                <w:szCs w:val="18"/>
                <w:color w:val="0000EE"/>
              </w:rPr>
              <w:t>Controls and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8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4"/>
          </w:tcPr>
          <w:p>
            <w:pPr>
              <w:jc w:val="center"/>
              <w:spacing w:after="0"/>
              <w:rPr>
                <w:sz w:val="20"/>
                <w:szCs w:val="20"/>
                <w:color w:val="auto"/>
              </w:rPr>
            </w:pPr>
            <w:r>
              <w:rPr>
                <w:rFonts w:ascii="Arial" w:cs="Arial" w:eastAsia="Arial" w:hAnsi="Arial"/>
                <w:sz w:val="18"/>
                <w:szCs w:val="18"/>
                <w:color w:val="0000EE"/>
                <w:w w:val="96"/>
              </w:rPr>
              <w:t>PART II. OTHER INFORMATION</w:t>
            </w:r>
          </w:p>
        </w:tc>
        <w:tc>
          <w:tcPr>
            <w:tcW w:w="376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8"/>
              </w:rPr>
              <w:t>Legal Proceedings</w:t>
            </w:r>
          </w:p>
        </w:tc>
        <w:tc>
          <w:tcPr>
            <w:tcW w:w="87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1A.</w:t>
            </w:r>
          </w:p>
        </w:tc>
        <w:tc>
          <w:tcPr>
            <w:tcW w:w="10040" w:type="dxa"/>
            <w:vAlign w:val="bottom"/>
            <w:gridSpan w:val="22"/>
          </w:tcPr>
          <w:p>
            <w:pPr>
              <w:spacing w:after="0"/>
              <w:rPr>
                <w:sz w:val="20"/>
                <w:szCs w:val="20"/>
                <w:color w:val="auto"/>
              </w:rPr>
            </w:pPr>
            <w:r>
              <w:rPr>
                <w:rFonts w:ascii="Arial" w:cs="Arial" w:eastAsia="Arial" w:hAnsi="Arial"/>
                <w:sz w:val="18"/>
                <w:szCs w:val="18"/>
                <w:color w:val="0000EE"/>
              </w:rPr>
              <w:t>Risk Factors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8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2.</w:t>
            </w:r>
          </w:p>
        </w:tc>
        <w:tc>
          <w:tcPr>
            <w:tcW w:w="10040" w:type="dxa"/>
            <w:vAlign w:val="bottom"/>
            <w:gridSpan w:val="22"/>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Defaults Upon Senior Securities</w:t>
            </w:r>
          </w:p>
        </w:tc>
        <w:tc>
          <w:tcPr>
            <w:tcW w:w="57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Mine Safety Disclosures</w:t>
            </w:r>
          </w:p>
        </w:tc>
        <w:tc>
          <w:tcPr>
            <w:tcW w:w="772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2"/>
          </w:tcPr>
          <w:p>
            <w:pPr>
              <w:spacing w:after="0"/>
              <w:rPr>
                <w:sz w:val="24"/>
                <w:szCs w:val="24"/>
                <w:color w:val="auto"/>
              </w:rPr>
            </w:pPr>
          </w:p>
        </w:tc>
        <w:tc>
          <w:tcPr>
            <w:tcW w:w="828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820" w:type="dxa"/>
            <w:vAlign w:val="bottom"/>
          </w:tcPr>
          <w:p>
            <w:pPr>
              <w:ind w:left="12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Exhibits</w:t>
            </w:r>
          </w:p>
        </w:tc>
        <w:tc>
          <w:tcPr>
            <w:tcW w:w="944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82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5"/>
              </w:rPr>
              <w:t>Signatures</w:t>
            </w:r>
          </w:p>
        </w:tc>
        <w:tc>
          <w:tcPr>
            <w:tcW w:w="928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85"/>
        </w:trPr>
        <w:tc>
          <w:tcPr>
            <w:tcW w:w="820" w:type="dxa"/>
            <w:vAlign w:val="bottom"/>
          </w:tcPr>
          <w:p>
            <w:pPr>
              <w:spacing w:after="0"/>
              <w:rPr>
                <w:sz w:val="24"/>
                <w:szCs w:val="24"/>
                <w:color w:val="auto"/>
              </w:rPr>
            </w:pPr>
          </w:p>
        </w:tc>
        <w:tc>
          <w:tcPr>
            <w:tcW w:w="5280" w:type="dxa"/>
            <w:vAlign w:val="bottom"/>
            <w:gridSpan w:val="15"/>
          </w:tcPr>
          <w:p>
            <w:pPr>
              <w:ind w:left="476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20" w:top="47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97"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strategic initiative plans and manage operating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the value of our pipeline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manufacturing facilities and to receive or manufacture sufficient quantities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 and to seek new collaborations, licenses or partnerships;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the COVID-19 pandemic on our operations, the continuity of our business, including our preclinical studies and clinical trials, and general economic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U.S. Food and Drug Administration, or FDA, regulation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w:t>
      </w:r>
    </w:p>
    <w:p>
      <w:pPr>
        <w:spacing w:after="0" w:line="225"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Moreover, we operate in an evolving environment. New risks and uncertainties may emerge from time to time, and it is not possible for management to predict all risk and uncertainties.</w:t>
      </w:r>
    </w:p>
    <w:p>
      <w:pPr>
        <w:spacing w:after="0" w:line="17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112,027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106,438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28,164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Unbilled receivables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122,725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10,775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11,617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139,506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165,886</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267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Loan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10,235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29,367</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25,077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Loan payable, net of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13,787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17,786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Lease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9,163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Warrant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16,878</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19,140</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74,058</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72,058</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tcPr>
          <w:p>
            <w:pPr>
              <w:spacing w:after="0" w:line="201" w:lineRule="exact"/>
              <w:rPr>
                <w:sz w:val="20"/>
                <w:szCs w:val="20"/>
                <w:color w:val="auto"/>
              </w:rPr>
            </w:pPr>
            <w:r>
              <w:rPr>
                <w:rFonts w:ascii="Arial" w:cs="Arial" w:eastAsia="Arial" w:hAnsi="Arial"/>
                <w:sz w:val="18"/>
                <w:szCs w:val="18"/>
                <w:color w:val="auto"/>
                <w:w w:val="96"/>
              </w:rPr>
              <w:t>Preferred stock, $0.0001 par value; 10,000,000 shares authorized; no shares issued and outstanding as of June 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180"/>
              <w:spacing w:after="0"/>
              <w:rPr>
                <w:sz w:val="20"/>
                <w:szCs w:val="20"/>
                <w:color w:val="auto"/>
              </w:rPr>
            </w:pPr>
            <w:r>
              <w:rPr>
                <w:rFonts w:ascii="Arial" w:cs="Arial" w:eastAsia="Arial" w:hAnsi="Arial"/>
                <w:sz w:val="18"/>
                <w:szCs w:val="18"/>
                <w:color w:val="auto"/>
              </w:rPr>
              <w:t>2023 and December 31, 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$0.0001 par value; 350,000,000 shares authorized; 153,427,571 and 153,042,435 shares issued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June 30, 2023 and December 31, 2022, 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498,016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493,308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(427,987)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(394,937)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(4,596)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65,448</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93,828</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139,506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660"/>
        <w:spacing w:after="0" w:line="391" w:lineRule="auto"/>
        <w:rPr>
          <w:sz w:val="20"/>
          <w:szCs w:val="20"/>
          <w:color w:val="auto"/>
        </w:rPr>
      </w:pPr>
      <w:r>
        <w:rPr>
          <w:rFonts w:ascii="Arial" w:cs="Arial" w:eastAsia="Arial" w:hAnsi="Arial"/>
          <w:sz w:val="18"/>
          <w:szCs w:val="18"/>
          <w:b w:val="1"/>
          <w:bCs w:val="1"/>
          <w:color w:val="auto"/>
        </w:rPr>
        <w:t>Selecta Biosciences, Inc. and Subsidiaries Consolidated Statements of Operations and Comprehensive Income (Loss) (Amounts in thousands, except share and per share data)</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17,782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36,406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36,871</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11,768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48,639</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Operating (loss) income</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(37,019)</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Foreign currency transaction, net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8"/>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6,341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8"/>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13,868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(loss) income</w:t>
            </w: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(33,050)</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8"/>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88"/>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(33,088)</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8"/>
              <w:spacing w:after="0"/>
              <w:rPr>
                <w:sz w:val="20"/>
                <w:szCs w:val="20"/>
                <w:color w:val="auto"/>
              </w:rPr>
            </w:pPr>
            <w:r>
              <w:rPr>
                <w:rFonts w:ascii="Arial" w:cs="Arial" w:eastAsia="Arial" w:hAnsi="Arial"/>
                <w:sz w:val="18"/>
                <w:szCs w:val="18"/>
                <w:color w:val="auto"/>
              </w:rPr>
              <w:t>(0.07)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8"/>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153,442,413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148,505,729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153,396,380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136,436,316</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153,442,413</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148,505,729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153,396,380</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136,966,312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w w:val="96"/>
              </w:rPr>
              <w:t>Common stock</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400" w:type="dxa"/>
            <w:vAlign w:val="bottom"/>
            <w:tcBorders>
              <w:bottom w:val="single" w:sz="8" w:color="auto"/>
            </w:tcBorders>
            <w:gridSpan w:val="4"/>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3"/>
            <w:vMerge w:val="continue"/>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000" w:type="dxa"/>
            <w:vAlign w:val="bottom"/>
            <w:gridSpan w:val="2"/>
          </w:tcPr>
          <w:p>
            <w:pPr>
              <w:jc w:val="right"/>
              <w:ind w:right="441"/>
              <w:spacing w:after="0" w:line="142"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153,042,435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15</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493,308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(394,937</w:t>
            </w:r>
          </w:p>
        </w:tc>
        <w:tc>
          <w:tcPr>
            <w:tcW w:w="300" w:type="dxa"/>
            <w:vAlign w:val="bottom"/>
            <w:tcBorders>
              <w:top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w w:val="98"/>
              </w:rPr>
              <w:t>Issuance of common stock under Employee Stock Purchase</w:t>
            </w: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Plan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108,068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100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Issuance of vested restricted stock units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276,480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18"/>
                <w:szCs w:val="18"/>
                <w:color w:val="auto"/>
              </w:rPr>
            </w:pPr>
          </w:p>
        </w:tc>
        <w:tc>
          <w:tcPr>
            <w:tcW w:w="100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Unrealized gain on marketable securities</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(21,663)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(21,663)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 at March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153,426,983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15</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495,733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(416,600</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Issuance of vested restricted stock units</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18"/>
                <w:szCs w:val="18"/>
                <w:color w:val="auto"/>
              </w:rPr>
            </w:pPr>
          </w:p>
        </w:tc>
        <w:tc>
          <w:tcPr>
            <w:tcW w:w="100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(11,387)</w:t>
            </w: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153,427,571</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498,016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5"/>
              </w:rPr>
              <w:t>(427,987)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65,448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40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w w:val="94"/>
              </w:rPr>
              <w:t>Common stock</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00" w:type="dxa"/>
            <w:vAlign w:val="bottom"/>
            <w:tcBorders>
              <w:bottom w:val="single" w:sz="8" w:color="auto"/>
            </w:tcBorders>
            <w:gridSpan w:val="5"/>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3"/>
            <w:vMerge w:val="continue"/>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10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123,622,965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$457,391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(430,316)</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w w:val="97"/>
              </w:rPr>
              <w:t>Issuance of common stock under Employee Stock Purchase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Plan</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81,057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upon exercise of options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Issuance of vested restricted stock units</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89,142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common stock through at-the-market offering, net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576,418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financing fees</w:t>
            </w: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28,778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28,778</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Balance at March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124,380,844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461,888</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(401,538</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Issuance of vested restricted stock units</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Issuance of common stock and common warrants</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27,428,572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21,477</w:t>
            </w:r>
          </w:p>
        </w:tc>
        <w:tc>
          <w:tcPr>
            <w:tcW w:w="1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license agreement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financing fees</w:t>
            </w: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8,601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Balance at June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152,713,211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487,008</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(392,937</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48"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Six Months Ended</w:t>
      </w:r>
    </w:p>
    <w:p>
      <w:pPr>
        <w:jc w:val="center"/>
        <w:ind w:left="90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(33,050)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37,379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premiums and discounts on marketable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disposal of property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Warrant liabilities revaluation</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(13,868)</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(14,080)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Unbilled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Prepaid expenses, deposits and other assets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(42,213)</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(24,135)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principal on outstanding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Debt amendment fee included in debt discount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 at-the-market offering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proceeds from issuance of common stock and common warrants</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36,890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38,603</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108,038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115,436</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115,004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139,436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license agreement in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Stock-based compensation expense in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not yet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Equity offering costs in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Selecta Biosciences, Inc., or the Company, was incorporated in Delaware on December 10, 2007, and is based in Watertown, Massachusetts. The Company is a clinical-stage biotechnology company leveraging the Company’s ImmTOR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platform to develop tolerogenic therapies that selectively mitigate unwanted immune responses. With a proven ability to induce tolerance to highly immunogenic proteins, the Company believes ImmTOR has the potential to amplify the efficacy of biologic therapies, including redosing of life-saving gene therapies, as well as restore the body’s natural self-tolerance in autoimmune diseases. The Company has several proprietary and partnered programs in its pipeline focused on enzyme therapies, gene therapies, and autoimmune diseases.</w:t>
      </w:r>
    </w:p>
    <w:p>
      <w:pPr>
        <w:spacing w:after="0" w:line="20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April 2023, in light of current market conditions, the Company’s Board of Directors, or the Board, took steps to extend cash runway by pausing further development of SEL-302 for the treatment of methylmalonic acidemia, or MMA, and conducting a targeted headcount reduction of approximately 25%. On August 17, 2023, the Company announced additional steps to extend cash runway and maximize value for stockholders by continuing to prioritize development of SEL-212 and support of its collaboration with Astellas Gene Therapies, or Astellas, for Xork, and pausing further development of all of the Company’s other clinical and preclinical product candidates that it is no longer actively advancing. The Company intends to seek collaboration partners for the assets in the development programs that it is no longer actively advancing.</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Since inception, the Company has devoted its efforts principally to research and development of its technology and product candidates, recruiting management and technical staff, acquiring operating assets,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9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accompanying unaudited consolidated financial statements for the three and six months ended June 30, 2023 and 2022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2022 included in the Company’s Annual Report on Form 10-K that was filed with the SEC on March 2, 2023.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2023, the consolidated results of operations for the three and six months ended June 30, 2023, and cash flows for the six months ended June 30, 2023. Such adjustments are of a normal and recurring nature. The results of operations for the three and six months ended June 30, 2023 are not necessarily indicative of the results of operations that may be expected for the year ending December 31, 2023.</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6"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Management’s Plan</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To date, the Company has financed its operations primarily through public offerings and private placements of its securities, funding received from research grants, collaboration and license arrangements and its credit facility. The Company currently has no source of product revenue, and it does not expect to generate product revenue for the foreseeable future. To date, the Company’s revenue has primarily been from collaboration and license agreements. The Company has devoted substantially all of its financial resources and efforts to developing its ImmTOR platform, identifying potential product candidates and conducting preclinical studies and clinical trials. The Company is in the early stages of development of its product candidates, and it has not completed development of any ImmTOR-enabled therapies.</w:t>
      </w:r>
    </w:p>
    <w:p>
      <w:pPr>
        <w:spacing w:after="0" w:line="178"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As of June 30, 2023, the Company’s cash, cash equivalents and restricted cash were $115.0 million, of which $3.0 million was restricted cash related to lease commitments and $0.2 million was held by its Russian subsidiary designated solely for use in its operations. In April 2023, in light of current market conditions, the Board took steps to extend cash runway by pausing further development of SEL-302 for the treatment of MMA and conducting a targeted headcount reduction of approximately 25%.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is no longer actively advancing. The Company intends to seek collaboration partners for the assets in the development programs that it is no longer actively advancing. The Company believes the cash, cash equivalents and restricted cash as of June 30, 2023 will enable it to fund its current planned operations for at least the next twelve months from the date of issuance of these financial statements, though it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its ability to fund current and long-term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the Company is unable to obtain additional funding on a timely basis, it may be forced to significantly curtail, delay, or discontinue one or more of its planned research or development programs or be unable to expand or maintain its operations or otherwise capitalize on its commercialization of its product candidates. The Company anticipates continuing to generate operating losses for the foreseeable future due to, among other things, costs related to research and development of its product candidates and its administrative organization.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 and Indemnifications</w:t>
      </w:r>
    </w:p>
    <w:p>
      <w:pPr>
        <w:spacing w:after="0" w:line="12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June 30,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The Company disclosed its significant accounting policies in Note 2 – Summary of Significant Accounting Policies included in the Company’s Annual Report on Form 10-K for the year ended December 31, 2022. There have been no material changes to the Company’s significant accounting policies during the three or six months ended June 30, 2023, with the exception of the matters discussed in recent accounting pronouncements.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Subsequently, in November 2018, the FASB issued ASU 2018-19,</w:t>
      </w:r>
      <w:r>
        <w:rPr>
          <w:rFonts w:ascii="Arial" w:cs="Arial" w:eastAsia="Arial" w:hAnsi="Arial"/>
          <w:sz w:val="17"/>
          <w:szCs w:val="17"/>
          <w:i w:val="1"/>
          <w:iCs w:val="1"/>
          <w:color w:val="auto"/>
        </w:rPr>
        <w:t xml:space="preserve"> Codification Improvements to Topic 326, Financial Instruments-Credit Losses</w:t>
      </w:r>
      <w:r>
        <w:rPr>
          <w:rFonts w:ascii="Arial" w:cs="Arial" w:eastAsia="Arial" w:hAnsi="Arial"/>
          <w:sz w:val="17"/>
          <w:szCs w:val="17"/>
          <w:color w:val="auto"/>
        </w:rPr>
        <w:t>. ASU 2016-13 requires entities to measure all expected credit losses for most financial assets held at the reporting date based on an expected loss</w:t>
      </w:r>
      <w:r>
        <w:rPr>
          <w:rFonts w:ascii="Arial" w:cs="Arial" w:eastAsia="Arial" w:hAnsi="Arial"/>
          <w:sz w:val="17"/>
          <w:szCs w:val="17"/>
          <w:i w:val="1"/>
          <w:iCs w:val="1"/>
          <w:color w:val="auto"/>
        </w:rPr>
        <w:t xml:space="preserve"> </w:t>
      </w:r>
      <w:r>
        <w:rPr>
          <w:rFonts w:ascii="Arial" w:cs="Arial" w:eastAsia="Arial" w:hAnsi="Arial"/>
          <w:sz w:val="17"/>
          <w:szCs w:val="17"/>
          <w:color w:val="auto"/>
        </w:rPr>
        <w:t>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Marketable Securities and Investments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marketable securities were held as of June 30, 2023. The following table summarizes the marketable securities held as of December 31, 2022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80" w:type="dxa"/>
            <w:vAlign w:val="bottom"/>
            <w:gridSpan w:val="3"/>
          </w:tcPr>
          <w:p>
            <w:pPr>
              <w:ind w:left="1400"/>
              <w:spacing w:after="0"/>
              <w:rPr>
                <w:sz w:val="20"/>
                <w:szCs w:val="20"/>
                <w:color w:val="auto"/>
              </w:rPr>
            </w:pPr>
            <w:r>
              <w:rPr>
                <w:rFonts w:ascii="Arial" w:cs="Arial" w:eastAsia="Arial" w:hAnsi="Arial"/>
                <w:sz w:val="14"/>
                <w:szCs w:val="14"/>
                <w:b w:val="1"/>
                <w:bCs w:val="1"/>
                <w:color w:val="auto"/>
                <w:w w:val="96"/>
              </w:rPr>
              <w:t>Amortized</w:t>
            </w:r>
          </w:p>
        </w:tc>
        <w:tc>
          <w:tcPr>
            <w:tcW w:w="1380" w:type="dxa"/>
            <w:vAlign w:val="bottom"/>
            <w:gridSpan w:val="4"/>
          </w:tcPr>
          <w:p>
            <w:pPr>
              <w:ind w:left="46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w:t>
            </w:r>
          </w:p>
        </w:tc>
      </w:tr>
      <w:tr>
        <w:trPr>
          <w:trHeight w:val="196"/>
        </w:trPr>
        <w:tc>
          <w:tcPr>
            <w:tcW w:w="20" w:type="dxa"/>
            <w:vAlign w:val="bottom"/>
          </w:tcPr>
          <w:p>
            <w:pPr>
              <w:spacing w:after="0"/>
              <w:rPr>
                <w:sz w:val="17"/>
                <w:szCs w:val="17"/>
                <w:color w:val="auto"/>
              </w:rPr>
            </w:pPr>
          </w:p>
        </w:tc>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2022</w:t>
            </w:r>
          </w:p>
        </w:tc>
        <w:tc>
          <w:tcPr>
            <w:tcW w:w="1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U.S. government agency securities and treasuries</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13,566</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Commercial paper</w:t>
            </w:r>
          </w:p>
        </w:tc>
        <w:tc>
          <w:tcPr>
            <w:tcW w:w="1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12,656</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12,656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28,175</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28,164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June 30, 2023 and December 31, 2022, the Company has a $2.0 million investment in Cyrus Biotechnology, Inc., or Cyrus, pursuant to an investment agreement entered into in connection with the Collaboration and License Agreement with Cyrus. The Company’s maximum exposure to loss related to this variable interest entity is limited to the carrying value of the investment.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Net (Loss) Income Per Share</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income per share for the three and six months ended June 30, 2023 and 2022 (in thousands, except share and per-share data):</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620" w:type="dxa"/>
            <w:vAlign w:val="bottom"/>
            <w:gridSpan w:val="6"/>
          </w:tcPr>
          <w:p>
            <w:pPr>
              <w:ind w:left="6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88"/>
              <w:spacing w:after="0"/>
              <w:rPr>
                <w:sz w:val="20"/>
                <w:szCs w:val="20"/>
                <w:color w:val="auto"/>
              </w:rPr>
            </w:pPr>
            <w:r>
              <w:rPr>
                <w:rFonts w:ascii="Arial" w:cs="Arial" w:eastAsia="Arial" w:hAnsi="Arial"/>
                <w:sz w:val="18"/>
                <w:szCs w:val="18"/>
                <w:color w:val="auto"/>
              </w:rPr>
              <w:t>(11,387)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8,601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448"/>
              <w:spacing w:after="0"/>
              <w:rPr>
                <w:sz w:val="20"/>
                <w:szCs w:val="20"/>
                <w:color w:val="auto"/>
              </w:rPr>
            </w:pPr>
            <w:r>
              <w:rPr>
                <w:rFonts w:ascii="Arial" w:cs="Arial" w:eastAsia="Arial" w:hAnsi="Arial"/>
                <w:sz w:val="18"/>
                <w:szCs w:val="18"/>
                <w:color w:val="auto"/>
              </w:rPr>
              <w:t>(33,050)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37,379</w:t>
            </w:r>
          </w:p>
        </w:tc>
      </w:tr>
      <w:tr>
        <w:trPr>
          <w:trHeight w:val="202"/>
        </w:trPr>
        <w:tc>
          <w:tcPr>
            <w:tcW w:w="3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Less: Change in fair value of liability</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warrants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(13,868)</w:t>
            </w:r>
          </w:p>
        </w:tc>
      </w:tr>
      <w:tr>
        <w:trPr>
          <w:trHeight w:val="223"/>
        </w:trPr>
        <w:tc>
          <w:tcPr>
            <w:tcW w:w="3860" w:type="dxa"/>
            <w:vAlign w:val="bottom"/>
          </w:tcPr>
          <w:p>
            <w:pPr>
              <w:ind w:left="360"/>
              <w:spacing w:after="0"/>
              <w:rPr>
                <w:sz w:val="20"/>
                <w:szCs w:val="20"/>
                <w:color w:val="auto"/>
              </w:rPr>
            </w:pPr>
            <w:r>
              <w:rPr>
                <w:rFonts w:ascii="Arial" w:cs="Arial" w:eastAsia="Arial" w:hAnsi="Arial"/>
                <w:sz w:val="18"/>
                <w:szCs w:val="18"/>
                <w:color w:val="auto"/>
              </w:rPr>
              <w:t>Adjusted net (loss) income</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(33,050)</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23,511</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86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common shares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60" w:type="dxa"/>
            <w:vAlign w:val="bottom"/>
          </w:tcPr>
          <w:p>
            <w:pPr>
              <w:ind w:left="540"/>
              <w:spacing w:after="0"/>
              <w:rPr>
                <w:sz w:val="20"/>
                <w:szCs w:val="20"/>
                <w:color w:val="auto"/>
              </w:rPr>
            </w:pPr>
            <w:r>
              <w:rPr>
                <w:rFonts w:ascii="Arial" w:cs="Arial" w:eastAsia="Arial" w:hAnsi="Arial"/>
                <w:sz w:val="18"/>
                <w:szCs w:val="18"/>
                <w:color w:val="auto"/>
              </w:rPr>
              <w:t>outstanding - basic</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8"/>
                <w:szCs w:val="18"/>
                <w:color w:val="auto"/>
                <w:w w:val="87"/>
              </w:rPr>
              <w:t>153,442,413</w:t>
            </w:r>
          </w:p>
        </w:tc>
        <w:tc>
          <w:tcPr>
            <w:tcW w:w="80" w:type="dxa"/>
            <w:vAlign w:val="bottom"/>
          </w:tcPr>
          <w:p>
            <w:pPr>
              <w:spacing w:after="0"/>
              <w:rPr>
                <w:sz w:val="20"/>
                <w:szCs w:val="20"/>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148,505,729</w:t>
            </w:r>
          </w:p>
        </w:tc>
        <w:tc>
          <w:tcPr>
            <w:tcW w:w="80" w:type="dxa"/>
            <w:vAlign w:val="bottom"/>
          </w:tcPr>
          <w:p>
            <w:pPr>
              <w:spacing w:after="0"/>
              <w:rPr>
                <w:sz w:val="20"/>
                <w:szCs w:val="20"/>
                <w:color w:val="auto"/>
              </w:rPr>
            </w:pPr>
          </w:p>
        </w:tc>
        <w:tc>
          <w:tcPr>
            <w:tcW w:w="1500" w:type="dxa"/>
            <w:vAlign w:val="bottom"/>
            <w:gridSpan w:val="2"/>
          </w:tcPr>
          <w:p>
            <w:pPr>
              <w:jc w:val="right"/>
              <w:ind w:right="508"/>
              <w:spacing w:after="0"/>
              <w:rPr>
                <w:sz w:val="20"/>
                <w:szCs w:val="20"/>
                <w:color w:val="auto"/>
              </w:rPr>
            </w:pPr>
            <w:r>
              <w:rPr>
                <w:rFonts w:ascii="Arial" w:cs="Arial" w:eastAsia="Arial" w:hAnsi="Arial"/>
                <w:sz w:val="18"/>
                <w:szCs w:val="18"/>
                <w:color w:val="auto"/>
                <w:w w:val="89"/>
              </w:rPr>
              <w:t>153,396,380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136,436,316</w:t>
            </w:r>
          </w:p>
        </w:tc>
      </w:tr>
      <w:tr>
        <w:trPr>
          <w:trHeight w:val="202"/>
        </w:trPr>
        <w:tc>
          <w:tcPr>
            <w:tcW w:w="3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Dilutive effect of employee equity incentive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plans and outstanding warrants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529,996</w:t>
            </w:r>
          </w:p>
        </w:tc>
      </w:tr>
      <w:tr>
        <w:trPr>
          <w:trHeight w:val="209"/>
        </w:trPr>
        <w:tc>
          <w:tcPr>
            <w:tcW w:w="3860" w:type="dxa"/>
            <w:vAlign w:val="bottom"/>
          </w:tcPr>
          <w:p>
            <w:pPr>
              <w:ind w:left="360"/>
              <w:spacing w:after="0"/>
              <w:rPr>
                <w:sz w:val="20"/>
                <w:szCs w:val="20"/>
                <w:color w:val="auto"/>
              </w:rPr>
            </w:pPr>
            <w:r>
              <w:rPr>
                <w:rFonts w:ascii="Arial" w:cs="Arial" w:eastAsia="Arial" w:hAnsi="Arial"/>
                <w:sz w:val="18"/>
                <w:szCs w:val="18"/>
                <w:color w:val="auto"/>
              </w:rPr>
              <w:t>Weighted-average common shares used in</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60" w:type="dxa"/>
            <w:vAlign w:val="bottom"/>
          </w:tcPr>
          <w:p>
            <w:pPr>
              <w:ind w:left="540"/>
              <w:spacing w:after="0"/>
              <w:rPr>
                <w:sz w:val="20"/>
                <w:szCs w:val="20"/>
                <w:color w:val="auto"/>
              </w:rPr>
            </w:pPr>
            <w:r>
              <w:rPr>
                <w:rFonts w:ascii="Arial" w:cs="Arial" w:eastAsia="Arial" w:hAnsi="Arial"/>
                <w:sz w:val="18"/>
                <w:szCs w:val="18"/>
                <w:color w:val="auto"/>
              </w:rPr>
              <w:t>per share calculations - diluted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8"/>
                <w:szCs w:val="18"/>
                <w:color w:val="auto"/>
                <w:w w:val="87"/>
              </w:rPr>
              <w:t>153,442,413</w:t>
            </w:r>
          </w:p>
        </w:tc>
        <w:tc>
          <w:tcPr>
            <w:tcW w:w="80" w:type="dxa"/>
            <w:vAlign w:val="bottom"/>
          </w:tcPr>
          <w:p>
            <w:pPr>
              <w:spacing w:after="0"/>
              <w:rPr>
                <w:sz w:val="20"/>
                <w:szCs w:val="20"/>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148,505,729</w:t>
            </w:r>
          </w:p>
        </w:tc>
        <w:tc>
          <w:tcPr>
            <w:tcW w:w="80" w:type="dxa"/>
            <w:vAlign w:val="bottom"/>
          </w:tcPr>
          <w:p>
            <w:pPr>
              <w:spacing w:after="0"/>
              <w:rPr>
                <w:sz w:val="20"/>
                <w:szCs w:val="20"/>
                <w:color w:val="auto"/>
              </w:rPr>
            </w:pPr>
          </w:p>
        </w:tc>
        <w:tc>
          <w:tcPr>
            <w:tcW w:w="1500" w:type="dxa"/>
            <w:vAlign w:val="bottom"/>
            <w:gridSpan w:val="2"/>
          </w:tcPr>
          <w:p>
            <w:pPr>
              <w:jc w:val="right"/>
              <w:ind w:right="508"/>
              <w:spacing w:after="0"/>
              <w:rPr>
                <w:sz w:val="20"/>
                <w:szCs w:val="20"/>
                <w:color w:val="auto"/>
              </w:rPr>
            </w:pPr>
            <w:r>
              <w:rPr>
                <w:rFonts w:ascii="Arial" w:cs="Arial" w:eastAsia="Arial" w:hAnsi="Arial"/>
                <w:sz w:val="18"/>
                <w:szCs w:val="18"/>
                <w:color w:val="auto"/>
                <w:w w:val="89"/>
              </w:rPr>
              <w:t>153,396,380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136,966,312</w:t>
            </w:r>
          </w:p>
        </w:tc>
      </w:tr>
      <w:tr>
        <w:trPr>
          <w:trHeight w:val="20"/>
        </w:trPr>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per share: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88"/>
              <w:spacing w:after="0"/>
              <w:rPr>
                <w:sz w:val="20"/>
                <w:szCs w:val="20"/>
                <w:color w:val="auto"/>
              </w:rPr>
            </w:pPr>
            <w:r>
              <w:rPr>
                <w:rFonts w:ascii="Arial" w:cs="Arial" w:eastAsia="Arial" w:hAnsi="Arial"/>
                <w:sz w:val="18"/>
                <w:szCs w:val="18"/>
                <w:color w:val="auto"/>
              </w:rPr>
              <w:t>(0.07)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448"/>
              <w:spacing w:after="0"/>
              <w:rPr>
                <w:sz w:val="20"/>
                <w:szCs w:val="20"/>
                <w:color w:val="auto"/>
              </w:rPr>
            </w:pPr>
            <w:r>
              <w:rPr>
                <w:rFonts w:ascii="Arial" w:cs="Arial" w:eastAsia="Arial" w:hAnsi="Arial"/>
                <w:sz w:val="18"/>
                <w:szCs w:val="18"/>
                <w:color w:val="auto"/>
              </w:rPr>
              <w:t>(0.22)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r>
      <w:tr>
        <w:trPr>
          <w:trHeight w:val="20"/>
        </w:trPr>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(0.22)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r>
      <w:tr>
        <w:trPr>
          <w:trHeight w:val="20"/>
        </w:trPr>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represents the potential dilutive shares of common stock excluded from the computation of the diluted net (loss) income per share for all periods presented, as the effect would have been anti-dilutive: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Options, RSUs and ESPP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22,607,689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16,422,488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22,607,689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16,660,700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31,228,279</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31,307,409</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31,228,279</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20,863,898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53,835,968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47,729,897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53,835,968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37,524,598</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present the Company’s assets and liabilities that are measured at fair value on a recurring basis as of June 30, 2023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2022 (in thousands):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8"/>
              </w:rPr>
              <w:t>Level 2</w:t>
            </w:r>
          </w:p>
        </w:tc>
        <w:tc>
          <w:tcPr>
            <w:tcW w:w="180" w:type="dxa"/>
            <w:vAlign w:val="bottom"/>
          </w:tcPr>
          <w:p>
            <w:pPr>
              <w:spacing w:after="0"/>
              <w:rPr>
                <w:sz w:val="12"/>
                <w:szCs w:val="12"/>
                <w:color w:val="auto"/>
              </w:rPr>
            </w:pPr>
          </w:p>
        </w:tc>
        <w:tc>
          <w:tcPr>
            <w:tcW w:w="6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Money market funds (included in cash equivalents)</w:t>
            </w:r>
          </w:p>
        </w:tc>
        <w:tc>
          <w:tcPr>
            <w:tcW w:w="84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73,384</w:t>
            </w:r>
          </w:p>
        </w:tc>
        <w:tc>
          <w:tcPr>
            <w:tcW w:w="1020" w:type="dxa"/>
            <w:vAlign w:val="bottom"/>
            <w:gridSpan w:val="6"/>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73,384</w:t>
            </w:r>
          </w:p>
        </w:tc>
        <w:tc>
          <w:tcPr>
            <w:tcW w:w="1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73,384</w:t>
            </w:r>
          </w:p>
        </w:tc>
        <w:tc>
          <w:tcPr>
            <w:tcW w:w="1020" w:type="dxa"/>
            <w:vAlign w:val="bottom"/>
            <w:gridSpan w:val="6"/>
            <w:shd w:val="clear" w:color="auto" w:fill="CCEEFF"/>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73,384</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liabilities</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16,878</w:t>
            </w:r>
          </w:p>
        </w:tc>
        <w:tc>
          <w:tcPr>
            <w:tcW w:w="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16,878</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16,878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16,878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w w:val="93"/>
              </w:rPr>
              <w:t>December 31, 2022</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84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2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76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6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Money market funds (included in cash equivalents)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$53,552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ind w:left="100"/>
              <w:spacing w:after="0"/>
              <w:rPr>
                <w:sz w:val="20"/>
                <w:szCs w:val="20"/>
                <w:color w:val="auto"/>
              </w:rPr>
            </w:pPr>
            <w:r>
              <w:rPr>
                <w:rFonts w:ascii="Arial" w:cs="Arial" w:eastAsia="Arial" w:hAnsi="Arial"/>
                <w:sz w:val="18"/>
                <w:szCs w:val="18"/>
                <w:color w:val="auto"/>
              </w:rPr>
              <w:t>$53,552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U.S. government agency securities and treasuries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13,557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12,656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12,656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81,716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ind w:lef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53,552</w:t>
            </w: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28,164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liabilities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19,140</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19,140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19,140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were no transfers within the fair value hierarchy during the six months ended June 30, 2023 or year ended December 31, 2022.</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June 30, 2023 and December 31, 2022, money market funds were classified as cash and cash equivalents on the accompanying consolidated balance sheets as they mature within 90 days from the date of purchase.</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As of June 30, 2023, the Company had restricted cash balances relating to secured letters of credit in connection with its lease for the Company’s headquarters. Short-term restricted cash is included within prepaid expenses and other current assets in the consolidated balance sheets. The Company’s consolidated statements of cash flows include the following as of June 30, 2023 and 2022 (in thousands):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00" w:type="dxa"/>
            <w:vAlign w:val="bottom"/>
            <w:gridSpan w:val="5"/>
          </w:tcPr>
          <w:p>
            <w:pPr>
              <w:ind w:left="5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2023</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$112,027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$138,057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Short-term restricted cash</w:t>
            </w:r>
          </w:p>
        </w:tc>
        <w:tc>
          <w:tcPr>
            <w:tcW w:w="3720" w:type="dxa"/>
            <w:vAlign w:val="bottom"/>
            <w:gridSpan w:val="3"/>
          </w:tcPr>
          <w:p>
            <w:pPr>
              <w:jc w:val="right"/>
              <w:ind w:right="160"/>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3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w w:val="96"/>
              </w:rPr>
              <w:t>Total cash, cash equivalents, and restricted cash</w:t>
            </w:r>
          </w:p>
        </w:tc>
        <w:tc>
          <w:tcPr>
            <w:tcW w:w="29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115,004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139,436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00" w:type="dxa"/>
            <w:vAlign w:val="bottom"/>
            <w:vMerge w:val="restart"/>
          </w:tcPr>
          <w:p>
            <w:pPr>
              <w:jc w:val="right"/>
              <w:ind w:right="2290"/>
              <w:spacing w:after="0"/>
              <w:rPr>
                <w:sz w:val="20"/>
                <w:szCs w:val="20"/>
                <w:color w:val="auto"/>
              </w:rPr>
            </w:pPr>
            <w:r>
              <w:rPr>
                <w:rFonts w:ascii="Arial" w:cs="Arial" w:eastAsia="Arial" w:hAnsi="Arial"/>
                <w:sz w:val="18"/>
                <w:szCs w:val="18"/>
                <w:color w:val="auto"/>
              </w:rPr>
              <w:t>12</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No marketable securities were held as of June 30, 2023. As of December 31, 2022, marketable securities classified as Level 2 within the valuation hierarchy consist of U.S. government agency securities and treasuries, corporate bonds and commercial paper which are available-for-sale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Loans Payable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June 30, 2023, in light of the issuance of the first tranche under the Company’s term loan pursuant the Loan and Security Agreement, dated August 31, 2020, as amended, among the Company, Oxford Finance LLC, or Oxford, as Collateral Agent and a Lender, and Silicon Valley Bank, a division of First-Citizens Bank &amp; Trust Company (successor by purchase to the Federal Deposit Insurance Corporation as Receiver for Silicon Valley Bridge Bank, N.A. (as successor to Silicon Valley Bank)), or SVB, as a Lender, or the Loan and Security Agreement, the Company believes the carrying value approximates the fair value of the loan.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December 2019, the Company issued warrants to purchase common stock in connection with a private placement of shares of common stock, or the 2019 Warrants. Pursuant to the terms of the 2019 Warrants, the Company could be required to settle the 2019 Warrants in cash in the event of certain acquisitions of the Company and, as a result, the 2019 Warrants were required to be measured at fair value and reported as a liability on the balance sheet. On December 20, 2022, the Company amended the terms of the outstanding 2019 Warrants held by certain members of the Board, or the Amended 2019 Warrants, to remove the cash settlement provision. As a result, the Amended 2019 Warrants were remeasured at fair value on December 20, 2022 and reclassified from a liability to equity on the balance sheet. See Note 10 to the consolidated financial statements included in our Annual Report on Form 10-K for the year ended December 31, 2022 for further discussion on the equity-classified Amended 2019 Warrants.</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April 2022, the Company issued warrants in connection with an underwritten offering of shares of common stock and warrants to purchase shares of common stock,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18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16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estimated fair values of the 2019 Warrants and the 2022 Warrants were determined using the following inputs to the Black-Scholes simulation valuation:</w:t>
      </w:r>
    </w:p>
    <w:p>
      <w:pPr>
        <w:spacing w:after="0" w:line="62"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i w:val="1"/>
          <w:iCs w:val="1"/>
          <w:color w:val="auto"/>
        </w:rPr>
        <w:t>Estimated fair value of the underlying stock</w:t>
      </w:r>
      <w:r>
        <w:rPr>
          <w:rFonts w:ascii="Arial" w:cs="Arial" w:eastAsia="Arial" w:hAnsi="Arial"/>
          <w:sz w:val="18"/>
          <w:szCs w:val="18"/>
          <w:color w:val="auto"/>
        </w:rPr>
        <w:t>. The Company estimates the fair value of the common stock based on the closing stock price</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end of each reporting period.</w:t>
      </w:r>
    </w:p>
    <w:p>
      <w:pPr>
        <w:spacing w:after="0" w:line="62" w:lineRule="exact"/>
        <w:rPr>
          <w:sz w:val="20"/>
          <w:szCs w:val="20"/>
          <w:color w:val="auto"/>
        </w:rPr>
      </w:pPr>
    </w:p>
    <w:p>
      <w:pPr>
        <w:ind w:left="1100" w:right="46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at the valuation date commensurate with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life assumption.</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dividend rate is based on the historical rate, which the Company anticipates will remain at zero.</w:t>
      </w:r>
    </w:p>
    <w:p>
      <w:pPr>
        <w:spacing w:after="0" w:line="117" w:lineRule="exact"/>
        <w:rPr>
          <w:sz w:val="20"/>
          <w:szCs w:val="20"/>
          <w:color w:val="auto"/>
        </w:rPr>
      </w:pPr>
    </w:p>
    <w:p>
      <w:pPr>
        <w:ind w:left="1100" w:right="300"/>
        <w:spacing w:after="0" w:line="27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the 2019 Warrants and the 2022 Warrants is assumed to be equivalent to their remaining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terms which expire on December 23, 2024 and April 11, 2027, respectively.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Company estimates stock price volatility based on the Company’s historical volatility for a period of time commensurate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expected remaining life of the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Black-Scholes pricing model assumptions used to record the fair value of the 2019 Warrants liability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82.80%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79.92%</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Black-Scholes pricing model assumptions used to record the fair value of the 2022 Warrants liability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91.59%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98.05%</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Level 3 Liabilities Measured at Fair Value on a Recurring Basis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reflects a roll-forward of fair value for the Company’s Level 3 warrant liabilities (see Note 10 to these unaudited consolidated financial statements), for the six months ended June 30, 2023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Warrant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liabilities</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2022</w:t>
            </w:r>
          </w:p>
        </w:tc>
        <w:tc>
          <w:tcPr>
            <w:tcW w:w="1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$19,140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(2,262)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30, 2023</w:t>
            </w: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16,878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Property and Equipment</w:t>
            </w: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6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3"/>
          </w:tcPr>
          <w:p>
            <w:pPr>
              <w:ind w:left="440"/>
              <w:spacing w:after="0"/>
              <w:rPr>
                <w:sz w:val="20"/>
                <w:szCs w:val="20"/>
                <w:color w:val="auto"/>
              </w:rPr>
            </w:pPr>
            <w:r>
              <w:rPr>
                <w:rFonts w:ascii="Arial" w:cs="Arial" w:eastAsia="Arial" w:hAnsi="Arial"/>
                <w:sz w:val="18"/>
                <w:szCs w:val="18"/>
                <w:color w:val="auto"/>
              </w:rPr>
              <w:t>Property and equipment consists of the following (in thousands):</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2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$ 6,263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6,001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Construction in process</w:t>
            </w:r>
          </w:p>
        </w:tc>
        <w:tc>
          <w:tcPr>
            <w:tcW w:w="1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property and equipment</w:t>
            </w: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7,999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(5,574)</w:t>
            </w:r>
          </w:p>
        </w:tc>
        <w:tc>
          <w:tcPr>
            <w:tcW w:w="1300" w:type="dxa"/>
            <w:vAlign w:val="bottom"/>
            <w:gridSpan w:val="7"/>
          </w:tcPr>
          <w:p>
            <w:pPr>
              <w:jc w:val="right"/>
              <w:ind w:right="40"/>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$ 2,593</w:t>
            </w:r>
          </w:p>
        </w:tc>
        <w:tc>
          <w:tcPr>
            <w:tcW w:w="760" w:type="dxa"/>
            <w:vAlign w:val="bottom"/>
            <w:gridSpan w:val="3"/>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2,794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Depreciation expense was $0.2 million for each of the three months ended June 30, 2023 and 2022 and $0.4 million and $0.3 million for the six months ended June 30, 2023 and 2022,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86"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400" w:type="dxa"/>
            <w:vAlign w:val="bottom"/>
            <w:gridSpan w:val="4"/>
          </w:tcPr>
          <w:p>
            <w:pPr>
              <w:ind w:left="4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6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Collaboration and licensing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2,523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Accrued patent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Accrued external research and development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5,094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7,274</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and consulting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6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0" w:type="dxa"/>
            <w:vAlign w:val="bottom"/>
            <w:shd w:val="clear" w:color="auto" w:fill="CCEEFF"/>
          </w:tcPr>
          <w:p>
            <w:pPr>
              <w:spacing w:after="0"/>
              <w:rPr>
                <w:sz w:val="18"/>
                <w:szCs w:val="18"/>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12,902</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w:t>
            </w:r>
          </w:p>
        </w:tc>
        <w:tc>
          <w:tcPr>
            <w:tcW w:w="6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65 Grove Street Lease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July 2019, the Company entered into a lease with BRE-BMR Grove LLC for 25,078 square feet of laboratory and office space located at 65 Grove Street, Watertown, Massachusetts, or the Headquarters Lease. On September 1, 2022, the Company entered into an amendment, or the Lease Agreement Amendment, to the Headquarters Lease, to expand the Company’s corporate headquarters located at 65 Grove Street, Watertown, Massachusetts by approximately 7,216 square feet. In connection with the Lease Agreement Amendment, the Company secured a letter of credit for the Headquarters Lease from SVB for $1.6 million as of December 31, 2022.</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May 2023, the Company received notice from BRE-BMR Grove LLC that the requirements to reduce the amount of the letter of credit for the Headquarters Lease had been met. In connection therewith, in June 2023, the Company secured a letter of credit from JPMorgan Chase Bank, N.A. for $1.4 million, which is recognized as long-term restricted cash as of June 30, 2023, and renews automatically each year. As of June 30, 2023, the existing letter of credit from SVB for $1.6 million has been classified as current based on the anticipated release date of the restrictions of this cash.</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and six months ended June 30, 2023 and 2022, the components of lease costs were as follows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6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95"/>
              </w:rPr>
              <w:t>Three Months Ended</w:t>
            </w: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4"/>
          </w:tcPr>
          <w:p>
            <w:pPr>
              <w:ind w:left="3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2023</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2022</w:t>
            </w: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505</w:t>
            </w:r>
          </w:p>
        </w:tc>
        <w:tc>
          <w:tcPr>
            <w:tcW w:w="3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$1,392</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Variable lease cost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720" w:type="dxa"/>
            <w:vAlign w:val="bottom"/>
            <w:gridSpan w:val="3"/>
          </w:tcPr>
          <w:p>
            <w:pPr>
              <w:ind w:left="140"/>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412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Less: Sublease income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(506)</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712</w:t>
            </w:r>
          </w:p>
        </w:tc>
        <w:tc>
          <w:tcPr>
            <w:tcW w:w="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1,303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1,441</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20" w:type="dxa"/>
            <w:vAlign w:val="bottom"/>
            <w:gridSpan w:val="7"/>
          </w:tcPr>
          <w:p>
            <w:pPr>
              <w:spacing w:after="0"/>
              <w:rPr>
                <w:sz w:val="20"/>
                <w:szCs w:val="20"/>
                <w:color w:val="auto"/>
              </w:rPr>
            </w:pPr>
            <w:r>
              <w:rPr>
                <w:rFonts w:ascii="Arial" w:cs="Arial" w:eastAsia="Arial" w:hAnsi="Arial"/>
                <w:sz w:val="18"/>
                <w:szCs w:val="18"/>
                <w:color w:val="auto"/>
                <w:w w:val="91"/>
              </w:rPr>
              <w:t>The maturity of the Company’s operating lease liabilities as of June 30, 2023 were as follows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 (remainder)</w:t>
            </w:r>
          </w:p>
        </w:tc>
        <w:tc>
          <w:tcPr>
            <w:tcW w:w="2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3"/>
              </w:rPr>
              <w:t>$ 1,349</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2024</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2,740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2,818</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2026</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2,902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2,990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Thereafter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946</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Total future minimum lease payments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13,745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2,853</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10,892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40" w:type="dxa"/>
            <w:vAlign w:val="bottom"/>
            <w:vMerge w:val="restart"/>
          </w:tcPr>
          <w:p>
            <w:pPr>
              <w:jc w:val="right"/>
              <w:ind w:right="17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supplemental disclosure for the statement of cash flows related to operating leases was as follows (in thousands):</w:t>
      </w:r>
    </w:p>
    <w:p>
      <w:pPr>
        <w:spacing w:after="0" w:line="244"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Six Months Ended</w:t>
      </w:r>
    </w:p>
    <w:p>
      <w:pPr>
        <w:jc w:val="center"/>
        <w:ind w:left="68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440" w:type="dxa"/>
        <w:tblCellMar>
          <w:top w:w="0" w:type="dxa"/>
          <w:left w:w="0" w:type="dxa"/>
          <w:bottom w:w="0" w:type="dxa"/>
          <w:right w:w="0" w:type="dxa"/>
        </w:tblCellMar>
      </w:tblPr>
      <w:tr>
        <w:trPr>
          <w:trHeight w:val="142"/>
        </w:trPr>
        <w:tc>
          <w:tcPr>
            <w:tcW w:w="60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$ 1,319</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$ 924</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The changes in the Company’s right-of-use assets and lease liabilities for the six months ended June 30, 2023 and 2022 are reflected in the non-cash lease expense and accrued expenses and other liabilities, respectively, in the consolidated statements of cash flows.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9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3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 years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5.9 years</w:t>
            </w:r>
          </w:p>
        </w:tc>
        <w:tc>
          <w:tcPr>
            <w:tcW w:w="200" w:type="dxa"/>
            <w:vAlign w:val="bottom"/>
            <w:shd w:val="clear" w:color="auto" w:fill="CCEEFF"/>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Debt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Term Loan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August 31, 2020, the Company entered into the Loan and Security Agreement with Oxford and Silicon Valley Bank.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Loan and Security Agreement.</w:t>
      </w:r>
    </w:p>
    <w:p>
      <w:pPr>
        <w:spacing w:after="0" w:line="19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On March 31, 2023, the Company entered into a Fourth Amendment to Loan and Security Agreement or the Fourth Amendment, with Oxford as Collateral Agent and a Lender and SVB. The Fourth Amendment relieved the Company of the requirement to maintain all Collateral Accounts (as such term is defined in the Loan and Security Agreement) with SVB and instead requires the Company to hold an amount equal to the lesser of (i) 100% of our consolidated cash and (ii) 150% of the then-outstanding Obligations (as such term is defined in the Loan and Security Agreement) in Collateral Accounts with SVB that are subject to a Control Agreement (as such term is defined in the Loan and Security Agreement) in favor of SVB.</w:t>
      </w:r>
    </w:p>
    <w:p>
      <w:pPr>
        <w:spacing w:after="0" w:line="16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June 30, 2023 and December 31, 2022, the outstanding principal balance under the 2020 Term Loan was $22.4 million and $25.0 million,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2020 Term Loan and unamortized debt discount balances as of June 30, 2023 are as follows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$ 22,414</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Venture debt termination fee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Debt discount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Less: Current portion of loan payable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(10,235)</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Loan payable, net of current portion</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$ 13,787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principal payments on the 2020 Term Loan as of June 30, 2023 are as follows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2023 (remainder)</w:t>
            </w: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2025</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principal payments</w:t>
            </w:r>
          </w:p>
        </w:tc>
        <w:tc>
          <w:tcPr>
            <w:tcW w:w="3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22,414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740" w:type="dxa"/>
            <w:vAlign w:val="bottom"/>
            <w:vMerge w:val="restart"/>
          </w:tcPr>
          <w:p>
            <w:pPr>
              <w:jc w:val="right"/>
              <w:ind w:right="291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October 25, 2021, the Company entered into a Sales Agreement, or the 2021 Sales Agreement, with SVB Leerink LLC (now known as Leerink Partners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will be issued pursuant to the Company’s shelf registration statement on Form S-3 (File No. 333-241692), for aggregate gross sales proceeds of up to $75.0 million.</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During the year ended December 31, 2022, the Company sold 774,544 shares of its common stock pursuant to the 2021 Sales Agreement for aggregate net proceeds of $2.1 million, after deducting commissions and other transaction costs.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the six months ended June 30, 2023, the Company sold no shares of its common stock pursuant to the 2021 Sales Agreement.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During the three and six months ended June 30, 2023, there were no warrants issued, exercised, or canceled. See Note 10 to the consolidated financial statements in our Annual Report on Form 10-K for the year ended December 31, 2022 for further discussion of the terms related to the Company’s warrants.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8"/>
          </w:tcPr>
          <w:p>
            <w:pPr>
              <w:jc w:val="center"/>
              <w:ind w:right="1020"/>
              <w:spacing w:after="0"/>
              <w:rPr>
                <w:sz w:val="20"/>
                <w:szCs w:val="20"/>
                <w:color w:val="auto"/>
              </w:rPr>
            </w:pPr>
            <w:r>
              <w:rPr>
                <w:rFonts w:ascii="Arial" w:cs="Arial" w:eastAsia="Arial" w:hAnsi="Arial"/>
                <w:sz w:val="14"/>
                <w:szCs w:val="14"/>
                <w:b w:val="1"/>
                <w:bCs w:val="1"/>
                <w:color w:val="auto"/>
                <w:w w:val="96"/>
              </w:rPr>
              <w:t>Number of Warrants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06"/>
        </w:trPr>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6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2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classified</w:t>
            </w:r>
          </w:p>
        </w:tc>
        <w:tc>
          <w:tcPr>
            <w:tcW w:w="26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classified</w:t>
            </w:r>
          </w:p>
        </w:tc>
        <w:tc>
          <w:tcPr>
            <w:tcW w:w="1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June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2,236,326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28,991,953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31,228,279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Reserved Shares</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20" w:type="dxa"/>
            <w:vAlign w:val="bottom"/>
            <w:gridSpan w:val="8"/>
          </w:tcPr>
          <w:p>
            <w:pPr>
              <w:ind w:left="440"/>
              <w:spacing w:after="0"/>
              <w:rPr>
                <w:sz w:val="20"/>
                <w:szCs w:val="20"/>
                <w:color w:val="auto"/>
              </w:rPr>
            </w:pPr>
            <w:r>
              <w:rPr>
                <w:rFonts w:ascii="Arial" w:cs="Arial" w:eastAsia="Arial" w:hAnsi="Arial"/>
                <w:sz w:val="18"/>
                <w:szCs w:val="18"/>
                <w:color w:val="auto"/>
                <w:w w:val="93"/>
              </w:rPr>
              <w:t>The Company has authorized shares of common stock for future issuance as of June 30, 2023 as follows: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320" w:type="dxa"/>
            <w:vAlign w:val="bottom"/>
            <w:vMerge w:val="restart"/>
          </w:tcPr>
          <w:p>
            <w:pPr>
              <w:spacing w:after="0"/>
              <w:rPr>
                <w:sz w:val="21"/>
                <w:szCs w:val="21"/>
                <w:color w:val="auto"/>
              </w:rPr>
            </w:pPr>
          </w:p>
        </w:tc>
        <w:tc>
          <w:tcPr>
            <w:tcW w:w="4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31,228,279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Shares available for future stock incentive awards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8,073,729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RSUs reserved for issuance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2,411,792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common stock options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20,114,139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6"/>
              </w:rPr>
              <w:t>Accrued Ginkgo Bioworks Holdings, Inc. milestone award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1,339,285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3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63,167,349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Stock Incentive Plans</w:t>
      </w:r>
    </w:p>
    <w:p>
      <w:pPr>
        <w:spacing w:after="0" w:line="121" w:lineRule="exact"/>
        <w:rPr>
          <w:sz w:val="20"/>
          <w:szCs w:val="20"/>
          <w:color w:val="auto"/>
        </w:rPr>
      </w:pPr>
    </w:p>
    <w:p>
      <w:pPr>
        <w:jc w:val="both"/>
        <w:ind w:left="120" w:right="420" w:firstLine="440"/>
        <w:spacing w:after="0" w:line="308" w:lineRule="auto"/>
        <w:rPr>
          <w:sz w:val="20"/>
          <w:szCs w:val="20"/>
          <w:color w:val="auto"/>
        </w:rPr>
      </w:pPr>
      <w:r>
        <w:rPr>
          <w:rFonts w:ascii="Arial" w:cs="Arial" w:eastAsia="Arial" w:hAnsi="Arial"/>
          <w:sz w:val="17"/>
          <w:szCs w:val="17"/>
          <w:color w:val="auto"/>
        </w:rPr>
        <w:t>The Company maintains the 2008 Stock Incentive Plan, or the 2008 Plan, for employees, consultants, advisors, and directors. The 2008 Plan provided for the granting of incentive and non-qualified stock option and restricted stock awards as determined by the Board.</w:t>
      </w:r>
    </w:p>
    <w:p>
      <w:pPr>
        <w:spacing w:after="0" w:line="146"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 subject to the terms of the 2008 Plan. Awards granted under the 2008 Plan that expire, lapse or terminate become available under the 2016 Plan as shares available for future grants.</w:t>
      </w:r>
    </w:p>
    <w:p>
      <w:pPr>
        <w:spacing w:after="0" w:line="17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2023, the number of shares of common stock that may be issued under the 2016 Plan was increased by 6,121,697 shares. As of June 30, 2023, 2,587,797 shares remain available for future issuance under the 2016 Plan.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June 30, 2023, there are 425,858 shares available for future grant under the 2018 Inducement Incentive Award Plan.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three and six months ended June 30, 2023 and $1.0 million recognized as stock-based compensation expense upon the issuance of common stock to Ginkgo during the three and six months ended June 30, 2022 as described in Note 14, was as follows (in thousands):</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4"/>
          </w:tcPr>
          <w:p>
            <w:pPr>
              <w:ind w:left="4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2023</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2022</w:t>
            </w:r>
          </w:p>
        </w:tc>
        <w:tc>
          <w:tcPr>
            <w:tcW w:w="3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$ 2,677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$3,869</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1,543</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2,190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720" w:type="dxa"/>
            <w:vAlign w:val="bottom"/>
            <w:gridSpan w:val="3"/>
            <w:shd w:val="clear" w:color="auto" w:fill="CCEEFF"/>
          </w:tcPr>
          <w:p>
            <w:pPr>
              <w:jc w:val="center"/>
              <w:ind w:left="1730"/>
              <w:spacing w:after="0"/>
              <w:rPr>
                <w:sz w:val="20"/>
                <w:szCs w:val="20"/>
                <w:color w:val="auto"/>
              </w:rPr>
            </w:pPr>
            <w:r>
              <w:rPr>
                <w:rFonts w:ascii="Arial" w:cs="Arial" w:eastAsia="Arial" w:hAnsi="Arial"/>
                <w:sz w:val="18"/>
                <w:szCs w:val="18"/>
                <w:color w:val="auto"/>
                <w:w w:val="89"/>
              </w:rPr>
              <w:t>$ 3,783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3,564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6,059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1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3.38%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w:t>
            </w: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3.95%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6.00</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6.05</w:t>
            </w: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5.94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94.40%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92.03%</w:t>
            </w: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94.64%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91.85%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common stock</w:t>
            </w: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95"/>
              </w:rPr>
              <w:t>$ 1.31</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  1.29</w:t>
            </w: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95"/>
              </w:rPr>
              <w:t>$ 1.15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$ 3.10</w:t>
            </w:r>
          </w:p>
        </w:tc>
      </w:tr>
    </w:tbl>
    <w:p>
      <w:pPr>
        <w:spacing w:after="0" w:line="20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weighted average grant date fair value of stock options granted to employees was $1.02 and $0.99 during the three months ended June 30, 2023 and 2022, respectively, and $0.90 and $2.33 during the six months ended June 30, 2023 and 2022, respectively.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June 30, 2023, total unrecognized compensation expense related to unvested employee stock options was $13.2 million, which is expected to be recognized over a weighted average period of 2.7 years.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stock option activity under the 2008 Plan, the 2016 Plan, and the 2018 Inducement Incentive Award Plan:</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1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17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7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contractual term</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options</w:t>
            </w: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(in years)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Employees</w:t>
            </w:r>
          </w:p>
        </w:tc>
        <w:tc>
          <w:tcPr>
            <w:tcW w:w="8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Outstanding at December 31, 2022</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15,578,412</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3.44</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5,477,200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(1,207,712)</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2.84</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2023</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19,847,900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2.85</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Vested at June 30, 2023</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3.92</w:t>
            </w:r>
          </w:p>
        </w:tc>
        <w:tc>
          <w:tcPr>
            <w:tcW w:w="174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6.68</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8,956,975</w:t>
            </w:r>
          </w:p>
        </w:tc>
        <w:tc>
          <w:tcPr>
            <w:tcW w:w="6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June 30, 2023</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18,564,837</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2.93</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Non-employee consultants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266,239</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8.05</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Outstanding at June 30, 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266,239</w:t>
            </w:r>
          </w:p>
        </w:tc>
        <w:tc>
          <w:tcPr>
            <w:tcW w:w="60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8.05</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Vested at June 30, 2023</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266,239</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8.05</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Vested and expected to vest at June 30, 2023</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266,239</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8.05</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During the six months ended June 30, 2023, the Company granted 1,054,600 restricted stock awards with a weighted average fair value of $1.13 per share based on the closing price of the Company’s common stock on the date of grant to employees under the 2016 Plan, which will vest over a four-year term. Forfeitures are estimated at the time of grant and are adjusted, if necessary, in subsequent periods if actual forfeitures differ from those estimates. The Company has estimated a forfeiture rate of 10% for restricted stock awards to employees based on historical experience.</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Unrecognized compensation expense for all restricted stock units was $3.1 million as of June 30, 2023, which is expected to be recognized over a weighted average period of 2.5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restricted stock units under the 2016 Plan and 2018 Inducement Incentive Award Plan:</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8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0"/>
              </w:rPr>
              <w:t>Number of shares</w:t>
            </w:r>
          </w:p>
        </w:tc>
        <w:tc>
          <w:tcPr>
            <w:tcW w:w="1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fair value ($)</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1,705,558</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1,054,600</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(277,193)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(71,173)</w:t>
            </w: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Unvested at June 30,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2,411,792</w:t>
            </w: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In June 2016, the Company approved the 2016 Employee Stock Purchase Plan, or the ESPP, which authorized 173,076 shares of common stock for future issuance under the ESPP to participating employees. In January 2023, the number of shares of common stock authorized for issuance under the ESPP was increased by 1,530,424 shares. During the six months ended June 30, 2023, the Company issued 108,068 shares of common stock under the ESPP. As of June 30, 2023, 5,060,074 shares remain available for future issuance under the ESPP.</w:t>
      </w:r>
    </w:p>
    <w:p>
      <w:pPr>
        <w:spacing w:after="0" w:line="17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each of the three and six months ended June 30, 2023 and 2022, the Company recognized less than $0.1 million of stock-based compensation expense under the ESPP.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8920" w:hanging="4"/>
        <w:spacing w:after="0" w:line="425" w:lineRule="auto"/>
        <w:tabs>
          <w:tab w:leader="none" w:pos="39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Astellas Gene Therapies</w:t>
      </w:r>
    </w:p>
    <w:p>
      <w:pPr>
        <w:ind w:left="120" w:firstLine="440"/>
        <w:spacing w:after="0" w:line="290" w:lineRule="auto"/>
        <w:rPr>
          <w:sz w:val="20"/>
          <w:szCs w:val="20"/>
          <w:color w:val="auto"/>
        </w:rPr>
      </w:pPr>
      <w:r>
        <w:rPr>
          <w:rFonts w:ascii="Arial" w:cs="Arial" w:eastAsia="Arial" w:hAnsi="Arial"/>
          <w:sz w:val="16"/>
          <w:szCs w:val="16"/>
          <w:color w:val="auto"/>
        </w:rPr>
        <w:t>In January 2023, the Company entered into a License and Development Agreement, or the Astellas Agreement, with Audentes Therapeutics, Inc., doing business as Astellas. Under the Astellas Agreement, the Company granted Astellas an exclusive license to the Company’s IdeXork technology arising from Xork (defined below), to develop and commercialize Xork for use in Pompe disease in combination with an Astellas gene therapy investigational or authorized product. Xork, Genovis’ IgG Protease, is licensed by the Genovis Agreement, as described in Note 14 to these consolidated financial statements, Astellas paid a $10.0 million upfront payment to the Company upon signing of the Astellas Agreement, and the Company is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 an Astellas investigational or authorized product, and tiered royalty payments ranging from low to high single digits.</w:t>
      </w:r>
    </w:p>
    <w:p>
      <w:pPr>
        <w:spacing w:after="0" w:line="165"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Pursuant to the Astellas Agreement, the Company will have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will reimburse the Company for 25% of all budgeted costs incurred to complete the development of Xork for use in Pompe disease with an Astellas gene therapy investigational or authorized product. The Company will have control and responsibility over regulatory filings, including any investigational drug applications, biologics license applications, and marketing authorization applications relating to the licensed product. Astellas will have the exclusive right and responsibility to research, develop, and commercialize Astellas products used in combination with Xork and will have control and responsibility over all regulatory filings, including any investigational drug applications, biologics license applications, and marketing authorization applications, relating to Astellas products and Astellas products used in combination with Xork.</w:t>
      </w:r>
    </w:p>
    <w:p>
      <w:pPr>
        <w:spacing w:after="0" w:line="196"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Company determined the Astellas Agreement represents a service arrangement under the scope of ASC 606. The Company determined that the sublicense of Xork to Astellas, the licensed know-how, and the Xork Development Services represent a single promise and performance obligation to be transferred to Astellas over time due to the nature of the promises in the contract. As such, the Company will recognize the transaction price as revenue utilizing the input method to measure the progress of satisfying the single performance obligation to Astellas.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determining the transaction price, the Company concluded the upfront payment of $10.0 million and development cost reimbursements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$5.5 million will be included in the initial transaction price. All other development milestones will be fully constrained and will only be included in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 price when the applicable milestone is deemed probable of achievement. Each of these variable consideration items were evaluated under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most likely amount method to determine whether such amounts were probable of occurrence, or whether such amounts should be constrained until they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become probable. As part of its evaluation of the constraint, the Company considered numerous factors, including that receipt and timing of such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development milestones is outside the control of the Company and probability of success criteria is estimated. The Company will re-evaluate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 price in each reporting period, as uncertain events are resolved, or as other changes in circumstances occur. In accordance with ASC 606,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will only recognize revenue associated with sales-based milestones and royalties when the subsequent sales thresholds are reached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underlying sales occur, respectively. The Company determined that a significant financing component does not exist in its arrangement with Astellas.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also determined the options to negotiate additional fields, enter into a clinical supply agreement, and enter into a commercial supply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do not represent material rights under the Astellas Agreement. Astellas has the right to terminate the Astellas Agreement in its entirety or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field-by-field basis, upon 90 days’ written notice to the Company.</w:t>
      </w:r>
    </w:p>
    <w:p>
      <w:pPr>
        <w:spacing w:after="0" w:line="21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of June 30, 2023, the Company recorded $4.2 million as a short-term contract liability and $4.9 million as a long-term contract liability, representing deferred revenue associated with the Astellas Agreement. As of June 30, 2023, the Company recorded a receivable of $0.3 million, representing billings for the Xork Development Services that are subject to reimbursement by Astellas. Revenue of $0.8 million and $1.4 million related to the Astellas Agreement was recognized during the three and six months ended June 30, 2023, respectively.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Takeda Pharmaceuticals USA, Inc.</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License and Development Agreement</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is entitled to receive up to $1.124 billion in future additional payments over the course of the partnership that are contingent on the achievement of development or commercial milestones or Takeda’s election to continue its activities at specified development stages. The Company is also eligible for tiered royalties on future commercial sales of any licensed products. A more detailed description of the Takeda Agreement and the Company’s evaluation of this agreement under ASC 606 can be found in Note 12 to the consolidated financial statements in our Annual Report on Form 10-K for the year ended December 31, 2022.</w:t>
      </w:r>
    </w:p>
    <w:p>
      <w:pPr>
        <w:spacing w:after="0" w:line="178"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three months ended June 30, 2023.</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April 2023, the Company was notified by Takeda of its intention to terminate the Takeda Agreement effective July 25, 2023.</w:t>
      </w:r>
    </w:p>
    <w:p>
      <w:pPr>
        <w:spacing w:after="0" w:line="225"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As of June 30, 2023 and December 31, 2022, the Company recorded no short-term contract liability and $0.1 million as a short-term contract liability, respectively, representing deferred revenue associated with the Takeda Agreement. Revenue of $0.1 million and $0.6 million related to the Takeda Agreement was recognized during the three and six months ended June 30, 2023, respectively. No revenue was recognized during the three months ended June 30, 2022, and revenue of $1.0 million related to the Takeda Agreement was recognized during the six months ended June 30, 2022.</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Swedish Orphan Biovitrum AB (publ.)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License and Development Agreement</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 June 2020, the Company and Sobi entered into a License and Development Agreement, or the Sobi License. Pursuant to the Sobi License, the Company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pegadricase,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12 to the consolidated financial statements in our Annual Report on Form 10-K for the year ended December 31, 2022.</w:t>
      </w:r>
    </w:p>
    <w:p>
      <w:pPr>
        <w:spacing w:after="0" w:line="166"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As of June 30, 2023 and December 31, 2022, the Company recorded a total outstanding receivable of $5.1 million and $5.0 million, respectively, representing billings for the Phase 3 DISSOLVE program that are subject to reimbursement by Sobi. Additionally, as of June 30, 2023 and</w:t>
      </w:r>
    </w:p>
    <w:p>
      <w:pPr>
        <w:ind w:left="120"/>
        <w:spacing w:after="0" w:line="253" w:lineRule="auto"/>
        <w:rPr>
          <w:sz w:val="20"/>
          <w:szCs w:val="20"/>
          <w:color w:val="auto"/>
        </w:rPr>
      </w:pPr>
      <w:r>
        <w:rPr>
          <w:rFonts w:ascii="Arial" w:cs="Arial" w:eastAsia="Arial" w:hAnsi="Arial"/>
          <w:sz w:val="18"/>
          <w:szCs w:val="18"/>
          <w:color w:val="auto"/>
        </w:rPr>
        <w:t>December 31, 2022, the Company recorded a total unbilled receivable of $1.1 million and $3.2 million, respectively, representing revenue earned but not yet billed for the Phase 3 DISSOLVE program. Revenue of $4.3 million and $8.7 million related to the Sobi License was recognized during the three and six months ended June 30, 2023, respectively. Revenue of $29.2 million and $52.9 million related to the Sobi License was recognized during the three and six months ended June 30, 2022, respectively.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Sarepta Therapeutics, Inc.</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License and Option Agreement</w:t>
      </w:r>
    </w:p>
    <w:p>
      <w:pPr>
        <w:spacing w:after="0" w:line="11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agreed to supply ImmTOR to Sarepta for clinical supply on a cost-plus basis under the Sarepta Agreement. A more detailed description of the Sarepta Agreement and the Company’s evaluation of this agreement under ASC 606 can be found in Note 12 to the consolidated financial statements in our Annual Report on Form 10-K for the year ended December 31, 2022.</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March 13, 2023, the Company was notified by Sarepta that Sarepta would not be exercising its exclusive option under the Sarepta Agreement. Therefore, the remaining deferred revenue balance as of December 31, 2022 of $0.5 million was recognized as revenue during the six months ended June 30, 2023. No revenue was recognized during the three months ended June 30, 2023. Revenue of $10.1 million and $10.2 million was recognized during the three and six months ended June 30, 2022,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Spark Therapeutics, Inc.</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Spark License Agreement</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January 18, 2022, both parties agreed to mutually terminate the Spark License Agreement. Therefore, the short-term contract liability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$9.2 million as of December 31, 2021 was recognized as revenue during the six months ended June 30, 2022. No revenue was recognized during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three months ended June 30, 2022.</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 As of June 30, 2023, the aggregate amount of the transaction price allocated to remaining performance obligations was $9.1 million.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changes in the Company’s contract liabilities during the six months ended June 30, 2023 (in thousands):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 at</w:t>
            </w:r>
          </w:p>
        </w:tc>
        <w:tc>
          <w:tcPr>
            <w:tcW w:w="58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beginning of period</w:t>
            </w:r>
          </w:p>
        </w:tc>
        <w:tc>
          <w:tcPr>
            <w:tcW w:w="5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2023</w:t>
            </w: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1780" w:type="dxa"/>
            <w:vAlign w:val="bottom"/>
            <w:gridSpan w:val="3"/>
            <w:shd w:val="clear" w:color="auto" w:fill="CCEEFF"/>
          </w:tcPr>
          <w:p>
            <w:pPr>
              <w:ind w:lef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w w:val="98"/>
              </w:rPr>
              <w:t>(1,996)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Total contract liabilities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10,500</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(1,996</w:t>
            </w:r>
          </w:p>
        </w:tc>
        <w:tc>
          <w:tcPr>
            <w:tcW w:w="580" w:type="dxa"/>
            <w:vAlign w:val="bottom"/>
          </w:tcPr>
          <w:p>
            <w:pPr>
              <w:jc w:val="right"/>
              <w:ind w:right="4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April 2022 Offering</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During the three and six months ended June 30, 2022, the Company completed the underwritten offering as described in Note 10 to the consolidated financial statements within the Company’s Annual Report on Form 10-K for the year ended December 31, 2022. The following table sets forth the number of shares of common stock and 2022 Warrants purchased in such offering by directors and executive officers, as of the time of such offering, and related parties thereto:</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20" w:type="dxa"/>
            <w:vAlign w:val="bottom"/>
            <w:vMerge w:val="restart"/>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of common</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 Warrants</w:t>
            </w:r>
          </w:p>
        </w:tc>
        <w:tc>
          <w:tcPr>
            <w:tcW w:w="1500" w:type="dxa"/>
            <w:vAlign w:val="bottom"/>
            <w:gridSpan w:val="3"/>
          </w:tcPr>
          <w:p>
            <w:pPr>
              <w:ind w:left="480"/>
              <w:spacing w:after="0"/>
              <w:rPr>
                <w:sz w:val="20"/>
                <w:szCs w:val="20"/>
                <w:color w:val="auto"/>
              </w:rPr>
            </w:pPr>
            <w:r>
              <w:rPr>
                <w:rFonts w:ascii="Arial" w:cs="Arial" w:eastAsia="Arial" w:hAnsi="Arial"/>
                <w:sz w:val="14"/>
                <w:szCs w:val="14"/>
                <w:b w:val="1"/>
                <w:bCs w:val="1"/>
                <w:color w:val="auto"/>
                <w:w w:val="95"/>
              </w:rPr>
              <w:t>Total aggregate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3"/>
              </w:rPr>
              <w:t>stock purchased</w:t>
            </w:r>
          </w:p>
        </w:tc>
        <w:tc>
          <w:tcPr>
            <w:tcW w:w="480" w:type="dxa"/>
            <w:vAlign w:val="bottom"/>
          </w:tcPr>
          <w:p>
            <w:pPr>
              <w:spacing w:after="0"/>
              <w:rPr>
                <w:sz w:val="15"/>
                <w:szCs w:val="15"/>
                <w:color w:val="auto"/>
              </w:rPr>
            </w:pPr>
          </w:p>
        </w:tc>
        <w:tc>
          <w:tcPr>
            <w:tcW w:w="900" w:type="dxa"/>
            <w:vAlign w:val="bottom"/>
          </w:tcPr>
          <w:p>
            <w:pPr>
              <w:jc w:val="right"/>
              <w:ind w:right="59"/>
              <w:spacing w:after="0" w:line="158" w:lineRule="exact"/>
              <w:rPr>
                <w:sz w:val="20"/>
                <w:szCs w:val="20"/>
                <w:color w:val="auto"/>
              </w:rPr>
            </w:pPr>
            <w:r>
              <w:rPr>
                <w:rFonts w:ascii="Arial" w:cs="Arial" w:eastAsia="Arial" w:hAnsi="Arial"/>
                <w:sz w:val="14"/>
                <w:szCs w:val="14"/>
                <w:b w:val="1"/>
                <w:bCs w:val="1"/>
                <w:color w:val="auto"/>
              </w:rPr>
              <w:t>purchased</w:t>
            </w:r>
          </w:p>
        </w:tc>
        <w:tc>
          <w:tcPr>
            <w:tcW w:w="480" w:type="dxa"/>
            <w:vAlign w:val="bottom"/>
          </w:tcPr>
          <w:p>
            <w:pPr>
              <w:spacing w:after="0"/>
              <w:rPr>
                <w:sz w:val="15"/>
                <w:szCs w:val="15"/>
                <w:color w:val="auto"/>
              </w:rPr>
            </w:pPr>
          </w:p>
        </w:tc>
        <w:tc>
          <w:tcPr>
            <w:tcW w:w="10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8"/>
              </w:rPr>
              <w:t>purchase price</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TAS Partners, LLC (affiliate of Timothy A. Springer, Ph.D.)</w:t>
            </w:r>
          </w:p>
        </w:tc>
        <w:tc>
          <w:tcPr>
            <w:tcW w:w="4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6,681,600</w:t>
            </w:r>
          </w:p>
        </w:tc>
        <w:tc>
          <w:tcPr>
            <w:tcW w:w="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5,011,200</w:t>
            </w:r>
          </w:p>
        </w:tc>
        <w:tc>
          <w:tcPr>
            <w:tcW w:w="4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  9,421,056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three and six months ended June 30, 2023, there were no related party transactions.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7720" w:hanging="4"/>
        <w:spacing w:after="0" w:line="425" w:lineRule="auto"/>
        <w:tabs>
          <w:tab w:leader="none" w:pos="39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and License Agreements Ginkgo Bioworks Holdings, Inc.</w:t>
      </w:r>
    </w:p>
    <w:p>
      <w:pPr>
        <w:ind w:left="560"/>
        <w:spacing w:after="0"/>
        <w:rPr>
          <w:sz w:val="20"/>
          <w:szCs w:val="20"/>
          <w:color w:val="auto"/>
        </w:rPr>
      </w:pPr>
      <w:r>
        <w:rPr>
          <w:rFonts w:ascii="Arial" w:cs="Arial" w:eastAsia="Arial" w:hAnsi="Arial"/>
          <w:sz w:val="18"/>
          <w:szCs w:val="18"/>
          <w:i w:val="1"/>
          <w:iCs w:val="1"/>
          <w:color w:val="auto"/>
        </w:rPr>
        <w:t>Collaboration and License Agreements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January 3, 2022, the Company entered into a Collaboration and License Agreement, or the Second Ginkgo Agreement, with Ginkgo Bioworks Holdings, Inc., or Ginkgo. Under this agreement, the Company will engage with Ginkgo to develop adeno-associated virus, or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16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October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research and development fees, clinical and commercial milestone payments of up to $85.0 million in cash, as well as certain milestone payments for fixed fair values in the form of shares of the Company’s common stock.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17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June 13, 2022, the Company was notified of the achievement of the midpoint of the technical development plan under the First Ginkgo Agreement by Ginkgo. This milestone resulted in the payment of $0.5 million and issuance of 892,857 shares of the Company’s common stock then-valued at $1.0 million to Ginkgo during the year ended December 31, 2022.</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July 19, 2023, the Company and Ginkgo mutually agreed that the completion of the technical development plan’s midpoint task under the Second Ginkgo Agreement had been achieved as of June 30, 2023. This milestone resulted in the accrual of $2.5 million as of June 30, 2023 expected to be settled through a payment of $1.0 million and future issuance of 1,339,285 shares of the Company’s common stock then-valued at $1.5 million to Ginkgo.</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Genovis AB (publ.)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License Agreement</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October 2021, the Company entered into an Exclusive License Agreement, or the Genovis Agreement, with Genovis AB (publ.), or Genovis. Under the Genovis Agreement, the Company paid to Genovis an upfront payment in exchange for an exclusive license to Genovis’ IgG Protease, or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February 2023, the Company made a $4.0 million payment to Genovis as a result of the sublicense of Xork to Astellas. See Note 12 to these unaudited consolidated financial statements for further discussion on the Astellas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Cyrus Biotechnology, Inc.</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Collaboration and License Agreement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September 2021, the Company and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is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is obligated to pay certain discovery, development, and sales-based milestones which could total up to approximately $1.5 billion across multiple programs. The Cyrus Agreement was assessed for collaboration components and was determined not to be within the scope of ASC 808 as the risk and rewards are not shared by both parties. The Company will expense costs related to the Cyrus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Cyrus tiered royalties ranging from mid-single digit to low-double digit percentages of annual net sales of collaboration products which will be expensed as the commercial sales occur.</w:t>
      </w:r>
    </w:p>
    <w:p>
      <w:pPr>
        <w:spacing w:after="0" w:line="17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June 13, 2022, the Company and Cyrus mutually agreed that the preclinical key in-vitro success milestone had been achieved.</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June 30, 2023, no impairment indicators are present and therefore the carrying value of the investment in Cyrus is $2.0 million on the accompanying consolidated balance sheet.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Asklepios Biopharmaceutical, Inc.</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MMA to mitigate the formation of neutralizing anti-AAV capsid antibodies, or the POC Studies. On April 29, 2021, the Company was notified by AskBio that AskBio intended to opt-out of development of the MMA indication. The AskBio Collaboration Agreement otherwise remains in effect. Consequently, the Company has assumed all rights to the MMA program. The Company filed an investigational new drug application, or IND, to conduct a Phase 1/2 clinical trial of its SEL-302 product candidate in pediatric patients with MMA in the third quarter of 2021. In December 2022, the Company initiated ReiMMAgine, the Phase 1/2 clinical trial of SEL-302, however, the Company has since paused further development of SEL-302 for the treatment of MMA.</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SEL-399 program combined an empty AAV capsid (EMC-101), which is an AAV capsid containing no transgene, with ImmTOR and is being conducted in partnership with AskBio. Building on the preclinical data the Company has generated showing ImmTOR’s effect on mitigating or reducing the formation of neutralizing antibodies to AAV gene therapies, the Company completed a clinical trial of SEL-399 in healthy adult volunteers in Belgium. The goal of the SEL-399 clinical trial was to demonstrate the appropriate dose of ImmTOR in humans to mitigate the formation of antibodies to AAV capsids used in gene therapies. The Company believes this promising study in healthy volunteers provides support for the potential use of ImmTOR for the inhibition of neutralizing antibodies to AAV8 in gene therapy clinical trials.</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and AskBio will share responsibility for the research, development and commercialization of products developed under the SEL-399 program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192" w:lineRule="exact"/>
        <w:rPr>
          <w:sz w:val="20"/>
          <w:szCs w:val="20"/>
          <w:color w:val="auto"/>
        </w:rPr>
      </w:pPr>
    </w:p>
    <w:p>
      <w:pPr>
        <w:ind w:left="120" w:right="160" w:firstLine="440"/>
        <w:spacing w:after="0" w:line="283" w:lineRule="auto"/>
        <w:rPr>
          <w:sz w:val="20"/>
          <w:szCs w:val="20"/>
          <w:color w:val="auto"/>
        </w:rPr>
      </w:pPr>
      <w:r>
        <w:rPr>
          <w:rFonts w:ascii="Arial" w:cs="Arial" w:eastAsia="Arial" w:hAnsi="Arial"/>
          <w:sz w:val="16"/>
          <w:szCs w:val="16"/>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has identified the following promises in the arrangement (1) conducting research and development activities to develop and commercialize products under the collaboration, or the R&amp;D Services, (2) granting a non-exclusive, non-transferable, royalty-free, fully paid up, worldwide license to certain intellectual property of the Company, or the IP Rights, for the purpose of performing the POC Studies, or the Research License, (3) granting an exclusive, 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w:t>
      </w:r>
    </w:p>
    <w:p>
      <w:pPr>
        <w:spacing w:after="0" w:line="5" w:lineRule="exact"/>
        <w:rPr>
          <w:sz w:val="20"/>
          <w:szCs w:val="20"/>
          <w:color w:val="auto"/>
        </w:rPr>
      </w:pPr>
    </w:p>
    <w:p>
      <w:pPr>
        <w:ind w:left="120" w:right="40" w:hanging="4"/>
        <w:spacing w:after="0" w:line="290" w:lineRule="auto"/>
        <w:tabs>
          <w:tab w:leader="none" w:pos="37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through (5) identified above were combined into a single performance obligation. Furthermore, the Company evaluated the related option agreement and determined that it does not provide AskBio with a material right under ASC 606 as the option was not priced at a discount.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 In accordance with ASC 808, collaboration expenses are recognized within research and development expense and selling, general and administrative expense on the Company’s condensed consolidated statements of operations and comprehensive income (loss).</w:t>
      </w:r>
    </w:p>
    <w:p>
      <w:pPr>
        <w:spacing w:after="0" w:line="16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Under certain collaborative arrangements, the Company is entitled to reimbursement of certain research and development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research and development expense.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During the three and six months ended June 30, 2023, the Company recognized less than $0.1 million and $0.1 million, respectively, of collaboration expense under the AskBio Collaboration Agreement in which actual costs incurred by both parties approximate a 50% cost share. During the three and six months ended June 30, 2022, the Company recognized $0.2 million and $0.6 million, respectively, of collaboration expense under the AskBio Collaboration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121"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June 2020, the Company entered into a Fifth Amendment, or the MIT Amendment, to the MIT License, which is effective as of May 15, 2020. Pursuant to the MIT Amendment, certain of the Company’s diligence obligations were extended. The extension included the obligation to commence a Phase 3 trial for a licensed product by the second quarter of 2021 or to file an IND (or equivalent) with the FDA or comparable European regulatory agency for a licensed product by the second quarter of 2023. Additionally, certain of the Company’s development and regulatory milestones and payments upon achievement of such milestones were adjusted.</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As of June 30, 2023, and in connection with the execution of the Spark License Agreement, the Company has made contractual payments pursuant to the MIT License totaling $2.2 million. In connection with the Spark Purchase Agreement and the calculated premium paid by Spark for the equity investments made as described in Note 12 to the consolidated financial statements within the Company’s Annual Report on Form 10-K for the year ended December 31, 2022, the Company has made additional contractual payments pursuant to the MIT License which totaled $0.4 million as of June 30, 2023. The Company made no additional payments during the three and six months ended June 30, 2023.</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June 30, 2023.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170"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Effective for tax years beginning on or after January 1, 2022, research and experimental expenditures under IRC Section 174 must be capitalized over five years when performed in the U.S. and 15 years for research and experimental expenditures performed outside of the U.S. As of June 30, 2023, the Company has performed a high-level analysis of the impact of this legislation enactment and determined the projected taxable loss position for 2023 does not result in income tax due. As of December 31, 2022, the Company has $62.4 million of federal net operating losses available, subject to an 80% limitation. The Company also has $2.3 million of federal tax credits, subject to a 75% limitation. The Company maintains its full valuation allowance.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86" w:right="5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2021, the Company completed both a Section 382 and research and development tax credit study through December 31, 2020. The Company generated research credits for the years ended December 31, 2022 and 2021, but has not conducted a formal study to document its qualified activities.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The Company files income tax returns in the United States and Massachusetts. There are currently no federal, state or foreign audits in progress.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Defined Contribution Plan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Commencing in January 2022, all matching contributions vest ratably over two years and participant contributions vest immediately. Contributions by the Company totaled $0.1 million during each of the three months ended June 30, 2023 and 2022, and $0.2 million during each of the six months ended June 30, 2023 and 2022.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June 30, 2023, the Company was not a party to any litigation that could have a material adverse effect on the Company’s business, financial position, results of operations or cash flows.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permitted under Delaware law, the Company has agreed to indemnify its directors and officers for certain events or occurrences while the director or officer is, or was, serving at the Company’s request in such capacity. The term of the indemnification is for the director’s or officer’s lifetime. The maximum potential amount of future payments the Company could be required to make is unlimited; however, the Company has directors’ and officers’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18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Company has evaluated subsequent events through the date on which the consolidated financial statements were issued. The Company has concluded that no subsequent events have occurred that require disclosure, except as disclosed within these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2022, which we filed with the SEC on March 2, 2023. In addition, you should read the “Risk Factors” and “Information Regarding Forward-Looking Statements” sections of this Quarterly Report and our Annual Report on Form 10-K for the year ended December 31, 2022 for a discussion of important factors that could cause actual results to differ materially from the results described in or implied by the forward-looking statements contained in the following discussion and analysis.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6"/>
          <w:szCs w:val="16"/>
          <w:color w:val="auto"/>
        </w:rPr>
        <w:t>We are a clinical-stage biotechnology company leveraging our ImmTOR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platform to develop tolerogenic therapies designed to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We have several proprietary and partnered programs in our pipeline focused on enzyme therapies, gene therapies, and autoimmune diseases.</w:t>
      </w:r>
    </w:p>
    <w:p>
      <w:pPr>
        <w:spacing w:after="0" w:line="18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April 2023, in light of current market conditions, our Board of Directors, or the Board, took steps to extend cash runway by pausing further development of SEL-302 for the treatment of methylmalonic acidemia, or MMA, and conducting a targeted headcount reduction of approximately 25%. On August 17, 2023, we announced additional steps to extend cash runway and maximize value for stockholders by continuing to prioritize development of SEL-212 and support of our collaboration with Astellas Gene Therapies, or Astellas, for Xork, and pausing further development of all of our other clinical and preclinical product candidates that we are no longer actively advancing. We intend to seek collaboration partners for the assets in the development programs that we are no longer actively advancing.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ImmTOR platform has a broad range of potential applications. Our product development strategy has historically been built on the following three distinct pillars.</w:t>
      </w:r>
    </w:p>
    <w:p>
      <w:pPr>
        <w:spacing w:after="0" w:line="170"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b w:val="1"/>
          <w:bCs w:val="1"/>
          <w:i w:val="1"/>
          <w:iCs w:val="1"/>
          <w:color w:val="auto"/>
        </w:rPr>
        <w:t>Biologic therapies</w:t>
      </w:r>
      <w:r>
        <w:rPr>
          <w:rFonts w:ascii="Arial" w:cs="Arial" w:eastAsia="Arial" w:hAnsi="Arial"/>
          <w:sz w:val="16"/>
          <w:szCs w:val="16"/>
          <w:color w:val="auto"/>
        </w:rPr>
        <w:t>. Biologic therapies are a class of biologic drugs frequently used to treat rare diseases. Through our analysis of biologic drugs,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in our preclinical studies, we have observed that enzymes foreign to the human body, such as enzymes derived from microbes or replacement enzymes in the case of patients that are deficient in the specific enzyme, are especially prone to causing undesired immune responses. Our partnered product candidate, SEL-212, which announced positive topline results from the Phase 3 DISSOLVE I and DISSOLVE II clinical trials in March 2023, consists of ImmTOR co-administered with pegadricase, a pegylated uricase enzyme of fungal origin. This is an example of an immunogenic enzyme that we are combining with ImmTOR with the intention of improving the enzyme’s efficacy and safety. We believe that ImmTOR has the potential to enable and expand the use of enzymes derived from microbial sources, such as bacterial immunoglobulin A, or IgA, protease for the treatment of IgA nephropathy and bacterial immunoglobulin G, or IgG, protease, called Xork, for the treatment of IgG-mediated autoimmune disease flares.</w:t>
      </w:r>
    </w:p>
    <w:p>
      <w:pPr>
        <w:spacing w:after="0" w:line="16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b w:val="1"/>
          <w:bCs w:val="1"/>
          <w:i w:val="1"/>
          <w:iCs w:val="1"/>
          <w:color w:val="auto"/>
        </w:rPr>
        <w:t>Gene therapies</w:t>
      </w:r>
      <w:r>
        <w:rPr>
          <w:rFonts w:ascii="Arial" w:cs="Arial" w:eastAsia="Arial" w:hAnsi="Arial"/>
          <w:sz w:val="18"/>
          <w:szCs w:val="18"/>
          <w:color w:val="auto"/>
        </w:rPr>
        <w:t>. We believe gene therapies have the potential to address key unmet medical needs for many rare genetic diseases, but undesired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immune responses to the viral vectors used for gene replacement, augmentation and editing may be restricting their broader use. AAV immunogenicity and AAV toxicity represent two major challenges for the gene therapy field; in many cases these two issues are inextricably linked. Immunogenicity of AAV vectors is thought to cause or exacerbate many of the adverse events associated with AAV gene therapy. Induction of acute inflammation and capsid-specific CD8 T cells by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AAV gene therapy is thought to contribute to observations of hepatotoxicity, which has been associated with loss of transgene expression. The formation of neutralizing antibodies against AAV after initial treatment with AAV mediated gene therapies effectively prevents the possibility of re-dosing in patients who may benefit from additional doses due to either the failure to achieve therapeutic benefit or loss of transgene expression over time. Additionally, a significant number of patients who would benefit from treatment by gene therapies are ineligible due to pre-existing immunity to the AAV vectors from a natural infection. This preexisting immunity could potentially be addressed through an IgG protease pre-treatment to open a dosing window for AAV gene therapies. We believe that the combination of ImmTOR and Xork could simultaneously address the two key issues facing the AAV gene therapy modality and make them more accessible while also making them safer and more durable.</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Tolerogenic Therapies for Autoimmune Disease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Autoimmune diseases are caused by a breakdown in natural tolerance to our own self-antigens.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over 24 million Americans afflicted with autoimmune diseases, there is a large unmet medical need. As the ImmTOR platform is designed to induce or expand antigen specific T regulatory cells, we believe the ImmTOR platform has the potential to treat autoimmune diseases by restoring self-tolerance to auto-antigens.</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our preclinical studies, we observed that ImmTOR combined with a Treg-selective IL-2 molecule exhibited substantial synergistic activity in increasing the percentage and durability of total Treg expansion in the spleen. We believe that this combination has the potential to be a best-in-class therapy in diseases where expansion of total Treg may prove beneficial. This antigen specificity differentiates ImmTOR-IL from other IL-2 molecule approaches which do not show an antigen specific T-cell expansion. Thus, we believe that not only is ImmTOR-IL a potentially best in class IL-2 where generalized T cell expansion can be beneficial, but also a “first in class” antigen specific IL-2 therapy.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Biologic Therapies – Chronic Refractory Gout</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SEL-212 consists of ImmTOR co-administered with pegadricase. Our pegadricase consists of a yeast-derived uricase modified with polyethylene glycol moieties. Uricase is an enzyme endogenous to all mammals, except for humans and certain primates, which converts serum urate to the more soluble metabolite, allantoin. There is a natural limit to the amount of serum urate that can be excreted by the kidneys, which decreases with age and can be reduced by some medications. By converting serum urate to allantoin, uricase provides an additional way for the body to reduce serum urate.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21, 2023, we announced top-line data from the Phase 3 DISSOLVE I and II trials. Top-line results include:</w:t>
      </w:r>
    </w:p>
    <w:p>
      <w:pPr>
        <w:spacing w:after="0" w:line="131" w:lineRule="exact"/>
        <w:rPr>
          <w:sz w:val="20"/>
          <w:szCs w:val="20"/>
          <w:color w:val="auto"/>
        </w:rPr>
      </w:pPr>
    </w:p>
    <w:p>
      <w:pPr>
        <w:ind w:left="1080" w:right="80" w:hanging="424"/>
        <w:spacing w:after="0" w:line="275"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month six, 56% and 48% of DISSOLVE I patients randomized to receive SEL-212 at the high dose of 0.15 mg/kg of ImmTOR (p&lt;0.0001) and the low dose of 0.1 mg/kg of ImmTOR (p&lt;0.0001), respectively, reached the primary endpoint of serum urate (SU) levels &lt; 6 mg/dL for 80% of the time in month six, compared to 4% of patients randomized to receive placebo. During month six, 47% and 41% of DISSOLVE II patients randomized to receive SEL-212 at the high dose (p=0.0002) and the low dose (p=0.0015) of ImmTOR, respectively, reached the primary endpoint, compared to 12% of patients randomized to receive placebo.</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86"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30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65% and 47% of DISSOLVE I patients 50 years and older randomized to receive SEL-212 at the high dose (p&lt;0.0001) and the low dose (p&lt;0.0001) of ImmTOR, respectively, reached the primary endpoint, compared to 5% of patients randomized to receive placebo; 48% and 45% of DISSOLVE II patients 50 years and older randomized to receive SEL-212 the high dose (p=0.0017) and the low dose (p=0.0044) of ImmTOR, respectively, reached the primary endpoint, compared to 14% of patients randomized to receive placebo.</w:t>
      </w:r>
    </w:p>
    <w:p>
      <w:pPr>
        <w:spacing w:after="0" w:line="62"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DISSOLVE I, a significant and clinically meaningful overall reduction of 69% in mean SU levels at month six was observed in patients randomized to receive SEL-212 at the high dose, as compared with placebo.</w:t>
      </w:r>
    </w:p>
    <w:p>
      <w:pPr>
        <w:spacing w:after="0" w:line="75" w:lineRule="exact"/>
        <w:rPr>
          <w:rFonts w:ascii="Arial" w:cs="Arial" w:eastAsia="Arial" w:hAnsi="Arial"/>
          <w:sz w:val="18"/>
          <w:szCs w:val="18"/>
          <w:color w:val="auto"/>
        </w:rPr>
      </w:pPr>
    </w:p>
    <w:p>
      <w:pPr>
        <w:ind w:left="1080" w:right="20" w:hanging="424"/>
        <w:spacing w:after="0" w:line="270"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Adverse events (AEs) identified in the trials were expected, including mild to moderate stomatitis which was observed in 3.4% of the low dose group and 9.2% of the high dose group compared to 0% in placebo across both trials, and a greater number of infusion reactions were observed at 24 hours and 1 hour after drug administration in both treatment groups compared to placebo. Treatment-related serious AEs were observed in six patients, including two cases of anaphylaxis and one gout flare in both the high and low dose treatment groups. Only 4.5% of patients receiving the low dose of SEL-212 and 3.4% at the high dose of SEL-212 had infusion reactions, across both trials, evaluated one hour post-dose. All infusion reactions occurred within the first three infusions, and each occurred during infusions and completely resolved with infusion halt and symptomatic treatment. There was one death in the six-month extension phase of the DISSOLVE I trial, which was caused by a motor vehicle accident unrelated to the study drug. There was no difference in gout flares when both treatment groups were compared to placebo.</w:t>
      </w:r>
    </w:p>
    <w:p>
      <w:pPr>
        <w:spacing w:after="0" w:line="86" w:lineRule="exact"/>
        <w:rPr>
          <w:rFonts w:ascii="Arial" w:cs="Arial" w:eastAsia="Arial" w:hAnsi="Arial"/>
          <w:sz w:val="17"/>
          <w:szCs w:val="17"/>
          <w:color w:val="auto"/>
        </w:rPr>
      </w:pPr>
    </w:p>
    <w:p>
      <w:pPr>
        <w:ind w:left="1080" w:right="72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six-month extension period for the DISSOLVE I trial, 75% of patients who completed six months of SEL-212 treatment as responders were observed to continue to be successfully treated through 12 months with no infusion reactions or safety signals.</w:t>
      </w:r>
    </w:p>
    <w:p>
      <w:pPr>
        <w:spacing w:after="0" w:line="12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July 10, 2023, as required under the Sobi License, we transferred control and ownership of the investigational new drug applications, or INDs, associated with SEL-212 to Sobi.</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peak sales of SEL-212, if approved, could reach over $700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 Therapies – Methylmalonic Acidemia</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lead therapeutic gene therapy program, SEL-302, is intended to use ImmTOR to enhance the treatment of methylmalonic acidemia, or MMA, an inherited disorder in which the body is unable to process certain proteins and fats (lipids) properly. This program was previously being conducted under our collaboration with Asklepios Biopharmaceutical, Inc., or AskBio. In October and November 2020, we received rare pediatric disease designation and orphan drug designation, respectively, from the Food and Drug Administration, or the FDA, for SEL-302, for the treatment of MMA due to methylmalonyl-CoA mutase, or MMUT gene mutations. See “—Licenses and Collaborations — Asklepios Biopharmaceutical, Inc.” for more information. In April 2021, we were notified by AskBio that it intended to opt-out of development of the MMA indication. The feasibility study and license agreement with AskBio, or AskBio Collaboration Agreement, otherwise remains in effect. We filed an IND to conduct a Phase 1/2 clinical trial of our SEL-302 product candidate in pediatric patients with methylmalonic acidemia in the third quarter of 2021. ImmTOR manufacturing, controlled by us, continues to proceed in accordance with our expectations and we have not observed any impact to any of our ImmTOR programs. In December 2022, we initiated ReiMMAgine, the Phase 1/2 clinical trial of SEL-302, however, we have since paused further development of SEL-302 for the treatment of MMA.</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 Therapies – IgG Protease (Xork)</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exclusively licensed Xork, an IgG-specific protease from Genovis AB (publ.), or Genovis, an enzyme technology company. We plan to develop Xork, either alone or in combination with our ImmTOR platform, with the goal of enabling the dosing of transformative gene therapies in patients with pre-existing AAV immunity due to natural exposures to AAV viruses. Currently, significant proportions of the potential patient populations for many gene therapy trials are ineligible for treatment by AAV mediated gene therapies due to pre-existing antibodies which limits transduction efficiency of the therapy and could trigger potentially dangerous immune responses. IgG proteases are derived from bacteria. Xork exhibits low cross-reactivity to antibodies in normal human serum and is differentiated from IgG proteases derived from Streptococcus pyogenes, a common human pathogen.</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86"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January 2023, we entered into an exclusive licensing and development agreement for Xork to be developed for use with AT845, Astellas’ investigational AAV-based treatment for Pompe disease in adults. We are responsible for the early development activities and manufacturing of Xork and will maintain the rights for the development of additional indications beyond Pompe disease. We intend to work to satisfy our remaining contractual obligations in connection with our partnership with Astellas.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Tolerogenic Therapies for Autoimmune Disease – ImmTOR &amp; ImmTOR-IL</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believe our ImmTOR platform shows potential to treat autoimmune diseases. In preclinical studies, we have observed ImmTOR’s ability to induce antigen-specific T regulatory cells. We believe that ImmTOR, in combination with an autoantigen of interest, could create self-tolerance to auto-antigens and thus be a novel approach to the treatment of autoimmune diseases.</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Additionally, in preclinical studies we have observed ImmTOR, in combination with IL-2 molecules, expanding T-regulatory cells beyond IL-2 alone and we intend to pursue a combination of ImmTOR and IL-2, which we refer to as ImmTOR-IL, in diseases for which general T cell expansion has shown a therapeutic benefit. Additionally, we have observed in preclinical studies that the combination of ImmTOR, a Treg-selective IL-2 molecule and an antigen, exhibited substantial synergistic activity in inducing and expanding antigen specific regulatory T cells when ImmTOR and IL-2 is combined with an antigen of interest. We have paused further development of ImmTOR-IL product candidates.</w:t>
      </w:r>
    </w:p>
    <w:p>
      <w:pPr>
        <w:spacing w:after="0" w:line="176"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Cyrus Biotechnology, Inc., or Cyrus, is engineering a proprietary IL-2 protein to combine with the ImmTOR platform to potentially mitigate unwanted immune responses by reducing the inherent immunogenicity of the protein while also promoting immune tolerance. The IL-2 pathway influences critical aspects of both immune stimulation and immune regulation, through the development and expansion of Treg cells. These Treg cells are a specialized subpopulation of T cells involved in suppressing certain immune responses and maintaining the body’s self-tolerance. In preclinical studies investigating the effects of ImmTOR in combination with a Treg-selective IL-2 molecule we have observed a substantial synergistic activity in increasing the percentage and durability of Treg expansion in the spleen.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Licenses and Collaborations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In-licenses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Ginkgo Bioworks Holdings, Inc.</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October 2021, we entered into a Collaboration and License Agreement, or the First Ginkgo Agreement, with Ginkgo Bioworks Holdings, Inc., or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in the form of our common stock, clinical and commercial milestone payments of up to $85 million in cash, as well as downstream value in the form of royalties on sales.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January 2022, we entered into a Collaboration and License Agreement, or the Second Ginkgo Agreement, with Ginkgo. Under the Second Ginkgo Agreement, we and Ginkgo collaborate to design novel AAV capsids with potentially improved transduction, enhanced tissue tropism and reduced immunogenicity. In return, Ginkgo is eligible to earn both upfront research and development fees and milestone payments, including certain milestone payments in the form of our common stock, clinical and commercial milestone payments of up to $207 million in cash for each of a specified number of products which have the potential to total, in the aggregate, up to $1.1 billion. Ginkgo is also entitled to potential further downstream value in the form of royalties on sales.</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June 2022, we were notified of the achievement of the midpoint of the technical development plan under the First Ginkgo Agreement by Ginkgo. In July 2023, we mutually agreed with Ginkgo that the completion of the technical development plan’s midpoint task under the Second Ginkgo Agreement had been achieved as of June 2023.</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86"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Genovis AB (publ.)</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October 2021, we entered into a strategic licensing agreement with Genovis, or the Genovis Agreement. Under the Genovis Agreement, we paid to Genovis an upfront payment in exchange for an exclusive license to Genovis’ Xork enzyme technology for all therapeutic uses in humans, excluding research, preclinical, diagnostic, and other potential non-therapeutic applications of the enzyme. Genovis is eligible to earn development and sales-based milestones and sub-licensing fees, as well as tiered royalties on worldwide sales in the low double digits. Outside of the remaining contractual obligations under our partnership with Astellas, we have paused further development of Xork product candidates.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Cyrus Biotechnology, Inc.</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September 2021, we entered into a Collaboration and License Agreement with Cyrus, or the Cyrus Agreement, pursuant to which Cyrus agreed to grant us an exclusive, worldwide license to certain intellectual property in order to form a protein engineering collaboration combining the ImmTOR platform with Cyrus’ engineered protein therapeutics. We expect that novel engineered protein therapeutic candidates from the partnership will be used to expand our proprietary pipeline and further bolster the ImmTOR platform. In return for the licensed intellectual property, we made an upfront payment and will pay certain discovery, development, and sales-based milestones which could potentially total up to approximately $1.5 billion across multiple programs.</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June 2022, we mutually agreed with Cyrus that the preclinical key in-vitro success milestone had been achieved. We intend to pause further development of product candidates involving Cyrus’ engineered protein therapeutics.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Out-licenses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Astellas Gene Therapies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January 2023, we entered into a License and Development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 million upfront payment and are eligible to receive</w:t>
      </w:r>
    </w:p>
    <w:p>
      <w:pPr>
        <w:spacing w:after="0" w:line="2" w:lineRule="exact"/>
        <w:rPr>
          <w:sz w:val="20"/>
          <w:szCs w:val="20"/>
          <w:color w:val="auto"/>
        </w:rPr>
      </w:pPr>
    </w:p>
    <w:p>
      <w:pPr>
        <w:ind w:left="120" w:right="140"/>
        <w:spacing w:after="0" w:line="323" w:lineRule="auto"/>
        <w:rPr>
          <w:sz w:val="20"/>
          <w:szCs w:val="20"/>
          <w:color w:val="auto"/>
        </w:rPr>
      </w:pPr>
      <w:r>
        <w:rPr>
          <w:rFonts w:ascii="Arial" w:cs="Arial" w:eastAsia="Arial" w:hAnsi="Arial"/>
          <w:sz w:val="16"/>
          <w:szCs w:val="16"/>
          <w:color w:val="auto"/>
        </w:rPr>
        <w:t>$340.0 million for certain additional development and commercial milestones plus royalties on any potential commercial sales where Xork is used as a pre-treatment for AT845. As a result of the sublicense of Xork to Astellas, we made a $4.0 million payment to Genovis in February 2023.</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Takeda Pharmaceuticals USA, Inc.</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October 2021, we entered into a strategic licensing agreement, or the Takeda Agreement, with Takeda Pharmaceuticals USA, Inc., or Takeda. Under the Takeda Agreement, we granted Takeda an exclusive license to our ImmTOR technology initially for two specified disease indications within the field of lysosomal storage disorders. Under the terms of the Takeda Agreement, we received an upfront payment and are entitled to receive up to $1.124 billion in future additional payments over the course of the partnership that are contingent on the achievement of development or commercial milestones or Takeda’s election to continue its activities at specified development stages. We are also eligible for tiered royalties on future commercial sales of any licensed products. In June 2023, we received a payment of $0.5 million for the achievement of a certain non-clinical milestone. In April 2023, we were notified by Takeda of its intention to terminate the Takeda Agreement effective July 25, 2023.</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Swedish Orphan Biovitrum AB (publ.)</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June 2020, we announced that we had entered into a License and Development Agreement, or the Sobi License, with Sobi pursuant to which we agreed to grant Sobi an exclusive, worldwide (except as to Greater China) license to develop, manufacture and commercialize SEL-212, which is currently in development for the treatment of chronic refractory gout. In September 2020, pursuant to the Sobi License, Sobi paid us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 In July 2022, we received $10.0 million for the completion of the enrollment of the DISSOLVE II trial.</w:t>
      </w:r>
    </w:p>
    <w:p>
      <w:pPr>
        <w:spacing w:after="0" w:line="19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Additionally, in 2020, Sobi purchased an aggregate of 5,416,390 shares of our common stock at a purchase price of $4.6156 per share for aggregate gross proceeds of $25 million, which we refer to as the Sobi Private Placement.</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Under the Sobi License, we have operational oversight of the Phase 3 DISSOLVE clinical program of SEL-212 (DISSOLVE I and DISSOLVE II) that commenced in September 2020, at Sobi’s expense. In March 2023, we announced positive topline results from the Phase 3 DISSOLVE I and DISSOLVE II clinical trials.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Sarepta Therapeutics, Inc.</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June 2020, we entered into a research license and option agreement, or the Sarepta Agreement, with Sarepta Therapeutics, Inc., or Sarepta. Pursuant to the Sarepta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had an option term of 24 months during which it was permitted to opt-in to obtain an exclusive license to further develop and commercialize the Sarepta Product to treat at least one Sarepta Indication, with a potential to extend the option term if Sarepta paid an additional fee to us. Sarepta made an upfront payment to us upon signing of the Sarepta Agreement, and we were eligible to receive additional payments under the option term. If Sarepta opted-in to an exclusive license agreement, we could have received option exercise payments per indication and we would have been entitled to significant development and commercial milestone payments and tiered royalties ranging from the mid-to-high single digits based on net sales.</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June 2021, we received a payment of $3.0 million for the achievement of certain preclinical milestones. In August 2022, we received a payment of $2.0 million in exchange for a nine-month extension to Sarepta’s options to both Sarepta Indications and a payment of $4.0 million for the achievement of certain non-clinical milestones. In March 2023, we were notified by Sarepta that Sarepta would not be exercising its exclusive option under the Sarepta Agreement.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Asklepios Biopharmaceutical, Inc.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In August 2019, we entered into the AskBio Collaboration Agreement. The initial product candidate being developed under this collaboration is gene therapy for MMA, which is a disease that can cause severe developmental defects and premature death as a result of an accumulation of toxic metabolites. We previously conducted preclinical studies for this product candidate and will leverage that previous work within the collaboration. In April 2021, we were notified by AskBio that it intended to opt-out of development of the MMA indication. The AskBio Collaboration Agreement otherwise remains in effect, although we have paused further development of SEL-302 for the treatment of MMA.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Global Events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We continue to closely monitor how the COVID-19 pandemic is affecting our employees, business, preclinical studies and clinical trials. Disruptions caused by the COVID-19 pandemic may result in difficulties or delays in initiating, enrolling, conducting or completing our planned and ongoing clinical trials, and the incurrence of unforeseen costs as a result of supply chain, preclinical study or clinical trial delays.</w:t>
      </w:r>
    </w:p>
    <w:p>
      <w:pPr>
        <w:spacing w:after="0" w:line="16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While the COVID-19 pandemic has not had a material impact on our clinical programs as of the date of this Quarterly Report, it could have an impact on our ability to commence and conduct preclinical studies and clinical trials of our IgA nephropathy, gene therapy, and autoimmune disease programs, and our ability to obtain supply of both active drug substances and finished drug product as well as efficient execution of the overall supply chain for SEL-212 and our other programs.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this time, any impact of COVID-19 on our business, revenues, results of operations and financial condition will largely depend on future developments, which are highly uncertain and cannot be predicted with confidence, such as the duration of the pandemic, the emergence of new virus variants, travel restrictions and social distancing in the United States and other countries, business closures, disruptions, mandated stay at home orders or lockdowns, supply chain disruptions, the ultimate impact on financial markets and the global economy, and the effectiveness of actions taken in the United States and other countries to contain and treat the disease.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To date, we have financed our operations primarily through public offerings and private placements of our securities, funding received from research grants, collaboration and license arrangements and our credit facility. We do not have any products approved for sale and have not generated any product sales.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Except for the year ended December 31, 2022, we have incurred significant operating losses since our inception. We incurred a net loss of $33.1 million and had net income of $37.4 million for the six months ended June 30, 2023 and 2022, respectively. As of June 30, 2023, we had an accumulated deficit of $428.0 million.</w:t>
      </w:r>
    </w:p>
    <w:p>
      <w:pPr>
        <w:spacing w:after="0" w:line="184"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April 2023, in light of current market conditions, our Board took steps to extend cash runway by pausing further development of SEL-302 for the treatment of MMA and conducting a targeted headcount reduction of approximately 25%. On August 17, 2023, we announced additional steps to extend cash runway and maximize value for stockholders by continuing to prioritize development of SEL-212 and support of our collaboration with Astellas for Xork, and pausing further development of all of our other clinical and preclinical product candidates that we are no longer actively advancing. We intend to seek collaboration partners for the assets in the development programs that we are no longer actively advancing. We expect to continue to incur significant expenses and operating losses for the foreseeable future as we:</w:t>
      </w:r>
    </w:p>
    <w:p>
      <w:pPr>
        <w:spacing w:after="0" w:line="83"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continue to support the development of SEL-212 and satisfy our contractual obligations under our collaboration with Astellas for Xork;</w:t>
      </w:r>
    </w:p>
    <w:p>
      <w:pPr>
        <w:spacing w:after="0" w:line="142"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assess ways to maximize value and support further development of our product candidates, other than SEL-212 and Xork, through potential partnerships;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believe that following the capital efficiencies expected to be realized through our strategic reprioritization, our existing cash, cash equivalents, and restricted cash as of June 30, 2023, combined with the next anticipated milestone payment related to SEL-212 development activities, will enable us to fund our operating expenses and capital expenditure requirements into 2027. We have based this estimate on assumptions that may prove to be wrong, and we could use our capital resources sooner than we currently expect.</w:t>
      </w:r>
    </w:p>
    <w:p>
      <w:pPr>
        <w:spacing w:after="0" w:line="18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and license revenue</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 of the agreements underlying our collaboration and license revenue, see Note 12 to our consolidated financial statements included elsewhere in this Quarterly Report.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research and development expenses consist of external research and development costs, which we track on a program-by-program basis and primarily include contract manufacturing organization related costs and fees paid to contract research organizations,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17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June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unaudited consolidated financial statements included elsewhere in this Quarterly Report. The reimbursable costs exclude any costs of additional development activities required that are related to ImmTOR and that are unrelated to SEL-212.</w:t>
      </w:r>
    </w:p>
    <w:p>
      <w:pPr>
        <w:spacing w:after="0" w:line="17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January 2023, we and Astellas entered into the Astellas Agreement. Pursuant to the Astellas Agreement, Astellas will reimburse us for 25% of all budgeted costs incurred to complete the development of Xork for use in Pompe disease with an Astellas gene therapy investigational or authorized product. These costs, when reimbursed, will be recognized as revenue consistent with the revenue recognition methodology disclosed in Note 12 to our unaudited consolidated financial statements included elsewhere in this Quarterly Report.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 income consists primarily of interest income earned on our cash, cash equivalents and marketable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Other income, net consists primarily of sublease income during the three and six months ended June 30, 2023 and was de minimis during the three and six months ended June 30,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each of June 30, 2023 and December 31, 2022, we maintained cash of $0.2 million in Russian banks accounts in denominations of both Russian rubles and U.S. dollars. The amounts denominated in U.S. dollars and used in transacting the day-to-day operations of our Russian subsidiary are subject to transaction gains and losses, which are reported as incurred.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and license revenue</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following is a comparison of collaboration and license revenue for the three months ended June 30, 2023 and 2022 (in thousands, except percentages):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vMerge w:val="restart"/>
          </w:tcPr>
          <w:p>
            <w:pPr>
              <w:jc w:val="center"/>
              <w:ind w:left="182"/>
              <w:spacing w:after="0"/>
              <w:rPr>
                <w:sz w:val="20"/>
                <w:szCs w:val="20"/>
                <w:color w:val="auto"/>
              </w:rPr>
            </w:pPr>
            <w:r>
              <w:rPr>
                <w:rFonts w:ascii="Arial" w:cs="Arial" w:eastAsia="Arial" w:hAnsi="Arial"/>
                <w:sz w:val="14"/>
                <w:szCs w:val="14"/>
                <w:b w:val="1"/>
                <w:bCs w:val="1"/>
                <w:color w:val="auto"/>
                <w:w w:val="91"/>
              </w:rPr>
              <w:t>Increase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1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ind w:left="202"/>
              <w:spacing w:after="0" w:line="142" w:lineRule="exact"/>
              <w:rPr>
                <w:sz w:val="20"/>
                <w:szCs w:val="20"/>
                <w:color w:val="auto"/>
              </w:rPr>
            </w:pPr>
            <w:r>
              <w:rPr>
                <w:rFonts w:ascii="Arial" w:cs="Arial" w:eastAsia="Arial" w:hAnsi="Arial"/>
                <w:sz w:val="14"/>
                <w:szCs w:val="14"/>
                <w:b w:val="1"/>
                <w:bCs w:val="1"/>
                <w:color w:val="auto"/>
                <w:w w:val="88"/>
              </w:rPr>
              <w:t>(decrease)</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$5,249</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$39,273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90"/>
              </w:rPr>
              <w:t>$(34,024)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(87)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During the three months ended June 30, 2023, collaboration and license revenue was $5.2 million, compared to $39.3 million in 2022. During the three months ended June 30, 2023 and 2022, we recognized $4.3 million and $29.2 million, respectively, under the license agreement with Sobi resulting from the shipment of clinical supply and the reimbursement of costs incurred for the Phase 3 DISSOLVE clinical program. Additionally, during the three months ended June 30, 2023, $0.8 million was recognized under the Astellas Agreement and $0.1 million was recognized under the Takeda Agreement. During the three months ended June 30, 2022, $10.1 million was recognized under the Sarepta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June 30, 2023 and 2022 (in thousands, except percentages):</w:t>
      </w:r>
    </w:p>
    <w:p>
      <w:pPr>
        <w:spacing w:after="0" w:line="189"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980"/>
        <w:spacing w:after="0"/>
        <w:tabs>
          <w:tab w:leader="none" w:pos="96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-3175</wp:posOffset>
            </wp:positionV>
            <wp:extent cx="9683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ind w:left="7620"/>
        <w:spacing w:after="0"/>
        <w:tabs>
          <w:tab w:leader="none" w:pos="8540" w:val="left"/>
          <w:tab w:leader="none" w:pos="95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2"/>
          <w:szCs w:val="12"/>
          <w:b w:val="1"/>
          <w:bCs w:val="1"/>
          <w:color w:val="auto"/>
        </w:rPr>
        <w:t>(decrease)</w:t>
      </w:r>
    </w:p>
    <w:p>
      <w:pPr>
        <w:spacing w:after="0" w:line="21" w:lineRule="exact"/>
        <w:rPr>
          <w:sz w:val="20"/>
          <w:szCs w:val="20"/>
          <w:color w:val="auto"/>
        </w:rPr>
      </w:pPr>
    </w:p>
    <w:tbl>
      <w:tblPr>
        <w:tblLayout w:type="fixed"/>
        <w:tblInd w:w="560" w:type="dxa"/>
        <w:tblCellMar>
          <w:top w:w="0" w:type="dxa"/>
          <w:left w:w="0" w:type="dxa"/>
          <w:bottom w:w="0" w:type="dxa"/>
          <w:right w:w="0" w:type="dxa"/>
        </w:tblCellMar>
      </w:tblPr>
      <w:tr>
        <w:trPr>
          <w:trHeight w:val="20"/>
        </w:trPr>
        <w:tc>
          <w:tcPr>
            <w:tcW w:w="6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2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$17,782</w:t>
            </w:r>
          </w:p>
        </w:tc>
        <w:tc>
          <w:tcPr>
            <w:tcW w:w="34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$19,182</w:t>
            </w:r>
          </w:p>
        </w:tc>
        <w:tc>
          <w:tcPr>
            <w:tcW w:w="340" w:type="dxa"/>
            <w:vAlign w:val="bottom"/>
            <w:vMerge w:val="continue"/>
            <w:shd w:val="clear" w:color="auto" w:fill="CCEEFF"/>
          </w:tcPr>
          <w:p>
            <w:pPr>
              <w:spacing w:after="0"/>
              <w:rPr>
                <w:sz w:val="16"/>
                <w:szCs w:val="16"/>
                <w:color w:val="auto"/>
              </w:rPr>
            </w:pPr>
          </w:p>
        </w:tc>
        <w:tc>
          <w:tcPr>
            <w:tcW w:w="78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89"/>
              </w:rPr>
              <w:t>$(1,400)</w:t>
            </w:r>
          </w:p>
        </w:tc>
        <w:tc>
          <w:tcPr>
            <w:tcW w:w="5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During the three months ended June 30, 2023, our research and development expenses decreased by $1.4 million, or 7%, as compared to the three months ended June 30, 2022. The decrease in cost was primarily the result of the strategic reprioritization in April 2023, partially offset by a one-time cash charge to salaries and benefits as a result of our headcount reduction in April 2023 and increased contract license and milestone payments.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June 30, 2023 and 2022 (in thousands, except percentages):</w:t>
      </w:r>
    </w:p>
    <w:p>
      <w:pPr>
        <w:spacing w:after="0" w:line="189"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8140"/>
        <w:spacing w:after="0"/>
        <w:tabs>
          <w:tab w:leader="none" w:pos="968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-3175</wp:posOffset>
            </wp:positionV>
            <wp:extent cx="9429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7800"/>
        <w:spacing w:after="0"/>
        <w:tabs>
          <w:tab w:leader="none" w:pos="8680" w:val="left"/>
          <w:tab w:leader="none" w:pos="96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2"/>
          <w:szCs w:val="12"/>
          <w:b w:val="1"/>
          <w:bCs w:val="1"/>
          <w:color w:val="auto"/>
        </w:rPr>
        <w:t>(decrease)</w:t>
      </w:r>
    </w:p>
    <w:p>
      <w:pPr>
        <w:spacing w:after="0" w:line="21" w:lineRule="exact"/>
        <w:rPr>
          <w:sz w:val="20"/>
          <w:szCs w:val="20"/>
          <w:color w:val="auto"/>
        </w:rPr>
      </w:pPr>
    </w:p>
    <w:tbl>
      <w:tblPr>
        <w:tblLayout w:type="fixed"/>
        <w:tblInd w:w="560" w:type="dxa"/>
        <w:tblCellMar>
          <w:top w:w="0" w:type="dxa"/>
          <w:left w:w="0" w:type="dxa"/>
          <w:bottom w:w="0" w:type="dxa"/>
          <w:right w:w="0" w:type="dxa"/>
        </w:tblCellMar>
      </w:tblPr>
      <w:tr>
        <w:trPr>
          <w:trHeight w:val="20"/>
        </w:trPr>
        <w:tc>
          <w:tcPr>
            <w:tcW w:w="7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0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$ 6,105</w:t>
            </w:r>
          </w:p>
        </w:tc>
        <w:tc>
          <w:tcPr>
            <w:tcW w:w="34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$ 6,231</w:t>
            </w:r>
          </w:p>
        </w:tc>
        <w:tc>
          <w:tcPr>
            <w:tcW w:w="34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92"/>
              </w:rPr>
              <w:t>$(126)</w:t>
            </w:r>
          </w:p>
        </w:tc>
        <w:tc>
          <w:tcPr>
            <w:tcW w:w="5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During the three months ended June 30, 2023, our general and administrative expenses decreased by $0.1 million, or 2%, as compared to the three months ended June 30, 2022. The decrease in costs was primarily the result of a reduction in expenses incurred for stock compensation, partially offset by a one-time cash charge to salaries and benefits as a result of our headcount reduction in April 2023.</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Investment income was $1.4 million and $0.2 million for the three months ended June 30, 2023 and 2022, respectively. The increase in investment income was due to increased investment and higher interest rates.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recognized de minimis foreign currency fluctuations during each of the three months ended June 30, 2023 and 2022.</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86"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Interest expense was $0.8 million and $0.7 million for the three months ended June 30, 2023 and 2022, respectively, representing interest expense and amortization of the carrying costs of our credit facilities.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the three months ended June 30, 2023, we recognized $6.3 million of income from the decrease in the fair value of warrant liabilities utilizing the Black-Scholes valuation methodology. The decrease in value was primarily driven by a decrease in the price of our common stock. For the three months ended June 30, 2022, we recognized a $4.6 million charge from the increase in the fair value of warrant liabilities primarily driven by an increase in the price of our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Other income, net consists primarily of sublease income for the three months ended June 30, 2023 and was de minimis for the three months ended June 30,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 income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loss for the three months ended June 30, 2023 was $11.4 million compared to net income of $8.6 million for the three months ended June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and license revenue</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is a comparison of collaboration and license revenue for the six months ended June 30, 2023 and 2022 (in thousands, except percentages):</w:t>
      </w:r>
    </w:p>
    <w:p>
      <w:pPr>
        <w:spacing w:after="0" w:line="189"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7820"/>
        <w:spacing w:after="0"/>
        <w:tabs>
          <w:tab w:leader="none" w:pos="95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-3175</wp:posOffset>
            </wp:positionV>
            <wp:extent cx="968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7460"/>
        <w:spacing w:after="0"/>
        <w:tabs>
          <w:tab w:leader="none" w:pos="8380" w:val="left"/>
          <w:tab w:leader="none" w:pos="94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2"/>
          <w:szCs w:val="12"/>
          <w:b w:val="1"/>
          <w:bCs w:val="1"/>
          <w:color w:val="auto"/>
        </w:rPr>
        <w:t>(decrease)</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$11,187</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$73,272</w:t>
            </w: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$(62,085)</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six months ended June 30, 2023 and 2022, we recognized $8.7 million and $52.9 million under the Sobi License resulting from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shipment of clinical supply and the reimbursement of costs incurred for the Phase 3 DISSOLVE clinical program. Additionally, during the six months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ended June 30, 2023, $1.4 million was recognized under the Astellas Agreement and $0.6 million was recognized under the Takeda Agreement,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$0.5 million was recognized under the Sarepta Agreement. During the six months ended June 30, 2022, $10.2 million was recognized under the Sarepta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Agreement, $9.2 million was recognized upon the mutual termination of the Spark License Agreement, and $1.0 million was recognized under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Takeda Agreement.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six months ended June 30, 2023 and 2022 (in thousands, except percentages):</w:t>
      </w:r>
    </w:p>
    <w:p>
      <w:pPr>
        <w:spacing w:after="0" w:line="189"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8120"/>
        <w:spacing w:after="0"/>
        <w:tabs>
          <w:tab w:leader="none" w:pos="968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-3175</wp:posOffset>
            </wp:positionV>
            <wp:extent cx="968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7760"/>
        <w:spacing w:after="0"/>
        <w:tabs>
          <w:tab w:leader="none" w:pos="8680" w:val="left"/>
          <w:tab w:leader="none" w:pos="96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2"/>
          <w:szCs w:val="12"/>
          <w:b w:val="1"/>
          <w:bCs w:val="1"/>
          <w:color w:val="auto"/>
        </w:rPr>
        <w:t>(decrease)</w:t>
      </w:r>
    </w:p>
    <w:p>
      <w:pPr>
        <w:spacing w:after="0" w:line="21" w:lineRule="exact"/>
        <w:rPr>
          <w:sz w:val="20"/>
          <w:szCs w:val="20"/>
          <w:color w:val="auto"/>
        </w:rPr>
      </w:pPr>
    </w:p>
    <w:tbl>
      <w:tblPr>
        <w:tblLayout w:type="fixed"/>
        <w:tblInd w:w="560" w:type="dxa"/>
        <w:tblCellMar>
          <w:top w:w="0" w:type="dxa"/>
          <w:left w:w="0" w:type="dxa"/>
          <w:bottom w:w="0" w:type="dxa"/>
          <w:right w:w="0" w:type="dxa"/>
        </w:tblCellMar>
      </w:tblPr>
      <w:tr>
        <w:trPr>
          <w:trHeight w:val="20"/>
        </w:trPr>
        <w:tc>
          <w:tcPr>
            <w:tcW w:w="7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4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$36,406</w:t>
            </w:r>
          </w:p>
        </w:tc>
        <w:tc>
          <w:tcPr>
            <w:tcW w:w="34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$36,871</w:t>
            </w:r>
          </w:p>
        </w:tc>
        <w:tc>
          <w:tcPr>
            <w:tcW w:w="34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88"/>
              </w:rPr>
              <w:t>$(465)</w:t>
            </w:r>
          </w:p>
        </w:tc>
        <w:tc>
          <w:tcPr>
            <w:tcW w:w="5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During the six months ended June 30, 2023, our research and development expenses decreased by $0.5 million, or 1%, as compared to the six months ended June 30, 2022. The decrease in cost was primarily the result of the strategic reprioritization in April 2023, partially offset by increased contract license and milestone payments and a one-time cash charge to salaries and benefits as a result of our headcount reduction in April 2023.</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86"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six months ended June 30, 2023 and 2022 (in thousands, except percentages):</w:t>
      </w:r>
    </w:p>
    <w:p>
      <w:pPr>
        <w:spacing w:after="0" w:line="189"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8260"/>
        <w:spacing w:after="0"/>
        <w:tabs>
          <w:tab w:leader="none" w:pos="978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-3175</wp:posOffset>
            </wp:positionV>
            <wp:extent cx="968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7920"/>
        <w:spacing w:after="0"/>
        <w:tabs>
          <w:tab w:leader="none" w:pos="8820" w:val="left"/>
          <w:tab w:leader="none" w:pos="97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ind w:left="560"/>
        <w:spacing w:after="0"/>
        <w:tabs>
          <w:tab w:leader="none" w:pos="7740" w:val="left"/>
          <w:tab w:leader="none" w:pos="8660" w:val="left"/>
          <w:tab w:leader="none" w:pos="9600" w:val="left"/>
          <w:tab w:leader="none" w:pos="10280" w:val="left"/>
        </w:tabs>
        <w:rPr>
          <w:sz w:val="20"/>
          <w:szCs w:val="20"/>
          <w:color w:val="auto"/>
        </w:rPr>
      </w:pPr>
      <w:r>
        <w:rPr>
          <w:rFonts w:ascii="Arial" w:cs="Arial" w:eastAsia="Arial" w:hAnsi="Arial"/>
          <w:sz w:val="18"/>
          <w:szCs w:val="18"/>
          <w:color w:val="auto"/>
        </w:rPr>
        <w:t>General and administrative</w:t>
      </w:r>
      <w:r>
        <w:rPr>
          <w:sz w:val="20"/>
          <w:szCs w:val="20"/>
          <w:color w:val="auto"/>
        </w:rPr>
        <w:tab/>
      </w:r>
      <w:r>
        <w:rPr>
          <w:rFonts w:ascii="Arial" w:cs="Arial" w:eastAsia="Arial" w:hAnsi="Arial"/>
          <w:sz w:val="18"/>
          <w:szCs w:val="18"/>
          <w:color w:val="auto"/>
        </w:rPr>
        <w:t>$11,800</w:t>
      </w:r>
      <w:r>
        <w:rPr>
          <w:sz w:val="20"/>
          <w:szCs w:val="20"/>
          <w:color w:val="auto"/>
        </w:rPr>
        <w:tab/>
      </w:r>
      <w:r>
        <w:rPr>
          <w:rFonts w:ascii="Arial" w:cs="Arial" w:eastAsia="Arial" w:hAnsi="Arial"/>
          <w:sz w:val="18"/>
          <w:szCs w:val="18"/>
          <w:color w:val="auto"/>
        </w:rPr>
        <w:t>$11,768</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w:t>
      </w:r>
    </w:p>
    <w:p>
      <w:pPr>
        <w:spacing w:after="0" w:line="223"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During the six months ended June 30, 2023, our general and administrative expenses increased by less than $0.1 million as compared to the six months ended June 30, 2022. The increase in costs was primarily driven by a one-time cash charge to salaries and benefits as a result of our headcount reduction in April 2023 partially offset by a reduction in expenses incurred for stock compensation.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Investment income was $2.7 million and $0.2 million, for the six months ended June 30, 2023 and 2022, respectively. The increase in investment income was due to increased investments and higher interest rates.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recognized de minimis foreign currency fluctuations during the six months ended June 30, 2023 and 2022,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Interest expense was $1.6 million and $1.4 million for the six months ended June 30, 2023 and 2022, respectively, representing interest expense and amortization of the carrying costs of our credit facilities.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six months ended June 30, 2023, we recognized $2.3 million of income for the decrease in the fair value of warrant liabilities utilizing a Black-Scholes valuation methodology. The decrease in value was primarily driven by a decrease in the remaining expected life of the warrants. For the six months ended June 30, 2022, we recognized $13.9 million of income for the decrease in the fair value of warrant liabilities primarily driven by a decrease in the price of our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Other income was $0.5 million and $0.2 million for the six months ended June 30, 2023 and 2022, respectively. The increase was primarily driven by sublease income.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Net income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loss for the six months ended June 30, 2023 was $33.1 million compared to net income of $37.4 million for the six months ended June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Except for the year ended December 31, 2022, in which we had net income of $35.4 million, we have incurred recurring net losses since our inception. We expect that we will continue to incur losses and that such cumulative losses will increase for the foreseeable future.</w:t>
      </w:r>
    </w:p>
    <w:p>
      <w:pPr>
        <w:spacing w:after="0" w:line="14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Since inception, we have financed our operations with a combination of issuance of preferred and common stock, government grant funding, borrowings under credit facilities and proceeds from our collaboration and license agreements.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June 30, 2023, our cash, cash equivalents, and restricted cash were $115.0 million, of which $3.0 million was restricted cash related to lease commitments and $0.2 million was held by our Russian subsidiary designated solely for use in its operations.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to our existing cash equivalents, we have from time to time, and may, in the future receive research and development funding pursuant to our collaboration and license agreements. Currently, funding from payments under our collaboration agreements represent our only source of committed external funds.</w:t>
      </w:r>
    </w:p>
    <w:p>
      <w:pPr>
        <w:sectPr>
          <w:pgSz w:w="11900" w:h="16838" w:orient="portrait"/>
          <w:cols w:equalWidth="0" w:num="1">
            <w:col w:w="11100"/>
          </w:cols>
          <w:pgMar w:left="320" w:top="486" w:right="479" w:bottom="1440"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00"/>
          </w:cols>
          <w:pgMar w:left="320" w:top="486" w:right="47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August 31, 2020, we entered into a term loan of up to $35.0 million, or the 2020 Term Loan,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as a lender. The Term A Loan was funded in full on August 31, 2020, or the Funding Date, and will mature on August 1, 2025. The second draw period expired on September 30, 2021 and the Term B Loan is no longer available to be drawn by the Company.</w:t>
      </w:r>
    </w:p>
    <w:p>
      <w:pPr>
        <w:spacing w:after="0" w:line="188" w:lineRule="exact"/>
        <w:rPr>
          <w:sz w:val="20"/>
          <w:szCs w:val="20"/>
          <w:color w:val="auto"/>
        </w:rPr>
      </w:pPr>
    </w:p>
    <w:p>
      <w:pPr>
        <w:jc w:val="both"/>
        <w:ind w:left="120" w:right="40" w:firstLine="440"/>
        <w:spacing w:after="0" w:line="275" w:lineRule="auto"/>
        <w:rPr>
          <w:sz w:val="20"/>
          <w:szCs w:val="20"/>
          <w:color w:val="auto"/>
        </w:rPr>
      </w:pPr>
      <w:r>
        <w:rPr>
          <w:rFonts w:ascii="Arial" w:cs="Arial" w:eastAsia="Arial" w:hAnsi="Arial"/>
          <w:sz w:val="17"/>
          <w:szCs w:val="17"/>
          <w:color w:val="auto"/>
        </w:rPr>
        <w:t>On March 21, 2022, we entered into a Second Amendment to Loan and Security Agreement, or the Second Amendment. The Second Amendment extends the date on which amortization payments in respect of the 2020 Term Loan will commence to April 1, 2023. Thereafter, amortization payments will be paid monthly in equal installments of principal and interest to fully amortize the outstanding principal over the remaining term of the 2020 Term Loan, subject to recalculation upon a change in the prime rate. The Second Amendment was determined to be a loan modification, and the $0.1 million fee was recorded as an addition to the debt discount on the effective date.</w:t>
      </w:r>
    </w:p>
    <w:p>
      <w:pPr>
        <w:spacing w:after="0" w:line="17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On September 20, 2022, we entered into a Third Amendment to the Loan and Security Agreement or the Third Amendment. The Third Amendment was entered into in connection with the expansion of our corporate headquarters to provide for an increase of $0.2 million in the letter of credit for a total of $1.6 million which renews automatically each year.</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March 31, 2023, we entered into a Fourth Amendment to Loan and Security Agreement or the Fourth Amendment, with Oxford as collateral agent and a lender and Silicon Valley Bank, a division of First-Citizens Bank &amp; Trust Company (successor by purchase to the Federal Deposit Insurance Corporation as Receiver for Silicon Valley Bridge Bank, N.A. (as successor to Silicon Valley Bank)), or SVB. The Fourth Amendment relieved us of the requirement to maintain all Collateral Accounts (as such term is defined in the Loan and Security Agreement) with SVB and instead requires us to hold an amount equal to the lesser of (i) 100% of our consolidated cash and (ii) 150% of the then-outstanding Obligations (as such term is defined in the Loan and Security Agreement) in Collateral Accounts with SVB that are subject to a Control Agreement (as such term is defined in the Loan and Security Agreement) in favor of SVB.</w:t>
      </w:r>
    </w:p>
    <w:p>
      <w:pPr>
        <w:spacing w:after="0" w:line="19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is entitled to take enforcement action, including acceleration of amounts due under the 2020 Term Loan. If we raise any additional debt financing, the terms of such additional debt could further restrict our operating and financial flexibility.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funding requirements</w:t>
      </w:r>
    </w:p>
    <w:p>
      <w:pPr>
        <w:spacing w:after="0" w:line="121"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We expect that we will continue to generate losses for the foreseeable future.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As of June 30, 2023, we had an accumulated deficit of $428.0 million. In April 2023, in light of current market conditions, our Board took steps to extend cash runway by pausing further development of SEL-302 for the treatment of MMA and conducting a targeted headcount reduction of approximately 25%. On August 17, 2023, we announced additional steps to extend cash runway and maximize value for stockholders by continuing to prioritize development of SEL-212 and support of our collaboration with Astellas for Xork, and pausing further development of all of our other clinical and preclinical product candidates that we are no longer actively advancing. We intend to seek collaboration partners for the assets in the development programs that we are no longer actively advancing. We intend to continue evaluating our development programs and operating expenses on an ongoing basis.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16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are continually evaluating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19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believe that following the capital efficiencies expected to be realized through our strategic reprioritization, our existing cash, cash equivalents, and restricted cash as of June 30, 2023, combined with the next anticipated milestone payment related to SEL-212 development activities, will enable us to fund our current planned operations into 2027, though we may realize additional cash resources upon the achievement of certain contingent collaboration milestones and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further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80" w:right="7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our headcount and associated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laboratory testing and clinical trials for our other product candidates;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6"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Cash Flows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6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and provided by:</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(18,660)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$(24,135)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28,112</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(2,437)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38,603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Net cash used in operating activities of $18.7 million for the six months ended June 30, 2023 included approximately $27.6 million of net loss, adjusted for non-cash items, and approximately $8.9 million cash provided by changes in operating assets and liabilities.</w:t>
      </w:r>
    </w:p>
    <w:p>
      <w:pPr>
        <w:spacing w:after="0" w:line="14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Net cash used in operating activities of $24.1 million for the six months ended June 30, 2022 included approximately $31.6 million of net income, adjusted for non-cash items, and uses of cash of approximately $55.7 million for changes in operating assets and liabilities.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Net cash provided by investing activities for the six months ended June 30, 2023 was $28.1 million compared to net cash provided by investing activities of $9.4 million in the same period in 2022. The net cash provided by investing activities for each of the six months ended June 30, 2023 and 2022 was primarily proceeds from the maturities of marketable securities offset by purchases of property and equipment.</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Net cash used in financing activities for the six months ended June 30, 2023 was $2.4 million compared to net cash provided by financing activities of $38.6 million in the same period in 2022. The net cash used in financing activities in the six months ended June 30, 2023 was primarily the result of repayments of principal on outstanding debt offset by proceeds from issuance of common stock under the Employee Stock Purchase Plan and in the six months ended June 30, 2022 was primarily the result of net proceeds from underwritten and </w:t>
      </w:r>
      <w:r>
        <w:rPr>
          <w:rFonts w:ascii="Arial" w:cs="Arial" w:eastAsia="Arial" w:hAnsi="Arial"/>
          <w:sz w:val="17"/>
          <w:szCs w:val="17"/>
          <w:i w:val="1"/>
          <w:iCs w:val="1"/>
          <w:color w:val="auto"/>
        </w:rPr>
        <w:t>“</w:t>
      </w:r>
      <w:r>
        <w:rPr>
          <w:rFonts w:ascii="Arial" w:cs="Arial" w:eastAsia="Arial" w:hAnsi="Arial"/>
          <w:sz w:val="17"/>
          <w:szCs w:val="17"/>
          <w:color w:val="auto"/>
        </w:rPr>
        <w:t>at-the-market</w:t>
      </w:r>
      <w:r>
        <w:rPr>
          <w:rFonts w:ascii="Arial" w:cs="Arial" w:eastAsia="Arial" w:hAnsi="Arial"/>
          <w:sz w:val="17"/>
          <w:szCs w:val="17"/>
          <w:i w:val="1"/>
          <w:iCs w:val="1"/>
          <w:color w:val="auto"/>
        </w:rPr>
        <w:t>”</w:t>
      </w:r>
      <w:r>
        <w:rPr>
          <w:rFonts w:ascii="Arial" w:cs="Arial" w:eastAsia="Arial" w:hAnsi="Arial"/>
          <w:sz w:val="17"/>
          <w:szCs w:val="17"/>
          <w:color w:val="auto"/>
        </w:rPr>
        <w:t xml:space="preserve"> offerings.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see Note 2 to our unaudited consolidated financial statements included elsewhere in this Quarterly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June 30, 2023, we did not have any off-balance sheet arrangements as defined in the rules and regulations of the Securities and Exchange Commission.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6"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and six months ended June 30, 2023, there were no material changes to our critical accounting policies from those described in our Annual Report on Form 10-K for the year ended December 31, 2022.</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June 30, 2023 and December 31, 2022, we had cash, cash equivalents, restricted cash and marketable securities of $115.0 million and $136.2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an immediate 100 basis point change in interest rates would not have a material effect on the fair market value of our cash equivalents or short-term marketable securities.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June 30, 2023.</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2023 that have materially affected, or are reasonably likely to materially affect, our internal control over financial reporting.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86"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risk factors previously disclosed in Item 1A of our Annual Report on Form 10-K for the year ended December 31, 2022. There have been no material changes from the risk factors previously disclosed in such filings.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320" w:top="486" w:right="5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960" w:type="dxa"/>
            <w:vAlign w:val="bottom"/>
            <w:gridSpan w:val="8"/>
          </w:tcPr>
          <w:p>
            <w:pPr>
              <w:ind w:left="1260"/>
              <w:spacing w:after="0"/>
              <w:rPr>
                <w:sz w:val="20"/>
                <w:szCs w:val="20"/>
                <w:color w:val="auto"/>
              </w:rPr>
            </w:pPr>
            <w:r>
              <w:rPr>
                <w:rFonts w:ascii="Arial" w:cs="Arial" w:eastAsia="Arial" w:hAnsi="Arial"/>
                <w:sz w:val="18"/>
                <w:szCs w:val="18"/>
                <w:b w:val="1"/>
                <w:bCs w:val="1"/>
                <w:color w:val="auto"/>
              </w:rPr>
              <w:t>EXHIBIT INDEX</w:t>
            </w:r>
          </w:p>
        </w:tc>
      </w:tr>
      <w:tr>
        <w:trPr>
          <w:trHeight w:val="531"/>
        </w:trPr>
        <w:tc>
          <w:tcPr>
            <w:tcW w:w="100" w:type="dxa"/>
            <w:vAlign w:val="bottom"/>
          </w:tcPr>
          <w:p>
            <w:pPr>
              <w:spacing w:after="0"/>
              <w:rPr>
                <w:sz w:val="24"/>
                <w:szCs w:val="24"/>
                <w:color w:val="auto"/>
              </w:rPr>
            </w:pPr>
          </w:p>
        </w:tc>
        <w:tc>
          <w:tcPr>
            <w:tcW w:w="7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Exhibit</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5"/>
        </w:trPr>
        <w:tc>
          <w:tcPr>
            <w:tcW w:w="8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960" w:type="dxa"/>
            <w:vAlign w:val="bottom"/>
            <w:gridSpan w:val="8"/>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50"/>
        </w:trPr>
        <w:tc>
          <w:tcPr>
            <w:tcW w:w="800" w:type="dxa"/>
            <w:vAlign w:val="bottom"/>
            <w:gridSpan w:val="7"/>
          </w:tcPr>
          <w:p>
            <w:pPr>
              <w:spacing w:after="0"/>
              <w:rPr>
                <w:rFonts w:ascii="Arial" w:cs="Arial" w:eastAsia="Arial" w:hAnsi="Arial"/>
                <w:sz w:val="18"/>
                <w:szCs w:val="18"/>
                <w:color w:val="0000EE"/>
              </w:rPr>
            </w:pPr>
            <w:hyperlink r:id="rId67">
              <w:r>
                <w:rPr>
                  <w:rFonts w:ascii="Arial" w:cs="Arial" w:eastAsia="Arial" w:hAnsi="Arial"/>
                  <w:sz w:val="18"/>
                  <w:szCs w:val="18"/>
                  <w:color w:val="0000EE"/>
                </w:rPr>
                <w:t>3.</w:t>
              </w:r>
              <w:r>
                <w:rPr>
                  <w:rFonts w:ascii="Arial" w:cs="Arial" w:eastAsia="Arial" w:hAnsi="Arial"/>
                  <w:sz w:val="18"/>
                  <w:szCs w:val="18"/>
                  <w:u w:val="single" w:color="auto"/>
                  <w:color w:val="0000EE"/>
                </w:rPr>
                <w:t>1(a)</w:t>
              </w:r>
            </w:hyperlink>
          </w:p>
        </w:tc>
        <w:tc>
          <w:tcPr>
            <w:tcW w:w="6700" w:type="dxa"/>
            <w:vAlign w:val="bottom"/>
            <w:gridSpan w:val="10"/>
          </w:tcPr>
          <w:p>
            <w:pPr>
              <w:spacing w:after="0"/>
              <w:rPr>
                <w:rFonts w:ascii="Arial" w:cs="Arial" w:eastAsia="Arial" w:hAnsi="Arial"/>
                <w:sz w:val="18"/>
                <w:szCs w:val="18"/>
                <w:color w:val="0000EE"/>
              </w:rPr>
            </w:pPr>
            <w:hyperlink r:id="rId67">
              <w:r>
                <w:rPr>
                  <w:rFonts w:ascii="Arial" w:cs="Arial" w:eastAsia="Arial" w:hAnsi="Arial"/>
                  <w:sz w:val="18"/>
                  <w:szCs w:val="18"/>
                  <w:color w:val="0000EE"/>
                </w:rPr>
                <w:t>Restated Certificate of Incorporation of Selecta Biosciences, Inc.</w:t>
              </w:r>
            </w:hyperlink>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440" w:type="dxa"/>
            <w:vAlign w:val="bottom"/>
            <w:tcBorders>
              <w:bottom w:val="single" w:sz="8" w:color="0000EE"/>
            </w:tcBorders>
            <w:gridSpan w:val="5"/>
          </w:tcPr>
          <w:p>
            <w:pP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3.</w:t>
              </w:r>
              <w:r>
                <w:rPr>
                  <w:rFonts w:ascii="Arial" w:cs="Arial" w:eastAsia="Arial" w:hAnsi="Arial"/>
                  <w:sz w:val="18"/>
                  <w:szCs w:val="18"/>
                  <w:u w:val="single" w:color="auto"/>
                  <w:color w:val="0000EE"/>
                  <w:w w:val="89"/>
                </w:rPr>
                <w:t>1(b)</w:t>
              </w:r>
            </w:hyperlink>
          </w:p>
        </w:tc>
        <w:tc>
          <w:tcPr>
            <w:tcW w:w="360" w:type="dxa"/>
            <w:vAlign w:val="bottom"/>
            <w:gridSpan w:val="2"/>
          </w:tcPr>
          <w:p>
            <w:pPr>
              <w:spacing w:after="0"/>
              <w:rPr>
                <w:sz w:val="24"/>
                <w:szCs w:val="24"/>
                <w:color w:val="auto"/>
              </w:rPr>
            </w:pPr>
          </w:p>
        </w:tc>
        <w:tc>
          <w:tcPr>
            <w:tcW w:w="5780" w:type="dxa"/>
            <w:vAlign w:val="bottom"/>
            <w:tcBorders>
              <w:bottom w:val="single" w:sz="8" w:color="0000EE"/>
            </w:tcBorders>
            <w:gridSpan w:val="5"/>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Certificate of Amendment to the Restated Certificate of Incorporation of Selecta</w:t>
              </w:r>
            </w:hyperlink>
          </w:p>
        </w:tc>
        <w:tc>
          <w:tcPr>
            <w:tcW w:w="920" w:type="dxa"/>
            <w:vAlign w:val="bottom"/>
            <w:gridSpan w:val="5"/>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00" w:type="dxa"/>
            <w:vAlign w:val="bottom"/>
            <w:gridSpan w:val="10"/>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Biosciences, Inc., dated June 21, 2022</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320" w:type="dxa"/>
            <w:vAlign w:val="bottom"/>
            <w:gridSpan w:val="3"/>
          </w:tcPr>
          <w:p>
            <w:pPr>
              <w:spacing w:after="0"/>
              <w:rPr>
                <w:rFonts w:ascii="Arial" w:cs="Arial" w:eastAsia="Arial" w:hAnsi="Arial"/>
                <w:sz w:val="18"/>
                <w:szCs w:val="18"/>
                <w:color w:val="0000EE"/>
              </w:rPr>
            </w:pPr>
            <w:hyperlink r:id="rId69">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00" w:type="dxa"/>
            <w:vAlign w:val="bottom"/>
            <w:gridSpan w:val="10"/>
          </w:tcPr>
          <w:p>
            <w:pPr>
              <w:spacing w:after="0"/>
              <w:rPr>
                <w:rFonts w:ascii="Arial" w:cs="Arial" w:eastAsia="Arial" w:hAnsi="Arial"/>
                <w:sz w:val="18"/>
                <w:szCs w:val="18"/>
                <w:color w:val="0000EE"/>
              </w:rPr>
            </w:pPr>
            <w:hyperlink r:id="rId69">
              <w:r>
                <w:rPr>
                  <w:rFonts w:ascii="Arial" w:cs="Arial" w:eastAsia="Arial" w:hAnsi="Arial"/>
                  <w:sz w:val="18"/>
                  <w:szCs w:val="18"/>
                  <w:color w:val="0000EE"/>
                </w:rPr>
                <w:t>Amended and Restated By-laws of Selecta Biosciences, Inc.</w:t>
              </w:r>
            </w:hyperlink>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320" w:type="dxa"/>
            <w:vAlign w:val="bottom"/>
            <w:gridSpan w:val="3"/>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0000EE"/>
                <w:w w:val="93"/>
              </w:rPr>
              <w:t>Certification of Principal Executive Officer pursuant to Rule 13a-14(a) or Rule 15d-14(a) of</w:t>
            </w:r>
          </w:p>
        </w:tc>
      </w:tr>
      <w:tr>
        <w:trPr>
          <w:trHeight w:val="196"/>
        </w:trPr>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the Securities Exchange Act of 1934, as adopted pursuant to Section 302 of the Sarbanes-</w:t>
            </w:r>
          </w:p>
        </w:tc>
        <w:tc>
          <w:tcPr>
            <w:tcW w:w="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Oxley Act of 2002</w:t>
            </w:r>
          </w:p>
        </w:tc>
        <w:tc>
          <w:tcPr>
            <w:tcW w:w="5100" w:type="dxa"/>
            <w:vAlign w:val="bottom"/>
            <w:tcBorders>
              <w:top w:val="single" w:sz="8" w:color="0000EE"/>
            </w:tcBorders>
            <w:gridSpan w:val="5"/>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304"/>
        </w:trPr>
        <w:tc>
          <w:tcPr>
            <w:tcW w:w="3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Certification of Principal Financial Officer pursuant to Rule 13a-14(a) or Rule 15d-14(a) of</w:t>
            </w:r>
          </w:p>
        </w:tc>
        <w:tc>
          <w:tcPr>
            <w:tcW w:w="120" w:type="dxa"/>
            <w:vAlign w:val="bottom"/>
            <w:gridSpan w:val="2"/>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00" w:type="dxa"/>
            <w:vAlign w:val="bottom"/>
            <w:gridSpan w:val="10"/>
          </w:tcPr>
          <w:p>
            <w:pPr>
              <w:spacing w:after="0" w:line="196" w:lineRule="exact"/>
              <w:rPr>
                <w:sz w:val="20"/>
                <w:szCs w:val="20"/>
                <w:color w:val="auto"/>
              </w:rPr>
            </w:pPr>
            <w:r>
              <w:rPr>
                <w:rFonts w:ascii="Arial" w:cs="Arial" w:eastAsia="Arial" w:hAnsi="Arial"/>
                <w:sz w:val="18"/>
                <w:szCs w:val="18"/>
                <w:color w:val="0000EE"/>
                <w:w w:val="92"/>
              </w:rPr>
              <w:t>the Securities Exchange Act of 1934, as adopted pursuant to Section 302 of the Sarbanes-</w:t>
            </w: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Oxley Act of 2002</w:t>
            </w:r>
          </w:p>
        </w:tc>
        <w:tc>
          <w:tcPr>
            <w:tcW w:w="5100" w:type="dxa"/>
            <w:vAlign w:val="bottom"/>
            <w:tcBorders>
              <w:top w:val="single" w:sz="8" w:color="0000EE"/>
            </w:tcBorders>
            <w:gridSpan w:val="5"/>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304"/>
        </w:trPr>
        <w:tc>
          <w:tcPr>
            <w:tcW w:w="320" w:type="dxa"/>
            <w:vAlign w:val="bottom"/>
            <w:gridSpan w:val="3"/>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0000EE"/>
                <w:w w:val="96"/>
              </w:rPr>
              <w:t>Certification of Principal Executive Officer and Principal Financial Officer pursuant to 18</w:t>
            </w: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60" w:type="dxa"/>
            <w:vAlign w:val="bottom"/>
            <w:gridSpan w:val="7"/>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00" w:type="dxa"/>
            <w:vAlign w:val="bottom"/>
            <w:gridSpan w:val="10"/>
          </w:tcPr>
          <w:p>
            <w:pPr>
              <w:spacing w:after="0" w:line="196" w:lineRule="exact"/>
              <w:rPr>
                <w:sz w:val="20"/>
                <w:szCs w:val="20"/>
                <w:color w:val="auto"/>
              </w:rPr>
            </w:pPr>
            <w:r>
              <w:rPr>
                <w:rFonts w:ascii="Arial" w:cs="Arial" w:eastAsia="Arial" w:hAnsi="Arial"/>
                <w:sz w:val="18"/>
                <w:szCs w:val="18"/>
                <w:color w:val="0000EE"/>
                <w:w w:val="90"/>
              </w:rPr>
              <w:t>U.S.C. Section 1350, as adopted pursuant to Section 906 of the Sarbanes-Oxley Act of 2002</w:t>
            </w:r>
          </w:p>
        </w:tc>
      </w:tr>
      <w:tr>
        <w:trPr>
          <w:trHeight w:val="330"/>
        </w:trPr>
        <w:tc>
          <w:tcPr>
            <w:tcW w:w="800" w:type="dxa"/>
            <w:vAlign w:val="bottom"/>
            <w:gridSpan w:val="7"/>
          </w:tcPr>
          <w:p>
            <w:pPr>
              <w:spacing w:after="0"/>
              <w:rPr>
                <w:sz w:val="20"/>
                <w:szCs w:val="20"/>
                <w:color w:val="auto"/>
              </w:rPr>
            </w:pPr>
            <w:r>
              <w:rPr>
                <w:rFonts w:ascii="Arial" w:cs="Arial" w:eastAsia="Arial" w:hAnsi="Arial"/>
                <w:sz w:val="18"/>
                <w:szCs w:val="18"/>
                <w:color w:val="auto"/>
              </w:rPr>
              <w:t>101.INS</w:t>
            </w:r>
          </w:p>
        </w:tc>
        <w:tc>
          <w:tcPr>
            <w:tcW w:w="66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w w:val="91"/>
              </w:rPr>
              <w:t>Inline XBRL Instance Document (the Instance Document does not appear in the interactive</w:t>
            </w:r>
          </w:p>
        </w:tc>
        <w:tc>
          <w:tcPr>
            <w:tcW w:w="80" w:type="dxa"/>
            <w:vAlign w:val="bottom"/>
          </w:tcPr>
          <w:p>
            <w:pPr>
              <w:spacing w:after="0"/>
              <w:rPr>
                <w:sz w:val="24"/>
                <w:szCs w:val="24"/>
                <w:color w:val="auto"/>
              </w:rPr>
            </w:pPr>
          </w:p>
        </w:tc>
      </w:tr>
      <w:tr>
        <w:trPr>
          <w:trHeight w:val="230"/>
        </w:trPr>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r>
      <w:tr>
        <w:trPr>
          <w:trHeight w:val="324"/>
        </w:trPr>
        <w:tc>
          <w:tcPr>
            <w:tcW w:w="80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101.SCH</w:t>
            </w:r>
          </w:p>
        </w:tc>
        <w:tc>
          <w:tcPr>
            <w:tcW w:w="67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00" w:type="dxa"/>
            <w:vAlign w:val="bottom"/>
            <w:gridSpan w:val="7"/>
          </w:tcPr>
          <w:p>
            <w:pPr>
              <w:jc w:val="center"/>
              <w:ind w:right="120"/>
              <w:spacing w:after="0"/>
              <w:rPr>
                <w:sz w:val="20"/>
                <w:szCs w:val="20"/>
                <w:color w:val="auto"/>
              </w:rPr>
            </w:pPr>
            <w:r>
              <w:rPr>
                <w:rFonts w:ascii="Arial" w:cs="Arial" w:eastAsia="Arial" w:hAnsi="Arial"/>
                <w:sz w:val="18"/>
                <w:szCs w:val="18"/>
                <w:color w:val="auto"/>
                <w:w w:val="97"/>
              </w:rPr>
              <w:t>101.CAL</w:t>
            </w:r>
          </w:p>
        </w:tc>
        <w:tc>
          <w:tcPr>
            <w:tcW w:w="67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00" w:type="dxa"/>
            <w:vAlign w:val="bottom"/>
            <w:gridSpan w:val="7"/>
          </w:tcPr>
          <w:p>
            <w:pPr>
              <w:jc w:val="center"/>
              <w:ind w:right="140"/>
              <w:spacing w:after="0"/>
              <w:rPr>
                <w:sz w:val="20"/>
                <w:szCs w:val="20"/>
                <w:color w:val="auto"/>
              </w:rPr>
            </w:pPr>
            <w:r>
              <w:rPr>
                <w:rFonts w:ascii="Arial" w:cs="Arial" w:eastAsia="Arial" w:hAnsi="Arial"/>
                <w:sz w:val="18"/>
                <w:szCs w:val="18"/>
                <w:color w:val="auto"/>
                <w:w w:val="92"/>
              </w:rPr>
              <w:t>101.DEF</w:t>
            </w:r>
          </w:p>
        </w:tc>
        <w:tc>
          <w:tcPr>
            <w:tcW w:w="67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00" w:type="dxa"/>
            <w:vAlign w:val="bottom"/>
            <w:gridSpan w:val="7"/>
          </w:tcPr>
          <w:p>
            <w:pPr>
              <w:jc w:val="center"/>
              <w:ind w:right="120"/>
              <w:spacing w:after="0"/>
              <w:rPr>
                <w:sz w:val="20"/>
                <w:szCs w:val="20"/>
                <w:color w:val="auto"/>
              </w:rPr>
            </w:pPr>
            <w:r>
              <w:rPr>
                <w:rFonts w:ascii="Arial" w:cs="Arial" w:eastAsia="Arial" w:hAnsi="Arial"/>
                <w:sz w:val="18"/>
                <w:szCs w:val="18"/>
                <w:color w:val="auto"/>
                <w:w w:val="98"/>
              </w:rPr>
              <w:t>101.LAB</w:t>
            </w:r>
          </w:p>
        </w:tc>
        <w:tc>
          <w:tcPr>
            <w:tcW w:w="67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00" w:type="dxa"/>
            <w:vAlign w:val="bottom"/>
            <w:gridSpan w:val="7"/>
          </w:tcPr>
          <w:p>
            <w:pPr>
              <w:jc w:val="center"/>
              <w:ind w:right="160"/>
              <w:spacing w:after="0"/>
              <w:rPr>
                <w:sz w:val="20"/>
                <w:szCs w:val="20"/>
                <w:color w:val="auto"/>
              </w:rPr>
            </w:pPr>
            <w:r>
              <w:rPr>
                <w:rFonts w:ascii="Arial" w:cs="Arial" w:eastAsia="Arial" w:hAnsi="Arial"/>
                <w:sz w:val="18"/>
                <w:szCs w:val="18"/>
                <w:color w:val="auto"/>
                <w:w w:val="88"/>
              </w:rPr>
              <w:t>101.PRE</w:t>
            </w:r>
          </w:p>
        </w:tc>
        <w:tc>
          <w:tcPr>
            <w:tcW w:w="67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94" w:lineRule="exact"/>
        <w:rPr>
          <w:sz w:val="20"/>
          <w:szCs w:val="20"/>
          <w:color w:val="auto"/>
        </w:rPr>
      </w:pPr>
    </w:p>
    <w:p>
      <w:pPr>
        <w:ind w:left="5540" w:right="180" w:hanging="5424"/>
        <w:spacing w:after="0" w:line="449" w:lineRule="auto"/>
        <w:tabs>
          <w:tab w:leader="none" w:pos="9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Filing</w:t>
            </w:r>
          </w:p>
        </w:tc>
      </w:tr>
      <w:tr>
        <w:trPr>
          <w:trHeight w:val="185"/>
        </w:trPr>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91"/>
              </w:rPr>
              <w:t>Form</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Exhibit</w:t>
            </w:r>
          </w:p>
        </w:tc>
        <w:tc>
          <w:tcPr>
            <w:tcW w:w="620" w:type="dxa"/>
            <w:vAlign w:val="bottom"/>
          </w:tcPr>
          <w:p>
            <w:pPr>
              <w:spacing w:after="0"/>
              <w:rPr>
                <w:sz w:val="16"/>
                <w:szCs w:val="16"/>
                <w:color w:val="auto"/>
              </w:rPr>
            </w:pPr>
          </w:p>
        </w:tc>
        <w:tc>
          <w:tcPr>
            <w:tcW w:w="8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320" w:type="dxa"/>
            <w:vAlign w:val="bottom"/>
            <w:gridSpan w:val="4"/>
          </w:tcPr>
          <w:p>
            <w:pPr>
              <w:ind w:left="40"/>
              <w:spacing w:after="0"/>
              <w:rPr>
                <w:sz w:val="20"/>
                <w:szCs w:val="20"/>
                <w:color w:val="auto"/>
              </w:rPr>
            </w:pPr>
            <w:r>
              <w:rPr>
                <w:rFonts w:ascii="Arial" w:cs="Arial" w:eastAsia="Arial" w:hAnsi="Arial"/>
                <w:sz w:val="18"/>
                <w:szCs w:val="18"/>
                <w:color w:val="auto"/>
              </w:rPr>
              <w:t>8-K  001-37798</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9"/>
              </w:rPr>
              <w:t>6/29/2016</w:t>
            </w:r>
          </w:p>
        </w:tc>
      </w:tr>
      <w:tr>
        <w:trPr>
          <w:trHeight w:val="540"/>
        </w:trPr>
        <w:tc>
          <w:tcPr>
            <w:tcW w:w="1320" w:type="dxa"/>
            <w:vAlign w:val="bottom"/>
            <w:gridSpan w:val="4"/>
          </w:tcPr>
          <w:p>
            <w:pPr>
              <w:ind w:left="40"/>
              <w:spacing w:after="0"/>
              <w:rPr>
                <w:sz w:val="20"/>
                <w:szCs w:val="20"/>
                <w:color w:val="auto"/>
              </w:rPr>
            </w:pPr>
            <w:r>
              <w:rPr>
                <w:rFonts w:ascii="Arial" w:cs="Arial" w:eastAsia="Arial" w:hAnsi="Arial"/>
                <w:sz w:val="18"/>
                <w:szCs w:val="18"/>
                <w:color w:val="auto"/>
              </w:rPr>
              <w:t>8-K  001-37798</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9"/>
              </w:rPr>
              <w:t>6/21/2022</w:t>
            </w:r>
          </w:p>
        </w:tc>
      </w:tr>
      <w:tr>
        <w:trPr>
          <w:trHeight w:val="324"/>
        </w:trPr>
        <w:tc>
          <w:tcPr>
            <w:tcW w:w="1320" w:type="dxa"/>
            <w:vAlign w:val="bottom"/>
            <w:gridSpan w:val="4"/>
          </w:tcPr>
          <w:p>
            <w:pPr>
              <w:ind w:left="40"/>
              <w:spacing w:after="0"/>
              <w:rPr>
                <w:sz w:val="20"/>
                <w:szCs w:val="20"/>
                <w:color w:val="auto"/>
              </w:rPr>
            </w:pPr>
            <w:r>
              <w:rPr>
                <w:rFonts w:ascii="Arial" w:cs="Arial" w:eastAsia="Arial" w:hAnsi="Arial"/>
                <w:sz w:val="18"/>
                <w:szCs w:val="18"/>
                <w:color w:val="auto"/>
              </w:rPr>
              <w:t>8-K  001-37798</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9"/>
              </w:rPr>
              <w:t>8/22/2022</w:t>
            </w:r>
          </w:p>
        </w:tc>
      </w:tr>
      <w:tr>
        <w:trPr>
          <w:trHeight w:val="756"/>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Filed herewith</w:t>
            </w:r>
          </w:p>
        </w:tc>
      </w:tr>
      <w:tr>
        <w:trPr>
          <w:trHeight w:val="756"/>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Filed herewith</w:t>
            </w:r>
          </w:p>
        </w:tc>
      </w:tr>
      <w:tr>
        <w:trPr>
          <w:trHeight w:val="540"/>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Furnished herewith</w:t>
            </w:r>
          </w:p>
        </w:tc>
      </w:tr>
      <w:tr>
        <w:trPr>
          <w:trHeight w:val="540"/>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Filed herewith</w:t>
            </w:r>
          </w:p>
        </w:tc>
      </w:tr>
      <w:tr>
        <w:trPr>
          <w:trHeight w:val="324"/>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Filed herewith</w:t>
            </w:r>
          </w:p>
        </w:tc>
      </w:tr>
      <w:tr>
        <w:trPr>
          <w:trHeight w:val="324"/>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Filed herewith</w:t>
            </w:r>
          </w:p>
        </w:tc>
      </w:tr>
      <w:tr>
        <w:trPr>
          <w:trHeight w:val="324"/>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Filed herewith</w:t>
            </w:r>
          </w:p>
        </w:tc>
      </w:tr>
      <w:tr>
        <w:trPr>
          <w:trHeight w:val="324"/>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Filed herewith</w:t>
            </w:r>
          </w:p>
        </w:tc>
      </w:tr>
      <w:tr>
        <w:trPr>
          <w:trHeight w:val="324"/>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Filed herewith</w:t>
            </w:r>
          </w:p>
        </w:tc>
      </w:tr>
      <w:tr>
        <w:trPr>
          <w:trHeight w:val="324"/>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Filed herewith</w:t>
            </w:r>
          </w:p>
        </w:tc>
      </w:tr>
    </w:tbl>
    <w:p>
      <w:pPr>
        <w:sectPr>
          <w:pgSz w:w="11900" w:h="16838" w:orient="portrait"/>
          <w:cols w:equalWidth="0" w:num="2">
            <w:col w:w="7620" w:space="100"/>
            <w:col w:w="3420"/>
          </w:cols>
          <w:pgMar w:left="320" w:top="486"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ind w:left="120"/>
        <w:spacing w:after="0"/>
        <w:tabs>
          <w:tab w:leader="none" w:pos="5720" w:val="left"/>
          <w:tab w:leader="none" w:pos="7760" w:val="left"/>
        </w:tabs>
        <w:rPr>
          <w:sz w:val="20"/>
          <w:szCs w:val="20"/>
          <w:color w:val="auto"/>
        </w:rPr>
      </w:pPr>
      <w:r>
        <w:rPr>
          <w:rFonts w:ascii="Arial" w:cs="Arial" w:eastAsia="Arial" w:hAnsi="Arial"/>
          <w:sz w:val="18"/>
          <w:szCs w:val="18"/>
          <w:color w:val="auto"/>
        </w:rPr>
        <w:t>Date: August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6"/>
          <w:szCs w:val="16"/>
          <w:i w:val="1"/>
          <w:iCs w:val="1"/>
          <w:color w:val="auto"/>
        </w:rPr>
        <w:t>President and Chief Executive Officer, and Director</w:t>
      </w:r>
    </w:p>
    <w:p>
      <w:pPr>
        <w:spacing w:after="0" w:line="32"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120"/>
        <w:spacing w:after="0"/>
        <w:tabs>
          <w:tab w:leader="none" w:pos="5720" w:val="left"/>
          <w:tab w:leader="none" w:pos="8060" w:val="left"/>
        </w:tabs>
        <w:rPr>
          <w:sz w:val="20"/>
          <w:szCs w:val="20"/>
          <w:color w:val="auto"/>
        </w:rPr>
      </w:pPr>
      <w:r>
        <w:rPr>
          <w:rFonts w:ascii="Arial" w:cs="Arial" w:eastAsia="Arial" w:hAnsi="Arial"/>
          <w:sz w:val="18"/>
          <w:szCs w:val="18"/>
          <w:color w:val="auto"/>
        </w:rPr>
        <w:t>Date: August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Blaine Davis</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(Principal Financial Officer)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20"/>
          </w:cols>
          <w:pgMar w:left="320" w:top="486" w:right="10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Carsten Brunn, Ph.D., certify that:</w:t>
      </w:r>
    </w:p>
    <w:p>
      <w:pPr>
        <w:spacing w:after="0" w:line="131"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Selecta Biosciences,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60" w:right="100" w:hanging="533"/>
        <w:spacing w:after="0" w:line="311" w:lineRule="auto"/>
        <w:tabs>
          <w:tab w:leader="none" w:pos="1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ind w:left="1960" w:right="520" w:hanging="533"/>
        <w:spacing w:after="0" w:line="311" w:lineRule="auto"/>
        <w:tabs>
          <w:tab w:leader="none" w:pos="1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6"/>
          <w:szCs w:val="16"/>
          <w:color w:val="auto"/>
        </w:rPr>
      </w:pPr>
    </w:p>
    <w:p>
      <w:pPr>
        <w:ind w:left="1960" w:right="60" w:hanging="533"/>
        <w:spacing w:after="0" w:line="263"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6"/>
          <w:szCs w:val="16"/>
          <w:color w:val="auto"/>
        </w:rPr>
      </w:pPr>
    </w:p>
    <w:p>
      <w:pPr>
        <w:ind w:left="960" w:right="260" w:hanging="53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20" w:hanging="533"/>
        <w:spacing w:after="0" w:line="263"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00" w:hanging="533"/>
        <w:spacing w:after="0" w:line="277"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color w:val="auto"/>
        </w:rPr>
        <w:t>August 17, 2023</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President and Chief Executive Officer, and Director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20"/>
          </w:cols>
          <w:pgMar w:left="440" w:top="121"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Blaine Davis, certify that:</w:t>
      </w:r>
    </w:p>
    <w:p>
      <w:pPr>
        <w:spacing w:after="0" w:line="1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Selecta Biosciences,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60" w:right="100" w:hanging="533"/>
        <w:spacing w:after="0" w:line="311" w:lineRule="auto"/>
        <w:tabs>
          <w:tab w:leader="none" w:pos="1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ind w:left="1960" w:right="520" w:hanging="533"/>
        <w:spacing w:after="0" w:line="311" w:lineRule="auto"/>
        <w:tabs>
          <w:tab w:leader="none" w:pos="1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6"/>
          <w:szCs w:val="16"/>
          <w:color w:val="auto"/>
        </w:rPr>
      </w:pPr>
    </w:p>
    <w:p>
      <w:pPr>
        <w:ind w:left="1960" w:right="60" w:hanging="533"/>
        <w:spacing w:after="0" w:line="263"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6"/>
          <w:szCs w:val="16"/>
          <w:color w:val="auto"/>
        </w:rPr>
      </w:pPr>
    </w:p>
    <w:p>
      <w:pPr>
        <w:ind w:left="960" w:right="26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20" w:hanging="533"/>
        <w:spacing w:after="0" w:line="263"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00" w:hanging="533"/>
        <w:spacing w:after="0" w:line="277"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August 17, 2023</w:t>
      </w:r>
      <w:r>
        <w:rPr>
          <w:sz w:val="20"/>
          <w:szCs w:val="20"/>
          <w:color w:val="auto"/>
        </w:rPr>
        <w:tab/>
      </w:r>
      <w:r>
        <w:rPr>
          <w:rFonts w:ascii="Arial" w:cs="Arial" w:eastAsia="Arial" w:hAnsi="Arial"/>
          <w:sz w:val="16"/>
          <w:szCs w:val="16"/>
          <w:color w:val="auto"/>
        </w:rPr>
        <w:t>/s/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Blaine Davis</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020"/>
          </w:cols>
          <w:pgMar w:left="440" w:top="121"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In connection with the Quarterly Report on Form 10-Q of Selecta Biosciences, Inc. (the “Company”) for the period ended June 30, 2023 as filed with the Securities and Exchange Commission on the date hereof (the “Report”), each of the undersigned officers of the Company hereby certifies, pursuant to 18 U.S.C. Section 1350, that to his knowledge:</w:t>
      </w:r>
    </w:p>
    <w:p>
      <w:pPr>
        <w:spacing w:after="0" w:line="89" w:lineRule="exact"/>
        <w:rPr>
          <w:sz w:val="20"/>
          <w:szCs w:val="20"/>
          <w:color w:val="auto"/>
        </w:rPr>
      </w:pPr>
    </w:p>
    <w:p>
      <w:pPr>
        <w:ind w:left="960" w:right="88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2023 (the “Report”)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color w:val="auto"/>
        </w:rPr>
        <w:t>August 17, 2023</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President and Chief Executive Officer, and Director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August 17, 2023</w:t>
      </w:r>
      <w:r>
        <w:rPr>
          <w:sz w:val="20"/>
          <w:szCs w:val="20"/>
          <w:color w:val="auto"/>
        </w:rPr>
        <w:tab/>
      </w:r>
      <w:r>
        <w:rPr>
          <w:rFonts w:ascii="Arial" w:cs="Arial" w:eastAsia="Arial" w:hAnsi="Arial"/>
          <w:sz w:val="16"/>
          <w:szCs w:val="16"/>
          <w:color w:val="auto"/>
        </w:rPr>
        <w:t>/s/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Blaine Davis</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2"/>
    </w:lvl>
  </w:abstractNum>
  <w:abstractNum w:abstractNumId="4">
    <w:nsid w:val="4DB127F8"/>
    <w:multiLevelType w:val="hybridMultilevel"/>
    <w:lvl w:ilvl="0">
      <w:lvlJc w:val="left"/>
      <w:lvlText w:val="%1."/>
      <w:numFmt w:val="decimal"/>
      <w:start w:val="14"/>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67" Type="http://schemas.openxmlformats.org/officeDocument/2006/relationships/hyperlink" Target="http://www.sec.gov/Archives/edgar/data/1453687/000110465916129891/a16-14002_1ex3d1.htm" TargetMode="External"/><Relationship Id="rId68" Type="http://schemas.openxmlformats.org/officeDocument/2006/relationships/hyperlink" Target="http://www.sec.gov/Archives/edgar/data/0001453687/000145368722000109/exhibit31_charteramendment.htm" TargetMode="External"/><Relationship Id="rId69" Type="http://schemas.openxmlformats.org/officeDocument/2006/relationships/hyperlink" Target="http://www.sec.gov/Archives/edgar/data/0001453687/000145368722000127/exhibit32_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2023-08-17T06:28:38Z</dcterms:created>
  <dcterms:modified xsi:type="dcterms:W3CDTF">2023-08-17T06:28:38Z</dcterms:modified>
</cp:coreProperties>
</file>