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333-241692</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14, 2020)</w:t>
      </w:r>
    </w:p>
    <w:p>
      <w:pPr>
        <w:spacing w:after="0" w:line="8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27,428,572 Shares</w:t>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Warrants to Purchase up to 20,571,429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174625</wp:posOffset>
            </wp:positionV>
            <wp:extent cx="233997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997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offering 27,428,572 shares of our common stock, $0.0001 par value per share, and warrants to purchase up to 20,571,429 shares of our common stock (and the shares of common stock issuable from time to time upon exercise of such warrants). Each share of common stock sold in this offering will be accompanied by a warrant to purchase 0.75 shares of our common stock at an exercise price of $1.55 per share. Each share of common stock and accompanying warrant to purchase 0.75 shares of common stock is being sold at a combined offering price of $1.41. The shares of common stock and warrants can only be purchased together in this offering but will be issued separately and will be immediately separable upon issuance. Subject to certain ownership limitations, the warrants will be exercisable immediately, and the warrants will expire on the fifth anniversary of the date of issuance. We refer to the shares of common stock and the accompanying warrants to purchase shares of common stock to be issued in this offering, collectively, as the “securities.”</w:t>
      </w:r>
    </w:p>
    <w:p>
      <w:pPr>
        <w:spacing w:after="0" w:line="84" w:lineRule="exact"/>
        <w:rPr>
          <w:sz w:val="24"/>
          <w:szCs w:val="24"/>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“SELB.” On April 6, 2022, the last reported sale price of our common stock on Nasdaq was $1.30 per share.</w:t>
      </w:r>
    </w:p>
    <w:p>
      <w:pPr>
        <w:spacing w:after="0" w:line="62"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is no established public trading market for the warrants, and we do not expect a market to develop. In addition, we do not intend to list the warrants, nor do we expect the warrants to be quoted, on Nasdaq, or on any other national securities exchange or any other nationally recognized trading system. Without an active trading market, the liquidity of the warrants will be limited.</w:t>
      </w:r>
    </w:p>
    <w:p>
      <w:pPr>
        <w:spacing w:after="0" w:line="72" w:lineRule="exact"/>
        <w:rPr>
          <w:sz w:val="24"/>
          <w:szCs w:val="24"/>
          <w:color w:val="auto"/>
        </w:rPr>
      </w:pPr>
    </w:p>
    <w:p>
      <w:pPr>
        <w:ind w:left="120" w:right="6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SIGNIFICANT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S-7 OF THIS PROSPECTUS SUPPLEMENT AND IN THE DOCUMENTS INCORPORATED BY REFERENCE IN THIS PROSPECTUS SUPPLEMENT CONCERNING FACTORS YOU SHOULD CONSIDER BEFORE INVESTING IN OUR COMMON STOCK.</w:t>
      </w:r>
    </w:p>
    <w:p>
      <w:pPr>
        <w:spacing w:after="0" w:line="72" w:lineRule="exact"/>
        <w:rPr>
          <w:sz w:val="24"/>
          <w:szCs w:val="24"/>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31"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PER SHARE AND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ACCOMPANYING</w:t>
            </w:r>
          </w:p>
        </w:tc>
        <w:tc>
          <w:tcPr>
            <w:tcW w:w="10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38,674,286.52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0.0846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2,320,457.19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36,353,829.33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4"/>
          <w:szCs w:val="24"/>
          <w:color w:val="auto"/>
        </w:rPr>
      </w:pPr>
    </w:p>
    <w:p>
      <w:pPr>
        <w:ind w:left="540" w:right="40" w:hanging="424"/>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offering-related expenses. See “Underwriting” for additional information regarding these expenses and the underwriting discounts and commissions payable in this offering.</w:t>
      </w:r>
    </w:p>
    <w:p>
      <w:pPr>
        <w:spacing w:after="0" w:line="62" w:lineRule="exact"/>
        <w:rPr>
          <w:sz w:val="24"/>
          <w:szCs w:val="24"/>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TAS Partners LLC, an entity affiliated with Timothy A. Springer, Ph.D., a member of our Board of Directors, and an existing holder of our common stock, has agreed to purchase 6,681,600 shares of our common stock and warrants to purchase 5,011,200 shares of our common stock at the offering price and on the same terms and conditions as the other purchasers in this offering, which is equal to the amount necessary to maintain its current beneficial ownership in our common stock on a fully diluted basis after the offering. The underwriters will receive the same underwriting discount on the securities purchased by TAS Partners LLC as they will on any other securities sold in this offering.</w:t>
      </w:r>
    </w:p>
    <w:p>
      <w:pPr>
        <w:spacing w:after="0" w:line="5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Delivery of the securities is expected to be made on or about April 11, 2022.</w:t>
      </w:r>
    </w:p>
    <w:p>
      <w:pPr>
        <w:spacing w:after="0" w:line="117" w:lineRule="exact"/>
        <w:rPr>
          <w:sz w:val="24"/>
          <w:szCs w:val="24"/>
          <w:color w:val="auto"/>
        </w:rPr>
      </w:pPr>
    </w:p>
    <w:p>
      <w:pPr>
        <w:ind w:left="4620"/>
        <w:spacing w:after="0"/>
        <w:rPr>
          <w:sz w:val="20"/>
          <w:szCs w:val="20"/>
          <w:color w:val="auto"/>
        </w:rPr>
      </w:pPr>
      <w:r>
        <w:rPr>
          <w:rFonts w:ascii="Arial" w:cs="Arial" w:eastAsia="Arial" w:hAnsi="Arial"/>
          <w:sz w:val="18"/>
          <w:szCs w:val="18"/>
          <w:i w:val="1"/>
          <w:iCs w:val="1"/>
          <w:color w:val="auto"/>
        </w:rPr>
        <w:t>Sole Bookrunning Manager</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SVB Leerink</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Lead Manager</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Canaccord Genuity</w:t>
      </w:r>
    </w:p>
    <w:p>
      <w:pPr>
        <w:sectPr>
          <w:pgSz w:w="11900" w:h="16838" w:orient="portrait"/>
          <w:cols w:equalWidth="0" w:num="1">
            <w:col w:w="11140"/>
          </w:cols>
          <w:pgMar w:left="320" w:top="230" w:right="439" w:bottom="1440" w:gutter="0" w:footer="0" w:header="0"/>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April 6, 2022.</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0" w:type="dxa"/>
            <w:vAlign w:val="bottom"/>
            <w:gridSpan w:val="2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8"/>
              </w:rPr>
              <w:t>TABLE OF CONTENTS</w:t>
            </w:r>
          </w:p>
        </w:tc>
        <w:tc>
          <w:tcPr>
            <w:tcW w:w="2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7"/>
              </w:rPr>
              <w:t>PROSPECTUS SUPPLEMENT</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240" w:type="dxa"/>
            <w:vAlign w:val="bottom"/>
            <w:gridSpan w:val="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290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40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USE OF PROCEEDS</w:t>
              </w:r>
            </w:hyperlink>
          </w:p>
        </w:tc>
        <w:tc>
          <w:tcPr>
            <w:tcW w:w="71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DIVIDEND POLICY</w:t>
              </w:r>
            </w:hyperlink>
          </w:p>
        </w:tc>
        <w:tc>
          <w:tcPr>
            <w:tcW w:w="71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DILUTION</w:t>
              </w:r>
            </w:hyperlink>
          </w:p>
        </w:tc>
        <w:tc>
          <w:tcPr>
            <w:tcW w:w="782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U.S. FEDERAL INCOME TAX CONSIDERATIONS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DESCRIPTION OF WARRANTS</w:t>
              </w:r>
            </w:hyperlink>
          </w:p>
        </w:tc>
        <w:tc>
          <w:tcPr>
            <w:tcW w:w="2380" w:type="dxa"/>
            <w:vAlign w:val="bottom"/>
            <w:tcBorders>
              <w:top w:val="single" w:sz="8" w:color="0000EE"/>
            </w:tcBorders>
            <w:gridSpan w:val="5"/>
          </w:tcPr>
          <w:p>
            <w:pPr>
              <w:spacing w:after="0"/>
              <w:rPr>
                <w:sz w:val="17"/>
                <w:szCs w:val="17"/>
                <w:color w:val="auto"/>
              </w:rPr>
            </w:pPr>
          </w:p>
        </w:tc>
        <w:tc>
          <w:tcPr>
            <w:tcW w:w="382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UNDERWRITING</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LEGAL MATTERS</w:t>
              </w:r>
            </w:hyperlink>
          </w:p>
        </w:tc>
        <w:tc>
          <w:tcPr>
            <w:tcW w:w="722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WHERE YOU CAN FIND MORE INFORMATION; INCORPORATION BY REFERENCE</w:t>
              </w:r>
            </w:hyperlink>
          </w:p>
        </w:tc>
        <w:tc>
          <w:tcPr>
            <w:tcW w:w="19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r>
      <w:tr>
        <w:trPr>
          <w:trHeight w:val="45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6"/>
              </w:rPr>
              <w:t>PROSPECTUS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WHERE YOU CAN FIND MORE INFORMATION; INCORPORATION BY REFERENCE</w:t>
              </w:r>
            </w:hyperlink>
          </w:p>
        </w:tc>
        <w:tc>
          <w:tcPr>
            <w:tcW w:w="19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THE COMPANY</w:t>
              </w:r>
            </w:hyperlink>
          </w:p>
        </w:tc>
        <w:tc>
          <w:tcPr>
            <w:tcW w:w="740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USE OF PROCEEDS</w:t>
              </w:r>
            </w:hyperlink>
          </w:p>
        </w:tc>
        <w:tc>
          <w:tcPr>
            <w:tcW w:w="71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CAPITAL STOCK</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DESCRIPTION OF DEBT SECURITIES</w:t>
              </w:r>
            </w:hyperlink>
          </w:p>
        </w:tc>
        <w:tc>
          <w:tcPr>
            <w:tcW w:w="566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DESCRIPTION OF WARRANTS</w:t>
              </w:r>
            </w:hyperlink>
          </w:p>
        </w:tc>
        <w:tc>
          <w:tcPr>
            <w:tcW w:w="620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DESCRIPTION OF UNITS</w:t>
              </w:r>
            </w:hyperlink>
          </w:p>
        </w:tc>
        <w:tc>
          <w:tcPr>
            <w:tcW w:w="666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GLOBAL SECURITIES</w:t>
              </w:r>
            </w:hyperlink>
          </w:p>
        </w:tc>
        <w:tc>
          <w:tcPr>
            <w:tcW w:w="688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6640" w:type="dxa"/>
            <w:vAlign w:val="bottom"/>
            <w:gridSpan w:val="1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86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This prospectus supplement is part of a registration statement that we have filed with the Securities and Exchange Commission, or the SEC, utilizing a “shelf” registration process, and relates to the offering of our securities. Before buying any of the securities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provide information to you about this offering of our securities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9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Neither we nor the underwriters have authorized anyone to provide you with different information. We take no responsibility for, and can provide no assurance as to the reliability of, any information that others may give. Neither we nor any of the underwriters are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When we refer to “Selecta,” “we,” “our,” “us,” the “Company” and “our company” in this prospectus supplement, we mean Selecta Biosciences, Inc., unless otherwise specified. When we refer to “you,” we mean the holders of the applicable series of securities.</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We use our registered trademark, Selecta Biosciences, Inc., in this prospectus supplement. This prospectus supplement may also include trademarks, tradenames and service marks that are the property of other organizations. Solely for convenience, trademarks and tradenames referred to in this prospectus supplement appear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In some cases, you can identify forward-looking statements by terms such as “may,” “will,” “should,” “expect,” “plan,” “anticipate,” “could,” “intend,” “target,” “project,” “contemplates,” “believes,” “estimates,” “predicts,” “potential” or “continue” or the negative of these terms or other similar expressions. These forward-looking statements include, but are not limited to, statements about:</w:t>
      </w:r>
    </w:p>
    <w:p>
      <w:pPr>
        <w:spacing w:after="0" w:line="7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the continuity of our business, including our preclinical studies and clinical trials, and general economic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our growth;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proceeds from this offering.</w:t>
      </w:r>
    </w:p>
    <w:p>
      <w:pPr>
        <w:spacing w:after="0" w:line="22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forward-looking statements in this prospectus supplement, the accompanying base prospectus and the documents incorporated by reference herein and therein and any free writing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respective dates of this prospectus supplement, the accompanying base prospectus and the documents incorporated by reference herein and therein and any free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writing prospectus, as applicable, and are subject to a number of risks, uncertainties and assumptions, including those described under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w:t>
      </w:r>
    </w:p>
    <w:p>
      <w:pPr>
        <w:spacing w:after="0" w:line="2"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36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100" w:firstLine="426"/>
        <w:spacing w:after="0" w:line="291" w:lineRule="auto"/>
        <w:rPr>
          <w:sz w:val="20"/>
          <w:szCs w:val="20"/>
          <w:color w:val="auto"/>
        </w:rPr>
      </w:pPr>
      <w:r>
        <w:rPr>
          <w:rFonts w:ascii="Arial" w:cs="Arial" w:eastAsia="Arial" w:hAnsi="Arial"/>
          <w:sz w:val="16"/>
          <w:szCs w:val="16"/>
          <w:i w:val="1"/>
          <w:iCs w:val="1"/>
          <w:color w:val="auto"/>
        </w:rPr>
        <w:t>This summary highlights selected information about us, this offering and information appearing elsewhere in this prospectus supplement, in the accompanying prospectus and in the documents we incorporate by reference. This summary is not complete and does not contain all of the information you should consider before investing in our securities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S-7 of this prospectus supplement, the financial statements and related notes, and the other information that we incorporate by reference into this prospectus supplement, including the section titled “Risk Factors” in our Annual Report on Form 10-K for the year ended December 31, 2021.</w:t>
      </w: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600" w:firstLine="426"/>
        <w:spacing w:after="0" w:line="342" w:lineRule="auto"/>
        <w:rPr>
          <w:sz w:val="20"/>
          <w:szCs w:val="20"/>
          <w:color w:val="auto"/>
        </w:rPr>
      </w:pPr>
      <w:r>
        <w:rPr>
          <w:rFonts w:ascii="Arial" w:cs="Arial" w:eastAsia="Arial" w:hAnsi="Arial"/>
          <w:sz w:val="16"/>
          <w:szCs w:val="16"/>
          <w:color w:val="auto"/>
        </w:rPr>
        <w:t>We are a clinical-stage biopharmaceutical company. Our ImmTOR</w:t>
      </w:r>
      <w:r>
        <w:rPr>
          <w:rFonts w:ascii="Arial" w:cs="Arial" w:eastAsia="Arial" w:hAnsi="Arial"/>
          <w:sz w:val="13"/>
          <w:szCs w:val="13"/>
          <w:color w:val="auto"/>
        </w:rPr>
        <w:t>®</w:t>
      </w:r>
      <w:r>
        <w:rPr>
          <w:rFonts w:ascii="Arial" w:cs="Arial" w:eastAsia="Arial" w:hAnsi="Arial"/>
          <w:sz w:val="16"/>
          <w:szCs w:val="16"/>
          <w:color w:val="auto"/>
        </w:rPr>
        <w:t xml:space="preserve"> platform encapsulates rapamycin, also known as sirolimus, an FDA-approved immunomodulator, in biodegradable nanoparticles, and ImmTOR is designed to induce antigen-specific immune tolerance.</w:t>
      </w:r>
    </w:p>
    <w:p>
      <w:pPr>
        <w:spacing w:after="0" w:line="124"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188"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65 Grove Street, Watertown, MA 02472, and our telephone number is (617) 923-1400.</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We qualify as a “smaller reporting company” under the rules of the Securities Act of 1933, as amended, or the Securities Act, and the Securities Exchange Act of 1934, as amended, or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greater than</w:t>
      </w:r>
    </w:p>
    <w:p>
      <w:pPr>
        <w:spacing w:after="0" w:line="1"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27,428,572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Warrants offered by us</w:t>
      </w:r>
      <w:r>
        <w:rPr>
          <w:sz w:val="20"/>
          <w:szCs w:val="20"/>
          <w:color w:val="auto"/>
        </w:rPr>
        <w:tab/>
      </w:r>
      <w:r>
        <w:rPr>
          <w:rFonts w:ascii="Arial" w:cs="Arial" w:eastAsia="Arial" w:hAnsi="Arial"/>
          <w:sz w:val="16"/>
          <w:szCs w:val="16"/>
          <w:color w:val="auto"/>
        </w:rPr>
        <w:t>We are offering warrants to purchase an aggregate of 20,571,429 shares of our common</w:t>
      </w:r>
    </w:p>
    <w:p>
      <w:pPr>
        <w:spacing w:after="0" w:line="23" w:lineRule="exact"/>
        <w:rPr>
          <w:sz w:val="20"/>
          <w:szCs w:val="20"/>
          <w:color w:val="auto"/>
        </w:rPr>
      </w:pPr>
    </w:p>
    <w:p>
      <w:pPr>
        <w:ind w:left="4340" w:right="40"/>
        <w:spacing w:after="0" w:line="285" w:lineRule="auto"/>
        <w:rPr>
          <w:sz w:val="20"/>
          <w:szCs w:val="20"/>
          <w:color w:val="auto"/>
        </w:rPr>
      </w:pPr>
      <w:r>
        <w:rPr>
          <w:rFonts w:ascii="Arial" w:cs="Arial" w:eastAsia="Arial" w:hAnsi="Arial"/>
          <w:sz w:val="16"/>
          <w:szCs w:val="16"/>
          <w:color w:val="auto"/>
        </w:rPr>
        <w:t>stock. Each share of our common stock is being sold together with a warrant to purchase 0.75 shares of our common stock. Each share of common stock and accompanying warrant to purchase 0.75 shares of common stock is being sold at a combined offering price of $1.41. Each warrant has an exercise price of $1.55 per share, is immediately exercisable and will expire on the five year anniversary of the date of issuance. This prospectus supplement also relates to the offering of the shares of common stock issuable upon exercise of the warrants. There is no established public trading market for the warrants being offered in this offering, and we do not expect a market to develop. In addition, we do not intend to apply for a listing of the warrants on any securities exchange. Without an active market, the liquidity of the warrants will be limited. For additional information regarding the warrants, see “Description of Capital Stock—Warrants” below.</w:t>
      </w:r>
    </w:p>
    <w:p>
      <w:pPr>
        <w:sectPr>
          <w:pgSz w:w="11900" w:h="16838" w:orient="portrait"/>
          <w:cols w:equalWidth="0" w:num="1">
            <w:col w:w="10940"/>
          </w:cols>
          <w:pgMar w:left="320" w:top="459" w:right="639" w:bottom="1440" w:gutter="0" w:footer="0" w:header="0"/>
        </w:sectPr>
      </w:pPr>
    </w:p>
    <w:p>
      <w:pPr>
        <w:spacing w:after="0" w:line="201"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Shares of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151,051,537 shares, assuming no exercise of any warrants issued in this offering.</w:t>
      </w:r>
    </w:p>
    <w:p>
      <w:pPr>
        <w:spacing w:after="0" w:line="200" w:lineRule="exact"/>
        <w:rPr>
          <w:sz w:val="20"/>
          <w:szCs w:val="20"/>
          <w:color w:val="auto"/>
        </w:rPr>
      </w:pPr>
    </w:p>
    <w:p>
      <w:pPr>
        <w:spacing w:after="0" w:line="29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intend to use the net proceeds of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 See the section entitled “Use of Proceeds” on page S-9 of this prospectus supplement.</w:t>
      </w:r>
    </w:p>
    <w:p>
      <w:pPr>
        <w:spacing w:after="0" w:line="200" w:lineRule="exact"/>
        <w:rPr>
          <w:sz w:val="20"/>
          <w:szCs w:val="20"/>
          <w:color w:val="auto"/>
        </w:rPr>
      </w:pPr>
    </w:p>
    <w:p>
      <w:pPr>
        <w:sectPr>
          <w:pgSz w:w="11900" w:h="16838" w:orient="portrait"/>
          <w:cols w:equalWidth="0" w:num="2">
            <w:col w:w="4040" w:space="300"/>
            <w:col w:w="6600"/>
          </w:cols>
          <w:pgMar w:left="320" w:top="459" w:right="639" w:bottom="1440" w:gutter="0" w:footer="0" w:header="0"/>
          <w:type w:val="continuous"/>
        </w:sectPr>
      </w:pPr>
    </w:p>
    <w:p>
      <w:pPr>
        <w:spacing w:after="0" w:line="19"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beginning on page S-7 of this prospectus supplement and the other</w:t>
      </w:r>
    </w:p>
    <w:p>
      <w:pPr>
        <w:spacing w:after="0" w:line="23" w:lineRule="exact"/>
        <w:rPr>
          <w:sz w:val="20"/>
          <w:szCs w:val="20"/>
          <w:color w:val="auto"/>
        </w:rPr>
      </w:pPr>
    </w:p>
    <w:p>
      <w:pPr>
        <w:ind w:left="4340" w:right="20"/>
        <w:spacing w:after="0" w:line="255" w:lineRule="auto"/>
        <w:rPr>
          <w:sz w:val="20"/>
          <w:szCs w:val="20"/>
          <w:color w:val="auto"/>
        </w:rPr>
      </w:pPr>
      <w:r>
        <w:rPr>
          <w:rFonts w:ascii="Arial" w:cs="Arial" w:eastAsia="Arial" w:hAnsi="Arial"/>
          <w:sz w:val="18"/>
          <w:szCs w:val="18"/>
          <w:color w:val="auto"/>
        </w:rPr>
        <w:t>information included in, or incorporated by reference into, this prospectus supplement for a discussion of certain factors you should carefully consider before deciding to invest in our securities.</w:t>
      </w:r>
    </w:p>
    <w:p>
      <w:pPr>
        <w:spacing w:after="0" w:line="217"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Nasdaq symbol</w:t>
      </w:r>
      <w:r>
        <w:rPr>
          <w:sz w:val="20"/>
          <w:szCs w:val="20"/>
          <w:color w:val="auto"/>
        </w:rPr>
        <w:tab/>
      </w:r>
      <w:r>
        <w:rPr>
          <w:rFonts w:ascii="Arial" w:cs="Arial" w:eastAsia="Arial" w:hAnsi="Arial"/>
          <w:sz w:val="16"/>
          <w:szCs w:val="16"/>
          <w:color w:val="auto"/>
        </w:rPr>
        <w:t>Our common stock currently is listed on Nasdaq under the symbol “SELB.” We do not</w:t>
      </w:r>
    </w:p>
    <w:p>
      <w:pPr>
        <w:spacing w:after="0" w:line="23" w:lineRule="exact"/>
        <w:rPr>
          <w:sz w:val="20"/>
          <w:szCs w:val="20"/>
          <w:color w:val="auto"/>
        </w:rPr>
      </w:pPr>
    </w:p>
    <w:p>
      <w:pPr>
        <w:ind w:left="4340"/>
        <w:spacing w:after="0" w:line="323" w:lineRule="auto"/>
        <w:rPr>
          <w:sz w:val="20"/>
          <w:szCs w:val="20"/>
          <w:color w:val="auto"/>
        </w:rPr>
      </w:pPr>
      <w:r>
        <w:rPr>
          <w:rFonts w:ascii="Arial" w:cs="Arial" w:eastAsia="Arial" w:hAnsi="Arial"/>
          <w:sz w:val="16"/>
          <w:szCs w:val="16"/>
          <w:color w:val="auto"/>
        </w:rPr>
        <w:t>intend to list the warrants, nor do we expect the warrants to be quoted, on Nasdaq or on any other national securities exchange or any other nationally recognized trading system.</w:t>
      </w:r>
    </w:p>
    <w:p>
      <w:pPr>
        <w:spacing w:after="0" w:line="138"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123,622,965 shares of our common stock outstanding as of December 31, 2021. The number of shares outstanding as of December 31, 2021 excludes:</w:t>
      </w:r>
    </w:p>
    <w:p>
      <w:pPr>
        <w:spacing w:after="0" w:line="76" w:lineRule="exact"/>
        <w:rPr>
          <w:sz w:val="20"/>
          <w:szCs w:val="20"/>
          <w:color w:val="auto"/>
        </w:rPr>
      </w:pPr>
    </w:p>
    <w:p>
      <w:pPr>
        <w:ind w:left="1240" w:right="4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11,039,873 shares of common stock issuable upon exercise of stock options outstanding as of December 31, 2021, at a weighted average exercise price of $4.08 per share;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394,450 shares of common stock issuable upon vesting of restricted stock units outstanding as of December 31, 2021;</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44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344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1,925,537 shares of common stock reserved for future issuance under our 2016 Incentive Award Plan as of December 31, 2021;</w:t>
      </w:r>
    </w:p>
    <w:p>
      <w:pPr>
        <w:spacing w:after="0" w:line="153" w:lineRule="exact"/>
        <w:rPr>
          <w:rFonts w:ascii="Arial" w:cs="Arial" w:eastAsia="Arial" w:hAnsi="Arial"/>
          <w:sz w:val="16"/>
          <w:szCs w:val="16"/>
          <w:color w:val="auto"/>
        </w:rPr>
      </w:pPr>
    </w:p>
    <w:p>
      <w:pPr>
        <w:ind w:left="1240" w:right="1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2,522,366 shares of common stock reserved for future issuance under our 2016 Employee Stock Purchase Plan as of December 31, 2021;</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1,591,661 shares of common stock reserved for future issuance under our 2018 Employment Inducement Incentive Award Plan as of December 31, 2021; and</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10,735,980 shares of common stock issuable upon exercise of warrants outstanding as of December 31, 2021, at a weighted average exercise price of $1.62 per share.</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this prospectus supplement reflects and assumes:</w:t>
      </w:r>
    </w:p>
    <w:p>
      <w:pPr>
        <w:spacing w:after="0" w:line="131"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the outstanding options and warrants described above subsequent to December 31, 2021;</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vesting of the outstanding restricted stock units described above subsequent to December 31, 2021;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the warrants issued in this offering.</w:t>
      </w:r>
    </w:p>
    <w:p>
      <w:pPr>
        <w:spacing w:after="0" w:line="33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760"/>
          </w:cols>
          <w:pgMar w:left="320" w:top="459" w:right="8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Investment in any securities offered pursuant to this prospectus supplement and the accompanying base prospectus involves risks. You should carefully consider the risk factors described below and in our Annual Report on Form 10-K for the year ended December 31, 2021 incorporated by reference in this 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If you purchase securities sold in this offering, you will experience immediate and substantial dilution in the net tangible book value of your shares of common stock. In addition, we may issue additional equity or convertible debt securities in the future, which may result in additional dilution to you.</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combined price per share of our common stock and accompanying warrant being offered is higher than the net tangible book value per share of our outstanding common stock prior to this offering. Accordingly, if you purchase securities in this offering, you will incur immediate dilution of approximately $1.02 per share of common stock, representing the difference between the offering price of $1.41 per common stock and accompanying warrant to purchase 0.75 shares of our common stock, and our as adjusted net tangible book value as of December 31, 2021. Furthermore, if outstanding options are exercised or restricted stock units vest, you could experience further dilution. For a more detailed discussion of the foregoing, see the section entitled “Dilution” below. To the extent outstanding stock options or warrants are exercised, there will be further dilution to investors in this offering.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We also plan to propose to our stockholders an increase in our authorized share capital in the proxy statement for our 2022 annual meeting of stockholders to be filed with the SEC, which, if approved by our stockholders, would permit us to issue additional securities.</w:t>
      </w:r>
    </w:p>
    <w:p>
      <w:pPr>
        <w:spacing w:after="0" w:line="29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may be sold into the market at any time, which could cause the market price of our common stock to drop significantly, even if our business is doing well.</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Such sales, or the perception in the market that the holders of a large number of such shares intend to sell, could reduce the market price of our common stock significantly. In connection with this offering, we and our executive officers and directors have entered into lock-up agreements with SVB Securities LLC, or SVB Leerink, as representative of the several underwriters, that prohibit us and our executive officers and directors, subject to certain exceptions or receipt of the prior written consent of SVB Leerink, from disposing or pledging, or hedging against, our common stock or securities convertible into or exchangeable for shares of our common stock for periods of up to 90 days after the date of this prospectus supplement. However, all of the shares of common stock and accompanying warrants sold in this offering and the remaining shares of our common stock outstanding immediately prior to this offering will not be subject to lock-up agreements and, except to the extent such shares are held by our affiliates, will be freely tradable without restriction. In addition, SVB Leerink may, in its discretion, release the lock-up restrictions described above at any time without notice.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 The failure by our management to apply these funds effectively could harm our business. 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There is no public market for the warrants to purchase shares of our common stock being offered in this offering.</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to list the warrants on any national securities exchange or other nationally recognized trading system, including Nasdaq. Without an active market, the liquidity of the warrants will be limited.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Holders of our warrants will have no rights as a common stockholder until they acquire our common stock.</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Until you acquire shares of our common stock upon exercise of the warrants, you will have no rights with respect to shares of our common stock issuable upon exercise of the warrants. Upon exercise of your warrants, you will be entitled to exercise the rights of a common stockholder only as to matters for which the record date occurs after the exercise date.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warrants are speculative in nature.</w:t>
      </w:r>
    </w:p>
    <w:p>
      <w:pPr>
        <w:spacing w:after="0" w:line="11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The warrants offered hereby do not confer any rights of common stock ownership on their holders, such as voting rights or the right to receive dividends, but rather merely represent the right to acquire shares of common stock at a fixed price. Specifically, commencing on the date of issuance, holders of the warrants may acquire the common stock issuable upon exercise of such warrants at an exercise price of $1.55 per share. Moreover, following this offering, the market value of the warrants is uncertain and there can be no assurance that the market value of the warrants will equal or exceed their offering price. There can be no assurance that the market price of the common stock will ever equal or exceed the exercise price of the warrants and consequently, whether it will ever be profitable for holders of the warrants to exercise the warrants.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estimate that the net proceeds from this offering, after deducting underwriting discounts and commissions and estimated offering expenses payable by us, will be approximately $36.0 million. If all the warrants are exercised for cash at an exercise price of $1.55 per share, then our net proceeds will be approximately $67.9 million, after deducting underwriting discounts and commissions and estimated offering expenses payable by us. We cannot predict when or if the warrants will be exercised. It is possible that the warrants may expire and may never be exercised.</w:t>
      </w:r>
    </w:p>
    <w:p>
      <w:pPr>
        <w:spacing w:after="0" w:line="15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intend to use the net proceeds from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have broad discretion to allocate the net proceeds to us from this offering, and investors will be relying on the judgment of our management regarding the application of the net proceeds from this offering. We reserve the right to change the use of these proceeds as a result of certain contingencies such as competitive developments, the results of our commercialization efforts, acquisition and investment opportunities and other factors.</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Pending the uses described above, we plan to invest the net proceeds from this offering in short- and intermediate-term, interest-bearing obligations, investment-grade instruments, certificates of deposit or direct or guaranteed obligations of the U.S. government. We may also use a portion of the net proceeds to in-license, acquire or invest in complementary technologies, products or assets. However, we have no current plans, commitments or obligations to do so.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 with Oxford Finance LLC and Silicon Valley Bank.</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80"/>
          </w:cols>
          <w:pgMar w:left="32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net tangible book value as of December 31, 2021 was approximately $22.5 million, or approximately $0.18 per share of common stock, based upon 123,622,965 shares outstanding as of December 31, 2021. Net tangible book value per share is equal to our total tangible assets, less our total liabilities, divided by the total number of shares outstanding as of December 31, 2021.</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After giving effect to the sale by us of 27,428,572 shares of common stock and accompanying warrants to purchase an aggregate of 20,571,429 shares of common stock in this offering at the offering price of $1.41 per share of common stock and accompanying warrant to purchase 0.75 shares, and after deducting underwriting discounts and commissions and estimated offering expenses payable by us, our as adjusted net tangible book value as of December 31, 2021 would have been approximately $58.5 million, or approximately $0.39 per share. This represents an immediate increase in net tangible book value of $0.21 per share to our existing stockholders and an immediate dilution in net tangible book value of approximately $1.02 per share to investors purchasing shares of common stock in this offering.</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calculation on a per share basis:</w:t>
            </w: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 and accompanying warrant</w:t>
            </w:r>
          </w:p>
        </w:tc>
        <w:tc>
          <w:tcPr>
            <w:tcW w:w="2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tangible book value per share as of December 31, 2021</w:t>
            </w:r>
          </w:p>
        </w:tc>
        <w:tc>
          <w:tcPr>
            <w:tcW w:w="2440" w:type="dxa"/>
            <w:vAlign w:val="bottom"/>
            <w:gridSpan w:val="3"/>
          </w:tcPr>
          <w:p>
            <w:pPr>
              <w:jc w:val="right"/>
              <w:ind w:right="460"/>
              <w:spacing w:after="0"/>
              <w:rPr>
                <w:sz w:val="20"/>
                <w:szCs w:val="20"/>
                <w:color w:val="auto"/>
              </w:rPr>
            </w:pPr>
            <w:r>
              <w:rPr>
                <w:rFonts w:ascii="Arial" w:cs="Arial" w:eastAsia="Arial" w:hAnsi="Arial"/>
                <w:sz w:val="18"/>
                <w:szCs w:val="18"/>
                <w:color w:val="auto"/>
              </w:rPr>
              <w:t>$0.18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2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15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2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foregoing discussion and table assume no exercise of the warrants sold in this offering. If any of the warrants being sold in this offering are exercised, you will experience further dilution.</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foregoing table also does not give effect to the exercise of any outstanding options or warrants or the vesting of any restricted stock units. To the extent outstanding options and warrants are exercised, or restricted stock units vest, there may be further dilution to investors in this offering.</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123,622,965 shares of our common stock outstanding as of December 31, 2021. The number of shares outstanding as of December 31, 2021 excludes:</w:t>
      </w:r>
    </w:p>
    <w:p>
      <w:pPr>
        <w:spacing w:after="0" w:line="76" w:lineRule="exact"/>
        <w:rPr>
          <w:sz w:val="20"/>
          <w:szCs w:val="20"/>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11,039,873 shares of common stock issuable upon exercise of stock options outstanding as of December 31, 2021, at a weighted average exercise price of $4.08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394,450 shares of common stock issuable upon vesting of restricted stock units outstanding as of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1,925,537 shares of common stock reserved for future issuance under our 2016 Incentive Award Plan as of December 31,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2,522,366 shares of common stock reserved for future issuance under our 2016 Employee Stock Purchase Plan as of December 31, 2021;</w:t>
      </w:r>
    </w:p>
    <w:p>
      <w:pPr>
        <w:spacing w:after="0" w:line="153"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1,591,661 shares of common stock reserved for future issuance under our 2018 Employment Inducement Incentive Award Plan as of December 31, 2021;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10,735,980 shares of common stock issuable upon exercise of warrants outstanding as of December 31, 2021, at a weighted average exercise price of $1.62 per share.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following discussion is a summary of the material U.S. federal income tax considerations of the acquisition, ownership and disposition of shares of our common stock and warrants acquired in this offering by non-U.S. holders (as defined below) and the acquisition, ownership and disposition of warrants acquired in this offering by U.S. holders (as defined below) that, in each case, hold such shares or warrants as a capital asset within the meaning of Section 1221 of the Code (generally, property held for investment).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section is based on current provisions of the U.S. Internal Revenue Code of 1986 (the “Code”), U.S. Treasury Regulations promulgated thereunder,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holders described in this prospectus supplement. There can be no assurance that the U.S. Internal Revenue Service, or the IRS, will not challenge one or more of the tax consequences described herein.</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a particular holder in light of that holder’s individual circumstances nor does it address U.S. state, local or non-U.S. taxes, U.S. federal estate or gift tax laws, the alternative minimum tax, the Medicare tax on net investment income or any other aspect of any U.S. federal tax other than the income tax. This discussion also does not consider any specific facts or circumstances that may apply to a holder and does not address the special tax rules applicable to certain holders, such as:</w:t>
      </w:r>
    </w:p>
    <w:p>
      <w:pPr>
        <w:spacing w:after="0" w:line="63"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traders that have elected to mark securities to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deemed to sell our common stock or warrants under the constructive sale provisions of the Code;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or warrants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hold or receive our common stock or warrants pursuant to the exercise of any employee stock option or otherwise as compensation;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This discussion does not address the tax treatment of partnerships (including any entity or arrangements treated as a partnership for U.S. federal income tax purposes) or persons that hold their common stock through such a partnerships. If an entity or arrangement treated as a partnership for U.S. federal income tax purposes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holds our common stock or warrants, the tax treatment of a partner in the partnership will depend on the status of the partner, the activities of the partnership and certain determinations made at the partner level. A partner in a partnership or other pass-through entity (including an entity or arrangement that is treated as partnerships for U.S. federal income tax purposes) that will hold our common stock should consult his, her or its tax advisor regarding the tax consequences of acquiring, holding and disposing of our common stock through a partnership or other pass-through entity, as applicable.</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discussion is for general information only and is not intended to be, and may not be construed as, tax advice. Accordingly, all prospective holders of our common stock or warrants should consult their tax advisors with respect to the U.S. federal, state, local and non-U.S. tax consequences of the purchase, ownership and disposition of our common stock or warrants.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Material U.S. Federal Income Tax Considerations of Owning and Disposing of Warrants for U.S. Holders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discusses the material U.S. federal income tax consideration of owning and disposing of our warrants for a U.S. holder. This section does not address the U.S. federal income tax considerations for U.S. holders of owning or disposing of shares of our common stock or of backup withholding and information reporting.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this discussion, a U.S. holder is any beneficial owner of our common stock or warrants that, for U.S. federal income tax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w:t>
      </w:r>
    </w:p>
    <w:p>
      <w:pPr>
        <w:spacing w:after="0" w:line="11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domestic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trust’s administration and one or more U.S. persons have authority to control all of the trust’s substantial decisions or (B) the trust has validly elected to be treated as a U.S. person for U.S. federal income tax purposes.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Purchase Price Between Shares and Warrants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our common stock and accompanying warrants are sold together, a purchaser of shares of our common stock and accompanying warrants must allocate its purchase price between each share and the accompanying warrant based on their respective relative fair market values at the time of issuance. This allocation of the purchase price will establish the holder’s initial tax basis for U.S. federal income tax purposes for each share and warrant. A holder’s allocation of the purchase price among the shares and warrants is not binding on the IRS or the courts, and no assurance can be given that the IRS or the courts will agree with a holder’s allocation. Each holder should consult its own tax advisor regarding the allocation of the purchase price among the shares and warrants.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Exercise of Warrants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U.S. holder generally will not recognize gain or loss for U.S. federal income tax purposes on the exercise of a common warrant and the related receipt of common stock. A U.S. holder’s tax basis in the common stock received upon exercise of the common warrant generally will equal the sum of the U.S. holder’s tax basis in the warrant and the exercise price. A U.S. holder’s holding period for shares of common stock acquired pursuant to an exercise of warrants will commence on the date of exercise of the warrant and will not include the period during which the U.S. holder held the warrant.</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certain circumstances, the warrants may be exercised on a cashless basis. The U.S. federal income tax treatment of an exercise of a warrant on a cashless basis is not clear, and could differ from the consequences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described above. It is possible that a cashless exercise is a non-taxable transaction, either because the exercise is not treated as a realization event or because the exercise is treated as a tax-free recapitalization for U.S. federal income tax purposes. Under either characterization, a U.S. holder’s tax basis in the common stock received generally would equal the U.S. holder’s tax basis in the warrants. If the cashless exercise was not a realization event, it is unclear whether a U.S. holder’s holding period for the shares of common stock acquired pursuant to the cashless exercise will commence on the date of exercise of the warrant or the day following the date of exercise of the warrant. If the cashless exercise were treated as a recapitalization, the holding period of the shares of common stock acquired pursuant to it would include the holding period of the warrants.</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It is also possible that a cashless exercise is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shares of common stock received pursuant to the cashless exercise would equal the sum of the U.S. holder’s tax basis in the warrants exercised and the exercise price of such warrants. It is unclear whether a U.S. holder’s holding period for the common stock would commence on the date of exercise of the warrant or the day following the date of exercise of the warrant.</w:t>
      </w:r>
    </w:p>
    <w:p>
      <w:pPr>
        <w:spacing w:after="0" w:line="19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Holders are urged to consult their tax advisors as to the consequences of an exercise of a common warrant on a cashless basis, including with respect to their holding period and tax basis in the common stock received.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Lapse of Warrants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U.S. holder allows a common warrant to expire unexercised, such holder will recognize a capital loss for U.S. federal income tax purposes in an amount equal to such holder’s tax basis in the common warrant. Any such loss generally will be a capital loss and will be long-term capital loss if the common warrant is held for more than one year. The deductibility of capital losses is subject to limitations.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Contingent Payments on the Warrants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warrants entitle a holder to receive payments upon the occurrence of certain contingencies, including a distribution on shares of our common stock or our failure to deliver shares of common stock upon exercise of a common warrant. The tax treatment of such payments, if made, is subject to substantial uncertainty. Holders should consult their own tax advisors as to the appropriate U.S. federal income tax treatment of any such contingent payments that may be made to them in respect of the warrants.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discusses the material U.S. federal income tax consequences of acquiring, owning and disposing of shares of our common stock and warrants to a non-U.S. holder. For purposes of this discussion, a U.S. holder is any beneficial owner of our common stock or warrants that, for U.S. federal income tax purposes, is:</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corporation or any other foreign association taxable as a corporation for U.S. federal income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Purchase Price Between Shares and Warrants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If it is relevant for a non-U.S. holder to determine its tax basis in shares of common stock or warrants for U.S. federal income tax purposes, a U.S. holder will determined such tax basis based on the allocation of the purchase price as described above under “</w:t>
      </w:r>
      <w:r>
        <w:rPr>
          <w:rFonts w:ascii="Arial" w:cs="Arial" w:eastAsia="Arial" w:hAnsi="Arial"/>
          <w:sz w:val="17"/>
          <w:szCs w:val="17"/>
          <w:i w:val="1"/>
          <w:iCs w:val="1"/>
          <w:color w:val="auto"/>
        </w:rPr>
        <w:t>Material 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 of Owning and Disposing of Warrants to U.S. Holders—Allocation of Purchase Price Between Shares and Warrants</w:t>
      </w:r>
      <w:r>
        <w:rPr>
          <w:rFonts w:ascii="Arial" w:cs="Arial" w:eastAsia="Arial" w:hAnsi="Arial"/>
          <w:sz w:val="17"/>
          <w:szCs w:val="17"/>
          <w:color w:val="auto"/>
        </w:rPr>
        <w: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Arial" w:cs="Arial" w:eastAsia="Arial" w:hAnsi="Arial"/>
          <w:sz w:val="18"/>
          <w:szCs w:val="18"/>
          <w:i w:val="1"/>
          <w:iCs w:val="1"/>
          <w:color w:val="auto"/>
        </w:rPr>
        <w:t>Material 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Income Tax Considerations of Owning and Disposing of Warrants to U.S. Holders</w:t>
      </w:r>
      <w:r>
        <w:rPr>
          <w:rFonts w:ascii="Arial" w:cs="Arial" w:eastAsia="Arial" w:hAnsi="Arial"/>
          <w:sz w:val="18"/>
          <w:szCs w:val="18"/>
          <w:color w:val="auto"/>
        </w:rPr>
        <w:t>” above, although to the extent a cashless exercise results in a</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exchange, the rules described below under “</w:t>
      </w:r>
      <w:r>
        <w:rPr>
          <w:rFonts w:ascii="Arial" w:cs="Arial" w:eastAsia="Arial" w:hAnsi="Arial"/>
          <w:sz w:val="18"/>
          <w:szCs w:val="18"/>
          <w:i w:val="1"/>
          <w:iCs w:val="1"/>
          <w:color w:val="auto"/>
        </w:rPr>
        <w:t>Material U.S. Federal Income Tax Consequences for Non-U.S. Holders—Gains on Sale or Other</w:t>
      </w:r>
      <w:r>
        <w:rPr>
          <w:rFonts w:ascii="Arial" w:cs="Arial" w:eastAsia="Arial" w:hAnsi="Arial"/>
          <w:sz w:val="18"/>
          <w:szCs w:val="18"/>
          <w:color w:val="auto"/>
        </w:rPr>
        <w:t xml:space="preserve"> </w:t>
      </w:r>
      <w:r>
        <w:rPr>
          <w:rFonts w:ascii="Arial" w:cs="Arial" w:eastAsia="Arial" w:hAnsi="Arial"/>
          <w:sz w:val="18"/>
          <w:szCs w:val="18"/>
          <w:i w:val="1"/>
          <w:iCs w:val="1"/>
          <w:color w:val="auto"/>
        </w:rPr>
        <w:t>Taxable Disposition of Our Common Stock or Warrants</w:t>
      </w:r>
      <w:r>
        <w:rPr>
          <w:rFonts w:ascii="Arial" w:cs="Arial" w:eastAsia="Arial" w:hAnsi="Arial"/>
          <w:sz w:val="18"/>
          <w:szCs w:val="18"/>
          <w:color w:val="auto"/>
        </w:rPr>
        <w:t>” would apply.</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contingent payments are made with respect to a common warrant, as described above under “</w:t>
      </w:r>
      <w:r>
        <w:rPr>
          <w:rFonts w:ascii="Arial" w:cs="Arial" w:eastAsia="Arial" w:hAnsi="Arial"/>
          <w:sz w:val="18"/>
          <w:szCs w:val="18"/>
          <w:i w:val="1"/>
          <w:iCs w:val="1"/>
          <w:color w:val="auto"/>
        </w:rPr>
        <w:t>Treatment of Warrants—U.S. Holders—Contingent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on the Warrants</w:t>
      </w:r>
      <w:r>
        <w:rPr>
          <w:rFonts w:ascii="Arial" w:cs="Arial" w:eastAsia="Arial" w:hAnsi="Arial"/>
          <w:sz w:val="18"/>
          <w:szCs w:val="18"/>
          <w:color w:val="auto"/>
        </w:rPr>
        <w:t>”, such payments may be subject to a U.S. dividend or other withholding tax. Any U.S. federal income tax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on any portion of such contingent payment may be withheld from common stock delivered, sales proceeds subsequently paid or credited, or other amounts payable or distributable to a non-U.S. holder.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Our Common Stock and Warrants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described in the section titled “Dividend Policy,” we do not anticipate paying any future distributions on our shares. However, if we do make distributions on our shares or warrants,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shares. Any remaining excess will be treated as capital gain from the sale or exchange of such shares, subject to the tax treatment described below in “—</w:t>
      </w:r>
      <w:r>
        <w:rPr>
          <w:rFonts w:ascii="Arial" w:cs="Arial" w:eastAsia="Arial" w:hAnsi="Arial"/>
          <w:sz w:val="18"/>
          <w:szCs w:val="18"/>
          <w:i w:val="1"/>
          <w:iCs w:val="1"/>
          <w:color w:val="auto"/>
        </w:rPr>
        <w:t>Gain on Sale or Other Taxable</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 of Our Common Stock</w:t>
      </w:r>
      <w:r>
        <w:rPr>
          <w:rFonts w:ascii="Arial" w:cs="Arial" w:eastAsia="Arial" w:hAnsi="Arial"/>
          <w:sz w:val="18"/>
          <w:szCs w:val="18"/>
          <w:color w:val="auto"/>
        </w:rPr>
        <w:t>.” Any such distributions will also be subject to the discussions below in the sections titled “—</w:t>
      </w:r>
      <w:r>
        <w:rPr>
          <w:rFonts w:ascii="Arial" w:cs="Arial" w:eastAsia="Arial" w:hAnsi="Arial"/>
          <w:sz w:val="18"/>
          <w:szCs w:val="18"/>
          <w:i w:val="1"/>
          <w:iCs w:val="1"/>
          <w:color w:val="auto"/>
        </w:rPr>
        <w:t>Backup Withholding and Information Reporting” and “FATCA</w:t>
      </w:r>
      <w:r>
        <w:rPr>
          <w:rFonts w:ascii="Arial" w:cs="Arial" w:eastAsia="Arial" w:hAnsi="Arial"/>
          <w:sz w:val="18"/>
          <w:szCs w:val="18"/>
          <w:color w:val="auto"/>
        </w:rPr>
        <w:t>.”</w:t>
      </w:r>
    </w:p>
    <w:p>
      <w:pPr>
        <w:spacing w:after="0" w:line="195"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Subject to the discussion in the remainder of this section, dividends paid to a non-U.S. holder generally will be subject to withholding of U.S. federal income tax at a 30% rate or such lower rate as may be specified by an applicable income tax treaty between the United States and such holder’s country of residence. 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generally taxed in the same manner and at the same regular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8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Gains on Sale or Other Taxable Disposition of Our Common Stock or Warrants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Backup Withholding and Information Reporting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a non-U.S. holder generally will not be subject to any U.S. federal income or withholding tax on any gain realized upon such holder’s sale or other taxable disposition of shares of our common stock or warrants unless:</w:t>
      </w:r>
    </w:p>
    <w:p>
      <w:pPr>
        <w:spacing w:after="0" w:line="89" w:lineRule="exact"/>
        <w:rPr>
          <w:sz w:val="20"/>
          <w:szCs w:val="20"/>
          <w:color w:val="auto"/>
        </w:rPr>
      </w:pPr>
    </w:p>
    <w:p>
      <w:pPr>
        <w:ind w:left="1080" w:right="200" w:hanging="424"/>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regular U.S. federal income tax rates applicable to United States persons (as defined in the Code) and, if the non-U.S. holder is a foreign corporation, the branch profits tax described above in “Distributions on Our Common Stock” also may apply;</w:t>
      </w:r>
    </w:p>
    <w:p>
      <w:pPr>
        <w:spacing w:after="0" w:line="93" w:lineRule="exact"/>
        <w:rPr>
          <w:rFonts w:ascii="Arial" w:cs="Arial" w:eastAsia="Arial" w:hAnsi="Arial"/>
          <w:sz w:val="18"/>
          <w:szCs w:val="18"/>
          <w:color w:val="auto"/>
        </w:rPr>
      </w:pPr>
    </w:p>
    <w:p>
      <w:pPr>
        <w:ind w:left="1080" w:right="80" w:hanging="424"/>
        <w:spacing w:after="0" w:line="293"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sale or other taxable disposition of the shares of common stock or warrants, as applicable,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69" w:lineRule="exact"/>
        <w:rPr>
          <w:rFonts w:ascii="Arial" w:cs="Arial" w:eastAsia="Arial" w:hAnsi="Arial"/>
          <w:sz w:val="16"/>
          <w:szCs w:val="16"/>
          <w:color w:val="auto"/>
        </w:rPr>
      </w:pPr>
    </w:p>
    <w:p>
      <w:pPr>
        <w:ind w:left="1080" w:hanging="424"/>
        <w:spacing w:after="0" w:line="287"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sale or other taxable disposition (or the non-U.S. holder’s holding period, if shorter) of such shares of common stock or warrants, as applicable, a U.S. real property holding corporation, unless our common stock is regularly traded on an established securities market and the non-U.S. holder holds no more than 5% (by value) of our outstanding common stock or warrants, as applicable, directly or indirectly, actually or constructively, during the shorter of the 5-year period ending on the date of the disposition or the period that the non-U.S. holder held our common stock or warrants. If we are or were a U.S. real property holding corporation during the relevant period and the foregoing exception does not apply, the non-U.S. holder generally will be taxed on its net gain derived from the disposition at the regular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securities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securities. Dividends paid to non-U.S. holders subject to withholding of U.S. federal income tax, as described above in “—</w:t>
      </w:r>
      <w:r>
        <w:rPr>
          <w:rFonts w:ascii="Arial" w:cs="Arial" w:eastAsia="Arial" w:hAnsi="Arial"/>
          <w:sz w:val="17"/>
          <w:szCs w:val="17"/>
          <w:i w:val="1"/>
          <w:iCs w:val="1"/>
          <w:color w:val="auto"/>
        </w:rPr>
        <w:t>Distributions on Our</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 and Warrants</w:t>
      </w:r>
      <w:r>
        <w:rPr>
          <w:rFonts w:ascii="Arial" w:cs="Arial" w:eastAsia="Arial" w:hAnsi="Arial"/>
          <w:sz w:val="17"/>
          <w:szCs w:val="17"/>
          <w:color w:val="auto"/>
        </w:rPr>
        <w:t>,” generally will be exempt from U.S. backup withholding.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securities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8"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FATCA</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either certifies it does not have any substantial U.S. owners or furnishes identifying information regarding each substantial U.S. owner and such entity meets certain other specified requirements, or (iii) the foreign entity is otherwise exempt under FATCA. Such withholding may also apply to gross proceeds from the sale or other disposition of our common stock, although under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is a summary of the material terms and provisions of the warrants that are being offered hereby. This summary is subject to and qualified in its entirety by the form of warrant,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warrant for a complete description of the terms and conditions of the warrants.</w:t>
      </w:r>
    </w:p>
    <w:p>
      <w:pPr>
        <w:spacing w:after="0" w:line="188"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i w:val="1"/>
          <w:iCs w:val="1"/>
          <w:color w:val="auto"/>
        </w:rPr>
        <w:t>Duration and Exercise Price</w:t>
      </w:r>
      <w:r>
        <w:rPr>
          <w:rFonts w:ascii="Arial" w:cs="Arial" w:eastAsia="Arial" w:hAnsi="Arial"/>
          <w:sz w:val="17"/>
          <w:szCs w:val="17"/>
          <w:color w:val="auto"/>
        </w:rPr>
        <w:t>. The warrants offered hereby will have an exercise price of $1.55 per share and will expire on the five-year</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date of issuance. The exercise price and number of shares of common stock issuable upon exercise of the warrants are subject to appropriate adjustment in the event of stock dividends, stock splits, reorganizations or similar events affecting our common stock.</w:t>
      </w:r>
    </w:p>
    <w:p>
      <w:pPr>
        <w:spacing w:after="0" w:line="16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will be exercisable, at the option of each holder, in whole or in part, by delivering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A holder (together with its affiliates) may not exercise any portion of such holder’s common warrants to the extent that the holder would own more than 9.99% of our outstanding common stock immediately after exercise.</w:t>
      </w:r>
    </w:p>
    <w:p>
      <w:pPr>
        <w:spacing w:after="0" w:line="17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Exercise Limitations</w:t>
      </w:r>
      <w:r>
        <w:rPr>
          <w:rFonts w:ascii="Arial" w:cs="Arial" w:eastAsia="Arial" w:hAnsi="Arial"/>
          <w:sz w:val="16"/>
          <w:szCs w:val="16"/>
          <w:color w:val="auto"/>
        </w:rPr>
        <w:t>. Except in the case of warrants issued to TAS Partners LLC, we may not effect the exercise of any warrant, and a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entitled to exercise any portion of any common warrant that, upon giving effect to such exercise, would cause the aggregate number of shares of common stock beneficially owned by such holder (together with its affiliates) to exceed 4.99% or 9.99% (at the election of the holder) of the number of shares of common stock outstanding immediately after giving effect to the exercise. However, any holder of a warrant may increase or decrease such percentage upon at least 61 days’ prior written notice from the holder to us, provided that such percentage in no event exceeds 9.99%.</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If, at the time a holder exercises its warrants a registration statement registering the issuance of the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such warrants under the Securities Act is not then effective or available for the issuance of such shares, or the prospectus contained therein is not available for the issuance of such shares, then in lieu of making the cash payment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the warrants may be offered for sale, sold, transferred or assigned without our consent.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Trading Market</w:t>
      </w:r>
      <w:r>
        <w:rPr>
          <w:rFonts w:ascii="Arial" w:cs="Arial" w:eastAsia="Arial" w:hAnsi="Arial"/>
          <w:sz w:val="18"/>
          <w:szCs w:val="18"/>
          <w:color w:val="auto"/>
        </w:rPr>
        <w:t>. There is no established trading market for any of the warrants, and we do not expect a market to develop. We do not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for a listing for any of the warrants on any securities exchange or other nationally recognized trading system. Without an active trading market, the liquidity of the warrants will be limited.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Rights as a Shareholder</w:t>
      </w:r>
      <w:r>
        <w:rPr>
          <w:rFonts w:ascii="Arial" w:cs="Arial" w:eastAsia="Arial" w:hAnsi="Arial"/>
          <w:sz w:val="18"/>
          <w:szCs w:val="18"/>
          <w:color w:val="auto"/>
        </w:rPr>
        <w:t>. Except as otherwise provided in the warrants or by virtue of the holders’ ownership of shares of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warrants do not have the rights or privileges of the holders of our common stock, including any voting rights, until such warrant holders exercise their warrants.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common warrants and generally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holders of the warrants will be entitled to receive, upon exercise of the warrants, the kind and amount of securities, cash or other property that such holders would have received had they exercised the warrants immediately prior to such fundamental transaction, without regard to any limitations on exercise contained in the warrants. In the event of a change of control that is approved by the Company’s board of directors, the holders of the warrants shall be entitled to receive from the Company or any successor entity, as of the date of consummation of the change of control the same type or form of consideration (and in the same proportion), at the Black Scholes Value of the unexercised portion of the common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SVB Securities LLC is acting as representative of each of the underwriters named below and as sole bookrunning manager for this offering. Subject to the terms and conditions set forth in the underwriting agreement between us and the underwriters, we have agreed to sell to the underwriters, and the underwriters have agreed, severally and not jointly, to purchase from us, the number of securities set forth opposite its name below.</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4980" w:type="dxa"/>
            <w:vAlign w:val="bottom"/>
            <w:vMerge w:val="restart"/>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Shares of</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5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10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SVB Securities LLC</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21,942,858</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16,457,144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Canaccord Genuity LLC</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5,485,714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4,114,285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27,428,572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20,571,429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securities sold under the underwriting agreement if any of the securities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underwriters are offering the securities, subject to prior sale, when, as and if issued to and accepted by them, subject to approval of legal matters by their counsel, including the validity of the securities,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Discounts and Commissions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representative has advised us that the underwriters propose initially to offer the securities to the public at the offering price set forth on the cover page of this prospectus supplement and to dealers at that price less a concession not in excess of $0.05076 per share of common stock and warrant to purchase 0.75 shares. After the initial offering of the securities, the offering price, concession or any other term of this offering may be changed by the representative.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offering price, underwriting discounts and commissions and proceeds, before expenses, to us.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 and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Accompanying</w:t>
            </w:r>
          </w:p>
        </w:tc>
        <w:tc>
          <w:tcPr>
            <w:tcW w:w="100" w:type="dxa"/>
            <w:vAlign w:val="bottom"/>
          </w:tcPr>
          <w:p>
            <w:pPr>
              <w:spacing w:after="0"/>
              <w:rPr>
                <w:sz w:val="12"/>
                <w:szCs w:val="12"/>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38,674,286.52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0.0846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2,320,457.19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1.3254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36,353,829.33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$375,000. We also have agreed to reimburse the underwriters for up to $20,000 for their FINRA counsel fee. In accordance with FINRA Rule 5110, this reimbursed fee is deemed underwriting compensation for this offering.</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prospectus supplement without first obtaining the written consent of SVB Securities LLC on behalf of the underwriters. Specifically, we and these other persons have agreed, with certain limited exceptions, not to directly or indirectly:</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“SELB.” There is no established public market for the warrants, and we do not intend to list the warrants on the Nasdaq Global Market, any other national securities exchange or any other nationally recognized trading system.</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Until the distribution of the securities is completed, SEC rules may limit the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an underwriter of a greater number of shares than it is required to purchase in this offering. Stabilizing transactions consist of various bids for or purchases of shares of common stock made by an underwriter in the open market prior to the closing of this offering.</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representative will engage in these transactions or that these transactions, once commenced, will not be discontinued without notice.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underwriters may also engage in passive market making transactions in our common stock on Nasdaq in accordance with Rule 103 of Regulation M during a period before the commencement of offers or sales of shares of our common stock and accompanying warrants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this offering, the underwriters or certain securities dealers may distribute prospectuses by electronic means, such as e-mail.</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may in the future engage in investment banking and other commercial dealings in the ordinary course of business with us and our affiliates, for which they may in the future receive customary fees, commissions and expenses. For example, we entered into an at-the-market offering program sales agreement with SVB Securities LLC on October 25, 2021, under which we may offer and sell, from time to time at our discretion, shares of our common stock having an aggregate offering price of up to $75.0 million through SVB Securities LLC, acting as our sales agent, for which SVB Securities LLC has received customary fees and expenses. Additionally, Silicon Valley Bank, an affiliate of SVB Securities LLC, is a lender under our credit facility.</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9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securities shall require us or any of the representative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“FMSA”),</w:t>
      </w:r>
    </w:p>
    <w:p>
      <w:pPr>
        <w:spacing w:after="0" w:line="225"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us or any representative to publish a prospectus pursuant to Section 85 of the FSMA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Covington &amp; Burling LLP, New York, New York. The underwriters are being represented in connection with this offering by Goodwin Procter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Selecta Biosciences, Inc. appearing in Selecta Biosciences,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www.sec.gov.</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web site address is www.selectabiosciences.com. The information on our web site, however, is not, and should not be deemed to be, a part of this prospectus supplement.</w:t>
      </w:r>
    </w:p>
    <w:p>
      <w:pPr>
        <w:spacing w:after="0" w:line="170"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10,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1">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29,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42">
        <w:r>
          <w:rPr>
            <w:rFonts w:ascii="Arial" w:cs="Arial" w:eastAsia="Arial" w:hAnsi="Arial"/>
            <w:sz w:val="17"/>
            <w:szCs w:val="17"/>
            <w:u w:val="single" w:color="auto"/>
            <w:color w:val="0000EE"/>
          </w:rPr>
          <w:t>January 10, 2022</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February 10, 2022</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March 22,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5">
        <w:r>
          <w:rPr>
            <w:rFonts w:ascii="Arial" w:cs="Arial" w:eastAsia="Arial" w:hAnsi="Arial"/>
            <w:sz w:val="17"/>
            <w:szCs w:val="17"/>
            <w:u w:val="single" w:color="auto"/>
            <w:color w:val="0000EE"/>
          </w:rPr>
          <w:t>April 6, 2022</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46">
        <w:r>
          <w:rPr>
            <w:rFonts w:ascii="Arial" w:cs="Arial" w:eastAsia="Arial" w:hAnsi="Arial"/>
            <w:sz w:val="18"/>
            <w:szCs w:val="18"/>
            <w:u w:val="single" w:color="auto"/>
            <w:color w:val="0000EE"/>
          </w:rPr>
          <w:t>Exhibit 4.10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with the SEC on March 10, 2022, and any amendment or report filed with the SEC for the purpose of updating the description.</w:t>
      </w:r>
    </w:p>
    <w:p>
      <w:pPr>
        <w:spacing w:after="0" w:line="170" w:lineRule="exact"/>
        <w:rPr>
          <w:rFonts w:ascii="Arial" w:cs="Arial" w:eastAsia="Arial" w:hAnsi="Arial"/>
          <w:sz w:val="17"/>
          <w:szCs w:val="17"/>
          <w:color w:val="auto"/>
        </w:rPr>
      </w:pPr>
    </w:p>
    <w:p>
      <w:pPr>
        <w:ind w:left="120" w:firstLine="440"/>
        <w:spacing w:after="0" w:line="301"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90" w:lineRule="exact"/>
        <w:rPr>
          <w:rFonts w:ascii="Arial" w:cs="Arial" w:eastAsia="Arial" w:hAnsi="Arial"/>
          <w:sz w:val="17"/>
          <w:szCs w:val="17"/>
          <w:color w:val="auto"/>
        </w:rPr>
      </w:pPr>
    </w:p>
    <w:p>
      <w:pPr>
        <w:jc w:val="center"/>
        <w:ind w:right="-1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supplement.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00"/>
          </w:cols>
          <w:pgMar w:left="320" w:top="459" w:right="5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94615</wp:posOffset>
            </wp:positionV>
            <wp:extent cx="194564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9456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Selecta Biosciences, Inc.</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$200,000,000</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30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THE “</w:t>
      </w:r>
      <w:hyperlink w:anchor="page3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xml:space="preserve">” ON PAGE </w:t>
      </w:r>
      <w:r>
        <w:rPr>
          <w:rFonts w:ascii="Arial" w:cs="Arial" w:eastAsia="Arial" w:hAnsi="Arial"/>
          <w:sz w:val="18"/>
          <w:szCs w:val="18"/>
          <w:b w:val="1"/>
          <w:bCs w:val="1"/>
          <w:u w:val="single" w:color="auto"/>
          <w:color w:val="auto"/>
        </w:rPr>
        <w:t>5</w:t>
      </w:r>
      <w:r>
        <w:rPr>
          <w:rFonts w:ascii="Arial" w:cs="Arial" w:eastAsia="Arial" w:hAnsi="Arial"/>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w:t>
      </w:r>
      <w:r>
        <w:rPr>
          <w:rFonts w:ascii="Arial" w:cs="Arial" w:eastAsia="Arial" w:hAnsi="Arial"/>
          <w:sz w:val="18"/>
          <w:szCs w:val="18"/>
          <w:i w:val="1"/>
          <w:iCs w:val="1"/>
          <w:color w:val="auto"/>
        </w:rPr>
        <w:t>SELB</w:t>
      </w:r>
      <w:r>
        <w:rPr>
          <w:rFonts w:ascii="Arial" w:cs="Arial" w:eastAsia="Arial" w:hAnsi="Arial"/>
          <w:sz w:val="18"/>
          <w:szCs w:val="18"/>
          <w:color w:val="auto"/>
        </w:rPr>
        <w:t>.” On August 5, 2020, the last reported sale price of our common stock on the Nasdaq Global Market was $2.78 per share.</w:t>
      </w:r>
    </w:p>
    <w:p>
      <w:pPr>
        <w:spacing w:after="0" w:line="166"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August 14, 2020.</w:t>
      </w:r>
    </w:p>
    <w:p>
      <w:pPr>
        <w:sectPr>
          <w:pgSz w:w="11900" w:h="16838" w:orient="portrait"/>
          <w:cols w:equalWidth="0" w:num="1">
            <w:col w:w="11060"/>
          </w:cols>
          <w:pgMar w:left="320" w:top="459" w:right="5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8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THE COMPANY</w:t>
              </w:r>
            </w:hyperlink>
          </w:p>
        </w:tc>
        <w:tc>
          <w:tcPr>
            <w:tcW w:w="54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USE OF PROCEEDS</w:t>
              </w:r>
            </w:hyperlink>
          </w:p>
        </w:tc>
        <w:tc>
          <w:tcPr>
            <w:tcW w:w="514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CAPITAL STOCK</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DESCRIPTION OF DEBT SECURITIES</w:t>
              </w:r>
            </w:hyperlink>
          </w:p>
        </w:tc>
        <w:tc>
          <w:tcPr>
            <w:tcW w:w="370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DESCRIPTION OF WARRANTS</w:t>
              </w:r>
            </w:hyperlink>
          </w:p>
        </w:tc>
        <w:tc>
          <w:tcPr>
            <w:tcW w:w="424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DESCRIPTION OF UNITS</w:t>
              </w:r>
            </w:hyperlink>
          </w:p>
        </w:tc>
        <w:tc>
          <w:tcPr>
            <w:tcW w:w="4700" w:type="dxa"/>
            <w:vAlign w:val="bottom"/>
            <w:gridSpan w:val="6"/>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GLOBAL SECURITIES</w:t>
              </w:r>
            </w:hyperlink>
          </w:p>
        </w:tc>
        <w:tc>
          <w:tcPr>
            <w:tcW w:w="492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When we refer to “Selecta,” “we,” “our,” “us” and the “Company” in this prospectus, we mean Selecta Biosciences, Inc. and its consolidated subsidiaries, unless otherwise specified. When we refer to “you,” we mean the potential holders of the applicable series of securities.</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use our registered trademark, Selecta Biosciences, Inc. in this prospectus. This prospectus, including the documents incorporated by reference into this prospectus, also includes trademarks, tradenames and service marks that are the property of other organizations. Solely for convenience, trademarks and tradenames referred to in this prospectus appear without the</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www.selectabiosciences.com</w:t>
      </w:r>
      <w:r>
        <w:rPr>
          <w:rFonts w:ascii="Arial" w:cs="Arial" w:eastAsia="Arial" w:hAnsi="Arial"/>
          <w:sz w:val="18"/>
          <w:szCs w:val="18"/>
          <w:color w:val="auto"/>
        </w:rPr>
        <w:t>. The information on our web site, however, is not, and should not be deemed to be, a part of this prospectus.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12, 2020.</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from our </w:t>
      </w:r>
      <w:hyperlink r:id="rId57">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28, 2020.</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58">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9">
        <w:r>
          <w:rPr>
            <w:rFonts w:ascii="Arial" w:cs="Arial" w:eastAsia="Arial" w:hAnsi="Arial"/>
            <w:sz w:val="18"/>
            <w:szCs w:val="18"/>
            <w:u w:val="single" w:color="auto"/>
            <w:color w:val="0000EE"/>
          </w:rPr>
          <w:t>June 30, 2020</w:t>
        </w:r>
      </w:hyperlink>
      <w:r>
        <w:rPr>
          <w:rFonts w:ascii="Arial" w:cs="Arial" w:eastAsia="Arial" w:hAnsi="Arial"/>
          <w:sz w:val="18"/>
          <w:szCs w:val="18"/>
          <w:color w:val="auto"/>
        </w:rPr>
        <w:t>, filed with the SEC on May 7, 2020 and August 6, 2020, respectively.</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0">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April 27, 2020</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June 12, 2020</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June 18,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Items 1.01 and 8.01), </w:t>
      </w:r>
      <w:hyperlink r:id="rId64">
        <w:r>
          <w:rPr>
            <w:rFonts w:ascii="Arial" w:cs="Arial" w:eastAsia="Arial" w:hAnsi="Arial"/>
            <w:sz w:val="18"/>
            <w:szCs w:val="18"/>
            <w:u w:val="single" w:color="auto"/>
            <w:color w:val="0000EE"/>
          </w:rPr>
          <w:t>June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5">
        <w:r>
          <w:rPr>
            <w:rFonts w:ascii="Arial" w:cs="Arial" w:eastAsia="Arial" w:hAnsi="Arial"/>
            <w:sz w:val="18"/>
            <w:szCs w:val="18"/>
            <w:u w:val="single" w:color="auto"/>
            <w:color w:val="0000EE"/>
          </w:rPr>
          <w:t>June 25,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June 8, 2016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proprietary tolerogenic ImmTOR platform encapsulates an immunomodulator in biodegradable nanoparticles and is designed to mitigate the formation of anti-drug antibodies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filed our certificate of incorporation with the Secretary of State of Delaware on December 10, 2007.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principal executive offices are located at 65 Grove Street, Watertown, MA 02472, and our telephone number is (617) 923-1400.</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320" w:top="459" w:right="7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our amended and restated bylaws, each of which has been publicly filed with the SEC. See “Where You Can Find More Information; Incorporation by Reference.”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200,000,000 shares of common stock, $0.0001 par value;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10,000,000 shares of preferred stock, $0.0001 par value.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“SELB.”</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 vote of stockholders and do</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Rights upon Liquidation</w:t>
      </w:r>
      <w:r>
        <w:rPr>
          <w:rFonts w:ascii="Arial" w:cs="Arial" w:eastAsia="Arial" w:hAnsi="Arial"/>
          <w:sz w:val="18"/>
          <w:szCs w:val="18"/>
          <w:color w:val="auto"/>
        </w:rPr>
        <w:t>. In the event of our liquidation or dissolution, the holders of common stock are entitled to receive proportionately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the payment of all debts and other liabilities and subject to the prior rights of any outstanding preferred stock.</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 rights. The rights, preferences and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of holders of common stock are subject to and may be adversely affected by the rights of the holders of shares of any series of preferred stock that we may designate and issue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registration rights are granted pursuant to the (i) amended and restated investors’ rights agreement by and among us and certain of our stockholders, or the investors’ rights agreement and (ii) a registration rights agreement we entered into in connection with the private placement of 37,634,883 shares of our common stock and warrants to purchase 31,330,629 shares of our common stock, or the 2019 Private Placement, which closed on December 23,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Any time we propose to register any shares of our common stock under the Securities Act,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Form S-3 Registration Rights</w:t>
      </w:r>
      <w:r>
        <w:rPr>
          <w:rFonts w:ascii="Arial" w:cs="Arial" w:eastAsia="Arial" w:hAnsi="Arial"/>
          <w:sz w:val="16"/>
          <w:szCs w:val="16"/>
          <w:color w:val="auto"/>
        </w:rPr>
        <w:t>. If the holders of registrable securities request in writing that we effect a registration with respect to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at 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5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Ordinarily, other than underwriting discounts and commissions, we will be required to pay all expenses incurred by us related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4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The registration rights terminate upon the earlier of June 27, 2021, or, with respect to the registration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individual holder, when the holder can sell all of such holder’s registrable securities in a three-month period without restriction under Rule 144 under the Securities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Registration Rights Agreement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shares of common stock underlying the warrants and the shares of common stock issued in connection with our 2019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 stockholders, to issue up to 10,000,000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amended and restated bylaws provide that a special meeting of stockholders may be called only by our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chief executive officer or president (in the absence of a chief executive officer), or by a resolution adopted by a majority of our board of directors.</w:t>
      </w:r>
    </w:p>
    <w:p>
      <w:pPr>
        <w:spacing w:after="0" w:line="12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amended and restated bylaws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 eliminates the right of stockholders to act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without a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Staggered Board</w:t>
      </w:r>
      <w:r>
        <w:rPr>
          <w:rFonts w:ascii="Arial" w:cs="Arial" w:eastAsia="Arial" w:hAnsi="Arial"/>
          <w:sz w:val="16"/>
          <w:szCs w:val="16"/>
          <w:color w:val="auto"/>
        </w:rPr>
        <w:t>. Our board of directors is divided into three classes. The directors in each class will serve for a three-year term, one class being</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restated certificate of incorporation provides that no member of our board of directors may be removed from office by</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except for cause and, in addition to any other vote required by law, upon the approval of the holders of at least two-thirds in voting power of the outstanding shares of stock entitled to vote in the election of directors.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Stockholders Not Entitled to Cumulative Voting</w:t>
      </w:r>
      <w:r>
        <w:rPr>
          <w:rFonts w:ascii="Arial" w:cs="Arial" w:eastAsia="Arial" w:hAnsi="Arial"/>
          <w:sz w:val="18"/>
          <w:szCs w:val="18"/>
          <w:color w:val="auto"/>
        </w:rPr>
        <w:t>. Our restated certificate of incorporation does not permit stockholders to cumulate their votes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General Corporation Law of the State of Delaware, which prohibits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92"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unless we consent in writing to the selection of an alternative 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Chancery of the State of Delaware will be the sole and exclusive forum for: (1) any derivative action or proceeding brought on our behalf;</w:t>
      </w:r>
    </w:p>
    <w:p>
      <w:pPr>
        <w:ind w:left="120" w:right="240" w:hanging="4"/>
        <w:spacing w:after="0" w:line="252"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92"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i w:val="1"/>
          <w:iCs w:val="1"/>
          <w:color w:val="auto"/>
        </w:rPr>
        <w:t>Amendment of Restated Certificate of Incorporation</w:t>
      </w:r>
      <w:r>
        <w:rPr>
          <w:rFonts w:ascii="Arial" w:cs="Arial" w:eastAsia="Arial" w:hAnsi="Arial"/>
          <w:sz w:val="16"/>
          <w:szCs w:val="16"/>
          <w:color w:val="auto"/>
        </w:rPr>
        <w:t>. The amendment of any of the above provisions in our restated certificate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used in this section only, “Selecta,” “we,” “our” or “us” refer to Selecta Biosciences, Inc. excluding our subsidiaries, unless expressly stated or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i w:val="1"/>
          <w:iCs w:val="1"/>
          <w:color w:val="auto"/>
        </w:rPr>
        <w:t xml:space="preserve">Global Debt Securities and Book-Entry System. </w:t>
      </w:r>
      <w:r>
        <w:rPr>
          <w:rFonts w:ascii="Arial" w:cs="Arial" w:eastAsia="Arial" w:hAnsi="Arial"/>
          <w:sz w:val="17"/>
          <w:szCs w:val="17"/>
          <w:color w:val="auto"/>
        </w:rPr>
        <w:t>Each global debt security representing book-entry debt securities will be deposited with,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80" w:hanging="532"/>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hanging="12"/>
        <w:spacing w:after="0" w:line="623" w:lineRule="auto"/>
        <w:tabs>
          <w:tab w:leader="none" w:pos="10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 (Section 5.1)</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Selecta;</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6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532"/>
        <w:spacing w:after="0" w:line="273"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 notice as shareholders with respect to any meeting of shareholders for the election of our directors or any other matter;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any rights as shareholders of Selecta.</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59" w:right="5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such circumstances, in the event that a successor depositary is not obtained, securities certificates are required to be printed and delivered.</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9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The consolidated financial statements of Selecta Biosciences, Inc. appearing in Selecta Biosciences, Inc.’s </w:t>
      </w:r>
      <w:r>
        <w:rPr>
          <w:rFonts w:ascii="Arial" w:cs="Arial" w:eastAsia="Arial" w:hAnsi="Arial"/>
          <w:sz w:val="16"/>
          <w:szCs w:val="16"/>
          <w:u w:val="single" w:color="auto"/>
          <w:color w:val="auto"/>
        </w:rPr>
        <w:t>Annual Report on Form 10-K for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year ended December 31, 2019</w:t>
      </w:r>
      <w:r>
        <w:rPr>
          <w:rFonts w:ascii="Arial" w:cs="Arial" w:eastAsia="Arial" w:hAnsi="Arial"/>
          <w:sz w:val="16"/>
          <w:szCs w:val="16"/>
          <w:color w:val="auto"/>
        </w:rPr>
        <w:t>, have been audited by Ernst &amp; Young LLP, independent registered public accounting firm, as set forth in their report thereon (which contains an explanatory paragraph describing conditions that raise substantial doubt about the Company’s ability to continue as a going conern as described in Note 1 to the consolidated financial statements)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320" w:top="459"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27,428,572 Shares</w:t>
      </w:r>
    </w:p>
    <w:p>
      <w:pPr>
        <w:spacing w:after="0" w:line="200" w:lineRule="exact"/>
        <w:rPr>
          <w:sz w:val="20"/>
          <w:szCs w:val="20"/>
          <w:color w:val="auto"/>
        </w:rPr>
      </w:pPr>
    </w:p>
    <w:p>
      <w:pPr>
        <w:spacing w:after="0" w:line="245" w:lineRule="exact"/>
        <w:rPr>
          <w:sz w:val="20"/>
          <w:szCs w:val="20"/>
          <w:color w:val="auto"/>
        </w:rPr>
      </w:pPr>
    </w:p>
    <w:p>
      <w:pPr>
        <w:jc w:val="right"/>
        <w:ind w:right="2039"/>
        <w:spacing w:after="0"/>
        <w:rPr>
          <w:sz w:val="20"/>
          <w:szCs w:val="20"/>
          <w:color w:val="auto"/>
        </w:rPr>
      </w:pPr>
      <w:r>
        <w:rPr>
          <w:rFonts w:ascii="Arial" w:cs="Arial" w:eastAsia="Arial" w:hAnsi="Arial"/>
          <w:sz w:val="25"/>
          <w:szCs w:val="25"/>
          <w:b w:val="1"/>
          <w:bCs w:val="1"/>
          <w:color w:val="auto"/>
        </w:rPr>
        <w:t>Warrants to Purchase up to 20,571,429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337820</wp:posOffset>
            </wp:positionV>
            <wp:extent cx="2339975" cy="771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23399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1349375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Sole Bookrunning Manager</w:t>
      </w:r>
    </w:p>
    <w:p>
      <w:pPr>
        <w:spacing w:after="0" w:line="9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SVB Leerink</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Lead Manager</w:t>
      </w:r>
    </w:p>
    <w:p>
      <w:pPr>
        <w:spacing w:after="0" w:line="10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upperLetter"/>
      <w:start w:val="1"/>
    </w:lvl>
  </w:abstractNum>
  <w:abstractNum w:abstractNumId="12">
    <w:nsid w:val="6763845E"/>
    <w:multiLevelType w:val="hybridMultilevel"/>
    <w:lvl w:ilvl="0">
      <w:lvlJc w:val="left"/>
      <w:lvlText w:val="%1."/>
      <w:numFmt w:val="upp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2"/>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jpe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jpe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40" Type="http://schemas.openxmlformats.org/officeDocument/2006/relationships/hyperlink" Target="http://www.sec.gov/ix?doc=/Archives/edgar/data/1453687/000145368722000051/selb-20211231.htm" TargetMode="External"/><Relationship Id="rId41" Type="http://schemas.openxmlformats.org/officeDocument/2006/relationships/hyperlink" Target="http://www.sec.gov/Archives/edgar/data/1453687/000145368721000059/selectabiosciences_def14a-.htm" TargetMode="External"/><Relationship Id="rId42" Type="http://schemas.openxmlformats.org/officeDocument/2006/relationships/hyperlink" Target="http://www.sec.gov/ix?doc=/Archives/edgar/data/1453687/000114036122001019/brhc10032669_8k.htm" TargetMode="External"/><Relationship Id="rId43" Type="http://schemas.openxmlformats.org/officeDocument/2006/relationships/hyperlink" Target="http://www.sec.gov/ix?doc=/Archives/edgar/data/1453687/000145368722000039/selb-20220209.htm" TargetMode="External"/><Relationship Id="rId44" Type="http://schemas.openxmlformats.org/officeDocument/2006/relationships/hyperlink" Target="http://www.sec.gov/ix?doc=/Archives/edgar/data/1453687/000145368722000053/selb-20220321.htm" TargetMode="External"/><Relationship Id="rId45" Type="http://schemas.openxmlformats.org/officeDocument/2006/relationships/hyperlink" Target="http://www.sec.gov/ix?doc=/Archives/edgar/data/1453687/000119312522097460/d311981d8k.htm" TargetMode="External"/><Relationship Id="rId46" Type="http://schemas.openxmlformats.org/officeDocument/2006/relationships/hyperlink" Target="http://www.sec.gov/Archives/edgar/data/1453687/000145368722000051/exhibit410_12312021.htm" TargetMode="External"/><Relationship Id="rId56" Type="http://schemas.openxmlformats.org/officeDocument/2006/relationships/hyperlink" Target="http://www.sec.gov/Archives/edgar/data/1453687/000145368720000028/selectabiosciences10-k.htm" TargetMode="External"/><Relationship Id="rId57" Type="http://schemas.openxmlformats.org/officeDocument/2006/relationships/hyperlink" Target="http://www.sec.gov/Archives/edgar/data/1453687/000145368720000040/selectabiosciencesdef14a_2.htm" TargetMode="External"/><Relationship Id="rId58" Type="http://schemas.openxmlformats.org/officeDocument/2006/relationships/hyperlink" Target="http://www.sec.gov/Archives/edgar/data/1453687/000145368720000052/selectabiosciences10-q.htm" TargetMode="External"/><Relationship Id="rId59" Type="http://schemas.openxmlformats.org/officeDocument/2006/relationships/hyperlink" Target="http://www.sec.gov/ix?doc=/Archives/edgar/data/1453687/000145368720000096/selectabiosciences10-q.htm" TargetMode="External"/><Relationship Id="rId60" Type="http://schemas.openxmlformats.org/officeDocument/2006/relationships/hyperlink" Target="http://www.sec.gov/Archives/edgar/data/1453687/000145368720000033/selectabiosciences8-k_0331.htm" TargetMode="External"/><Relationship Id="rId61" Type="http://schemas.openxmlformats.org/officeDocument/2006/relationships/hyperlink" Target="http://www.sec.gov/Archives/edgar/data/1453687/000145368720000038/selectabiosciences8-k_0427.htm" TargetMode="External"/><Relationship Id="rId62" Type="http://schemas.openxmlformats.org/officeDocument/2006/relationships/hyperlink" Target="http://www.sec.gov/Archives/edgar/data/1453687/000145368720000063/selectabiosciences8-ks.htm" TargetMode="External"/><Relationship Id="rId63" Type="http://schemas.openxmlformats.org/officeDocument/2006/relationships/hyperlink" Target="http://www.sec.gov/Archives/edgar/data/1453687/000145368720000066/selectabiosciences8-kl.htm" TargetMode="External"/><Relationship Id="rId64" Type="http://schemas.openxmlformats.org/officeDocument/2006/relationships/hyperlink" Target="http://www.sec.gov/Archives/edgar/data/1453687/000145368720000070/selectabiosciences8-ka.htm" TargetMode="External"/><Relationship Id="rId65" Type="http://schemas.openxmlformats.org/officeDocument/2006/relationships/hyperlink" Target="http://www.sec.gov/Archives/edgar/data/1453687/000110465920076882/tm2023457-1_8k.htm" TargetMode="External"/><Relationship Id="rId66" Type="http://schemas.openxmlformats.org/officeDocument/2006/relationships/hyperlink" Target="http://www.sec.gov/Archives/edgar/data/1453687/000110465916126207/a15-22910_8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2022-04-07T05:18:21Z</dcterms:created>
  <dcterms:modified xsi:type="dcterms:W3CDTF">2022-04-07T05:18:21Z</dcterms:modified>
</cp:coreProperties>
</file>