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001-37798</w:t>
            </w:r>
          </w:p>
        </w:tc>
        <w:tc>
          <w:tcPr>
            <w:tcW w:w="176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26-1622110</w:t>
            </w:r>
          </w:p>
        </w:tc>
      </w:tr>
      <w:tr>
        <w:trPr>
          <w:trHeight w:val="216"/>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480 Arsenal Street, Building One,</w:t>
            </w:r>
          </w:p>
        </w:tc>
        <w:tc>
          <w:tcPr>
            <w:tcW w:w="176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Watertown, MA 02472</w:t>
            </w:r>
          </w:p>
        </w:tc>
        <w:tc>
          <w:tcPr>
            <w:tcW w:w="176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 (Zip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89"/>
              </w:rPr>
              <w:t>(Registrant’s telephone number, include area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left="660"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60" w:hanging="622"/>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1260" w:hanging="622"/>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1260" w:hanging="622"/>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60" w:hanging="622"/>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4"/>
          <w:szCs w:val="24"/>
          <w:color w:val="auto"/>
        </w:rPr>
      </w:pPr>
    </w:p>
    <w:p>
      <w:pPr>
        <w:ind w:right="180" w:firstLine="648"/>
        <w:spacing w:after="0" w:line="259" w:lineRule="auto"/>
        <w:rPr>
          <w:sz w:val="20"/>
          <w:szCs w:val="20"/>
          <w:color w:val="auto"/>
        </w:rPr>
      </w:pPr>
      <w:r>
        <w:rPr>
          <w:rFonts w:ascii="Arial" w:cs="Arial" w:eastAsia="Arial" w:hAnsi="Arial"/>
          <w:sz w:val="18"/>
          <w:szCs w:val="18"/>
          <w:color w:val="auto"/>
        </w:rPr>
        <w:t>On June 27, 2016, Selecta Biosciences, Inc. (the “Company”) filed the restated certificate of incorporation (the “Restated Certificate”) with the Secretary of State of the State of Delaware in connection with the closing of the initial public offering (the “IPO”) of shares of its common stock. The Company’s board of directors and stockholders previously approved the Restated Certificate to be effective subject to and effective upon the closing of the IPO.</w:t>
      </w:r>
    </w:p>
    <w:p>
      <w:pPr>
        <w:spacing w:after="0" w:line="187" w:lineRule="exact"/>
        <w:rPr>
          <w:sz w:val="24"/>
          <w:szCs w:val="24"/>
          <w:color w:val="auto"/>
        </w:rPr>
      </w:pPr>
    </w:p>
    <w:p>
      <w:pPr>
        <w:ind w:firstLine="648"/>
        <w:spacing w:after="0" w:line="288" w:lineRule="auto"/>
        <w:rPr>
          <w:sz w:val="20"/>
          <w:szCs w:val="20"/>
          <w:color w:val="auto"/>
        </w:rPr>
      </w:pPr>
      <w:r>
        <w:rPr>
          <w:rFonts w:ascii="Arial" w:cs="Arial" w:eastAsia="Arial" w:hAnsi="Arial"/>
          <w:sz w:val="16"/>
          <w:szCs w:val="16"/>
          <w:color w:val="auto"/>
        </w:rPr>
        <w:t>The Restated Certificate amends and restates the Company’s certificate of incorporation in its entirety to, among other things: (i) increase the authorized number of shares of common stock to 200,000,000 shares; (ii) eliminate all references to the previously existing series of preferred stock; (iii) authorize 10,000,000 shares of undesignated preferred stock that may be issued from time to time by the Company’s board of directors in one or more series;</w:t>
      </w:r>
    </w:p>
    <w:p>
      <w:pPr>
        <w:ind w:right="40" w:firstLine="8"/>
        <w:spacing w:after="0" w:line="270" w:lineRule="auto"/>
        <w:tabs>
          <w:tab w:leader="none" w:pos="305" w:val="left"/>
        </w:tabs>
        <w:numPr>
          <w:ilvl w:val="0"/>
          <w:numId w:val="2"/>
        </w:numPr>
        <w:rPr>
          <w:rFonts w:ascii="Arial" w:cs="Arial" w:eastAsia="Arial" w:hAnsi="Arial"/>
          <w:sz w:val="17"/>
          <w:szCs w:val="17"/>
          <w:color w:val="auto"/>
        </w:rPr>
      </w:pPr>
      <w:r>
        <w:rPr>
          <w:rFonts w:ascii="Arial" w:cs="Arial" w:eastAsia="Arial" w:hAnsi="Arial"/>
          <w:sz w:val="17"/>
          <w:szCs w:val="17"/>
          <w:color w:val="auto"/>
        </w:rPr>
        <w:t>establish a classified board of directors, divided into three classes, each of whose members will serve for staggered three-year terms; (v) provide that directors may be removed from office only for cause and only upon the affirmative vote of the holders of at least two-thirds of the holders of the Company’s capital stock entitled to vote; (vi) eliminate the ability of the Company’s stockholders to take action by written consent in lieu of a meeting; and (vii) designate the Court of Chancery of the State of Delaware to be the sole and exclusive forum for certain actions, including, but not limited to, derivative actions or proceedings brought on behalf of the Company or actions asserting claims of breach of a fiduciary duty owned by, or other wrongdoing by, any of the Company’s directors, officers, employees or agents to the Company or the Company’s stockholders.</w:t>
      </w:r>
    </w:p>
    <w:p>
      <w:pPr>
        <w:sectPr>
          <w:pgSz w:w="11900" w:h="16838" w:orient="portrait"/>
          <w:cols w:equalWidth="0" w:num="1">
            <w:col w:w="11320"/>
          </w:cols>
          <w:pgMar w:left="240" w:top="544" w:right="339" w:bottom="40" w:gutter="0" w:footer="0" w:header="0"/>
        </w:sectPr>
      </w:pPr>
    </w:p>
    <w:bookmarkStart w:id="1" w:name="page2"/>
    <w:bookmarkEnd w:id="1"/>
    <w:p>
      <w:pPr>
        <w:ind w:right="180" w:firstLine="648"/>
        <w:spacing w:after="0" w:line="277" w:lineRule="auto"/>
        <w:rPr>
          <w:sz w:val="20"/>
          <w:szCs w:val="20"/>
          <w:color w:val="auto"/>
        </w:rPr>
      </w:pPr>
      <w:r>
        <w:rPr>
          <w:rFonts w:ascii="Arial" w:cs="Arial" w:eastAsia="Arial" w:hAnsi="Arial"/>
          <w:sz w:val="18"/>
          <w:szCs w:val="18"/>
          <w:color w:val="auto"/>
        </w:rPr>
        <w:t>The foregoing description of the amendments made by the Restated Certificate is qualified by reference to the Restated Certificate, a copy of which is attached hereto as Exhibit 3.1 and is incorporated herein by reference.</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On June 27, 2016, in connection with the closing of the IPO, amended and restated bylaws of the Company (the “Amended and Restated Bylaws”), previously approved by the Company’s board of directors to become effective upon the effectiveness of the Restated Certificate, became effective. The Amended and Restated Bylaws amend and restate the Company’s bylaws in their entirety to, among other things: (i) establish procedures relating to the presentation of stockholder proposals at stockholder meetings; (ii) establish procedures relating to the nomination of directors; and (iii) conform to the amended provisions of the Restated Certificate.</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foregoing description of the amendments made in the Amended and Restated Bylaws is qualified by reference to the Amended and Restated Bylaws, a copy of which is attached hereto as Exhibit 3.2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0540" w:type="dxa"/>
            <w:vAlign w:val="bottom"/>
            <w:gridSpan w:val="2"/>
          </w:tcPr>
          <w:p>
            <w:pPr>
              <w:jc w:val="right"/>
              <w:ind w:right="9596"/>
              <w:spacing w:after="0"/>
              <w:rPr>
                <w:sz w:val="20"/>
                <w:szCs w:val="20"/>
                <w:color w:val="auto"/>
              </w:rPr>
            </w:pPr>
            <w:r>
              <w:rPr>
                <w:rFonts w:ascii="Arial" w:cs="Arial" w:eastAsia="Arial" w:hAnsi="Arial"/>
                <w:sz w:val="18"/>
                <w:szCs w:val="18"/>
                <w:color w:val="auto"/>
                <w:w w:val="93"/>
              </w:rPr>
              <w:t>(d) 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Restated Certificate of Incorporation of Selecta Biosciences,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 of Selecta Biosciences,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10540" w:type="dxa"/>
            <w:vAlign w:val="bottom"/>
            <w:gridSpan w:val="2"/>
          </w:tcPr>
          <w:p>
            <w:pPr>
              <w:jc w:val="right"/>
              <w:ind w:right="5576"/>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 w:leader="none" w:pos="6180" w:val="left"/>
        </w:tabs>
        <w:rPr>
          <w:sz w:val="20"/>
          <w:szCs w:val="20"/>
          <w:color w:val="auto"/>
        </w:rPr>
      </w:pPr>
      <w:r>
        <w:rPr>
          <w:rFonts w:ascii="Arial" w:cs="Arial" w:eastAsia="Arial" w:hAnsi="Arial"/>
          <w:sz w:val="18"/>
          <w:szCs w:val="18"/>
          <w:color w:val="auto"/>
        </w:rPr>
        <w:t>Date: June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300" w:type="dxa"/>
            <w:vAlign w:val="bottom"/>
            <w:gridSpan w:val="2"/>
          </w:tcPr>
          <w:p>
            <w:pPr>
              <w:ind w:left="5040"/>
              <w:spacing w:after="0"/>
              <w:rPr>
                <w:sz w:val="20"/>
                <w:szCs w:val="20"/>
                <w:color w:val="auto"/>
              </w:rPr>
            </w:pPr>
            <w:r>
              <w:rPr>
                <w:rFonts w:ascii="Arial" w:cs="Arial" w:eastAsia="Arial" w:hAnsi="Arial"/>
                <w:sz w:val="18"/>
                <w:szCs w:val="18"/>
                <w:color w:val="auto"/>
              </w:rPr>
              <w:t>David Siewers</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gridSpan w:val="2"/>
          </w:tcPr>
          <w:p>
            <w:pPr>
              <w:ind w:left="50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tcPr>
          <w:p>
            <w:pPr>
              <w:jc w:val="center"/>
              <w:ind w:right="1072"/>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Restated Certificate of Incorporation of Selecta Biosciences, Inc.</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Amended and Restated Bylaws of Selecta Biosciences, Inc.</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tcPr>
          <w:p>
            <w:pPr>
              <w:jc w:val="center"/>
              <w:ind w:right="1072"/>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-1778635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-1778635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SELECTA BIOSCIENCES, INC.</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name of the corporation is Selecta Biosciences, Inc., and the corporation was originally incorporated by the filing of its original Certificate of Incorporation with the Secretary of State of the State of Delaware on December 10, 2007. This Restated Certificate of Incorporation of the corporation, which restates and integrates and also further amends the provisions of the corporation’s Certificate of Incorporation, was duly adopted in accordance with the provisions of Sections 242 and 245 of the General Corporation Law of the State of Delaware and by the written consent of its stockholders in accordance with Section 228 of the General Corporation Law of the State of Delaware. The Certificate of Incorporation of the corporation is hereby amended, integrated and restated to read in its entirety as follows: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of the Corporation is Selecta Biosciences, Inc.</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SECOND: The address of the Corporation’s registered office in the State of Delaware is 1209 Orange Street in the City of Wilmington, County of New Castle, Zip Code 19801. The name of its registered agent at that address is The Corporation Trust Company.</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THIRD: The nature of the business or purposes to be conducted or promoted by the Corporation is to engage in any lawful act or activity for which corporations may be organized under the General Corporation Law of the State of Delaware.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FOURTH: The total number of shares of all classes of stock which the Corporation shall have authority to issue is 210,000,000 shares, consisting of</w:t>
      </w:r>
    </w:p>
    <w:p>
      <w:pPr>
        <w:spacing w:after="0" w:line="46" w:lineRule="exact"/>
        <w:rPr>
          <w:sz w:val="20"/>
          <w:szCs w:val="20"/>
          <w:color w:val="auto"/>
        </w:rPr>
      </w:pPr>
    </w:p>
    <w:p>
      <w:pPr>
        <w:ind w:right="160" w:firstLine="8"/>
        <w:spacing w:after="0" w:line="261"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200,000,000 shares of Common Stock, $0.0001 par value per share (“Common Stock”), and (b) 10,000,000 shares of Preferred Stock, $0.0001 par value per share (“Preferred Stock”).</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ind w:left="1380" w:hanging="724"/>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right="100" w:firstLine="656"/>
        <w:spacing w:after="0" w:line="308" w:lineRule="auto"/>
        <w:tabs>
          <w:tab w:leader="none" w:pos="873"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voting, dividend and liquidation rights of the holders of the Common Stock are subject to and qualified by the rights of the holders of the Preferred Stock of any series as may be designated by the Board of Directors upon any issuance of the Preferred Stock of any series.</w:t>
      </w:r>
    </w:p>
    <w:p>
      <w:pPr>
        <w:spacing w:after="0" w:line="146" w:lineRule="exact"/>
        <w:rPr>
          <w:rFonts w:ascii="Arial" w:cs="Arial" w:eastAsia="Arial" w:hAnsi="Arial"/>
          <w:sz w:val="17"/>
          <w:szCs w:val="17"/>
          <w:color w:val="auto"/>
        </w:rPr>
      </w:pPr>
    </w:p>
    <w:p>
      <w:pPr>
        <w:ind w:right="40" w:firstLine="656"/>
        <w:spacing w:after="0" w:line="264" w:lineRule="auto"/>
        <w:tabs>
          <w:tab w:leader="none" w:pos="87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xml:space="preserve">. The holders of the Common Stock shall have voting rights at all meetings of stockholders, each such holder being entitled to one vote for each share thereof held by such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required by law, holders of Common Stock shall not be entitled to vote on any amendment to this Certificate of Incorporation (which,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or the General Corporation Law of the State of Delaware. There shall be no cumulative voting.</w:t>
      </w:r>
    </w:p>
    <w:p>
      <w:pPr>
        <w:spacing w:after="0" w:line="17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the State of Delaware.</w:t>
      </w:r>
    </w:p>
    <w:p>
      <w:pPr>
        <w:spacing w:after="0" w:line="181" w:lineRule="exact"/>
        <w:rPr>
          <w:sz w:val="20"/>
          <w:szCs w:val="20"/>
          <w:color w:val="auto"/>
        </w:rPr>
      </w:pPr>
    </w:p>
    <w:p>
      <w:pPr>
        <w:ind w:right="460" w:firstLine="656"/>
        <w:spacing w:after="0" w:line="277" w:lineRule="auto"/>
        <w:tabs>
          <w:tab w:leader="none" w:pos="87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Dividends may be declared and paid on the Common Stock if, as and when determined by the Board of Directors subject to any preferential dividend or other rights of any then outstanding Preferred Stock and to the requirements of applicable law.</w:t>
      </w:r>
    </w:p>
    <w:p>
      <w:pPr>
        <w:spacing w:after="0" w:line="170" w:lineRule="exact"/>
        <w:rPr>
          <w:rFonts w:ascii="Arial" w:cs="Arial" w:eastAsia="Arial" w:hAnsi="Arial"/>
          <w:sz w:val="18"/>
          <w:szCs w:val="18"/>
          <w:color w:val="auto"/>
        </w:rPr>
      </w:pPr>
    </w:p>
    <w:p>
      <w:pPr>
        <w:ind w:right="100" w:firstLine="656"/>
        <w:spacing w:after="0" w:line="264" w:lineRule="auto"/>
        <w:tabs>
          <w:tab w:leader="none" w:pos="87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Upon the dissolution or liquidation of the Corporation, whether voluntary or involuntary, holders of Common Stock will be entitled to receive all assets of the Corporation available for distribution to its stockholders, subject to any preferential or other rights of any then outstanding Preferred Stock.</w:t>
      </w:r>
    </w:p>
    <w:p>
      <w:pPr>
        <w:spacing w:after="0" w:line="181" w:lineRule="exact"/>
        <w:rPr>
          <w:sz w:val="20"/>
          <w:szCs w:val="20"/>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Preferred Stock may be issued from time to time in one or more series, each of such series to have such terms as stated or expressed herein and in the resolution or resolutions providing for the issue of such series adopted by the Board of Directors of the Corporation as hereinafter provided.</w:t>
      </w:r>
    </w:p>
    <w:p>
      <w:pPr>
        <w:spacing w:after="0" w:line="147"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General Corporation Law of the State of Delaware,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fullest extent now or hereafter permitted by the General Corporation Law of the State of Delaware.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sectPr>
          <w:pgSz w:w="11900" w:h="16838" w:orient="portrait"/>
          <w:cols w:equalWidth="0" w:num="1">
            <w:col w:w="11420"/>
          </w:cols>
          <w:pgMar w:left="240" w:top="121" w:right="239" w:bottom="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 w:name="page4"/>
    <w:bookmarkEnd w:id="3"/>
    <w:p>
      <w:pPr>
        <w:ind w:right="200" w:firstLine="648"/>
        <w:spacing w:after="0" w:line="302" w:lineRule="auto"/>
        <w:rPr>
          <w:sz w:val="20"/>
          <w:szCs w:val="20"/>
          <w:color w:val="auto"/>
        </w:rPr>
      </w:pPr>
      <w:r>
        <w:rPr>
          <w:rFonts w:ascii="Arial" w:cs="Arial" w:eastAsia="Arial" w:hAnsi="Arial"/>
          <w:sz w:val="16"/>
          <w:szCs w:val="16"/>
          <w:color w:val="auto"/>
        </w:rPr>
        <w:t>Subject to the rights of the holders of any series of Preferred Stock pursuant to the terms of this Certificate of Incorporation or any resolution or resolutions providing for the issuance of such series of stock adopted by the Board of Directors, 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the State of Delaware.</w:t>
      </w:r>
    </w:p>
    <w:p>
      <w:pPr>
        <w:spacing w:after="0" w:line="154"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FIFTH: Except as otherwise provided herein, the Corporation reserves the right to amend, alter, change or repeal any provision contained in this Certificate of Incorporation, in the manner now or hereafter prescribed by statute and this Certificate of Incorporation, and all rights conferred upon stockholders, directors or any other persons herein are granted subject to this reservation.</w:t>
      </w:r>
    </w:p>
    <w:p>
      <w:pPr>
        <w:spacing w:after="0" w:line="18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The stockholders may not adopt, amend, alter or repeal the Bylaws of the Corporation, or adopt any provision inconsistent therewith, unless such action is approved, in addition to any other vote required by this Certificate of Incorporation, by the affirmative vote of the holders of at least two-thirds in voting power of the outstanding shares of capital stock of the Corporation entitled to vote thereon.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SIXTH.</w:t>
      </w:r>
    </w:p>
    <w:p>
      <w:pPr>
        <w:spacing w:after="0" w:line="1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SEVENTH: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liability of directors, then the liability of a director of the Corporation shall be eliminated or limited to the fullest extent permitted by the General Corporation Law of the State of Delaware as so amended.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EIGHTH: This Article EIGHTH is inserted for the management of the business and for the conduct of the affairs of the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the Board of Directors.</w:t>
      </w:r>
    </w:p>
    <w:p>
      <w:pPr>
        <w:spacing w:after="0" w:line="225" w:lineRule="exact"/>
        <w:rPr>
          <w:rFonts w:ascii="Arial" w:cs="Arial" w:eastAsia="Arial" w:hAnsi="Arial"/>
          <w:sz w:val="18"/>
          <w:szCs w:val="18"/>
          <w:color w:val="auto"/>
        </w:rPr>
      </w:pPr>
    </w:p>
    <w:p>
      <w:pPr>
        <w:ind w:right="280" w:firstLine="656"/>
        <w:spacing w:after="0" w:line="264" w:lineRule="auto"/>
        <w:tabs>
          <w:tab w:leader="none" w:pos="87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Number of Directors; Election of Directors</w:t>
      </w:r>
      <w:r>
        <w:rPr>
          <w:rFonts w:ascii="Arial" w:cs="Arial" w:eastAsia="Arial" w:hAnsi="Arial"/>
          <w:sz w:val="18"/>
          <w:szCs w:val="18"/>
          <w:color w:val="auto"/>
        </w:rPr>
        <w:t>. Subject to the rights of holders of any series of Preferred Stock to elect directors, the number of directors of the Corporation shall be established from time to time by the Board of Directors. Election of directors need not be by written ballot, except as and to the extent provided in the Bylaws of the Corporation.</w:t>
      </w:r>
    </w:p>
    <w:p>
      <w:pPr>
        <w:spacing w:after="0" w:line="181" w:lineRule="exact"/>
        <w:rPr>
          <w:rFonts w:ascii="Arial" w:cs="Arial" w:eastAsia="Arial" w:hAnsi="Arial"/>
          <w:sz w:val="18"/>
          <w:szCs w:val="18"/>
          <w:color w:val="auto"/>
        </w:rPr>
      </w:pPr>
    </w:p>
    <w:p>
      <w:pPr>
        <w:ind w:right="60" w:firstLine="656"/>
        <w:spacing w:after="0" w:line="259" w:lineRule="auto"/>
        <w:tabs>
          <w:tab w:leader="none" w:pos="87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Classes of Directors</w:t>
      </w:r>
      <w:r>
        <w:rPr>
          <w:rFonts w:ascii="Arial" w:cs="Arial" w:eastAsia="Arial" w:hAnsi="Arial"/>
          <w:sz w:val="18"/>
          <w:szCs w:val="18"/>
          <w:color w:val="auto"/>
        </w:rPr>
        <w:t>. Subject to the rights of holders of any series of Preferred Stock to elect directors, the Board of Directors shall be and is divided into three classes, designated as Class I, Class II and Class III. Each class shall consist, as nearly as may be possible, of one-third of the total number of directors constituting the entire Board of Directors. The Board of Directors is authorized to assign members of the Board of Directors to Class I, Class II or Class III.</w:t>
      </w:r>
    </w:p>
    <w:p>
      <w:pPr>
        <w:spacing w:after="0" w:line="186" w:lineRule="exact"/>
        <w:rPr>
          <w:rFonts w:ascii="Arial" w:cs="Arial" w:eastAsia="Arial" w:hAnsi="Arial"/>
          <w:sz w:val="18"/>
          <w:szCs w:val="18"/>
          <w:color w:val="auto"/>
        </w:rPr>
      </w:pPr>
    </w:p>
    <w:p>
      <w:pPr>
        <w:ind w:right="40" w:firstLine="656"/>
        <w:spacing w:after="0" w:line="291" w:lineRule="auto"/>
        <w:tabs>
          <w:tab w:leader="none" w:pos="87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Terms of Office</w:t>
      </w:r>
      <w:r>
        <w:rPr>
          <w:rFonts w:ascii="Arial" w:cs="Arial" w:eastAsia="Arial" w:hAnsi="Arial"/>
          <w:sz w:val="16"/>
          <w:szCs w:val="16"/>
          <w:color w:val="auto"/>
        </w:rPr>
        <w:t xml:space="preserve">. Subject to the rights of holders of any series of Preferred Stock to elect directors, each director shall serve for a term ending on the date of the third annual meeting of stockholders following the annual meeting of stockholders at which such director was elected;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director initially assigned to Class I shall serve for a term expiring at the Corporation’s first annual meeting of stockholders held after the effectiveness of this Certificate of Incorporation; each director initially assigned to Class II shall serve for a term expiring at the Corporation’s second annual meeting of stockholders held after the effectiveness of this Certificate of Incorporation; and each director initially assigned to Class III shall serve for a term expiring at the Corporation’s third annual meeting of stockholders held after the effectiveness of this Certificate of Incorporation;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term of each director shall continue until the election and qualification of his or her successor and be subject to his or her earlier death, resignation or removal.</w:t>
      </w:r>
    </w:p>
    <w:p>
      <w:pPr>
        <w:spacing w:after="0" w:line="167" w:lineRule="exact"/>
        <w:rPr>
          <w:rFonts w:ascii="Arial" w:cs="Arial" w:eastAsia="Arial" w:hAnsi="Arial"/>
          <w:sz w:val="16"/>
          <w:szCs w:val="16"/>
          <w:color w:val="auto"/>
        </w:rPr>
      </w:pPr>
    </w:p>
    <w:p>
      <w:pPr>
        <w:ind w:right="80" w:firstLine="656"/>
        <w:spacing w:after="0" w:line="259" w:lineRule="auto"/>
        <w:tabs>
          <w:tab w:leader="none" w:pos="87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Quorum</w:t>
      </w:r>
      <w:r>
        <w:rPr>
          <w:rFonts w:ascii="Arial" w:cs="Arial" w:eastAsia="Arial" w:hAnsi="Arial"/>
          <w:sz w:val="18"/>
          <w:szCs w:val="18"/>
          <w:color w:val="auto"/>
        </w:rPr>
        <w:t>. The greater of (a) a majority of the directors at any time in office and (b) one-third of the number of directors fixed pursuant to Section 2 of this Article EIGHTH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86" w:lineRule="exact"/>
        <w:rPr>
          <w:rFonts w:ascii="Arial" w:cs="Arial" w:eastAsia="Arial" w:hAnsi="Arial"/>
          <w:sz w:val="18"/>
          <w:szCs w:val="18"/>
          <w:color w:val="auto"/>
        </w:rPr>
      </w:pPr>
    </w:p>
    <w:p>
      <w:pPr>
        <w:ind w:right="60" w:firstLine="656"/>
        <w:spacing w:after="0" w:line="308" w:lineRule="auto"/>
        <w:tabs>
          <w:tab w:leader="none" w:pos="873"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Action at Meeting</w:t>
      </w:r>
      <w:r>
        <w:rPr>
          <w:rFonts w:ascii="Arial" w:cs="Arial" w:eastAsia="Arial" w:hAnsi="Arial"/>
          <w:sz w:val="17"/>
          <w:szCs w:val="17"/>
          <w:color w:val="auto"/>
        </w:rPr>
        <w:t>. Every act or decision done or made by a majority of the directors present at a meeting duly held at which a quorum is present shall be regarded as the act of the Board of Directors unless a greater number is required by law or by this Certificate of Incorporation.</w:t>
      </w:r>
    </w:p>
    <w:p>
      <w:pPr>
        <w:spacing w:after="0" w:line="146" w:lineRule="exact"/>
        <w:rPr>
          <w:rFonts w:ascii="Arial" w:cs="Arial" w:eastAsia="Arial" w:hAnsi="Arial"/>
          <w:sz w:val="17"/>
          <w:szCs w:val="17"/>
          <w:color w:val="auto"/>
        </w:rPr>
      </w:pPr>
    </w:p>
    <w:p>
      <w:pPr>
        <w:ind w:right="160" w:firstLine="656"/>
        <w:spacing w:after="0" w:line="264" w:lineRule="auto"/>
        <w:tabs>
          <w:tab w:leader="none" w:pos="87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holders of any series of Preferred Stock, directors of the Corporation may be removed but only for cause and only by the affirmative vote of the holders of at least two-thirds in voting power of the outstanding shares of capital stock of the Corporation entitled to vote at an election of directors.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97" w:lineRule="auto"/>
        <w:tabs>
          <w:tab w:leader="none" w:pos="873"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rights of holders of any series of Preferred Stock, any vacancy or newly created directorship in the Board of Directors, however occurring, shall be filled only by vote of a majority of the directors then in office, although less than a quorum, or by a sole remaining director and shall not be filled by the stockholders, unless the Board of Directors determines by resolution that any such vacancy or newly created directorship shall be filled by the stockholders. A director elected to fill a vacancy shall hold office until the next election of the class for which such director shall have been chosen, subject to the election and qualification of a successor and to such director’s earlier death, resignation or removal.</w:t>
      </w:r>
    </w:p>
    <w:p>
      <w:pPr>
        <w:sectPr>
          <w:pgSz w:w="11900" w:h="16838" w:orient="portrait"/>
          <w:cols w:equalWidth="0" w:num="1">
            <w:col w:w="11400"/>
          </w:cols>
          <w:pgMar w:left="240" w:top="584" w:right="259" w:bottom="0" w:gutter="0" w:footer="0" w:header="0"/>
        </w:sectPr>
      </w:pPr>
    </w:p>
    <w:bookmarkStart w:id="4" w:name="page5"/>
    <w:bookmarkEnd w:id="4"/>
    <w:p>
      <w:pPr>
        <w:ind w:right="560" w:firstLine="656"/>
        <w:spacing w:after="0" w:line="342" w:lineRule="auto"/>
        <w:tabs>
          <w:tab w:leader="none" w:pos="87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Stockholder Nominations and Introduction of Business, Etc</w:t>
      </w:r>
      <w:r>
        <w:rPr>
          <w:rFonts w:ascii="Arial" w:cs="Arial" w:eastAsia="Arial" w:hAnsi="Arial"/>
          <w:sz w:val="16"/>
          <w:szCs w:val="16"/>
          <w:color w:val="auto"/>
        </w:rPr>
        <w:t>. Advance notice of stockholder nominations for election of directors and other business to be brought by stockholders before a meeting of stockholders shall be given in the manner provided by the Bylaws of the Corporation.</w:t>
      </w:r>
    </w:p>
    <w:p>
      <w:pPr>
        <w:spacing w:after="0" w:line="123" w:lineRule="exact"/>
        <w:rPr>
          <w:rFonts w:ascii="Arial" w:cs="Arial" w:eastAsia="Arial" w:hAnsi="Arial"/>
          <w:sz w:val="16"/>
          <w:szCs w:val="16"/>
          <w:color w:val="auto"/>
        </w:rPr>
      </w:pPr>
    </w:p>
    <w:p>
      <w:pPr>
        <w:ind w:right="40" w:firstLine="656"/>
        <w:spacing w:after="0" w:line="259" w:lineRule="auto"/>
        <w:tabs>
          <w:tab w:leader="none" w:pos="96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Amendments to Article</w:t>
      </w:r>
      <w:r>
        <w:rPr>
          <w:rFonts w:ascii="Arial" w:cs="Arial" w:eastAsia="Arial" w:hAnsi="Arial"/>
          <w:sz w:val="18"/>
          <w:szCs w:val="18"/>
          <w:color w:val="auto"/>
        </w:rPr>
        <w:t>.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EIGHTH.</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NINTH: No action that is required or permitted to be taken by the stockholders of the Corporation at any annual or special meeting of stockholders may be effected by written consent of stockholders in lieu of a meeting.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NINTH.</w:t>
      </w:r>
    </w:p>
    <w:p>
      <w:pPr>
        <w:spacing w:after="0" w:line="188"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TENTH: Special meetings of stockholders for any purpose or purposes may be called at any time only by the Board of Directors, the chairperson of the Board of Directors, the chief executive officer or the president (in the absence of a chief executive officer), and may not be called by any other person or persons. Business transacted at any special meeting of stockholders shall be limited to the purpose or purposes stated in the notice of meeting.</w:t>
      </w:r>
    </w:p>
    <w:p>
      <w:pPr>
        <w:ind w:right="200" w:firstLine="45"/>
        <w:spacing w:after="0" w:line="277" w:lineRule="auto"/>
        <w:rPr>
          <w:sz w:val="20"/>
          <w:szCs w:val="20"/>
          <w:color w:val="auto"/>
        </w:rPr>
      </w:pPr>
      <w:r>
        <w:rPr>
          <w:rFonts w:ascii="Arial" w:cs="Arial" w:eastAsia="Arial" w:hAnsi="Arial"/>
          <w:sz w:val="17"/>
          <w:szCs w:val="17"/>
          <w:color w:val="auto"/>
        </w:rPr>
        <w:t>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TENTH.</w:t>
      </w:r>
    </w:p>
    <w:p>
      <w:pPr>
        <w:spacing w:after="0" w:line="17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ELEVENTH: 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fiduciary duty</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owed by any director, officer, employee or stockholder of the Corporation to the Corporation or the Corporation’s stockholders, (c) any action asserting a claim arising pursuant to any provision of the General Corporation Law of the State of Delaware or as to which the General Corporation Law of the State of Delaware confers jurisdiction on the Court of Chancery of the State of Delaware or (d) any action asserting a claim governed by the internal affairs doctrine, in each case subject to said Court of Chancery having personal jurisdiction over the indispensable parties named as defendants therein; provided that, if and only if the Court of Chancery of the State of Delaware dismisses any such action for lack of subject matter jurisdiction, such action may be brought in another state or federal court sitting in the State of Delaware. To the fullest extent permitted by applicable law, any person or entity purchasing or otherwise acquiring or holding any interest in shares of capital stock of the Corporation shall be deemed to have notice of and consented to the provisions of this Article ELEVENTH. Notwithstanding any other provisions of law, this Certificate of Incorporation or the Bylaws of the Corporation, and notwithstanding the fact that a lesser percentage may be specified by law, the affirmative vote of the holders of at least two-thirds in voting power of the outstanding shares of capital stock of the Corporation entitled to vote thereon shall be required to amend or repeal, or to adopt any provision inconsistent with, this Article ELEVENTH. If any provision or provisions of this Article ELEVENTH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ELEVENTH (including, without limitation, each portion of any sentence of this Article ELEVENTH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WITNESS WHEREOF, this Certificate of Incorporation, which restates, integrates and amends the certificate of incorporation of the Corporation, and which has been duly adopted in accordance with Sections 228, 242 and 245 of the General Corporation Law of the State of Delaware, has been executed by its duly authorized officer this 27th day of June, 2016.</w:t>
      </w:r>
    </w:p>
    <w:p>
      <w:pPr>
        <w:spacing w:after="0" w:line="18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Werner Cautreels, Ph.D.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Werner Cautreels, Ph.D.</w:t>
            </w:r>
          </w:p>
        </w:tc>
        <w:tc>
          <w:tcPr>
            <w:tcW w:w="40" w:type="dxa"/>
            <w:vAlign w:val="bottom"/>
          </w:tcPr>
          <w:p>
            <w:pPr>
              <w:spacing w:after="0"/>
              <w:rPr>
                <w:sz w:val="16"/>
                <w:szCs w:val="16"/>
                <w:color w:val="auto"/>
              </w:rPr>
            </w:pPr>
          </w:p>
        </w:tc>
      </w:tr>
      <w:tr>
        <w:trPr>
          <w:trHeight w:val="230"/>
        </w:trPr>
        <w:tc>
          <w:tcPr>
            <w:tcW w:w="63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63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 w:name="page6"/>
    <w:bookmarkEnd w:id="5"/>
    <w:p>
      <w:pPr>
        <w:ind w:left="10580"/>
        <w:spacing w:after="0"/>
        <w:rPr>
          <w:sz w:val="20"/>
          <w:szCs w:val="20"/>
          <w:color w:val="auto"/>
        </w:rPr>
      </w:pPr>
      <w:r>
        <w:rPr>
          <w:rFonts w:ascii="Arial" w:cs="Arial" w:eastAsia="Arial" w:hAnsi="Arial"/>
          <w:sz w:val="17"/>
          <w:szCs w:val="17"/>
          <w:b w:val="1"/>
          <w:bCs w:val="1"/>
          <w:color w:val="auto"/>
        </w:rPr>
        <w:t>Exhibit 3.2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922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AMENDED AND RESTATED</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9220" w:type="dxa"/>
            <w:vAlign w:val="bottom"/>
          </w:tcPr>
          <w:p>
            <w:pPr>
              <w:jc w:val="center"/>
              <w:ind w:left="10"/>
              <w:spacing w:after="0"/>
              <w:rPr>
                <w:sz w:val="20"/>
                <w:szCs w:val="20"/>
                <w:color w:val="auto"/>
              </w:rPr>
            </w:pPr>
            <w:r>
              <w:rPr>
                <w:rFonts w:ascii="Arial" w:cs="Arial" w:eastAsia="Arial" w:hAnsi="Arial"/>
                <w:sz w:val="18"/>
                <w:szCs w:val="18"/>
                <w:b w:val="1"/>
                <w:bCs w:val="1"/>
                <w:color w:val="auto"/>
                <w:w w:val="97"/>
              </w:rPr>
              <w:t>BYLAWS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220" w:type="dxa"/>
            <w:vAlign w:val="bottom"/>
          </w:tcPr>
          <w:p>
            <w:pPr>
              <w:jc w:val="center"/>
              <w:spacing w:after="0"/>
              <w:rPr>
                <w:sz w:val="20"/>
                <w:szCs w:val="20"/>
                <w:color w:val="auto"/>
              </w:rPr>
            </w:pPr>
            <w:r>
              <w:rPr>
                <w:rFonts w:ascii="Arial" w:cs="Arial" w:eastAsia="Arial" w:hAnsi="Arial"/>
                <w:sz w:val="18"/>
                <w:szCs w:val="18"/>
                <w:b w:val="1"/>
                <w:bCs w:val="1"/>
                <w:color w:val="auto"/>
              </w:rPr>
              <w:t>OF</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220" w:type="dxa"/>
            <w:vAlign w:val="bottom"/>
          </w:tcPr>
          <w:p>
            <w:pPr>
              <w:jc w:val="center"/>
              <w:ind w:left="10"/>
              <w:spacing w:after="0"/>
              <w:rPr>
                <w:sz w:val="20"/>
                <w:szCs w:val="20"/>
                <w:color w:val="auto"/>
              </w:rPr>
            </w:pPr>
            <w:r>
              <w:rPr>
                <w:rFonts w:ascii="Arial" w:cs="Arial" w:eastAsia="Arial" w:hAnsi="Arial"/>
                <w:sz w:val="18"/>
                <w:szCs w:val="18"/>
                <w:b w:val="1"/>
                <w:bCs w:val="1"/>
                <w:color w:val="auto"/>
                <w:w w:val="98"/>
              </w:rPr>
              <w:t>SELECTA BIOSCIENCES, INC.</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220" w:type="dxa"/>
            <w:vAlign w:val="bottom"/>
          </w:tcPr>
          <w:p>
            <w:pPr>
              <w:jc w:val="center"/>
              <w:spacing w:after="0"/>
              <w:rPr>
                <w:sz w:val="20"/>
                <w:szCs w:val="20"/>
                <w:color w:val="auto"/>
              </w:rPr>
            </w:pPr>
            <w:r>
              <w:rPr>
                <w:rFonts w:ascii="Arial" w:cs="Arial" w:eastAsia="Arial" w:hAnsi="Arial"/>
                <w:sz w:val="18"/>
                <w:szCs w:val="18"/>
                <w:b w:val="1"/>
                <w:bCs w:val="1"/>
                <w:color w:val="auto"/>
                <w:w w:val="91"/>
              </w:rPr>
              <w:t>(a Delaware corporation)</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1060" w:type="dxa"/>
            <w:vAlign w:val="bottom"/>
            <w:tcBorders>
              <w:bottom w:val="single" w:sz="8" w:color="808080"/>
            </w:tcBorders>
          </w:tcPr>
          <w:p>
            <w:pPr>
              <w:spacing w:after="0"/>
              <w:rPr>
                <w:sz w:val="24"/>
                <w:szCs w:val="24"/>
                <w:color w:val="auto"/>
              </w:rPr>
            </w:pPr>
          </w:p>
        </w:tc>
        <w:tc>
          <w:tcPr>
            <w:tcW w:w="9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780"/>
        </w:trPr>
        <w:tc>
          <w:tcPr>
            <w:tcW w:w="1060" w:type="dxa"/>
            <w:vAlign w:val="bottom"/>
          </w:tcPr>
          <w:p>
            <w:pPr>
              <w:spacing w:after="0"/>
              <w:rPr>
                <w:sz w:val="24"/>
                <w:szCs w:val="24"/>
                <w:color w:val="auto"/>
              </w:rPr>
            </w:pPr>
          </w:p>
        </w:tc>
        <w:tc>
          <w:tcPr>
            <w:tcW w:w="9220" w:type="dxa"/>
            <w:vAlign w:val="bottom"/>
          </w:tcPr>
          <w:p>
            <w:pPr>
              <w:jc w:val="center"/>
              <w:ind w:left="1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06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 - CORPORATE OFFICES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060" w:type="dxa"/>
            <w:vAlign w:val="bottom"/>
          </w:tcPr>
          <w:p>
            <w:pPr>
              <w:ind w:left="540"/>
              <w:spacing w:after="0"/>
              <w:rPr>
                <w:sz w:val="20"/>
                <w:szCs w:val="20"/>
                <w:color w:val="auto"/>
              </w:rPr>
            </w:pPr>
            <w:r>
              <w:rPr>
                <w:rFonts w:ascii="Arial" w:cs="Arial" w:eastAsia="Arial" w:hAnsi="Arial"/>
                <w:sz w:val="18"/>
                <w:szCs w:val="18"/>
                <w:color w:val="auto"/>
              </w:rPr>
              <w:t>1.1</w:t>
            </w:r>
          </w:p>
        </w:tc>
        <w:tc>
          <w:tcPr>
            <w:tcW w:w="9220" w:type="dxa"/>
            <w:vAlign w:val="bottom"/>
          </w:tcPr>
          <w:p>
            <w:pPr>
              <w:ind w:left="200"/>
              <w:spacing w:after="0"/>
              <w:rPr>
                <w:sz w:val="20"/>
                <w:szCs w:val="20"/>
                <w:color w:val="auto"/>
              </w:rPr>
            </w:pPr>
            <w:r>
              <w:rPr>
                <w:rFonts w:ascii="Arial" w:cs="Arial" w:eastAsia="Arial" w:hAnsi="Arial"/>
                <w:sz w:val="18"/>
                <w:szCs w:val="18"/>
                <w:color w:val="auto"/>
              </w:rPr>
              <w:t>REGISTERED OFFICE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1060" w:type="dxa"/>
            <w:vAlign w:val="bottom"/>
          </w:tcPr>
          <w:p>
            <w:pPr>
              <w:ind w:left="540"/>
              <w:spacing w:after="0"/>
              <w:rPr>
                <w:sz w:val="20"/>
                <w:szCs w:val="20"/>
                <w:color w:val="auto"/>
              </w:rPr>
            </w:pPr>
            <w:r>
              <w:rPr>
                <w:rFonts w:ascii="Arial" w:cs="Arial" w:eastAsia="Arial" w:hAnsi="Arial"/>
                <w:sz w:val="18"/>
                <w:szCs w:val="18"/>
                <w:color w:val="auto"/>
              </w:rPr>
              <w:t>1.2</w:t>
            </w:r>
          </w:p>
        </w:tc>
        <w:tc>
          <w:tcPr>
            <w:tcW w:w="9220" w:type="dxa"/>
            <w:vAlign w:val="bottom"/>
          </w:tcPr>
          <w:p>
            <w:pPr>
              <w:ind w:left="200"/>
              <w:spacing w:after="0"/>
              <w:rPr>
                <w:sz w:val="20"/>
                <w:szCs w:val="20"/>
                <w:color w:val="auto"/>
              </w:rPr>
            </w:pPr>
            <w:r>
              <w:rPr>
                <w:rFonts w:ascii="Arial" w:cs="Arial" w:eastAsia="Arial" w:hAnsi="Arial"/>
                <w:sz w:val="18"/>
                <w:szCs w:val="18"/>
                <w:color w:val="auto"/>
              </w:rPr>
              <w:t>OTHER OFFICES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 - MEETINGS OF STOCKHOLDERS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060" w:type="dxa"/>
            <w:vAlign w:val="bottom"/>
          </w:tcPr>
          <w:p>
            <w:pPr>
              <w:ind w:left="540"/>
              <w:spacing w:after="0"/>
              <w:rPr>
                <w:sz w:val="20"/>
                <w:szCs w:val="20"/>
                <w:color w:val="auto"/>
              </w:rPr>
            </w:pPr>
            <w:r>
              <w:rPr>
                <w:rFonts w:ascii="Arial" w:cs="Arial" w:eastAsia="Arial" w:hAnsi="Arial"/>
                <w:sz w:val="18"/>
                <w:szCs w:val="18"/>
                <w:color w:val="auto"/>
              </w:rPr>
              <w:t>2.1</w:t>
            </w:r>
          </w:p>
        </w:tc>
        <w:tc>
          <w:tcPr>
            <w:tcW w:w="9220" w:type="dxa"/>
            <w:vAlign w:val="bottom"/>
          </w:tcPr>
          <w:p>
            <w:pPr>
              <w:ind w:left="200"/>
              <w:spacing w:after="0"/>
              <w:rPr>
                <w:sz w:val="20"/>
                <w:szCs w:val="20"/>
                <w:color w:val="auto"/>
              </w:rPr>
            </w:pPr>
            <w:r>
              <w:rPr>
                <w:rFonts w:ascii="Arial" w:cs="Arial" w:eastAsia="Arial" w:hAnsi="Arial"/>
                <w:sz w:val="18"/>
                <w:szCs w:val="18"/>
                <w:color w:val="auto"/>
              </w:rPr>
              <w:t>PLACE OF MEETINGS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2.2</w:t>
            </w:r>
          </w:p>
        </w:tc>
        <w:tc>
          <w:tcPr>
            <w:tcW w:w="9220" w:type="dxa"/>
            <w:vAlign w:val="bottom"/>
          </w:tcPr>
          <w:p>
            <w:pPr>
              <w:ind w:left="200"/>
              <w:spacing w:after="0"/>
              <w:rPr>
                <w:sz w:val="20"/>
                <w:szCs w:val="20"/>
                <w:color w:val="auto"/>
              </w:rPr>
            </w:pPr>
            <w:r>
              <w:rPr>
                <w:rFonts w:ascii="Arial" w:cs="Arial" w:eastAsia="Arial" w:hAnsi="Arial"/>
                <w:sz w:val="18"/>
                <w:szCs w:val="18"/>
                <w:color w:val="auto"/>
              </w:rPr>
              <w:t>ANNUAL MEETING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2.3</w:t>
            </w:r>
          </w:p>
        </w:tc>
        <w:tc>
          <w:tcPr>
            <w:tcW w:w="9220" w:type="dxa"/>
            <w:vAlign w:val="bottom"/>
          </w:tcPr>
          <w:p>
            <w:pPr>
              <w:ind w:left="200"/>
              <w:spacing w:after="0"/>
              <w:rPr>
                <w:sz w:val="20"/>
                <w:szCs w:val="20"/>
                <w:color w:val="auto"/>
              </w:rPr>
            </w:pPr>
            <w:r>
              <w:rPr>
                <w:rFonts w:ascii="Arial" w:cs="Arial" w:eastAsia="Arial" w:hAnsi="Arial"/>
                <w:sz w:val="18"/>
                <w:szCs w:val="18"/>
                <w:color w:val="auto"/>
              </w:rPr>
              <w:t>SPECIAL MEETING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2.4</w:t>
            </w:r>
          </w:p>
        </w:tc>
        <w:tc>
          <w:tcPr>
            <w:tcW w:w="9220" w:type="dxa"/>
            <w:vAlign w:val="bottom"/>
          </w:tcPr>
          <w:p>
            <w:pPr>
              <w:ind w:left="200"/>
              <w:spacing w:after="0"/>
              <w:rPr>
                <w:sz w:val="20"/>
                <w:szCs w:val="20"/>
                <w:color w:val="auto"/>
              </w:rPr>
            </w:pPr>
            <w:r>
              <w:rPr>
                <w:rFonts w:ascii="Arial" w:cs="Arial" w:eastAsia="Arial" w:hAnsi="Arial"/>
                <w:sz w:val="18"/>
                <w:szCs w:val="18"/>
                <w:color w:val="auto"/>
              </w:rPr>
              <w:t>ADVANCE NOTICE PROCEDURES FOR BUSINESS BROUGHT BEFORE A MEETING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2.5</w:t>
            </w:r>
          </w:p>
        </w:tc>
        <w:tc>
          <w:tcPr>
            <w:tcW w:w="9220" w:type="dxa"/>
            <w:vAlign w:val="bottom"/>
          </w:tcPr>
          <w:p>
            <w:pPr>
              <w:ind w:left="200"/>
              <w:spacing w:after="0"/>
              <w:rPr>
                <w:sz w:val="20"/>
                <w:szCs w:val="20"/>
                <w:color w:val="auto"/>
              </w:rPr>
            </w:pPr>
            <w:r>
              <w:rPr>
                <w:rFonts w:ascii="Arial" w:cs="Arial" w:eastAsia="Arial" w:hAnsi="Arial"/>
                <w:sz w:val="18"/>
                <w:szCs w:val="18"/>
                <w:color w:val="auto"/>
              </w:rPr>
              <w:t>ADVANCE NOTICE PROCEDURES FOR NOMINATIONS OF DIRECTORS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2.6</w:t>
            </w:r>
          </w:p>
        </w:tc>
        <w:tc>
          <w:tcPr>
            <w:tcW w:w="9220" w:type="dxa"/>
            <w:vAlign w:val="bottom"/>
          </w:tcPr>
          <w:p>
            <w:pPr>
              <w:ind w:left="200"/>
              <w:spacing w:after="0"/>
              <w:rPr>
                <w:sz w:val="20"/>
                <w:szCs w:val="20"/>
                <w:color w:val="auto"/>
              </w:rPr>
            </w:pPr>
            <w:r>
              <w:rPr>
                <w:rFonts w:ascii="Arial" w:cs="Arial" w:eastAsia="Arial" w:hAnsi="Arial"/>
                <w:sz w:val="18"/>
                <w:szCs w:val="18"/>
                <w:color w:val="auto"/>
              </w:rPr>
              <w:t>NOTICE OF STOCKHOLDERS’ MEETINGS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2.7</w:t>
            </w:r>
          </w:p>
        </w:tc>
        <w:tc>
          <w:tcPr>
            <w:tcW w:w="9220" w:type="dxa"/>
            <w:vAlign w:val="bottom"/>
          </w:tcPr>
          <w:p>
            <w:pPr>
              <w:ind w:left="200"/>
              <w:spacing w:after="0"/>
              <w:rPr>
                <w:sz w:val="20"/>
                <w:szCs w:val="20"/>
                <w:color w:val="auto"/>
              </w:rPr>
            </w:pPr>
            <w:r>
              <w:rPr>
                <w:rFonts w:ascii="Arial" w:cs="Arial" w:eastAsia="Arial" w:hAnsi="Arial"/>
                <w:sz w:val="18"/>
                <w:szCs w:val="18"/>
                <w:color w:val="auto"/>
              </w:rPr>
              <w:t>MANNER OF GIVING NOTICE; AFFIDAVIT OF NOTICE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2.8</w:t>
            </w:r>
          </w:p>
        </w:tc>
        <w:tc>
          <w:tcPr>
            <w:tcW w:w="9220" w:type="dxa"/>
            <w:vAlign w:val="bottom"/>
          </w:tcPr>
          <w:p>
            <w:pPr>
              <w:ind w:left="200"/>
              <w:spacing w:after="0"/>
              <w:rPr>
                <w:sz w:val="20"/>
                <w:szCs w:val="20"/>
                <w:color w:val="auto"/>
              </w:rPr>
            </w:pPr>
            <w:r>
              <w:rPr>
                <w:rFonts w:ascii="Arial" w:cs="Arial" w:eastAsia="Arial" w:hAnsi="Arial"/>
                <w:sz w:val="18"/>
                <w:szCs w:val="18"/>
                <w:color w:val="auto"/>
              </w:rPr>
              <w:t>QUORUM</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2.9</w:t>
            </w:r>
          </w:p>
        </w:tc>
        <w:tc>
          <w:tcPr>
            <w:tcW w:w="9220" w:type="dxa"/>
            <w:vAlign w:val="bottom"/>
          </w:tcPr>
          <w:p>
            <w:pPr>
              <w:ind w:left="200"/>
              <w:spacing w:after="0"/>
              <w:rPr>
                <w:sz w:val="20"/>
                <w:szCs w:val="20"/>
                <w:color w:val="auto"/>
              </w:rPr>
            </w:pPr>
            <w:r>
              <w:rPr>
                <w:rFonts w:ascii="Arial" w:cs="Arial" w:eastAsia="Arial" w:hAnsi="Arial"/>
                <w:sz w:val="18"/>
                <w:szCs w:val="18"/>
                <w:color w:val="auto"/>
              </w:rPr>
              <w:t>ADJOURNED MEETING; NOTICE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2.10</w:t>
            </w:r>
          </w:p>
        </w:tc>
        <w:tc>
          <w:tcPr>
            <w:tcW w:w="9220" w:type="dxa"/>
            <w:vAlign w:val="bottom"/>
          </w:tcPr>
          <w:p>
            <w:pPr>
              <w:ind w:left="200"/>
              <w:spacing w:after="0"/>
              <w:rPr>
                <w:sz w:val="20"/>
                <w:szCs w:val="20"/>
                <w:color w:val="auto"/>
              </w:rPr>
            </w:pPr>
            <w:r>
              <w:rPr>
                <w:rFonts w:ascii="Arial" w:cs="Arial" w:eastAsia="Arial" w:hAnsi="Arial"/>
                <w:sz w:val="18"/>
                <w:szCs w:val="18"/>
                <w:color w:val="auto"/>
              </w:rPr>
              <w:t>CONDUCT OF BUSINESS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2.11</w:t>
            </w:r>
          </w:p>
        </w:tc>
        <w:tc>
          <w:tcPr>
            <w:tcW w:w="9220" w:type="dxa"/>
            <w:vAlign w:val="bottom"/>
          </w:tcPr>
          <w:p>
            <w:pPr>
              <w:ind w:left="200"/>
              <w:spacing w:after="0"/>
              <w:rPr>
                <w:sz w:val="20"/>
                <w:szCs w:val="20"/>
                <w:color w:val="auto"/>
              </w:rPr>
            </w:pPr>
            <w:r>
              <w:rPr>
                <w:rFonts w:ascii="Arial" w:cs="Arial" w:eastAsia="Arial" w:hAnsi="Arial"/>
                <w:sz w:val="18"/>
                <w:szCs w:val="18"/>
                <w:color w:val="auto"/>
              </w:rPr>
              <w:t>VOTING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2.12</w:t>
            </w:r>
          </w:p>
        </w:tc>
        <w:tc>
          <w:tcPr>
            <w:tcW w:w="9220" w:type="dxa"/>
            <w:vAlign w:val="bottom"/>
          </w:tcPr>
          <w:p>
            <w:pPr>
              <w:ind w:left="200"/>
              <w:spacing w:after="0"/>
              <w:rPr>
                <w:sz w:val="20"/>
                <w:szCs w:val="20"/>
                <w:color w:val="auto"/>
              </w:rPr>
            </w:pPr>
            <w:r>
              <w:rPr>
                <w:rFonts w:ascii="Arial" w:cs="Arial" w:eastAsia="Arial" w:hAnsi="Arial"/>
                <w:sz w:val="18"/>
                <w:szCs w:val="18"/>
                <w:color w:val="auto"/>
              </w:rPr>
              <w:t>STOCKHOLDER ACTION BY WRITTEN CONSENT WITHOUT A MEETING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2.13</w:t>
            </w:r>
          </w:p>
        </w:tc>
        <w:tc>
          <w:tcPr>
            <w:tcW w:w="9220" w:type="dxa"/>
            <w:vAlign w:val="bottom"/>
          </w:tcPr>
          <w:p>
            <w:pPr>
              <w:ind w:left="200"/>
              <w:spacing w:after="0"/>
              <w:rPr>
                <w:sz w:val="20"/>
                <w:szCs w:val="20"/>
                <w:color w:val="auto"/>
              </w:rPr>
            </w:pPr>
            <w:r>
              <w:rPr>
                <w:rFonts w:ascii="Arial" w:cs="Arial" w:eastAsia="Arial" w:hAnsi="Arial"/>
                <w:sz w:val="18"/>
                <w:szCs w:val="18"/>
                <w:color w:val="auto"/>
              </w:rPr>
              <w:t>RECORD DATE FOR STOCKHOLDER NOTICE; VOTING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2.14</w:t>
            </w:r>
          </w:p>
        </w:tc>
        <w:tc>
          <w:tcPr>
            <w:tcW w:w="9220" w:type="dxa"/>
            <w:vAlign w:val="bottom"/>
          </w:tcPr>
          <w:p>
            <w:pPr>
              <w:ind w:left="200"/>
              <w:spacing w:after="0"/>
              <w:rPr>
                <w:sz w:val="20"/>
                <w:szCs w:val="20"/>
                <w:color w:val="auto"/>
              </w:rPr>
            </w:pPr>
            <w:r>
              <w:rPr>
                <w:rFonts w:ascii="Arial" w:cs="Arial" w:eastAsia="Arial" w:hAnsi="Arial"/>
                <w:sz w:val="18"/>
                <w:szCs w:val="18"/>
                <w:color w:val="auto"/>
              </w:rPr>
              <w:t>PROXIES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2.15</w:t>
            </w:r>
          </w:p>
        </w:tc>
        <w:tc>
          <w:tcPr>
            <w:tcW w:w="9220" w:type="dxa"/>
            <w:vAlign w:val="bottom"/>
          </w:tcPr>
          <w:p>
            <w:pPr>
              <w:ind w:left="200"/>
              <w:spacing w:after="0"/>
              <w:rPr>
                <w:sz w:val="20"/>
                <w:szCs w:val="20"/>
                <w:color w:val="auto"/>
              </w:rPr>
            </w:pPr>
            <w:r>
              <w:rPr>
                <w:rFonts w:ascii="Arial" w:cs="Arial" w:eastAsia="Arial" w:hAnsi="Arial"/>
                <w:sz w:val="18"/>
                <w:szCs w:val="18"/>
                <w:color w:val="auto"/>
              </w:rPr>
              <w:t>LIST OF STOCKHOLDERS ENTITLED TO VOTE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2.16</w:t>
            </w:r>
          </w:p>
        </w:tc>
        <w:tc>
          <w:tcPr>
            <w:tcW w:w="9220" w:type="dxa"/>
            <w:vAlign w:val="bottom"/>
          </w:tcPr>
          <w:p>
            <w:pPr>
              <w:ind w:left="200"/>
              <w:spacing w:after="0"/>
              <w:rPr>
                <w:sz w:val="20"/>
                <w:szCs w:val="20"/>
                <w:color w:val="auto"/>
              </w:rPr>
            </w:pPr>
            <w:r>
              <w:rPr>
                <w:rFonts w:ascii="Arial" w:cs="Arial" w:eastAsia="Arial" w:hAnsi="Arial"/>
                <w:sz w:val="18"/>
                <w:szCs w:val="18"/>
                <w:color w:val="auto"/>
              </w:rPr>
              <w:t>POSTPONEMENT, ADJOURNMENT AND CANCELLATION OF MEETING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30"/>
        </w:trPr>
        <w:tc>
          <w:tcPr>
            <w:tcW w:w="1060" w:type="dxa"/>
            <w:vAlign w:val="bottom"/>
          </w:tcPr>
          <w:p>
            <w:pPr>
              <w:ind w:left="540"/>
              <w:spacing w:after="0"/>
              <w:rPr>
                <w:sz w:val="20"/>
                <w:szCs w:val="20"/>
                <w:color w:val="auto"/>
              </w:rPr>
            </w:pPr>
            <w:r>
              <w:rPr>
                <w:rFonts w:ascii="Arial" w:cs="Arial" w:eastAsia="Arial" w:hAnsi="Arial"/>
                <w:sz w:val="18"/>
                <w:szCs w:val="18"/>
                <w:color w:val="auto"/>
              </w:rPr>
              <w:t>2.17</w:t>
            </w:r>
          </w:p>
        </w:tc>
        <w:tc>
          <w:tcPr>
            <w:tcW w:w="9220" w:type="dxa"/>
            <w:vAlign w:val="bottom"/>
          </w:tcPr>
          <w:p>
            <w:pPr>
              <w:ind w:left="200"/>
              <w:spacing w:after="0"/>
              <w:rPr>
                <w:sz w:val="20"/>
                <w:szCs w:val="20"/>
                <w:color w:val="auto"/>
              </w:rPr>
            </w:pPr>
            <w:r>
              <w:rPr>
                <w:rFonts w:ascii="Arial" w:cs="Arial" w:eastAsia="Arial" w:hAnsi="Arial"/>
                <w:sz w:val="18"/>
                <w:szCs w:val="18"/>
                <w:color w:val="auto"/>
              </w:rPr>
              <w:t>INSPECTORS OF ELECTION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III - DIRECTORS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18"/>
        </w:trPr>
        <w:tc>
          <w:tcPr>
            <w:tcW w:w="1060" w:type="dxa"/>
            <w:vAlign w:val="bottom"/>
          </w:tcPr>
          <w:p>
            <w:pPr>
              <w:ind w:left="540"/>
              <w:spacing w:after="0"/>
              <w:rPr>
                <w:sz w:val="20"/>
                <w:szCs w:val="20"/>
                <w:color w:val="auto"/>
              </w:rPr>
            </w:pPr>
            <w:r>
              <w:rPr>
                <w:rFonts w:ascii="Arial" w:cs="Arial" w:eastAsia="Arial" w:hAnsi="Arial"/>
                <w:sz w:val="18"/>
                <w:szCs w:val="18"/>
                <w:color w:val="auto"/>
              </w:rPr>
              <w:t>3.1</w:t>
            </w:r>
          </w:p>
        </w:tc>
        <w:tc>
          <w:tcPr>
            <w:tcW w:w="9220" w:type="dxa"/>
            <w:vAlign w:val="bottom"/>
          </w:tcPr>
          <w:p>
            <w:pPr>
              <w:ind w:left="200"/>
              <w:spacing w:after="0"/>
              <w:rPr>
                <w:sz w:val="20"/>
                <w:szCs w:val="20"/>
                <w:color w:val="auto"/>
              </w:rPr>
            </w:pPr>
            <w:r>
              <w:rPr>
                <w:rFonts w:ascii="Arial" w:cs="Arial" w:eastAsia="Arial" w:hAnsi="Arial"/>
                <w:sz w:val="18"/>
                <w:szCs w:val="18"/>
                <w:color w:val="auto"/>
              </w:rPr>
              <w:t>POWERS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3.2</w:t>
            </w:r>
          </w:p>
        </w:tc>
        <w:tc>
          <w:tcPr>
            <w:tcW w:w="9220" w:type="dxa"/>
            <w:vAlign w:val="bottom"/>
          </w:tcPr>
          <w:p>
            <w:pPr>
              <w:ind w:left="200"/>
              <w:spacing w:after="0"/>
              <w:rPr>
                <w:sz w:val="20"/>
                <w:szCs w:val="20"/>
                <w:color w:val="auto"/>
              </w:rPr>
            </w:pPr>
            <w:r>
              <w:rPr>
                <w:rFonts w:ascii="Arial" w:cs="Arial" w:eastAsia="Arial" w:hAnsi="Arial"/>
                <w:sz w:val="18"/>
                <w:szCs w:val="18"/>
                <w:color w:val="auto"/>
              </w:rPr>
              <w:t>NUMBER OF DIRECTORS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3.3</w:t>
            </w:r>
          </w:p>
        </w:tc>
        <w:tc>
          <w:tcPr>
            <w:tcW w:w="9220" w:type="dxa"/>
            <w:vAlign w:val="bottom"/>
          </w:tcPr>
          <w:p>
            <w:pPr>
              <w:ind w:left="200"/>
              <w:spacing w:after="0"/>
              <w:rPr>
                <w:sz w:val="20"/>
                <w:szCs w:val="20"/>
                <w:color w:val="auto"/>
              </w:rPr>
            </w:pPr>
            <w:r>
              <w:rPr>
                <w:rFonts w:ascii="Arial" w:cs="Arial" w:eastAsia="Arial" w:hAnsi="Arial"/>
                <w:sz w:val="18"/>
                <w:szCs w:val="18"/>
                <w:color w:val="auto"/>
              </w:rPr>
              <w:t>ELECTION, QUALIFICATION AND TERM OF OFFICE OF DIRECTORS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3.4</w:t>
            </w:r>
          </w:p>
        </w:tc>
        <w:tc>
          <w:tcPr>
            <w:tcW w:w="9220" w:type="dxa"/>
            <w:vAlign w:val="bottom"/>
          </w:tcPr>
          <w:p>
            <w:pPr>
              <w:ind w:left="200"/>
              <w:spacing w:after="0"/>
              <w:rPr>
                <w:sz w:val="20"/>
                <w:szCs w:val="20"/>
                <w:color w:val="auto"/>
              </w:rPr>
            </w:pPr>
            <w:r>
              <w:rPr>
                <w:rFonts w:ascii="Arial" w:cs="Arial" w:eastAsia="Arial" w:hAnsi="Arial"/>
                <w:sz w:val="18"/>
                <w:szCs w:val="18"/>
                <w:color w:val="auto"/>
              </w:rPr>
              <w:t>RESIGNATION AND VACANCIES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3.5</w:t>
            </w:r>
          </w:p>
        </w:tc>
        <w:tc>
          <w:tcPr>
            <w:tcW w:w="9220" w:type="dxa"/>
            <w:vAlign w:val="bottom"/>
          </w:tcPr>
          <w:p>
            <w:pPr>
              <w:ind w:left="200"/>
              <w:spacing w:after="0"/>
              <w:rPr>
                <w:sz w:val="20"/>
                <w:szCs w:val="20"/>
                <w:color w:val="auto"/>
              </w:rPr>
            </w:pPr>
            <w:r>
              <w:rPr>
                <w:rFonts w:ascii="Arial" w:cs="Arial" w:eastAsia="Arial" w:hAnsi="Arial"/>
                <w:sz w:val="18"/>
                <w:szCs w:val="18"/>
                <w:color w:val="auto"/>
              </w:rPr>
              <w:t>PLACE OF MEETINGS; MEETINGS BY TELEPHONE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3.6</w:t>
            </w:r>
          </w:p>
        </w:tc>
        <w:tc>
          <w:tcPr>
            <w:tcW w:w="9220" w:type="dxa"/>
            <w:vAlign w:val="bottom"/>
          </w:tcPr>
          <w:p>
            <w:pPr>
              <w:ind w:left="200"/>
              <w:spacing w:after="0"/>
              <w:rPr>
                <w:sz w:val="20"/>
                <w:szCs w:val="20"/>
                <w:color w:val="auto"/>
              </w:rPr>
            </w:pPr>
            <w:r>
              <w:rPr>
                <w:rFonts w:ascii="Arial" w:cs="Arial" w:eastAsia="Arial" w:hAnsi="Arial"/>
                <w:sz w:val="18"/>
                <w:szCs w:val="18"/>
                <w:color w:val="auto"/>
              </w:rPr>
              <w:t>REGULAR MEETINGS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3.7</w:t>
            </w:r>
          </w:p>
        </w:tc>
        <w:tc>
          <w:tcPr>
            <w:tcW w:w="9220" w:type="dxa"/>
            <w:vAlign w:val="bottom"/>
          </w:tcPr>
          <w:p>
            <w:pPr>
              <w:ind w:left="200"/>
              <w:spacing w:after="0"/>
              <w:rPr>
                <w:sz w:val="20"/>
                <w:szCs w:val="20"/>
                <w:color w:val="auto"/>
              </w:rPr>
            </w:pPr>
            <w:r>
              <w:rPr>
                <w:rFonts w:ascii="Arial" w:cs="Arial" w:eastAsia="Arial" w:hAnsi="Arial"/>
                <w:sz w:val="18"/>
                <w:szCs w:val="18"/>
                <w:color w:val="auto"/>
              </w:rPr>
              <w:t>SPECIAL MEETINGS; NOTICE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3.8</w:t>
            </w:r>
          </w:p>
        </w:tc>
        <w:tc>
          <w:tcPr>
            <w:tcW w:w="9220" w:type="dxa"/>
            <w:vAlign w:val="bottom"/>
          </w:tcPr>
          <w:p>
            <w:pPr>
              <w:ind w:left="200"/>
              <w:spacing w:after="0"/>
              <w:rPr>
                <w:sz w:val="20"/>
                <w:szCs w:val="20"/>
                <w:color w:val="auto"/>
              </w:rPr>
            </w:pPr>
            <w:r>
              <w:rPr>
                <w:rFonts w:ascii="Arial" w:cs="Arial" w:eastAsia="Arial" w:hAnsi="Arial"/>
                <w:sz w:val="18"/>
                <w:szCs w:val="18"/>
                <w:color w:val="auto"/>
              </w:rPr>
              <w:t>QUORUM</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3.9</w:t>
            </w:r>
          </w:p>
        </w:tc>
        <w:tc>
          <w:tcPr>
            <w:tcW w:w="9220" w:type="dxa"/>
            <w:vAlign w:val="bottom"/>
          </w:tcPr>
          <w:p>
            <w:pPr>
              <w:ind w:left="200"/>
              <w:spacing w:after="0"/>
              <w:rPr>
                <w:sz w:val="20"/>
                <w:szCs w:val="20"/>
                <w:color w:val="auto"/>
              </w:rPr>
            </w:pPr>
            <w:r>
              <w:rPr>
                <w:rFonts w:ascii="Arial" w:cs="Arial" w:eastAsia="Arial" w:hAnsi="Arial"/>
                <w:sz w:val="18"/>
                <w:szCs w:val="18"/>
                <w:color w:val="auto"/>
              </w:rPr>
              <w:t>BOARD ACTION BY CONSENT WITHOUT A MEETING</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3.10</w:t>
            </w:r>
          </w:p>
        </w:tc>
        <w:tc>
          <w:tcPr>
            <w:tcW w:w="9220" w:type="dxa"/>
            <w:vAlign w:val="bottom"/>
          </w:tcPr>
          <w:p>
            <w:pPr>
              <w:ind w:left="200"/>
              <w:spacing w:after="0"/>
              <w:rPr>
                <w:sz w:val="20"/>
                <w:szCs w:val="20"/>
                <w:color w:val="auto"/>
              </w:rPr>
            </w:pPr>
            <w:r>
              <w:rPr>
                <w:rFonts w:ascii="Arial" w:cs="Arial" w:eastAsia="Arial" w:hAnsi="Arial"/>
                <w:sz w:val="18"/>
                <w:szCs w:val="18"/>
                <w:color w:val="auto"/>
              </w:rPr>
              <w:t>FEES AND COMPENSATION OF DIRECTORS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1060" w:type="dxa"/>
            <w:vAlign w:val="bottom"/>
          </w:tcPr>
          <w:p>
            <w:pPr>
              <w:ind w:left="540"/>
              <w:spacing w:after="0"/>
              <w:rPr>
                <w:sz w:val="20"/>
                <w:szCs w:val="20"/>
                <w:color w:val="auto"/>
              </w:rPr>
            </w:pPr>
            <w:r>
              <w:rPr>
                <w:rFonts w:ascii="Arial" w:cs="Arial" w:eastAsia="Arial" w:hAnsi="Arial"/>
                <w:sz w:val="18"/>
                <w:szCs w:val="18"/>
                <w:color w:val="auto"/>
              </w:rPr>
              <w:t>3.11</w:t>
            </w:r>
          </w:p>
        </w:tc>
        <w:tc>
          <w:tcPr>
            <w:tcW w:w="9220" w:type="dxa"/>
            <w:vAlign w:val="bottom"/>
          </w:tcPr>
          <w:p>
            <w:pPr>
              <w:ind w:left="200"/>
              <w:spacing w:after="0"/>
              <w:rPr>
                <w:sz w:val="20"/>
                <w:szCs w:val="20"/>
                <w:color w:val="auto"/>
              </w:rPr>
            </w:pPr>
            <w:r>
              <w:rPr>
                <w:rFonts w:ascii="Arial" w:cs="Arial" w:eastAsia="Arial" w:hAnsi="Arial"/>
                <w:sz w:val="18"/>
                <w:szCs w:val="18"/>
                <w:color w:val="auto"/>
              </w:rPr>
              <w:t>REMOVAL OF DIRECTORS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IV - COMMITTEES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418"/>
        </w:trPr>
        <w:tc>
          <w:tcPr>
            <w:tcW w:w="1060" w:type="dxa"/>
            <w:vAlign w:val="bottom"/>
          </w:tcPr>
          <w:p>
            <w:pPr>
              <w:ind w:left="540"/>
              <w:spacing w:after="0"/>
              <w:rPr>
                <w:sz w:val="20"/>
                <w:szCs w:val="20"/>
                <w:color w:val="auto"/>
              </w:rPr>
            </w:pPr>
            <w:r>
              <w:rPr>
                <w:rFonts w:ascii="Arial" w:cs="Arial" w:eastAsia="Arial" w:hAnsi="Arial"/>
                <w:sz w:val="18"/>
                <w:szCs w:val="18"/>
                <w:color w:val="auto"/>
              </w:rPr>
              <w:t>4.1</w:t>
            </w:r>
          </w:p>
        </w:tc>
        <w:tc>
          <w:tcPr>
            <w:tcW w:w="9220" w:type="dxa"/>
            <w:vAlign w:val="bottom"/>
          </w:tcPr>
          <w:p>
            <w:pPr>
              <w:ind w:left="200"/>
              <w:spacing w:after="0"/>
              <w:rPr>
                <w:sz w:val="20"/>
                <w:szCs w:val="20"/>
                <w:color w:val="auto"/>
              </w:rPr>
            </w:pPr>
            <w:r>
              <w:rPr>
                <w:rFonts w:ascii="Arial" w:cs="Arial" w:eastAsia="Arial" w:hAnsi="Arial"/>
                <w:sz w:val="18"/>
                <w:szCs w:val="18"/>
                <w:color w:val="auto"/>
              </w:rPr>
              <w:t>COMMITTEES OF DIRECTORS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4.2</w:t>
            </w:r>
          </w:p>
        </w:tc>
        <w:tc>
          <w:tcPr>
            <w:tcW w:w="9220" w:type="dxa"/>
            <w:vAlign w:val="bottom"/>
          </w:tcPr>
          <w:p>
            <w:pPr>
              <w:ind w:left="200"/>
              <w:spacing w:after="0"/>
              <w:rPr>
                <w:sz w:val="20"/>
                <w:szCs w:val="20"/>
                <w:color w:val="auto"/>
              </w:rPr>
            </w:pPr>
            <w:r>
              <w:rPr>
                <w:rFonts w:ascii="Arial" w:cs="Arial" w:eastAsia="Arial" w:hAnsi="Arial"/>
                <w:sz w:val="18"/>
                <w:szCs w:val="18"/>
                <w:color w:val="auto"/>
              </w:rPr>
              <w:t>COMMITTEE MINUTES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1060" w:type="dxa"/>
            <w:vAlign w:val="bottom"/>
          </w:tcPr>
          <w:p>
            <w:pPr>
              <w:ind w:left="540"/>
              <w:spacing w:after="0"/>
              <w:rPr>
                <w:sz w:val="20"/>
                <w:szCs w:val="20"/>
                <w:color w:val="auto"/>
              </w:rPr>
            </w:pPr>
            <w:r>
              <w:rPr>
                <w:rFonts w:ascii="Arial" w:cs="Arial" w:eastAsia="Arial" w:hAnsi="Arial"/>
                <w:sz w:val="18"/>
                <w:szCs w:val="18"/>
                <w:color w:val="auto"/>
              </w:rPr>
              <w:t>4.3</w:t>
            </w:r>
          </w:p>
        </w:tc>
        <w:tc>
          <w:tcPr>
            <w:tcW w:w="9220" w:type="dxa"/>
            <w:vAlign w:val="bottom"/>
          </w:tcPr>
          <w:p>
            <w:pPr>
              <w:ind w:left="200"/>
              <w:spacing w:after="0"/>
              <w:rPr>
                <w:sz w:val="20"/>
                <w:szCs w:val="20"/>
                <w:color w:val="auto"/>
              </w:rPr>
            </w:pPr>
            <w:r>
              <w:rPr>
                <w:rFonts w:ascii="Arial" w:cs="Arial" w:eastAsia="Arial" w:hAnsi="Arial"/>
                <w:sz w:val="18"/>
                <w:szCs w:val="18"/>
                <w:color w:val="auto"/>
              </w:rPr>
              <w:t>MEETINGS AND ACTION OF COMMITTEES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 - OFFICERS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418"/>
        </w:trPr>
        <w:tc>
          <w:tcPr>
            <w:tcW w:w="1060" w:type="dxa"/>
            <w:vAlign w:val="bottom"/>
          </w:tcPr>
          <w:p>
            <w:pPr>
              <w:ind w:left="540"/>
              <w:spacing w:after="0"/>
              <w:rPr>
                <w:sz w:val="20"/>
                <w:szCs w:val="20"/>
                <w:color w:val="auto"/>
              </w:rPr>
            </w:pPr>
            <w:r>
              <w:rPr>
                <w:rFonts w:ascii="Arial" w:cs="Arial" w:eastAsia="Arial" w:hAnsi="Arial"/>
                <w:sz w:val="18"/>
                <w:szCs w:val="18"/>
                <w:color w:val="auto"/>
              </w:rPr>
              <w:t>5.1</w:t>
            </w:r>
          </w:p>
        </w:tc>
        <w:tc>
          <w:tcPr>
            <w:tcW w:w="9220" w:type="dxa"/>
            <w:vAlign w:val="bottom"/>
          </w:tcPr>
          <w:p>
            <w:pPr>
              <w:ind w:left="200"/>
              <w:spacing w:after="0"/>
              <w:rPr>
                <w:sz w:val="20"/>
                <w:szCs w:val="20"/>
                <w:color w:val="auto"/>
              </w:rPr>
            </w:pPr>
            <w:r>
              <w:rPr>
                <w:rFonts w:ascii="Arial" w:cs="Arial" w:eastAsia="Arial" w:hAnsi="Arial"/>
                <w:sz w:val="18"/>
                <w:szCs w:val="18"/>
                <w:color w:val="auto"/>
              </w:rPr>
              <w:t>OFFICERS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30"/>
        </w:trPr>
        <w:tc>
          <w:tcPr>
            <w:tcW w:w="1060" w:type="dxa"/>
            <w:vAlign w:val="bottom"/>
          </w:tcPr>
          <w:p>
            <w:pPr>
              <w:ind w:left="540"/>
              <w:spacing w:after="0"/>
              <w:rPr>
                <w:sz w:val="20"/>
                <w:szCs w:val="20"/>
                <w:color w:val="auto"/>
              </w:rPr>
            </w:pPr>
            <w:r>
              <w:rPr>
                <w:rFonts w:ascii="Arial" w:cs="Arial" w:eastAsia="Arial" w:hAnsi="Arial"/>
                <w:sz w:val="18"/>
                <w:szCs w:val="18"/>
                <w:color w:val="auto"/>
              </w:rPr>
              <w:t>5.2</w:t>
            </w:r>
          </w:p>
        </w:tc>
        <w:tc>
          <w:tcPr>
            <w:tcW w:w="9220" w:type="dxa"/>
            <w:vAlign w:val="bottom"/>
          </w:tcPr>
          <w:p>
            <w:pPr>
              <w:ind w:left="200"/>
              <w:spacing w:after="0"/>
              <w:rPr>
                <w:sz w:val="20"/>
                <w:szCs w:val="20"/>
                <w:color w:val="auto"/>
              </w:rPr>
            </w:pPr>
            <w:r>
              <w:rPr>
                <w:rFonts w:ascii="Arial" w:cs="Arial" w:eastAsia="Arial" w:hAnsi="Arial"/>
                <w:sz w:val="18"/>
                <w:szCs w:val="18"/>
                <w:color w:val="auto"/>
              </w:rPr>
              <w:t>APPOINTMENT OF OFFICERS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-7625080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-7625080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ectPr>
          <w:pgSz w:w="11900" w:h="16838" w:orient="portrait"/>
          <w:cols w:equalWidth="0" w:num="1">
            <w:col w:w="11460"/>
          </w:cols>
          <w:pgMar w:left="240" w:top="121" w:right="19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11"/>
        </w:trPr>
        <w:tc>
          <w:tcPr>
            <w:tcW w:w="1060" w:type="dxa"/>
            <w:vAlign w:val="bottom"/>
          </w:tcPr>
          <w:p>
            <w:pPr>
              <w:ind w:left="540"/>
              <w:spacing w:after="0"/>
              <w:rPr>
                <w:sz w:val="20"/>
                <w:szCs w:val="20"/>
                <w:color w:val="auto"/>
              </w:rPr>
            </w:pPr>
            <w:r>
              <w:rPr>
                <w:rFonts w:ascii="Arial" w:cs="Arial" w:eastAsia="Arial" w:hAnsi="Arial"/>
                <w:sz w:val="18"/>
                <w:szCs w:val="18"/>
                <w:color w:val="auto"/>
              </w:rPr>
              <w:t>5.3</w:t>
            </w:r>
          </w:p>
        </w:tc>
        <w:tc>
          <w:tcPr>
            <w:tcW w:w="9220" w:type="dxa"/>
            <w:vAlign w:val="bottom"/>
          </w:tcPr>
          <w:p>
            <w:pPr>
              <w:ind w:left="200"/>
              <w:spacing w:after="0"/>
              <w:rPr>
                <w:sz w:val="20"/>
                <w:szCs w:val="20"/>
                <w:color w:val="auto"/>
              </w:rPr>
            </w:pPr>
            <w:r>
              <w:rPr>
                <w:rFonts w:ascii="Arial" w:cs="Arial" w:eastAsia="Arial" w:hAnsi="Arial"/>
                <w:sz w:val="18"/>
                <w:szCs w:val="18"/>
                <w:color w:val="auto"/>
              </w:rPr>
              <w:t>SUBORDINATE OFFICERS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5.4</w:t>
            </w:r>
          </w:p>
        </w:tc>
        <w:tc>
          <w:tcPr>
            <w:tcW w:w="9220" w:type="dxa"/>
            <w:vAlign w:val="bottom"/>
          </w:tcPr>
          <w:p>
            <w:pPr>
              <w:ind w:left="200"/>
              <w:spacing w:after="0"/>
              <w:rPr>
                <w:sz w:val="20"/>
                <w:szCs w:val="20"/>
                <w:color w:val="auto"/>
              </w:rPr>
            </w:pPr>
            <w:r>
              <w:rPr>
                <w:rFonts w:ascii="Arial" w:cs="Arial" w:eastAsia="Arial" w:hAnsi="Arial"/>
                <w:sz w:val="18"/>
                <w:szCs w:val="18"/>
                <w:color w:val="auto"/>
              </w:rPr>
              <w:t>REMOVAL AND RESIGNATION OF OFFICERS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5.5</w:t>
            </w:r>
          </w:p>
        </w:tc>
        <w:tc>
          <w:tcPr>
            <w:tcW w:w="9220" w:type="dxa"/>
            <w:vAlign w:val="bottom"/>
          </w:tcPr>
          <w:p>
            <w:pPr>
              <w:ind w:left="200"/>
              <w:spacing w:after="0"/>
              <w:rPr>
                <w:sz w:val="20"/>
                <w:szCs w:val="20"/>
                <w:color w:val="auto"/>
              </w:rPr>
            </w:pPr>
            <w:r>
              <w:rPr>
                <w:rFonts w:ascii="Arial" w:cs="Arial" w:eastAsia="Arial" w:hAnsi="Arial"/>
                <w:sz w:val="18"/>
                <w:szCs w:val="18"/>
                <w:color w:val="auto"/>
              </w:rPr>
              <w:t>VACANCIES IN OFFICES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5.6</w:t>
            </w:r>
          </w:p>
        </w:tc>
        <w:tc>
          <w:tcPr>
            <w:tcW w:w="9220" w:type="dxa"/>
            <w:vAlign w:val="bottom"/>
          </w:tcPr>
          <w:p>
            <w:pPr>
              <w:ind w:left="200"/>
              <w:spacing w:after="0"/>
              <w:rPr>
                <w:sz w:val="20"/>
                <w:szCs w:val="20"/>
                <w:color w:val="auto"/>
              </w:rPr>
            </w:pPr>
            <w:r>
              <w:rPr>
                <w:rFonts w:ascii="Arial" w:cs="Arial" w:eastAsia="Arial" w:hAnsi="Arial"/>
                <w:sz w:val="18"/>
                <w:szCs w:val="18"/>
                <w:color w:val="auto"/>
              </w:rPr>
              <w:t>REPRESENTATION OF SHARES OF OTHER ENTITIES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1060" w:type="dxa"/>
            <w:vAlign w:val="bottom"/>
          </w:tcPr>
          <w:p>
            <w:pPr>
              <w:ind w:left="540"/>
              <w:spacing w:after="0"/>
              <w:rPr>
                <w:sz w:val="20"/>
                <w:szCs w:val="20"/>
                <w:color w:val="auto"/>
              </w:rPr>
            </w:pPr>
            <w:r>
              <w:rPr>
                <w:rFonts w:ascii="Arial" w:cs="Arial" w:eastAsia="Arial" w:hAnsi="Arial"/>
                <w:sz w:val="18"/>
                <w:szCs w:val="18"/>
                <w:color w:val="auto"/>
              </w:rPr>
              <w:t>5.7</w:t>
            </w:r>
          </w:p>
        </w:tc>
        <w:tc>
          <w:tcPr>
            <w:tcW w:w="9220" w:type="dxa"/>
            <w:vAlign w:val="bottom"/>
          </w:tcPr>
          <w:p>
            <w:pPr>
              <w:ind w:left="200"/>
              <w:spacing w:after="0"/>
              <w:rPr>
                <w:sz w:val="20"/>
                <w:szCs w:val="20"/>
                <w:color w:val="auto"/>
              </w:rPr>
            </w:pPr>
            <w:r>
              <w:rPr>
                <w:rFonts w:ascii="Arial" w:cs="Arial" w:eastAsia="Arial" w:hAnsi="Arial"/>
                <w:sz w:val="18"/>
                <w:szCs w:val="18"/>
                <w:color w:val="auto"/>
              </w:rPr>
              <w:t>AUTHORITY AND DUTIES OF OFFICERS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VI - RECORDS AND REPORTS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432"/>
        </w:trPr>
        <w:tc>
          <w:tcPr>
            <w:tcW w:w="1060" w:type="dxa"/>
            <w:vAlign w:val="bottom"/>
          </w:tcPr>
          <w:p>
            <w:pPr>
              <w:ind w:left="540"/>
              <w:spacing w:after="0"/>
              <w:rPr>
                <w:sz w:val="20"/>
                <w:szCs w:val="20"/>
                <w:color w:val="auto"/>
              </w:rPr>
            </w:pPr>
            <w:r>
              <w:rPr>
                <w:rFonts w:ascii="Arial" w:cs="Arial" w:eastAsia="Arial" w:hAnsi="Arial"/>
                <w:sz w:val="18"/>
                <w:szCs w:val="18"/>
                <w:color w:val="auto"/>
              </w:rPr>
              <w:t>6.1</w:t>
            </w:r>
          </w:p>
        </w:tc>
        <w:tc>
          <w:tcPr>
            <w:tcW w:w="9220" w:type="dxa"/>
            <w:vAlign w:val="bottom"/>
          </w:tcPr>
          <w:p>
            <w:pPr>
              <w:ind w:left="200"/>
              <w:spacing w:after="0"/>
              <w:rPr>
                <w:sz w:val="20"/>
                <w:szCs w:val="20"/>
                <w:color w:val="auto"/>
              </w:rPr>
            </w:pPr>
            <w:r>
              <w:rPr>
                <w:rFonts w:ascii="Arial" w:cs="Arial" w:eastAsia="Arial" w:hAnsi="Arial"/>
                <w:sz w:val="18"/>
                <w:szCs w:val="18"/>
                <w:color w:val="auto"/>
              </w:rPr>
              <w:t>MAINTENANCE OF RECORDS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VII - GENERAL MATTERS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418"/>
        </w:trPr>
        <w:tc>
          <w:tcPr>
            <w:tcW w:w="1060" w:type="dxa"/>
            <w:vAlign w:val="bottom"/>
          </w:tcPr>
          <w:p>
            <w:pPr>
              <w:ind w:left="540"/>
              <w:spacing w:after="0"/>
              <w:rPr>
                <w:sz w:val="20"/>
                <w:szCs w:val="20"/>
                <w:color w:val="auto"/>
              </w:rPr>
            </w:pPr>
            <w:r>
              <w:rPr>
                <w:rFonts w:ascii="Arial" w:cs="Arial" w:eastAsia="Arial" w:hAnsi="Arial"/>
                <w:sz w:val="18"/>
                <w:szCs w:val="18"/>
                <w:color w:val="auto"/>
              </w:rPr>
              <w:t>7.1</w:t>
            </w:r>
          </w:p>
        </w:tc>
        <w:tc>
          <w:tcPr>
            <w:tcW w:w="9220" w:type="dxa"/>
            <w:vAlign w:val="bottom"/>
          </w:tcPr>
          <w:p>
            <w:pPr>
              <w:ind w:left="200"/>
              <w:spacing w:after="0"/>
              <w:rPr>
                <w:sz w:val="20"/>
                <w:szCs w:val="20"/>
                <w:color w:val="auto"/>
              </w:rPr>
            </w:pPr>
            <w:r>
              <w:rPr>
                <w:rFonts w:ascii="Arial" w:cs="Arial" w:eastAsia="Arial" w:hAnsi="Arial"/>
                <w:sz w:val="18"/>
                <w:szCs w:val="18"/>
                <w:color w:val="auto"/>
              </w:rPr>
              <w:t>EXECUTION OF CORPORATE CONTRACTS AND INSTRUMENTS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7.2</w:t>
            </w:r>
          </w:p>
        </w:tc>
        <w:tc>
          <w:tcPr>
            <w:tcW w:w="9220" w:type="dxa"/>
            <w:vAlign w:val="bottom"/>
          </w:tcPr>
          <w:p>
            <w:pPr>
              <w:ind w:left="200"/>
              <w:spacing w:after="0"/>
              <w:rPr>
                <w:sz w:val="20"/>
                <w:szCs w:val="20"/>
                <w:color w:val="auto"/>
              </w:rPr>
            </w:pPr>
            <w:r>
              <w:rPr>
                <w:rFonts w:ascii="Arial" w:cs="Arial" w:eastAsia="Arial" w:hAnsi="Arial"/>
                <w:sz w:val="18"/>
                <w:szCs w:val="18"/>
                <w:color w:val="auto"/>
              </w:rPr>
              <w:t>STOCK CERTIFICATES; PARTLY PAID SHARES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7.3</w:t>
            </w:r>
          </w:p>
        </w:tc>
        <w:tc>
          <w:tcPr>
            <w:tcW w:w="9220" w:type="dxa"/>
            <w:vAlign w:val="bottom"/>
          </w:tcPr>
          <w:p>
            <w:pPr>
              <w:ind w:left="200"/>
              <w:spacing w:after="0"/>
              <w:rPr>
                <w:sz w:val="20"/>
                <w:szCs w:val="20"/>
                <w:color w:val="auto"/>
              </w:rPr>
            </w:pPr>
            <w:r>
              <w:rPr>
                <w:rFonts w:ascii="Arial" w:cs="Arial" w:eastAsia="Arial" w:hAnsi="Arial"/>
                <w:sz w:val="18"/>
                <w:szCs w:val="18"/>
                <w:color w:val="auto"/>
              </w:rPr>
              <w:t>MULTIPLES CLASSES OR SERIES OF STOCK</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7.4</w:t>
            </w:r>
          </w:p>
        </w:tc>
        <w:tc>
          <w:tcPr>
            <w:tcW w:w="9220" w:type="dxa"/>
            <w:vAlign w:val="bottom"/>
          </w:tcPr>
          <w:p>
            <w:pPr>
              <w:ind w:left="200"/>
              <w:spacing w:after="0"/>
              <w:rPr>
                <w:sz w:val="20"/>
                <w:szCs w:val="20"/>
                <w:color w:val="auto"/>
              </w:rPr>
            </w:pPr>
            <w:r>
              <w:rPr>
                <w:rFonts w:ascii="Arial" w:cs="Arial" w:eastAsia="Arial" w:hAnsi="Arial"/>
                <w:sz w:val="18"/>
                <w:szCs w:val="18"/>
                <w:color w:val="auto"/>
              </w:rPr>
              <w:t>LOST CERTIFICATES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7.5</w:t>
            </w:r>
          </w:p>
        </w:tc>
        <w:tc>
          <w:tcPr>
            <w:tcW w:w="9220" w:type="dxa"/>
            <w:vAlign w:val="bottom"/>
          </w:tcPr>
          <w:p>
            <w:pPr>
              <w:ind w:left="200"/>
              <w:spacing w:after="0"/>
              <w:rPr>
                <w:sz w:val="20"/>
                <w:szCs w:val="20"/>
                <w:color w:val="auto"/>
              </w:rPr>
            </w:pPr>
            <w:r>
              <w:rPr>
                <w:rFonts w:ascii="Arial" w:cs="Arial" w:eastAsia="Arial" w:hAnsi="Arial"/>
                <w:sz w:val="18"/>
                <w:szCs w:val="18"/>
                <w:color w:val="auto"/>
              </w:rPr>
              <w:t>CONSTRUCTION; DEFINITIONS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7.6</w:t>
            </w:r>
          </w:p>
        </w:tc>
        <w:tc>
          <w:tcPr>
            <w:tcW w:w="922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7.7</w:t>
            </w:r>
          </w:p>
        </w:tc>
        <w:tc>
          <w:tcPr>
            <w:tcW w:w="9220" w:type="dxa"/>
            <w:vAlign w:val="bottom"/>
          </w:tcPr>
          <w:p>
            <w:pPr>
              <w:ind w:left="200"/>
              <w:spacing w:after="0"/>
              <w:rPr>
                <w:sz w:val="20"/>
                <w:szCs w:val="20"/>
                <w:color w:val="auto"/>
              </w:rPr>
            </w:pPr>
            <w:r>
              <w:rPr>
                <w:rFonts w:ascii="Arial" w:cs="Arial" w:eastAsia="Arial" w:hAnsi="Arial"/>
                <w:sz w:val="18"/>
                <w:szCs w:val="18"/>
                <w:color w:val="auto"/>
              </w:rPr>
              <w:t>FISCAL YEAR</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7.8</w:t>
            </w:r>
          </w:p>
        </w:tc>
        <w:tc>
          <w:tcPr>
            <w:tcW w:w="9220" w:type="dxa"/>
            <w:vAlign w:val="bottom"/>
          </w:tcPr>
          <w:p>
            <w:pPr>
              <w:ind w:left="200"/>
              <w:spacing w:after="0"/>
              <w:rPr>
                <w:sz w:val="20"/>
                <w:szCs w:val="20"/>
                <w:color w:val="auto"/>
              </w:rPr>
            </w:pPr>
            <w:r>
              <w:rPr>
                <w:rFonts w:ascii="Arial" w:cs="Arial" w:eastAsia="Arial" w:hAnsi="Arial"/>
                <w:sz w:val="18"/>
                <w:szCs w:val="18"/>
                <w:color w:val="auto"/>
              </w:rPr>
              <w:t>SEAL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7.9</w:t>
            </w:r>
          </w:p>
        </w:tc>
        <w:tc>
          <w:tcPr>
            <w:tcW w:w="9220" w:type="dxa"/>
            <w:vAlign w:val="bottom"/>
          </w:tcPr>
          <w:p>
            <w:pPr>
              <w:ind w:left="200"/>
              <w:spacing w:after="0"/>
              <w:rPr>
                <w:sz w:val="20"/>
                <w:szCs w:val="20"/>
                <w:color w:val="auto"/>
              </w:rPr>
            </w:pPr>
            <w:r>
              <w:rPr>
                <w:rFonts w:ascii="Arial" w:cs="Arial" w:eastAsia="Arial" w:hAnsi="Arial"/>
                <w:sz w:val="18"/>
                <w:szCs w:val="18"/>
                <w:color w:val="auto"/>
              </w:rPr>
              <w:t>TRANSFER OF STOCK</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7.10</w:t>
            </w:r>
          </w:p>
        </w:tc>
        <w:tc>
          <w:tcPr>
            <w:tcW w:w="9220" w:type="dxa"/>
            <w:vAlign w:val="bottom"/>
          </w:tcPr>
          <w:p>
            <w:pPr>
              <w:ind w:left="200"/>
              <w:spacing w:after="0"/>
              <w:rPr>
                <w:sz w:val="20"/>
                <w:szCs w:val="20"/>
                <w:color w:val="auto"/>
              </w:rPr>
            </w:pPr>
            <w:r>
              <w:rPr>
                <w:rFonts w:ascii="Arial" w:cs="Arial" w:eastAsia="Arial" w:hAnsi="Arial"/>
                <w:sz w:val="18"/>
                <w:szCs w:val="18"/>
                <w:color w:val="auto"/>
              </w:rPr>
              <w:t>STOCK TRANSFER AGREEMENTS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7.11</w:t>
            </w:r>
          </w:p>
        </w:tc>
        <w:tc>
          <w:tcPr>
            <w:tcW w:w="9220" w:type="dxa"/>
            <w:vAlign w:val="bottom"/>
          </w:tcPr>
          <w:p>
            <w:pPr>
              <w:ind w:left="200"/>
              <w:spacing w:after="0"/>
              <w:rPr>
                <w:sz w:val="20"/>
                <w:szCs w:val="20"/>
                <w:color w:val="auto"/>
              </w:rPr>
            </w:pPr>
            <w:r>
              <w:rPr>
                <w:rFonts w:ascii="Arial" w:cs="Arial" w:eastAsia="Arial" w:hAnsi="Arial"/>
                <w:sz w:val="18"/>
                <w:szCs w:val="18"/>
                <w:color w:val="auto"/>
              </w:rPr>
              <w:t>REGISTERED STOCKHOLDERS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1060" w:type="dxa"/>
            <w:vAlign w:val="bottom"/>
          </w:tcPr>
          <w:p>
            <w:pPr>
              <w:ind w:left="540"/>
              <w:spacing w:after="0"/>
              <w:rPr>
                <w:sz w:val="20"/>
                <w:szCs w:val="20"/>
                <w:color w:val="auto"/>
              </w:rPr>
            </w:pPr>
            <w:r>
              <w:rPr>
                <w:rFonts w:ascii="Arial" w:cs="Arial" w:eastAsia="Arial" w:hAnsi="Arial"/>
                <w:sz w:val="18"/>
                <w:szCs w:val="18"/>
                <w:color w:val="auto"/>
              </w:rPr>
              <w:t>7.12</w:t>
            </w:r>
          </w:p>
        </w:tc>
        <w:tc>
          <w:tcPr>
            <w:tcW w:w="9220" w:type="dxa"/>
            <w:vAlign w:val="bottom"/>
          </w:tcPr>
          <w:p>
            <w:pPr>
              <w:ind w:left="200"/>
              <w:spacing w:after="0"/>
              <w:rPr>
                <w:sz w:val="20"/>
                <w:szCs w:val="20"/>
                <w:color w:val="auto"/>
              </w:rPr>
            </w:pPr>
            <w:r>
              <w:rPr>
                <w:rFonts w:ascii="Arial" w:cs="Arial" w:eastAsia="Arial" w:hAnsi="Arial"/>
                <w:sz w:val="18"/>
                <w:szCs w:val="18"/>
                <w:color w:val="auto"/>
              </w:rPr>
              <w:t>WAIVER OF NOTICE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VIII - NOTICE BY ELECTRONIC TRANSMISSION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18"/>
        </w:trPr>
        <w:tc>
          <w:tcPr>
            <w:tcW w:w="1060" w:type="dxa"/>
            <w:vAlign w:val="bottom"/>
          </w:tcPr>
          <w:p>
            <w:pPr>
              <w:ind w:left="540"/>
              <w:spacing w:after="0"/>
              <w:rPr>
                <w:sz w:val="20"/>
                <w:szCs w:val="20"/>
                <w:color w:val="auto"/>
              </w:rPr>
            </w:pPr>
            <w:r>
              <w:rPr>
                <w:rFonts w:ascii="Arial" w:cs="Arial" w:eastAsia="Arial" w:hAnsi="Arial"/>
                <w:sz w:val="18"/>
                <w:szCs w:val="18"/>
                <w:color w:val="auto"/>
              </w:rPr>
              <w:t>8.1</w:t>
            </w:r>
          </w:p>
        </w:tc>
        <w:tc>
          <w:tcPr>
            <w:tcW w:w="9220" w:type="dxa"/>
            <w:vAlign w:val="bottom"/>
          </w:tcPr>
          <w:p>
            <w:pPr>
              <w:ind w:left="200"/>
              <w:spacing w:after="0"/>
              <w:rPr>
                <w:sz w:val="20"/>
                <w:szCs w:val="20"/>
                <w:color w:val="auto"/>
              </w:rPr>
            </w:pPr>
            <w:r>
              <w:rPr>
                <w:rFonts w:ascii="Arial" w:cs="Arial" w:eastAsia="Arial" w:hAnsi="Arial"/>
                <w:sz w:val="18"/>
                <w:szCs w:val="18"/>
                <w:color w:val="auto"/>
              </w:rPr>
              <w:t>NOTICE BY ELECTRONIC TRANSMISSION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1060" w:type="dxa"/>
            <w:vAlign w:val="bottom"/>
          </w:tcPr>
          <w:p>
            <w:pPr>
              <w:ind w:left="540"/>
              <w:spacing w:after="0"/>
              <w:rPr>
                <w:sz w:val="20"/>
                <w:szCs w:val="20"/>
                <w:color w:val="auto"/>
              </w:rPr>
            </w:pPr>
            <w:r>
              <w:rPr>
                <w:rFonts w:ascii="Arial" w:cs="Arial" w:eastAsia="Arial" w:hAnsi="Arial"/>
                <w:sz w:val="18"/>
                <w:szCs w:val="18"/>
                <w:color w:val="auto"/>
              </w:rPr>
              <w:t>8.2</w:t>
            </w:r>
          </w:p>
        </w:tc>
        <w:tc>
          <w:tcPr>
            <w:tcW w:w="9220" w:type="dxa"/>
            <w:vAlign w:val="bottom"/>
          </w:tcPr>
          <w:p>
            <w:pPr>
              <w:ind w:left="200"/>
              <w:spacing w:after="0"/>
              <w:rPr>
                <w:sz w:val="20"/>
                <w:szCs w:val="20"/>
                <w:color w:val="auto"/>
              </w:rPr>
            </w:pPr>
            <w:r>
              <w:rPr>
                <w:rFonts w:ascii="Arial" w:cs="Arial" w:eastAsia="Arial" w:hAnsi="Arial"/>
                <w:sz w:val="18"/>
                <w:szCs w:val="18"/>
                <w:color w:val="auto"/>
              </w:rPr>
              <w:t>DEFINITION OF ELECTRONIC TRANSMISSION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IX - INDEMNIFICATION AND ADVANCEMENT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418"/>
        </w:trPr>
        <w:tc>
          <w:tcPr>
            <w:tcW w:w="1060" w:type="dxa"/>
            <w:vAlign w:val="bottom"/>
          </w:tcPr>
          <w:p>
            <w:pPr>
              <w:ind w:left="540"/>
              <w:spacing w:after="0"/>
              <w:rPr>
                <w:sz w:val="20"/>
                <w:szCs w:val="20"/>
                <w:color w:val="auto"/>
              </w:rPr>
            </w:pPr>
            <w:r>
              <w:rPr>
                <w:rFonts w:ascii="Arial" w:cs="Arial" w:eastAsia="Arial" w:hAnsi="Arial"/>
                <w:sz w:val="18"/>
                <w:szCs w:val="18"/>
                <w:color w:val="auto"/>
              </w:rPr>
              <w:t>9.1</w:t>
            </w:r>
          </w:p>
        </w:tc>
        <w:tc>
          <w:tcPr>
            <w:tcW w:w="9220" w:type="dxa"/>
            <w:vAlign w:val="bottom"/>
          </w:tcPr>
          <w:p>
            <w:pPr>
              <w:ind w:left="200"/>
              <w:spacing w:after="0"/>
              <w:rPr>
                <w:sz w:val="20"/>
                <w:szCs w:val="20"/>
                <w:color w:val="auto"/>
              </w:rPr>
            </w:pPr>
            <w:r>
              <w:rPr>
                <w:rFonts w:ascii="Arial" w:cs="Arial" w:eastAsia="Arial" w:hAnsi="Arial"/>
                <w:sz w:val="18"/>
                <w:szCs w:val="18"/>
                <w:color w:val="auto"/>
              </w:rPr>
              <w:t>ACTIONS, SUITS AND PROCEEDINGS OTHER THAN BY OR IN THE RIGHT OF THE CORPORATION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9.2</w:t>
            </w:r>
          </w:p>
        </w:tc>
        <w:tc>
          <w:tcPr>
            <w:tcW w:w="9220" w:type="dxa"/>
            <w:vAlign w:val="bottom"/>
          </w:tcPr>
          <w:p>
            <w:pPr>
              <w:ind w:left="200"/>
              <w:spacing w:after="0"/>
              <w:rPr>
                <w:sz w:val="20"/>
                <w:szCs w:val="20"/>
                <w:color w:val="auto"/>
              </w:rPr>
            </w:pPr>
            <w:r>
              <w:rPr>
                <w:rFonts w:ascii="Arial" w:cs="Arial" w:eastAsia="Arial" w:hAnsi="Arial"/>
                <w:sz w:val="18"/>
                <w:szCs w:val="18"/>
                <w:color w:val="auto"/>
              </w:rPr>
              <w:t>ACTIONS OR SUITS BY OR IN THE RIGHT OF THE CORPORATION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9.3</w:t>
            </w:r>
          </w:p>
        </w:tc>
        <w:tc>
          <w:tcPr>
            <w:tcW w:w="9220" w:type="dxa"/>
            <w:vAlign w:val="bottom"/>
          </w:tcPr>
          <w:p>
            <w:pPr>
              <w:ind w:left="200"/>
              <w:spacing w:after="0"/>
              <w:rPr>
                <w:sz w:val="20"/>
                <w:szCs w:val="20"/>
                <w:color w:val="auto"/>
              </w:rPr>
            </w:pPr>
            <w:r>
              <w:rPr>
                <w:rFonts w:ascii="Arial" w:cs="Arial" w:eastAsia="Arial" w:hAnsi="Arial"/>
                <w:sz w:val="18"/>
                <w:szCs w:val="18"/>
                <w:color w:val="auto"/>
              </w:rPr>
              <w:t>INDEMNIFICATION FOR EXPENSES OF SUCCESSFUL PARTY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9.4</w:t>
            </w:r>
          </w:p>
        </w:tc>
        <w:tc>
          <w:tcPr>
            <w:tcW w:w="9220" w:type="dxa"/>
            <w:vAlign w:val="bottom"/>
          </w:tcPr>
          <w:p>
            <w:pPr>
              <w:ind w:left="200"/>
              <w:spacing w:after="0"/>
              <w:rPr>
                <w:sz w:val="20"/>
                <w:szCs w:val="20"/>
                <w:color w:val="auto"/>
              </w:rPr>
            </w:pPr>
            <w:r>
              <w:rPr>
                <w:rFonts w:ascii="Arial" w:cs="Arial" w:eastAsia="Arial" w:hAnsi="Arial"/>
                <w:sz w:val="18"/>
                <w:szCs w:val="18"/>
                <w:color w:val="auto"/>
              </w:rPr>
              <w:t>NOTIFICATION AND DEFENSE OF CLAIM</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9.5</w:t>
            </w:r>
          </w:p>
        </w:tc>
        <w:tc>
          <w:tcPr>
            <w:tcW w:w="9220" w:type="dxa"/>
            <w:vAlign w:val="bottom"/>
          </w:tcPr>
          <w:p>
            <w:pPr>
              <w:ind w:left="200"/>
              <w:spacing w:after="0"/>
              <w:rPr>
                <w:sz w:val="20"/>
                <w:szCs w:val="20"/>
                <w:color w:val="auto"/>
              </w:rPr>
            </w:pPr>
            <w:r>
              <w:rPr>
                <w:rFonts w:ascii="Arial" w:cs="Arial" w:eastAsia="Arial" w:hAnsi="Arial"/>
                <w:sz w:val="18"/>
                <w:szCs w:val="18"/>
                <w:color w:val="auto"/>
              </w:rPr>
              <w:t>ADVANCE OF EXPENSES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9.6</w:t>
            </w:r>
          </w:p>
        </w:tc>
        <w:tc>
          <w:tcPr>
            <w:tcW w:w="9220" w:type="dxa"/>
            <w:vAlign w:val="bottom"/>
          </w:tcPr>
          <w:p>
            <w:pPr>
              <w:ind w:left="200"/>
              <w:spacing w:after="0"/>
              <w:rPr>
                <w:sz w:val="20"/>
                <w:szCs w:val="20"/>
                <w:color w:val="auto"/>
              </w:rPr>
            </w:pPr>
            <w:r>
              <w:rPr>
                <w:rFonts w:ascii="Arial" w:cs="Arial" w:eastAsia="Arial" w:hAnsi="Arial"/>
                <w:sz w:val="18"/>
                <w:szCs w:val="18"/>
                <w:color w:val="auto"/>
              </w:rPr>
              <w:t>PROCEDURE FOR INDEMNIFICATION AND ADVANCEMENT OF EXPENSES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9.7</w:t>
            </w:r>
          </w:p>
        </w:tc>
        <w:tc>
          <w:tcPr>
            <w:tcW w:w="9220" w:type="dxa"/>
            <w:vAlign w:val="bottom"/>
          </w:tcPr>
          <w:p>
            <w:pPr>
              <w:ind w:left="200"/>
              <w:spacing w:after="0"/>
              <w:rPr>
                <w:sz w:val="20"/>
                <w:szCs w:val="20"/>
                <w:color w:val="auto"/>
              </w:rPr>
            </w:pPr>
            <w:r>
              <w:rPr>
                <w:rFonts w:ascii="Arial" w:cs="Arial" w:eastAsia="Arial" w:hAnsi="Arial"/>
                <w:sz w:val="18"/>
                <w:szCs w:val="18"/>
                <w:color w:val="auto"/>
              </w:rPr>
              <w:t>REMEDIES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9.8</w:t>
            </w:r>
          </w:p>
        </w:tc>
        <w:tc>
          <w:tcPr>
            <w:tcW w:w="9220" w:type="dxa"/>
            <w:vAlign w:val="bottom"/>
          </w:tcPr>
          <w:p>
            <w:pPr>
              <w:ind w:left="200"/>
              <w:spacing w:after="0"/>
              <w:rPr>
                <w:sz w:val="20"/>
                <w:szCs w:val="20"/>
                <w:color w:val="auto"/>
              </w:rPr>
            </w:pPr>
            <w:r>
              <w:rPr>
                <w:rFonts w:ascii="Arial" w:cs="Arial" w:eastAsia="Arial" w:hAnsi="Arial"/>
                <w:sz w:val="18"/>
                <w:szCs w:val="18"/>
                <w:color w:val="auto"/>
              </w:rPr>
              <w:t>LIMITATIONS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9.9</w:t>
            </w:r>
          </w:p>
        </w:tc>
        <w:tc>
          <w:tcPr>
            <w:tcW w:w="9220" w:type="dxa"/>
            <w:vAlign w:val="bottom"/>
          </w:tcPr>
          <w:p>
            <w:pPr>
              <w:ind w:left="200"/>
              <w:spacing w:after="0"/>
              <w:rPr>
                <w:sz w:val="20"/>
                <w:szCs w:val="20"/>
                <w:color w:val="auto"/>
              </w:rPr>
            </w:pPr>
            <w:r>
              <w:rPr>
                <w:rFonts w:ascii="Arial" w:cs="Arial" w:eastAsia="Arial" w:hAnsi="Arial"/>
                <w:sz w:val="18"/>
                <w:szCs w:val="18"/>
                <w:color w:val="auto"/>
              </w:rPr>
              <w:t>SUBSEQUENT AMENDMENT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9.10</w:t>
            </w:r>
          </w:p>
        </w:tc>
        <w:tc>
          <w:tcPr>
            <w:tcW w:w="9220" w:type="dxa"/>
            <w:vAlign w:val="bottom"/>
          </w:tcPr>
          <w:p>
            <w:pPr>
              <w:ind w:left="200"/>
              <w:spacing w:after="0"/>
              <w:rPr>
                <w:sz w:val="20"/>
                <w:szCs w:val="20"/>
                <w:color w:val="auto"/>
              </w:rPr>
            </w:pPr>
            <w:r>
              <w:rPr>
                <w:rFonts w:ascii="Arial" w:cs="Arial" w:eastAsia="Arial" w:hAnsi="Arial"/>
                <w:sz w:val="18"/>
                <w:szCs w:val="18"/>
                <w:color w:val="auto"/>
              </w:rPr>
              <w:t>OTHER RIGHTS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9.11</w:t>
            </w:r>
          </w:p>
        </w:tc>
        <w:tc>
          <w:tcPr>
            <w:tcW w:w="9220" w:type="dxa"/>
            <w:vAlign w:val="bottom"/>
          </w:tcPr>
          <w:p>
            <w:pPr>
              <w:ind w:left="200"/>
              <w:spacing w:after="0"/>
              <w:rPr>
                <w:sz w:val="20"/>
                <w:szCs w:val="20"/>
                <w:color w:val="auto"/>
              </w:rPr>
            </w:pPr>
            <w:r>
              <w:rPr>
                <w:rFonts w:ascii="Arial" w:cs="Arial" w:eastAsia="Arial" w:hAnsi="Arial"/>
                <w:sz w:val="18"/>
                <w:szCs w:val="18"/>
                <w:color w:val="auto"/>
              </w:rPr>
              <w:t>PARTIAL INDEMNIFICATION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9.12</w:t>
            </w:r>
          </w:p>
        </w:tc>
        <w:tc>
          <w:tcPr>
            <w:tcW w:w="922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9.13</w:t>
            </w:r>
          </w:p>
        </w:tc>
        <w:tc>
          <w:tcPr>
            <w:tcW w:w="9220" w:type="dxa"/>
            <w:vAlign w:val="bottom"/>
          </w:tcPr>
          <w:p>
            <w:pPr>
              <w:ind w:left="200"/>
              <w:spacing w:after="0"/>
              <w:rPr>
                <w:sz w:val="20"/>
                <w:szCs w:val="20"/>
                <w:color w:val="auto"/>
              </w:rPr>
            </w:pPr>
            <w:r>
              <w:rPr>
                <w:rFonts w:ascii="Arial" w:cs="Arial" w:eastAsia="Arial" w:hAnsi="Arial"/>
                <w:sz w:val="18"/>
                <w:szCs w:val="18"/>
                <w:color w:val="auto"/>
              </w:rPr>
              <w:t>SAVINGS CLAUSE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1060" w:type="dxa"/>
            <w:vAlign w:val="bottom"/>
          </w:tcPr>
          <w:p>
            <w:pPr>
              <w:ind w:left="540"/>
              <w:spacing w:after="0"/>
              <w:rPr>
                <w:sz w:val="20"/>
                <w:szCs w:val="20"/>
                <w:color w:val="auto"/>
              </w:rPr>
            </w:pPr>
            <w:r>
              <w:rPr>
                <w:rFonts w:ascii="Arial" w:cs="Arial" w:eastAsia="Arial" w:hAnsi="Arial"/>
                <w:sz w:val="18"/>
                <w:szCs w:val="18"/>
                <w:color w:val="auto"/>
              </w:rPr>
              <w:t>9.14</w:t>
            </w:r>
          </w:p>
        </w:tc>
        <w:tc>
          <w:tcPr>
            <w:tcW w:w="922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432"/>
        </w:trPr>
        <w:tc>
          <w:tcPr>
            <w:tcW w:w="1060" w:type="dxa"/>
            <w:vAlign w:val="bottom"/>
          </w:tcPr>
          <w:p>
            <w:pPr>
              <w:spacing w:after="0"/>
              <w:rPr>
                <w:sz w:val="24"/>
                <w:szCs w:val="24"/>
                <w:color w:val="auto"/>
              </w:rPr>
            </w:pPr>
          </w:p>
        </w:tc>
        <w:tc>
          <w:tcPr>
            <w:tcW w:w="9220" w:type="dxa"/>
            <w:vAlign w:val="bottom"/>
          </w:tcPr>
          <w:p>
            <w:pPr>
              <w:jc w:val="center"/>
              <w:spacing w:after="0"/>
              <w:rPr>
                <w:sz w:val="20"/>
                <w:szCs w:val="20"/>
                <w:color w:val="auto"/>
              </w:rPr>
            </w:pPr>
            <w:r>
              <w:rPr>
                <w:rFonts w:ascii="Arial" w:cs="Arial" w:eastAsia="Arial" w:hAnsi="Arial"/>
                <w:sz w:val="18"/>
                <w:szCs w:val="18"/>
                <w:color w:val="auto"/>
              </w:rPr>
              <w:t>ii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60" w:type="dxa"/>
            <w:vAlign w:val="bottom"/>
            <w:tcBorders>
              <w:bottom w:val="single" w:sz="8" w:color="808080"/>
            </w:tcBorders>
          </w:tcPr>
          <w:p>
            <w:pPr>
              <w:spacing w:after="0"/>
              <w:rPr>
                <w:sz w:val="11"/>
                <w:szCs w:val="11"/>
                <w:color w:val="auto"/>
              </w:rPr>
            </w:pPr>
          </w:p>
        </w:tc>
        <w:tc>
          <w:tcPr>
            <w:tcW w:w="9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62"/>
        </w:trPr>
        <w:tc>
          <w:tcPr>
            <w:tcW w:w="1060" w:type="dxa"/>
            <w:vAlign w:val="bottom"/>
          </w:tcPr>
          <w:p>
            <w:pPr>
              <w:spacing w:after="0"/>
              <w:rPr>
                <w:sz w:val="24"/>
                <w:szCs w:val="24"/>
                <w:color w:val="auto"/>
              </w:rPr>
            </w:pPr>
          </w:p>
        </w:tc>
        <w:tc>
          <w:tcPr>
            <w:tcW w:w="9220" w:type="dxa"/>
            <w:vAlign w:val="bottom"/>
          </w:tcPr>
          <w:p>
            <w:pPr>
              <w:jc w:val="center"/>
              <w:ind w:left="1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92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(continued)</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06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280" w:type="dxa"/>
            <w:vAlign w:val="bottom"/>
            <w:gridSpan w:val="2"/>
          </w:tcPr>
          <w:p>
            <w:pPr>
              <w:spacing w:after="0"/>
              <w:rPr>
                <w:sz w:val="20"/>
                <w:szCs w:val="20"/>
                <w:color w:val="auto"/>
              </w:rPr>
            </w:pPr>
            <w:r>
              <w:rPr>
                <w:rFonts w:ascii="Arial" w:cs="Arial" w:eastAsia="Arial" w:hAnsi="Arial"/>
                <w:sz w:val="18"/>
                <w:szCs w:val="18"/>
                <w:color w:val="auto"/>
              </w:rPr>
              <w:t>ARTICLE X - AMENDMENTS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432"/>
        </w:trPr>
        <w:tc>
          <w:tcPr>
            <w:tcW w:w="1060" w:type="dxa"/>
            <w:vAlign w:val="bottom"/>
          </w:tcPr>
          <w:p>
            <w:pPr>
              <w:spacing w:after="0"/>
              <w:rPr>
                <w:sz w:val="24"/>
                <w:szCs w:val="24"/>
                <w:color w:val="auto"/>
              </w:rPr>
            </w:pPr>
          </w:p>
        </w:tc>
        <w:tc>
          <w:tcPr>
            <w:tcW w:w="9220" w:type="dxa"/>
            <w:vAlign w:val="bottom"/>
          </w:tcPr>
          <w:p>
            <w:pPr>
              <w:jc w:val="center"/>
              <w:spacing w:after="0"/>
              <w:rPr>
                <w:sz w:val="20"/>
                <w:szCs w:val="20"/>
                <w:color w:val="auto"/>
              </w:rPr>
            </w:pPr>
            <w:r>
              <w:rPr>
                <w:rFonts w:ascii="Arial" w:cs="Arial" w:eastAsia="Arial" w:hAnsi="Arial"/>
                <w:sz w:val="18"/>
                <w:szCs w:val="18"/>
                <w:color w:val="auto"/>
              </w:rPr>
              <w:t>iii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60" w:type="dxa"/>
            <w:vAlign w:val="bottom"/>
            <w:tcBorders>
              <w:bottom w:val="single" w:sz="8" w:color="808080"/>
            </w:tcBorders>
          </w:tcPr>
          <w:p>
            <w:pPr>
              <w:spacing w:after="0"/>
              <w:rPr>
                <w:sz w:val="11"/>
                <w:szCs w:val="11"/>
                <w:color w:val="auto"/>
              </w:rPr>
            </w:pPr>
          </w:p>
        </w:tc>
        <w:tc>
          <w:tcPr>
            <w:tcW w:w="9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-1546860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-1546860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 - CORPORATE OFFICES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1.1 REGISTERED OFFICE. The registered office of Selecta Biosciences,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shall be fixed in the Corporation’s certificate of incorporation, as the same may be amended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ectPr>
          <w:pgSz w:w="11900" w:h="16838" w:orient="portrait"/>
          <w:cols w:equalWidth="0" w:num="1">
            <w:col w:w="11460"/>
          </w:cols>
          <w:pgMar w:left="240" w:top="118" w:right="199" w:bottom="72" w:gutter="0" w:footer="0" w:header="0"/>
        </w:sectPr>
      </w:pPr>
    </w:p>
    <w:bookmarkStart w:id="7" w:name="page8"/>
    <w:bookmarkEnd w:id="7"/>
    <w:p>
      <w:pPr>
        <w:spacing w:after="0" w:line="92"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1.2 OTHER OFFICES. The Corporation may have other offices at any place or places, either within or outside the State of Delaware, as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shall from time to time determine or the business of the Corporation may from time to time require.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2.1 PLACE OF MEETINGS. 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In the absence of any such designation or determination, stockholders’ meetings shall be held at the Corporation’s principal executive office.</w:t>
      </w:r>
    </w:p>
    <w:p>
      <w:pPr>
        <w:spacing w:after="0" w:line="17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2.2 ANNUAL MEETING. The Board shall designate the date and time of the annual meeting. At the annual meeting, directors shall be elected and other proper business properly brought before the meeting in accordance with Section 2.4 of these bylaws may be transacted.</w:t>
      </w:r>
    </w:p>
    <w:p>
      <w:pPr>
        <w:spacing w:after="0" w:line="170" w:lineRule="exact"/>
        <w:rPr>
          <w:sz w:val="20"/>
          <w:szCs w:val="20"/>
          <w:color w:val="auto"/>
        </w:rPr>
      </w:pPr>
    </w:p>
    <w:p>
      <w:pPr>
        <w:jc w:val="both"/>
        <w:ind w:right="580" w:firstLine="648"/>
        <w:spacing w:after="0" w:line="342" w:lineRule="auto"/>
        <w:rPr>
          <w:sz w:val="20"/>
          <w:szCs w:val="20"/>
          <w:color w:val="auto"/>
        </w:rPr>
      </w:pPr>
      <w:r>
        <w:rPr>
          <w:rFonts w:ascii="Arial" w:cs="Arial" w:eastAsia="Arial" w:hAnsi="Arial"/>
          <w:sz w:val="16"/>
          <w:szCs w:val="16"/>
          <w:color w:val="auto"/>
        </w:rPr>
        <w:t>2.3 SPECIAL MEETING. A special meeting of the stockholders may be called at any time by the Board, chairperson of the Board, chief executive officer or president (in the absence of a chief executive officer), but such special meetings may not be called by any other person or persons.</w:t>
      </w:r>
    </w:p>
    <w:p>
      <w:pPr>
        <w:spacing w:after="0" w:line="12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No business may be transacted at such special meeting other than the business specified in such notice to stockholders. Nothing contained in this paragraph of this Section 2.3 shall be construed as limiting, fixing, or affecting the time when a meeting of stockholders called by action of the Board may be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2.4 ADVANCE NOTICE PROCEDURES FOR BUSINESS BROUGHT BEFORE A MEETING. (a) At an annual meeting of the stockholders, only such business shall be conducted as shall have been properly brought before the meeting. To be properly brought before an annual meeting, business must be (i) brought before the meeting by the Corporation and specified in the notice of meeting given by or at the direction of the Board, (ii) brought before the meeting by or at the direction of the Board (or a committee thereof) or (iii) otherwise properly brought before the meeting by a stockholder who (A) was a stockholder of record of the Corporation (and, with respect to any beneficial owner, if different, on whose behalf such business is proposed, only if such beneficial owner was the beneficial owner of shares of the Corporation) both at the time of giving the notice provided for in this Section 2.4 and at the time of the meeting, (B) is entitled to vote at the meeting and (C) has complied with this Section 2.4 as to such business. Except for proposals properly made in accordance with Rule 14a-8 under the Securities Exchange Act of 1934, as amended, and the rules and regulations promulgated thereunder (as so amended and inclusive of such rules and regulations,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included in the notice of meeting given by or at the direction of the Board, the foregoing clause (iii) shall be the exclusive means for a stockholder to propose business to be brought before an annual meeting of the stockholders. Stockholders shall not be permitted to propose business to be brought before a special meeting of the stockholders, and the only matters that may be brought before a special meeting are the matters specified in the notice of meeting given by or at the direction of the person calling the meeting pursuant to Section 2.3 of these bylaws. Stockholders seeking to nominate persons for election to the Board must comply with Section 2.5 of these bylaws, and this Section 2.4 shall not be applicable to nominations except as expressly provided in Section 2.5 of these bylaws.</w:t>
      </w:r>
    </w:p>
    <w:p>
      <w:pPr>
        <w:spacing w:after="0" w:line="172" w:lineRule="exact"/>
        <w:rPr>
          <w:sz w:val="20"/>
          <w:szCs w:val="20"/>
          <w:color w:val="auto"/>
        </w:rPr>
      </w:pPr>
    </w:p>
    <w:p>
      <w:pPr>
        <w:ind w:right="80" w:firstLine="1305"/>
        <w:spacing w:after="0" w:line="285" w:lineRule="auto"/>
        <w:tabs>
          <w:tab w:leader="none" w:pos="1952" w:val="left"/>
        </w:tabs>
        <w:numPr>
          <w:ilvl w:val="1"/>
          <w:numId w:val="11"/>
        </w:numPr>
        <w:rPr>
          <w:rFonts w:ascii="Arial" w:cs="Arial" w:eastAsia="Arial" w:hAnsi="Arial"/>
          <w:sz w:val="16"/>
          <w:szCs w:val="16"/>
          <w:color w:val="auto"/>
        </w:rPr>
      </w:pPr>
      <w:r>
        <w:rPr>
          <w:rFonts w:ascii="Arial" w:cs="Arial" w:eastAsia="Arial" w:hAnsi="Arial"/>
          <w:sz w:val="16"/>
          <w:szCs w:val="16"/>
          <w:color w:val="auto"/>
        </w:rPr>
        <w:t xml:space="preserve">Without qualification, for business to be properly brought before an annual meeting by a stockholder pursuant to clause (iii) of the second sentence of Section 2.4(a) of these bylaws,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by the Secretary at, the principal executive offices of the Corporation not less than ninety (90) days nor more than one hundred twenty (120) days prior to the first anniversary of the preceding year’s annual meeting;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w:t>
      </w:r>
    </w:p>
    <w:p>
      <w:pPr>
        <w:spacing w:after="0" w:line="2" w:lineRule="exact"/>
        <w:rPr>
          <w:rFonts w:ascii="Arial" w:cs="Arial" w:eastAsia="Arial" w:hAnsi="Arial"/>
          <w:sz w:val="16"/>
          <w:szCs w:val="16"/>
          <w:color w:val="auto"/>
        </w:rPr>
      </w:pPr>
    </w:p>
    <w:p>
      <w:pPr>
        <w:ind w:firstLine="8"/>
        <w:spacing w:after="0" w:line="235"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the date of the annual meeting is more than thirty (30) days before or more than sixty (60) days after such anniversary date or (y) with respect to the first annual meeting held after the Company’s initial public offering of its shares pursuant to a registration statement on Form S-1, notice by the stockholder to be timely must be so delivered, or mailed and received, not earlier than the close of business on the one hundred twentieth (120</w:t>
      </w:r>
      <w:r>
        <w:rPr>
          <w:rFonts w:ascii="Arial" w:cs="Arial" w:eastAsia="Arial" w:hAnsi="Arial"/>
          <w:sz w:val="22"/>
          <w:szCs w:val="22"/>
          <w:color w:val="auto"/>
          <w:vertAlign w:val="superscript"/>
        </w:rPr>
        <w:t>th</w:t>
      </w:r>
      <w:r>
        <w:rPr>
          <w:rFonts w:ascii="Arial" w:cs="Arial" w:eastAsia="Arial" w:hAnsi="Arial"/>
          <w:sz w:val="17"/>
          <w:szCs w:val="17"/>
          <w:color w:val="auto"/>
        </w:rPr>
        <w:t>) day prior to such annual meeting and not later than the later of the close of business on the ninetieth (90</w:t>
      </w:r>
      <w:r>
        <w:rPr>
          <w:rFonts w:ascii="Arial" w:cs="Arial" w:eastAsia="Arial" w:hAnsi="Arial"/>
          <w:sz w:val="22"/>
          <w:szCs w:val="22"/>
          <w:color w:val="auto"/>
          <w:vertAlign w:val="superscript"/>
        </w:rPr>
        <w:t>th</w:t>
      </w:r>
      <w:r>
        <w:rPr>
          <w:rFonts w:ascii="Arial" w:cs="Arial" w:eastAsia="Arial" w:hAnsi="Arial"/>
          <w:sz w:val="17"/>
          <w:szCs w:val="17"/>
          <w:color w:val="auto"/>
        </w:rPr>
        <w:t>) day prior to such annual meeting and the close of business on the tenth (10</w:t>
      </w:r>
      <w:r>
        <w:rPr>
          <w:rFonts w:ascii="Arial" w:cs="Arial" w:eastAsia="Arial" w:hAnsi="Arial"/>
          <w:sz w:val="22"/>
          <w:szCs w:val="22"/>
          <w:color w:val="auto"/>
          <w:vertAlign w:val="superscript"/>
        </w:rPr>
        <w:t>th</w:t>
      </w:r>
      <w:r>
        <w:rPr>
          <w:rFonts w:ascii="Arial" w:cs="Arial" w:eastAsia="Arial" w:hAnsi="Arial"/>
          <w:sz w:val="17"/>
          <w:szCs w:val="17"/>
          <w:color w:val="auto"/>
        </w:rPr>
        <w:t>) day following the day on which public disclosure of the date of such annual meeting was first made (such notice within such time periods, “</w:t>
      </w:r>
      <w:r>
        <w:rPr>
          <w:rFonts w:ascii="Arial" w:cs="Arial" w:eastAsia="Arial" w:hAnsi="Arial"/>
          <w:sz w:val="17"/>
          <w:szCs w:val="17"/>
          <w:u w:val="single" w:color="auto"/>
          <w:color w:val="auto"/>
        </w:rPr>
        <w:t>Timely Notice</w:t>
      </w:r>
      <w:r>
        <w:rPr>
          <w:rFonts w:ascii="Arial" w:cs="Arial" w:eastAsia="Arial" w:hAnsi="Arial"/>
          <w:sz w:val="17"/>
          <w:szCs w:val="17"/>
          <w:color w:val="auto"/>
        </w:rPr>
        <w:t>”). In no event shall any adjournment or postponement of an annual meeting or the announcement thereof commence a new time period (or extend any time period) for the giving of Timely Notice as described above.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be in proper form for purposes of this Section 2.4, a stockholder’s notice to the secretary of the Corporation shall set forth:</w:t>
      </w:r>
    </w:p>
    <w:p>
      <w:pPr>
        <w:spacing w:after="0" w:line="236" w:lineRule="exact"/>
        <w:rPr>
          <w:rFonts w:ascii="Arial" w:cs="Arial" w:eastAsia="Arial" w:hAnsi="Arial"/>
          <w:sz w:val="17"/>
          <w:szCs w:val="17"/>
          <w:color w:val="auto"/>
        </w:rPr>
      </w:pPr>
    </w:p>
    <w:p>
      <w:pPr>
        <w:ind w:left="1300" w:right="20" w:firstLine="653"/>
        <w:spacing w:after="0" w:line="293" w:lineRule="auto"/>
        <w:tabs>
          <w:tab w:leader="none" w:pos="2294" w:val="left"/>
        </w:tabs>
        <w:numPr>
          <w:ilvl w:val="1"/>
          <w:numId w:val="13"/>
        </w:numPr>
        <w:rPr>
          <w:rFonts w:ascii="Arial" w:cs="Arial" w:eastAsia="Arial" w:hAnsi="Arial"/>
          <w:sz w:val="16"/>
          <w:szCs w:val="16"/>
          <w:color w:val="auto"/>
        </w:rPr>
      </w:pPr>
      <w:r>
        <w:rPr>
          <w:rFonts w:ascii="Arial" w:cs="Arial" w:eastAsia="Arial" w:hAnsi="Arial"/>
          <w:sz w:val="16"/>
          <w:szCs w:val="16"/>
          <w:color w:val="auto"/>
        </w:rPr>
        <w:t>As to each Proposing Person (as defined below), (A) the name and address of such Proposing Person (including, without limitation,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Arial" w:cs="Arial" w:eastAsia="Arial" w:hAnsi="Arial"/>
          <w:sz w:val="16"/>
          <w:szCs w:val="16"/>
          <w:u w:val="single" w:color="auto"/>
          <w:color w:val="auto"/>
        </w:rPr>
        <w:t>Stockholder Information</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1300" w:right="60" w:firstLine="653"/>
        <w:spacing w:after="0" w:line="287" w:lineRule="auto"/>
        <w:tabs>
          <w:tab w:leader="none" w:pos="2303" w:val="left"/>
        </w:tabs>
        <w:numPr>
          <w:ilvl w:val="1"/>
          <w:numId w:val="13"/>
        </w:numPr>
        <w:rPr>
          <w:rFonts w:ascii="Arial" w:cs="Arial" w:eastAsia="Arial" w:hAnsi="Arial"/>
          <w:sz w:val="16"/>
          <w:szCs w:val="16"/>
          <w:color w:val="auto"/>
        </w:rPr>
      </w:pPr>
      <w:r>
        <w:rPr>
          <w:rFonts w:ascii="Arial" w:cs="Arial" w:eastAsia="Arial" w:hAnsi="Arial"/>
          <w:sz w:val="16"/>
          <w:szCs w:val="16"/>
          <w:color w:val="auto"/>
        </w:rPr>
        <w:t>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without limitation, due to the fact that the value of such derivative, swap or other transactions are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w:t>
      </w:r>
      <w:r>
        <w:rPr>
          <w:rFonts w:ascii="Arial" w:cs="Arial" w:eastAsia="Arial" w:hAnsi="Arial"/>
          <w:sz w:val="16"/>
          <w:szCs w:val="16"/>
          <w:u w:val="single" w:color="auto"/>
          <w:color w:val="auto"/>
        </w:rPr>
        <w:t>Synthetic Equity Interests</w:t>
      </w:r>
      <w:r>
        <w:rPr>
          <w:rFonts w:ascii="Arial" w:cs="Arial" w:eastAsia="Arial" w:hAnsi="Arial"/>
          <w:sz w:val="16"/>
          <w:szCs w:val="16"/>
          <w:color w:val="auto"/>
        </w:rPr>
        <w:t>”), which Synthetic Equity Interests shall be disclosed without regard to whether (x) the derivative, swap or other transactions convey any voting rights in such shares to such Proposing Person, (y) 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transactions, (B) 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Corporation,</w:t>
      </w:r>
    </w:p>
    <w:p>
      <w:pPr>
        <w:sectPr>
          <w:pgSz w:w="11900" w:h="16930" w:orient="portrait"/>
          <w:cols w:equalWidth="0" w:num="1">
            <w:col w:w="11420"/>
          </w:cols>
          <w:pgMar w:left="240" w:top="125" w:right="239" w:bottom="0" w:gutter="0" w:footer="0" w:header="0"/>
        </w:sectPr>
      </w:pPr>
    </w:p>
    <w:bookmarkStart w:id="8" w:name="page9"/>
    <w:bookmarkEnd w:id="8"/>
    <w:p>
      <w:pPr>
        <w:ind w:left="1300" w:firstLine="5"/>
        <w:spacing w:after="0" w:line="257" w:lineRule="auto"/>
        <w:tabs>
          <w:tab w:leader="none" w:pos="15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agreement, arrangement, understanding or relationship, including, without limitation, any repurchase or similar so-called “stock borrowing” agreement or arrangement, engaged in, directly or indirectly, by such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Person with respect to the shares of any class or series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line="284" w:lineRule="auto"/>
        <w:rPr>
          <w:sz w:val="20"/>
          <w:szCs w:val="20"/>
          <w:color w:val="auto"/>
        </w:rPr>
      </w:pPr>
      <w:r>
        <w:rPr>
          <w:rFonts w:ascii="Arial" w:cs="Arial" w:eastAsia="Arial" w:hAnsi="Arial"/>
          <w:sz w:val="16"/>
          <w:szCs w:val="16"/>
          <w:color w:val="auto"/>
        </w:rPr>
        <w:t>of the Corporation, or which provides, directly or indirectly, the opportunity to profit from any decrease in the price or value of the shares of any class or series of the Corporation (“</w:t>
      </w:r>
      <w:r>
        <w:rPr>
          <w:rFonts w:ascii="Arial" w:cs="Arial" w:eastAsia="Arial" w:hAnsi="Arial"/>
          <w:sz w:val="16"/>
          <w:szCs w:val="16"/>
          <w:u w:val="single" w:color="auto"/>
          <w:color w:val="auto"/>
        </w:rPr>
        <w:t>Short Interests</w:t>
      </w:r>
      <w:r>
        <w:rPr>
          <w:rFonts w:ascii="Arial" w:cs="Arial" w:eastAsia="Arial" w:hAnsi="Arial"/>
          <w:sz w:val="16"/>
          <w:szCs w:val="16"/>
          <w:color w:val="auto"/>
        </w:rPr>
        <w:t>”), (D) any rights to dividends on the shares of any class or series of the Corporation owned beneficially by such Proposing Person that are separated or separable from the underlying shares of the Corporation, (E) any performance related fees (other than an asset based fee) that such Proposing Person is entitled to based on any increase or decrease in the price or value of shares of any class or series of the Corporation, or any Synthetic Equity Interests or Short Interests, if any, (F)(x) if such Proposing Person is not a natural person, the identity of the natural person or persons associated with such Proposing Person responsible for the formulation of and decision to propose the business to be brought before the meeting (such person or persons, the “</w:t>
      </w:r>
      <w:r>
        <w:rPr>
          <w:rFonts w:ascii="Arial" w:cs="Arial" w:eastAsia="Arial" w:hAnsi="Arial"/>
          <w:sz w:val="16"/>
          <w:szCs w:val="16"/>
          <w:u w:val="single" w:color="auto"/>
          <w:color w:val="auto"/>
        </w:rPr>
        <w:t>Responsible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w:t>
      </w:r>
      <w:r>
        <w:rPr>
          <w:rFonts w:ascii="Arial" w:cs="Arial" w:eastAsia="Arial" w:hAnsi="Arial"/>
          <w:sz w:val="16"/>
          <w:szCs w:val="16"/>
          <w:color w:val="auto"/>
        </w:rPr>
        <w:t>”), the manner in which such Responsible Person was selected, any fiduciary duties owed by such Responsible Person to the equity holders or other beneficiaries of such Proposing Person, the qualifications and background of such Responsible Person and any material interests or relationships of such Responsible Person that are not shared generally by any other record or beneficial holder of the shares of any class or series of the Corporation and that reasonably could have influenced the decision of such Proposing Person to propose such business to be brought before the meeting, and (y) if such Proposing Person is a natural person, the qualifications and background of such natural person and any material interests or relationships of such natural person that are not shared generally by any other record or beneficial holder of the shares of any class or series of the Corporation and that reasonably could have influenced the decision of such Proposing Person to propose such business to be brought before the meeting, (G) any significant equity interests or any Synthetic Equity Interests or Short Interests in any principal competitor of the Corporation held by such Proposing Persons, (H) any direct or indirect interest of such Proposing Person in any contract with the Corporation, any affiliate of the Corporation or any principal competitor of the Corporation (including, without limitation, in any such case, any employment agreement, collective bargaining agreement or consulting agreement), (I) any pending or threatened litigation in which such Proposing Person is a party or material participant involving the Corporation or any of its officers or directors, or any affiliate of the Corporation, (J) any material transaction occurring during the prior twelve months between such Proposing Person, on the one hand, and the Corporation, any affiliate of the Corporation or any principal competitor of the Corporation, on the other hand, (K) a summary of any material discussions regarding the business proposed to be brought before the meeting (x) between or among any of the Proposing Persons or (y) between or among any Proposing Person and any other record or beneficial holder of the shares of any class or series of the Corporation (including, without limitation, their names) and (L) any other information relating to such Proposing Person that would be required to be disclosed in a proxy statement or other filing required to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spacing w:after="0" w:line="291" w:lineRule="auto"/>
        <w:rPr>
          <w:sz w:val="20"/>
          <w:szCs w:val="20"/>
          <w:color w:val="auto"/>
        </w:rPr>
      </w:pPr>
      <w:r>
        <w:rPr>
          <w:rFonts w:ascii="Arial" w:cs="Arial" w:eastAsia="Arial" w:hAnsi="Arial"/>
          <w:sz w:val="16"/>
          <w:szCs w:val="16"/>
          <w:color w:val="auto"/>
        </w:rPr>
        <w:t>be made in connection with solicitations of proxies or consents by such Proposing Person in support of the business proposed to be brought before the meeting pursuant to Section 14(a) of the Exchange Act (the disclosures to be made pursuant to the foregoing clauses (A) through</w:t>
      </w:r>
    </w:p>
    <w:p>
      <w:pPr>
        <w:ind w:left="1300" w:right="60" w:firstLine="5"/>
        <w:spacing w:after="0" w:line="254" w:lineRule="auto"/>
        <w:tabs>
          <w:tab w:leader="none" w:pos="1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are referred to as “</w:t>
      </w:r>
      <w:r>
        <w:rPr>
          <w:rFonts w:ascii="Arial" w:cs="Arial" w:eastAsia="Arial" w:hAnsi="Arial"/>
          <w:sz w:val="18"/>
          <w:szCs w:val="18"/>
          <w:u w:val="single" w:color="auto"/>
          <w:color w:val="auto"/>
        </w:rPr>
        <w:t>Disclosable Interests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89" w:lineRule="exact"/>
        <w:rPr>
          <w:rFonts w:ascii="Arial" w:cs="Arial" w:eastAsia="Arial" w:hAnsi="Arial"/>
          <w:sz w:val="18"/>
          <w:szCs w:val="18"/>
          <w:color w:val="auto"/>
        </w:rPr>
      </w:pPr>
    </w:p>
    <w:p>
      <w:pPr>
        <w:ind w:left="1300" w:right="20" w:firstLine="653"/>
        <w:spacing w:after="0" w:line="285" w:lineRule="auto"/>
        <w:tabs>
          <w:tab w:leader="none" w:pos="2313"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As to each item of business that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 (B) the text of the proposal or business (including, without limitation, the text of any resolutions proposed for consideration and in the event that such business includes a proposal to amend the bylaws of the Corporation, the language of the proposed amendment), (C) a reasonably detailed description of all agreements, arrangements and understandings between or among any of the Proposing Persons or between or among any Proposing Person and any other person or entity (including, without limitation, their names) in connection with the proposal of such business by such stockholder, (D) a representation that the stockholder is a holder of record of stock of the Corporation entitled to vote at such meeting and intends to appear in person or by proxy at the meeting to propose such business, (E) a representation whether the Proposing Person intends or is part of a group which intends (1) to deliver a proxy statement and/or form of proxy to holders of at least the percentage of the Corporation’s outstanding capital stock required to approve or adopt the proposal and/or (2) otherwise to solicit proxies or votes from stockholders in support of such proposal and (F)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the disclosures required by this paragraph (c)(iii)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78" w:lineRule="exact"/>
        <w:rPr>
          <w:sz w:val="20"/>
          <w:szCs w:val="20"/>
          <w:color w:val="auto"/>
        </w:rPr>
      </w:pPr>
    </w:p>
    <w:p>
      <w:pPr>
        <w:ind w:right="460" w:firstLine="1305"/>
        <w:spacing w:after="0" w:line="342" w:lineRule="auto"/>
        <w:tabs>
          <w:tab w:leader="none" w:pos="19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purposes of this Section 2.4, the term “</w:t>
      </w:r>
      <w:r>
        <w:rPr>
          <w:rFonts w:ascii="Arial" w:cs="Arial" w:eastAsia="Arial" w:hAnsi="Arial"/>
          <w:sz w:val="16"/>
          <w:szCs w:val="16"/>
          <w:u w:val="single" w:color="auto"/>
          <w:color w:val="auto"/>
        </w:rPr>
        <w:t>Proposing Person</w:t>
      </w:r>
      <w:r>
        <w:rPr>
          <w:rFonts w:ascii="Arial" w:cs="Arial" w:eastAsia="Arial" w:hAnsi="Arial"/>
          <w:sz w:val="16"/>
          <w:szCs w:val="16"/>
          <w:color w:val="auto"/>
        </w:rPr>
        <w:t>” shall mean (i) the stockholder providing the notice of business proposed to be brought before an annual meeting, (ii) the beneficial owner or beneficial owners, if different, on whose behalf the notice 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business proposed to be brought before the annual meeting is made, (iii) any affiliate or associate (each within the meaning of Rule 12b-2 under the Exchange Act for the purposes of these bylaws) of such stockholder or beneficial owner and (iv) any other person with whom such stockholder or beneficial owner (or any of their respective affiliates or associates) is Acting in Concert (as defined below).</w:t>
      </w:r>
    </w:p>
    <w:p>
      <w:pPr>
        <w:sectPr>
          <w:pgSz w:w="11900" w:h="16838" w:orient="portrait"/>
          <w:cols w:equalWidth="0" w:num="1">
            <w:col w:w="11400"/>
          </w:cols>
          <w:pgMar w:left="240" w:top="125" w:right="259" w:bottom="0" w:gutter="0" w:footer="0" w:header="0"/>
        </w:sectPr>
      </w:pPr>
    </w:p>
    <w:bookmarkStart w:id="9" w:name="page10"/>
    <w:bookmarkEnd w:id="9"/>
    <w:p>
      <w:pPr>
        <w:spacing w:after="0" w:line="137" w:lineRule="exact"/>
        <w:rPr>
          <w:sz w:val="20"/>
          <w:szCs w:val="20"/>
          <w:color w:val="auto"/>
        </w:rPr>
      </w:pPr>
    </w:p>
    <w:p>
      <w:pPr>
        <w:ind w:right="20" w:firstLine="1305"/>
        <w:spacing w:after="0" w:line="253" w:lineRule="auto"/>
        <w:tabs>
          <w:tab w:leader="none" w:pos="1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person shall be deemed to be “</w:t>
      </w:r>
      <w:r>
        <w:rPr>
          <w:rFonts w:ascii="Arial" w:cs="Arial" w:eastAsia="Arial" w:hAnsi="Arial"/>
          <w:sz w:val="18"/>
          <w:szCs w:val="18"/>
          <w:u w:val="single" w:color="auto"/>
          <w:color w:val="auto"/>
        </w:rPr>
        <w:t>Acting in Concert</w:t>
      </w:r>
      <w:r>
        <w:rPr>
          <w:rFonts w:ascii="Arial" w:cs="Arial" w:eastAsia="Arial" w:hAnsi="Arial"/>
          <w:sz w:val="18"/>
          <w:szCs w:val="18"/>
          <w:color w:val="auto"/>
        </w:rPr>
        <w:t xml:space="preserve">” with another person for purposes of these bylaws if such person knowingly acts (whether or not pursuant to an express agreement, arrangement or understanding) in concert with, or towards a common goal relating to the management, governance or control of the Corporation in parallel with, such other person where (i) each person is conscious of the other person’s conduct or intent and this awareness is an element in their decision-making processes and (ii)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that a person shall not be deemed to be Acting in Concert with any other person solely as a result of the solicitation or receipt of revocable proxies or consents from such other person in response to a solicitation made pursuant to, and in accordance with, the Section 14(a)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94" w:lineRule="exact"/>
        <w:rPr>
          <w:rFonts w:ascii="Arial" w:cs="Arial" w:eastAsia="Arial" w:hAnsi="Arial"/>
          <w:sz w:val="18"/>
          <w:szCs w:val="18"/>
          <w:color w:val="auto"/>
        </w:rPr>
      </w:pPr>
    </w:p>
    <w:p>
      <w:pPr>
        <w:ind w:firstLine="1305"/>
        <w:spacing w:after="0" w:line="270" w:lineRule="auto"/>
        <w:tabs>
          <w:tab w:leader="none" w:pos="1949"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stockholder providing notice of business proposed to be brought before an annual meeting shall further update and supplement such notice, if necessary, so that the information provided or required to be provided in such notice pursuant to this Section 2.4 shall be true and correct as of the record date for determining stockholders entitled to notice of the annual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annual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81" w:lineRule="exact"/>
        <w:rPr>
          <w:rFonts w:ascii="Arial" w:cs="Arial" w:eastAsia="Arial" w:hAnsi="Arial"/>
          <w:sz w:val="17"/>
          <w:szCs w:val="17"/>
          <w:color w:val="auto"/>
        </w:rPr>
      </w:pPr>
    </w:p>
    <w:p>
      <w:pPr>
        <w:ind w:right="200" w:firstLine="1305"/>
        <w:spacing w:after="0" w:line="279" w:lineRule="auto"/>
        <w:tabs>
          <w:tab w:leader="none" w:pos="19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Notwithstanding anything in these bylaws to the contrary and except as otherwise expressly provided in any applicable rule or regulation promulgated under the Exchange Act, no business shall be conducted at an annual meeting except in accordance with this Section 2.4. The presiding officer of an annual meeting of stockholders shall have the power and duty (a) to determine that any business was not properly brought before the meeting in accordance with this Section 2.4 (including whether the stockholder or beneficial owner, if 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whose behalf the business proposed to be brought before the annual meeting is made, solicited (or is part of a group which solicited) or did not so solicit, as the case may be, proxies or votes in support of such stockholder’s business in compliance with such stockholder’s representation as required by clause (c) (iii)(E) of this Section 2.4); and (b) if any proposed business was not proposed in compliance with this Section 2.4 to declare to the meeting that any such business not properly brought before the meeting shall not be transacted.</w:t>
      </w:r>
    </w:p>
    <w:p>
      <w:pPr>
        <w:spacing w:after="0" w:line="187" w:lineRule="exact"/>
        <w:rPr>
          <w:sz w:val="20"/>
          <w:szCs w:val="20"/>
          <w:color w:val="auto"/>
        </w:rPr>
      </w:pPr>
    </w:p>
    <w:p>
      <w:pPr>
        <w:ind w:right="180" w:firstLine="1305"/>
        <w:spacing w:after="0" w:line="276" w:lineRule="auto"/>
        <w:tabs>
          <w:tab w:leader="none" w:pos="19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foregoing notice requirements of this Section 2.4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Nothing in this Section 2.4 shall be deemed to affect the rights of stockholders to request inclusion of proposals in the Corporation’s proxy statement pursuant to Rule 14a-8 under the Exchange Act.</w:t>
      </w:r>
    </w:p>
    <w:p>
      <w:pPr>
        <w:spacing w:after="0" w:line="172" w:lineRule="exact"/>
        <w:rPr>
          <w:rFonts w:ascii="Arial" w:cs="Arial" w:eastAsia="Arial" w:hAnsi="Arial"/>
          <w:sz w:val="17"/>
          <w:szCs w:val="17"/>
          <w:color w:val="auto"/>
        </w:rPr>
      </w:pPr>
    </w:p>
    <w:p>
      <w:pPr>
        <w:ind w:right="20" w:firstLine="1305"/>
        <w:spacing w:after="0" w:line="342" w:lineRule="auto"/>
        <w:tabs>
          <w:tab w:leader="none" w:pos="19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23" w:lineRule="exact"/>
        <w:rPr>
          <w:rFonts w:ascii="Arial" w:cs="Arial" w:eastAsia="Arial" w:hAnsi="Arial"/>
          <w:sz w:val="16"/>
          <w:szCs w:val="16"/>
          <w:color w:val="auto"/>
        </w:rPr>
      </w:pPr>
    </w:p>
    <w:p>
      <w:pPr>
        <w:ind w:right="180" w:firstLine="1305"/>
        <w:spacing w:after="0" w:line="272" w:lineRule="auto"/>
        <w:tabs>
          <w:tab w:leader="none" w:pos="19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2.4, unless otherwise required by law, if the stockholder (or a qualified representative of the stockholder) does not appear at the annual meeting to present proposed business, such proposed business shall not be transacted, notwithstanding that proxies in respect of such vote may have been received by the Corporation. For purposes of this Section 2.4, except as provided under Rule 14a-8 under the Exchange Act,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annual meeting and such person must produce such writing or electronic transmission, or a reliable reproduction of the writing or electronic transmission, at the annual meeting.</w:t>
      </w:r>
    </w:p>
    <w:p>
      <w:pPr>
        <w:spacing w:after="0" w:line="177" w:lineRule="exact"/>
        <w:rPr>
          <w:rFonts w:ascii="Arial" w:cs="Arial" w:eastAsia="Arial" w:hAnsi="Arial"/>
          <w:sz w:val="17"/>
          <w:szCs w:val="17"/>
          <w:color w:val="auto"/>
        </w:rPr>
      </w:pPr>
    </w:p>
    <w:p>
      <w:pPr>
        <w:ind w:firstLine="1305"/>
        <w:spacing w:after="0" w:line="255" w:lineRule="auto"/>
        <w:tabs>
          <w:tab w:leader="none" w:pos="19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2.4, a stockholder shall also comply with all applicable requirements of the Exchange Act with respect to the matters set forth in this Section 2.4; provided however, that any references in these bylaws to the Exchange Act are not intended to and shall not limit any requirements applicable to proposals as to any business to be considered pursuant to this Section 2.4 (including paragraph (a)(iii) hereof), and compliance with paragraph (a)(iii) of this Section 2.4 shall be the exclusive means for a stockholder to submit business (other than, as provided in the first sentence of paragraph (h) of this Section 2.4, business brought properly under and in compliance with Rule 14a-8 of the Exchange Act, as may be amended from time to time).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ADVANCE NOTICE PROCEDURES FOR NOMINATIONS OF DIRECTORS.</w:t>
      </w:r>
    </w:p>
    <w:p>
      <w:pPr>
        <w:spacing w:after="0" w:line="225" w:lineRule="exact"/>
        <w:rPr>
          <w:sz w:val="20"/>
          <w:szCs w:val="20"/>
          <w:color w:val="auto"/>
        </w:rPr>
      </w:pPr>
    </w:p>
    <w:p>
      <w:pPr>
        <w:ind w:right="20" w:firstLine="1305"/>
        <w:spacing w:after="0" w:line="254" w:lineRule="auto"/>
        <w:tabs>
          <w:tab w:leader="none" w:pos="1942"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Nominations of any person for election to the Board at an annual meeting or at a special meeting (but, in the case of a special meeting, only if the election of directors is a matter specified in the notice of meeting given by or at the direction of the person calling such special meeting) may be made at such meeting only (i) by or at the direction of the Board or any committee thereof, or (ii) by a stockholder who (A) was a stockholder of record of the Corporation (and, with respect to any beneficial owner, if different, on whose behalf such nomination is proposed to be made, only if such beneficial owner was the beneficial owner of shares of the Corporation) both at the time of giving the notice provided for in this Section 2.5 and at the time of the meeting, (B) is entitled to vote at the meeting and (C) has complied with this Section 2.5 as to such nomination. The foregoing clause (ii) shall be the exclusive means for a stockholder to make any nomination of a person or persons for election to the Board to be considered by the stockholders at an annual meeting or special meeting.</w:t>
      </w:r>
    </w:p>
    <w:p>
      <w:pPr>
        <w:spacing w:after="0" w:line="192" w:lineRule="exact"/>
        <w:rPr>
          <w:rFonts w:ascii="Arial" w:cs="Arial" w:eastAsia="Arial" w:hAnsi="Arial"/>
          <w:sz w:val="18"/>
          <w:szCs w:val="18"/>
          <w:color w:val="auto"/>
        </w:rPr>
      </w:pPr>
    </w:p>
    <w:p>
      <w:pPr>
        <w:ind w:right="160" w:firstLine="1305"/>
        <w:spacing w:after="0" w:line="342" w:lineRule="auto"/>
        <w:tabs>
          <w:tab w:leader="none" w:pos="19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Without qualification, for a stockholder to make any nomination of a person or persons for election to the Board at an annual meeting, the stockholder must (i) provide Timely Notice (as defined in Section 2.4(b) of these bylaws) thereof in writing and in proper form to the secretary</w:t>
      </w:r>
    </w:p>
    <w:p>
      <w:pPr>
        <w:sectPr>
          <w:pgSz w:w="11900" w:h="16975" w:orient="portrait"/>
          <w:cols w:equalWidth="0" w:num="1">
            <w:col w:w="11400"/>
          </w:cols>
          <w:pgMar w:left="240" w:top="125" w:right="259" w:bottom="0" w:gutter="0" w:footer="0" w:header="0"/>
        </w:sectPr>
      </w:pPr>
    </w:p>
    <w:bookmarkStart w:id="10" w:name="page11"/>
    <w:bookmarkEnd w:id="10"/>
    <w:p>
      <w:pPr>
        <w:spacing w:after="0" w:line="96"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of the Corporation and (ii) provide any updates or supplements to such notice at the times and in the forms required by this Section 2.5. Notwithstanding anything in this paragraph to the contrary, in the event that the number of directors to be elected to the Board at an annual meeting is increased effective after the time period for which nominations would otherwise by due under this paragraph (b) and there is no public announcement by the Corporation naming the nominees for the additional directorships at least one hundred (100) days prior to the first anniversary of the preceding year’s annual meeting, a stockholder’s notice required by paragraph (b) of this Section 2.5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 Without qualification, if the election of directors is a matter specified in the notice of meeting given by or at the direction of the person calling such special meeting, then for a stockholder to make any nomination of a person or persons for election to such position(s) as specified in the notice of the special meeting, the stockholder must (i) provide timely notice thereof in writing and in proper form to the secretary of the Corporation at the principal executive offices of the Corporation and (ii)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close of business on the one hundred twentieth (120</w:t>
      </w:r>
      <w:r>
        <w:rPr>
          <w:rFonts w:ascii="Arial" w:cs="Arial" w:eastAsia="Arial" w:hAnsi="Arial"/>
          <w:sz w:val="20"/>
          <w:szCs w:val="20"/>
          <w:color w:val="auto"/>
          <w:vertAlign w:val="superscript"/>
        </w:rPr>
        <w:t>th</w:t>
      </w:r>
      <w:r>
        <w:rPr>
          <w:rFonts w:ascii="Arial" w:cs="Arial" w:eastAsia="Arial" w:hAnsi="Arial"/>
          <w:sz w:val="16"/>
          <w:szCs w:val="16"/>
          <w:color w:val="auto"/>
        </w:rPr>
        <w:t>) day prior to such special meeting and not later than the later of the close of business on the ninetieth (90</w:t>
      </w:r>
      <w:r>
        <w:rPr>
          <w:rFonts w:ascii="Arial" w:cs="Arial" w:eastAsia="Arial" w:hAnsi="Arial"/>
          <w:sz w:val="20"/>
          <w:szCs w:val="20"/>
          <w:color w:val="auto"/>
          <w:vertAlign w:val="superscript"/>
        </w:rPr>
        <w:t>th</w:t>
      </w:r>
      <w:r>
        <w:rPr>
          <w:rFonts w:ascii="Arial" w:cs="Arial" w:eastAsia="Arial" w:hAnsi="Arial"/>
          <w:sz w:val="16"/>
          <w:szCs w:val="16"/>
          <w:color w:val="auto"/>
        </w:rPr>
        <w:t>) day prior to such special meeting and the close of business on the tenth (10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day on which public disclosure (as defined in Section 2.4(i) of these bylaws) of the date of such special meeting was first made. In no event shall any adjournment or postponement of an annual meeting or special meeting or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announcement thereof commence a new time period (or extend any time period) for the giving of a stockholder’s notice as described above.</w:t>
      </w:r>
    </w:p>
    <w:p>
      <w:pPr>
        <w:spacing w:after="0" w:line="225" w:lineRule="exact"/>
        <w:rPr>
          <w:sz w:val="20"/>
          <w:szCs w:val="20"/>
          <w:color w:val="auto"/>
        </w:rPr>
      </w:pPr>
    </w:p>
    <w:p>
      <w:pPr>
        <w:ind w:left="1960" w:hanging="655"/>
        <w:spacing w:after="0"/>
        <w:tabs>
          <w:tab w:leader="none" w:pos="1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be in proper form for purposes of this Section 2.5, a stockholder’s notice to the secretary of the Corporation shall set forth:</w:t>
      </w:r>
    </w:p>
    <w:p>
      <w:pPr>
        <w:spacing w:after="0" w:line="236" w:lineRule="exact"/>
        <w:rPr>
          <w:rFonts w:ascii="Arial" w:cs="Arial" w:eastAsia="Arial" w:hAnsi="Arial"/>
          <w:sz w:val="17"/>
          <w:szCs w:val="17"/>
          <w:color w:val="auto"/>
        </w:rPr>
      </w:pPr>
    </w:p>
    <w:p>
      <w:pPr>
        <w:ind w:left="1300" w:right="160" w:firstLine="653"/>
        <w:spacing w:after="0" w:line="264" w:lineRule="auto"/>
        <w:tabs>
          <w:tab w:leader="none" w:pos="2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to each Nominating Person (as defined below), the Stockholder Information (as defined in Section 2.4(c)(i) of these bylaws) except that for purposes of this Section 2.5, the term “Nominating Person” shall be substituted for the term “Proposing Person” in all places it appears in Section 2.4(c)(i);</w:t>
      </w:r>
    </w:p>
    <w:p>
      <w:pPr>
        <w:spacing w:after="0" w:line="181" w:lineRule="exact"/>
        <w:rPr>
          <w:rFonts w:ascii="Arial" w:cs="Arial" w:eastAsia="Arial" w:hAnsi="Arial"/>
          <w:sz w:val="18"/>
          <w:szCs w:val="18"/>
          <w:color w:val="auto"/>
        </w:rPr>
      </w:pPr>
    </w:p>
    <w:p>
      <w:pPr>
        <w:ind w:left="1300" w:right="180" w:firstLine="653"/>
        <w:spacing w:after="0" w:line="273" w:lineRule="auto"/>
        <w:tabs>
          <w:tab w:leader="none" w:pos="2303" w:val="left"/>
        </w:tabs>
        <w:numPr>
          <w:ilvl w:val="1"/>
          <w:numId w:val="20"/>
        </w:numPr>
        <w:rPr>
          <w:rFonts w:ascii="Arial" w:cs="Arial" w:eastAsia="Arial" w:hAnsi="Arial"/>
          <w:sz w:val="17"/>
          <w:szCs w:val="17"/>
          <w:color w:val="auto"/>
        </w:rPr>
      </w:pPr>
      <w:r>
        <w:rPr>
          <w:rFonts w:ascii="Arial" w:cs="Arial" w:eastAsia="Arial" w:hAnsi="Arial"/>
          <w:sz w:val="17"/>
          <w:szCs w:val="17"/>
          <w:color w:val="auto"/>
        </w:rPr>
        <w:t xml:space="preserve">As to each Nominating Person, any Disclosable Interests (as defined in Section 2.4(c)(ii), except that for purposes of this Section 2.5 the term “Nominating Person” shall be substituted for the term “Proposing Person” in all places it appears in Section 2.4(c)(ii) and the disclosure in clause (L) of Section 2.4(c)(ii) shall be made with respect to the election of directors at the meeting)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Disclosable Interests shall not include any such disclosures with respect to the ordinary course business activities of any</w:t>
      </w:r>
      <w:r>
        <w:rPr>
          <w:rFonts w:ascii="Arial" w:cs="Arial" w:eastAsia="Arial" w:hAnsi="Arial"/>
          <w:sz w:val="17"/>
          <w:szCs w:val="17"/>
          <w:i w:val="1"/>
          <w:iCs w:val="1"/>
          <w:color w:val="auto"/>
        </w:rPr>
        <w:t xml:space="preserve"> </w:t>
      </w:r>
      <w:r>
        <w:rPr>
          <w:rFonts w:ascii="Arial" w:cs="Arial" w:eastAsia="Arial" w:hAnsi="Arial"/>
          <w:sz w:val="17"/>
          <w:szCs w:val="17"/>
          <w:color w:val="auto"/>
        </w:rPr>
        <w:t>broker, dealer, commercial bank, trust company or other nominee who is a Nominating Person solely as a result of being the stockholder directed to prepare and submit the notice required by these bylaws on behalf of a beneficial owner; and;</w:t>
      </w:r>
    </w:p>
    <w:p>
      <w:pPr>
        <w:spacing w:after="0" w:line="178" w:lineRule="exact"/>
        <w:rPr>
          <w:rFonts w:ascii="Arial" w:cs="Arial" w:eastAsia="Arial" w:hAnsi="Arial"/>
          <w:sz w:val="17"/>
          <w:szCs w:val="17"/>
          <w:color w:val="auto"/>
        </w:rPr>
      </w:pPr>
    </w:p>
    <w:p>
      <w:pPr>
        <w:ind w:left="1300" w:firstLine="653"/>
        <w:spacing w:after="0" w:line="268" w:lineRule="auto"/>
        <w:tabs>
          <w:tab w:leader="none" w:pos="2313" w:val="left"/>
        </w:tabs>
        <w:numPr>
          <w:ilvl w:val="1"/>
          <w:numId w:val="20"/>
        </w:numPr>
        <w:rPr>
          <w:rFonts w:ascii="Arial" w:cs="Arial" w:eastAsia="Arial" w:hAnsi="Arial"/>
          <w:sz w:val="17"/>
          <w:szCs w:val="17"/>
          <w:color w:val="auto"/>
        </w:rPr>
      </w:pPr>
      <w:r>
        <w:rPr>
          <w:rFonts w:ascii="Arial" w:cs="Arial" w:eastAsia="Arial" w:hAnsi="Arial"/>
          <w:sz w:val="17"/>
          <w:szCs w:val="17"/>
          <w:color w:val="auto"/>
        </w:rPr>
        <w:t>As to each person whom a Nominating Person proposes to nominate for election as a director, (A) all information with respect to such proposed nominee that would be required to be set forth in a stockholder’s notice pursuant to this Section 2.5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without limitation, such proposed nominee’s written consent to being named in the proxy statement as a nominee and to serving as a director if elected), (C) a description of all direct and indirect compensation and other material monetary agreements, arrangements and understandings during the past three (3) years, and any other material relationships, between or among any Nominating Person, on the one hand, and each proposed nominee, his or her respective affiliates and associates and any other persons with whom such proposed nominee (or any of his or her respective affiliates and associates) is Acting in Concert (as defined in Section 2.4(e) of these bylaws),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(the disclosures to be made pursuant to the foregoing clauses (A) through (C) 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spacing w:after="0" w:line="255" w:lineRule="auto"/>
        <w:rPr>
          <w:sz w:val="20"/>
          <w:szCs w:val="20"/>
          <w:color w:val="auto"/>
        </w:rPr>
      </w:pPr>
      <w:r>
        <w:rPr>
          <w:rFonts w:ascii="Arial" w:cs="Arial" w:eastAsia="Arial" w:hAnsi="Arial"/>
          <w:sz w:val="18"/>
          <w:szCs w:val="18"/>
          <w:color w:val="auto"/>
        </w:rPr>
        <w:t>referred to as “</w:t>
      </w:r>
      <w:r>
        <w:rPr>
          <w:rFonts w:ascii="Arial" w:cs="Arial" w:eastAsia="Arial" w:hAnsi="Arial"/>
          <w:sz w:val="18"/>
          <w:szCs w:val="18"/>
          <w:u w:val="single" w:color="auto"/>
          <w:color w:val="auto"/>
        </w:rPr>
        <w:t>Nominee Information</w:t>
      </w:r>
      <w:r>
        <w:rPr>
          <w:rFonts w:ascii="Arial" w:cs="Arial" w:eastAsia="Arial" w:hAnsi="Arial"/>
          <w:sz w:val="18"/>
          <w:szCs w:val="18"/>
          <w:color w:val="auto"/>
        </w:rPr>
        <w:t>”), (D) a representation that the Nominating Person is a holder of record of stock of the Corporation entitled to vote at such meeting and intends to appear in person or by proxy at the meeting to propose such nomination, (E) a representation whether the Nominating Person intends or is part of a group which intends (1) to deliver a proxy statement and/or form of proxy to holders of at least the percentage of the Corporation’s outstanding capital stock required to elect the nominee and/or (2) otherwise to solicit proxies or votes from stockholders in support of such nomination and (F) a completed and signed questionnaire, representation and agreement as provided in Section 2.5(g); and</w:t>
      </w:r>
    </w:p>
    <w:p>
      <w:pPr>
        <w:spacing w:after="0" w:line="193" w:lineRule="exact"/>
        <w:rPr>
          <w:sz w:val="20"/>
          <w:szCs w:val="20"/>
          <w:color w:val="auto"/>
        </w:rPr>
      </w:pPr>
    </w:p>
    <w:p>
      <w:pPr>
        <w:jc w:val="both"/>
        <w:ind w:left="1300" w:right="120" w:firstLine="653"/>
        <w:spacing w:after="0" w:line="259" w:lineRule="auto"/>
        <w:tabs>
          <w:tab w:leader="none" w:pos="2289"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Corporation may require any proposed nominee to furnish such other information (A) as may reasonably be required by the Corporation to determine the eligibility of such proposed nominee to serve as an independent director of the Corporation in accordance with the Corporation’s Corporate Governance Guidelines or (B) that could be material to a reasonable stockholder’s understanding of the independence or lack of independence of such proposed nominee.</w:t>
      </w:r>
    </w:p>
    <w:p>
      <w:pPr>
        <w:spacing w:after="0" w:line="186" w:lineRule="exact"/>
        <w:rPr>
          <w:rFonts w:ascii="Arial" w:cs="Arial" w:eastAsia="Arial" w:hAnsi="Arial"/>
          <w:sz w:val="18"/>
          <w:szCs w:val="18"/>
          <w:color w:val="auto"/>
        </w:rPr>
      </w:pPr>
    </w:p>
    <w:p>
      <w:pPr>
        <w:ind w:right="100" w:firstLine="1305"/>
        <w:spacing w:after="0" w:line="259" w:lineRule="auto"/>
        <w:tabs>
          <w:tab w:leader="none" w:pos="19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purposes of this Section 2.5, the term “</w:t>
      </w:r>
      <w:r>
        <w:rPr>
          <w:rFonts w:ascii="Arial" w:cs="Arial" w:eastAsia="Arial" w:hAnsi="Arial"/>
          <w:sz w:val="18"/>
          <w:szCs w:val="18"/>
          <w:u w:val="single" w:color="auto"/>
          <w:color w:val="auto"/>
        </w:rPr>
        <w:t>Nominating Person</w:t>
      </w:r>
      <w:r>
        <w:rPr>
          <w:rFonts w:ascii="Arial" w:cs="Arial" w:eastAsia="Arial" w:hAnsi="Arial"/>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(iii) any affiliate or associate of such stockholder or beneficial owner and (iv) any other person with whom such stockholder or such beneficial owner (or any of their respective affiliates or associates) is Acting in Concert.</w:t>
      </w:r>
    </w:p>
    <w:p>
      <w:pPr>
        <w:spacing w:after="0" w:line="186" w:lineRule="exact"/>
        <w:rPr>
          <w:rFonts w:ascii="Arial" w:cs="Arial" w:eastAsia="Arial" w:hAnsi="Arial"/>
          <w:sz w:val="18"/>
          <w:szCs w:val="18"/>
          <w:color w:val="auto"/>
        </w:rPr>
      </w:pPr>
    </w:p>
    <w:p>
      <w:pPr>
        <w:ind w:firstLine="1305"/>
        <w:spacing w:after="0" w:line="293" w:lineRule="auto"/>
        <w:tabs>
          <w:tab w:leader="none" w:pos="19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determining stockholders entitled to notice of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meeting (in the case of the update and supplement required to be made as of the record date), and not later than eight (8) business days prior to the date for the</w:t>
      </w:r>
    </w:p>
    <w:p>
      <w:pPr>
        <w:sectPr>
          <w:pgSz w:w="11900" w:h="16934" w:orient="portrait"/>
          <w:cols w:equalWidth="0" w:num="1">
            <w:col w:w="11420"/>
          </w:cols>
          <w:pgMar w:left="240" w:top="125" w:right="239" w:bottom="0" w:gutter="0" w:footer="0" w:header="0"/>
        </w:sectPr>
      </w:pPr>
    </w:p>
    <w:bookmarkStart w:id="11" w:name="page12"/>
    <w:bookmarkEnd w:id="11"/>
    <w:p>
      <w:pPr>
        <w:ind w:right="20"/>
        <w:spacing w:after="0" w:line="264" w:lineRule="auto"/>
        <w:rPr>
          <w:sz w:val="20"/>
          <w:szCs w:val="20"/>
          <w:color w:val="auto"/>
        </w:rPr>
      </w:pPr>
      <w:r>
        <w:rPr>
          <w:rFonts w:ascii="Arial" w:cs="Arial" w:eastAsia="Arial" w:hAnsi="Arial"/>
          <w:sz w:val="18"/>
          <w:szCs w:val="18"/>
          <w:color w:val="auto"/>
        </w:rPr>
        <w:t>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81" w:lineRule="exact"/>
        <w:rPr>
          <w:sz w:val="20"/>
          <w:szCs w:val="20"/>
          <w:color w:val="auto"/>
        </w:rPr>
      </w:pPr>
    </w:p>
    <w:p>
      <w:pPr>
        <w:ind w:right="200" w:firstLine="1305"/>
        <w:spacing w:after="0" w:line="308" w:lineRule="auto"/>
        <w:tabs>
          <w:tab w:leader="none" w:pos="1949"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Notwithstanding anything in these bylaws to the contrary, no person shall be eligible for election as a director of the Corporation unless nominated in accordance with this Section 2.5, except as otherwise expressly provided in any applicable rule or regulation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promulgated under the Exchange Act. The presiding officer at any meeting of stockholders shall have the power and duty to (a) determine that a nomination was not properly made in accordance with this Section 2.5 (including whether the stockholder or beneficial owner, if any, on whose behalf the nomination was made, solicited or is part of a group which solicited) or did not so solicit, as the case may be, proxies or votes in support of such stockholder’s nomination in compliance with such stockholder’s representation as required by clause (c)(iii)(E) of this Section 2.5); and (b) if any proposed nomination was not made in compliance with this Section 2.5 to declare such determination to the meeting that the defective nomination shall be disregarded.</w:t>
      </w:r>
    </w:p>
    <w:p>
      <w:pPr>
        <w:spacing w:after="0" w:line="158" w:lineRule="exact"/>
        <w:rPr>
          <w:sz w:val="20"/>
          <w:szCs w:val="20"/>
          <w:color w:val="auto"/>
        </w:rPr>
      </w:pPr>
    </w:p>
    <w:p>
      <w:pPr>
        <w:ind w:right="20" w:firstLine="1305"/>
        <w:spacing w:after="0" w:line="286" w:lineRule="auto"/>
        <w:tabs>
          <w:tab w:leader="none" w:pos="19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be eligible to be a nominee for election as a director of the Corporation, the proposed nominee must deliver (in accordance with the time periods prescribed for delivery of notice under this Section 2.5) to the secretary of the Corporation at the principal executive offices of the Corporation a written questionnaire with respect to the background and qualification of such proposed nominee (which questionnaire shall be provided by the secretary upon written request) and a written representation and agreement (in form provided by the secretary upon written request) that such proposed nominee (i) is not and will not become a party to (A) any agreement, arrangement or understanding with, and has not given any commitment or assurance to, any person or entity as to how such proposed nominee, if elected as a director of the Corporation, will act or vote on any issue or question (a “</w:t>
      </w:r>
      <w:r>
        <w:rPr>
          <w:rFonts w:ascii="Arial" w:cs="Arial" w:eastAsia="Arial" w:hAnsi="Arial"/>
          <w:sz w:val="16"/>
          <w:szCs w:val="16"/>
          <w:u w:val="single" w:color="auto"/>
          <w:color w:val="auto"/>
        </w:rPr>
        <w:t>Voting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w:t>
      </w:r>
      <w:r>
        <w:rPr>
          <w:rFonts w:ascii="Arial" w:cs="Arial" w:eastAsia="Arial" w:hAnsi="Arial"/>
          <w:sz w:val="16"/>
          <w:szCs w:val="16"/>
          <w:color w:val="auto"/>
        </w:rPr>
        <w:t>”) that has not been disclosed to the Corporation or (B)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candidacy, service or action as a director that has not been disclosed to the Corporation and (iii) in such proposed nominee’s individual capacity and on behalf of the stockholder (and the beneficial owner, if different, on whose behalf the nomination is made) would be in compliance, if elected as a director of the Corporation, and will comply with applicable publicly disclosed corporate governance, conflict of interest, confidentiality and stock ownership and trading policies and guidelines of the Corporation.</w:t>
      </w:r>
    </w:p>
    <w:p>
      <w:pPr>
        <w:spacing w:after="0" w:line="174" w:lineRule="exact"/>
        <w:rPr>
          <w:rFonts w:ascii="Arial" w:cs="Arial" w:eastAsia="Arial" w:hAnsi="Arial"/>
          <w:sz w:val="16"/>
          <w:szCs w:val="16"/>
          <w:color w:val="auto"/>
        </w:rPr>
      </w:pPr>
    </w:p>
    <w:p>
      <w:pPr>
        <w:ind w:right="720" w:firstLine="1305"/>
        <w:spacing w:after="0" w:line="308" w:lineRule="auto"/>
        <w:tabs>
          <w:tab w:leader="none" w:pos="19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146" w:lineRule="exact"/>
        <w:rPr>
          <w:rFonts w:ascii="Arial" w:cs="Arial" w:eastAsia="Arial" w:hAnsi="Arial"/>
          <w:sz w:val="17"/>
          <w:szCs w:val="17"/>
          <w:color w:val="auto"/>
        </w:rPr>
      </w:pPr>
    </w:p>
    <w:p>
      <w:pPr>
        <w:ind w:firstLine="1305"/>
        <w:spacing w:after="0" w:line="257" w:lineRule="auto"/>
        <w:tabs>
          <w:tab w:leader="none" w:pos="19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2.5, unless otherwise required by law, if the stockholder (or a qualified representative of the stockholder) does not appear at the meeting to present the proposed nomination, such proposed nomination shall not be considered, notwithstanding that proxies in respect of such vote may have been received by the Corporation. For purposes of this Section 2.5, to be considered a qualified representative of the stockholder, a person must be a duly authorized officer, manager or partner of such stockholder or must be authorized by a writing executed by such stockholder or 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electronic transmission delivered by such stockholder to act for such stockholder as proxy at the meeting of stockholders and such person must produce such writing or electronic transmission, or a reliable reproduction of the writing or electronic transmission, at the meeting.</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NOTICE OF STOCKHOLDERS’ MEETINGS.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Unless otherwise provided by law, the certificate of incorporation or these bylaws, the notice of any meeting of stockholders shall be given in accordance with either Section 2.7 or Section 8.1 of these bylaws not less than ten (10) nor more than sixty (60) days before the date of the meeting to each stockholder entitled to vote at such meeting as of the record date for determining the stockholders entitled to notice of the meeting. The notice shall specify the place, if any, date and hour of the meeting, the record date for determining the stockholders entitled to vote at the meeting (if such date is different from the record date for stockholders entitled to notice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MANNER OF GIVING NOTICE; AFFIDAVIT OF NOTICE. Notice of any meeting of stockholders shall be deemed given:</w:t>
      </w:r>
    </w:p>
    <w:p>
      <w:pPr>
        <w:spacing w:after="0" w:line="225" w:lineRule="exact"/>
        <w:rPr>
          <w:sz w:val="20"/>
          <w:szCs w:val="20"/>
          <w:color w:val="auto"/>
        </w:rPr>
      </w:pPr>
    </w:p>
    <w:p>
      <w:pPr>
        <w:ind w:right="80" w:firstLine="1305"/>
        <w:spacing w:after="0" w:line="277" w:lineRule="auto"/>
        <w:tabs>
          <w:tab w:leader="none" w:pos="19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mailed, when deposited in the United States mail, postage prepaid, directed to the stockholder at such stockholder’s address as it appears on the Corporation’s records;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electronically transmitted, as provided in Section 8.1 of these bylaws.</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2.8 QUORUM. Unless otherwise provided by law, the certificate of incorporation or these bylaws, the holders of a majority in voting power of the capital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(a) the chairperson of the meeting or (b) a majority in voting power of the stockholders entitled to vote thereon, present in person, or by remote</w:t>
      </w:r>
    </w:p>
    <w:p>
      <w:pPr>
        <w:sectPr>
          <w:pgSz w:w="11900" w:h="16838" w:orient="portrait"/>
          <w:cols w:equalWidth="0" w:num="1">
            <w:col w:w="11420"/>
          </w:cols>
          <w:pgMar w:left="240" w:top="125" w:right="239" w:bottom="0" w:gutter="0" w:footer="0" w:header="0"/>
        </w:sectPr>
      </w:pPr>
    </w:p>
    <w:bookmarkStart w:id="12" w:name="page13"/>
    <w:bookmarkEnd w:id="12"/>
    <w:p>
      <w:pPr>
        <w:spacing w:after="0" w:line="8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communication, if applicable, or represented by proxy, shall have power to adjourn the meeting from time to time in the manner provided in Section 2.9 of these bylaws until a quorum is present or represented. At such adjourned meeting at which a quorum is present or represented, any business may be transacted that might have been transacted at the meeting as originally noticed.</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2.9 ADJOURNED MEETING; NOTICE. 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for determining the stockholders entitled to vote is fixed for the adjourned meeting, a notice of the adjourned meeting shall be given to each stockholder of record entitled to vote at the adjourned meeting as of the record date for determining the stockholders entitled to notice of the adjourned meeting.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2.10 CONDUCT OF BUSINESS. 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(including, without limitation, rules and procedures for removal of disruptive persons from the meeting);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7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2.11 VOTING. The stockholders entitled to vote at any meeting of stockholders shall be determined in accordance with the provisions of Section 2.13 of these bylaws, subject to Section 217 (relating to voting rights of fiduciaries, pledgors and joint owners of stock) and Section 218 (relating to voting trusts and other voting agreements) of the DGCL.</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Except as may be otherwise provided in the certificate of incorporation or these bylaws, each stockholder shall be entitled to one (1) vote for each share of capital stock held by such stockholder.</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At all duly called or convened meetings of stockholders, at which a quorum is present, for the election of directors, a plurality of the votes cast shall be sufficient to elect a director. All other elections and questions presented to the stockholders at a duly called or convened meeting, at which a quorum is present, shall, unless a different or minimum vote is required by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votes cast affirmatively or negatively (excluding abstentions) at the meeting by the holders entitled to vote thereon.</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2.12 STOCKHOLDER ACTION BY WRITTEN CONSENT WITHOUT A MEETING.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8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color w:val="auto"/>
        </w:rPr>
        <w:t>RECORD DATE FOR STOCKHOLDER NOTICE; VOTING.</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Board may fix a new record date for determination of stockholders entitled to vote at the adjourned meeting, and in such case shall also fix</w:t>
      </w:r>
      <w:r>
        <w:rPr>
          <w:rFonts w:ascii="Arial" w:cs="Arial" w:eastAsia="Arial" w:hAnsi="Arial"/>
          <w:sz w:val="17"/>
          <w:szCs w:val="17"/>
          <w:i w:val="1"/>
          <w:iCs w:val="1"/>
          <w:color w:val="auto"/>
        </w:rPr>
        <w:t xml:space="preserve"> </w:t>
      </w:r>
      <w:r>
        <w:rPr>
          <w:rFonts w:ascii="Arial" w:cs="Arial" w:eastAsia="Arial" w:hAnsi="Arial"/>
          <w:sz w:val="17"/>
          <w:szCs w:val="17"/>
          <w:color w:val="auto"/>
        </w:rPr>
        <w:t>as the record date for stockholders entitled to notice of such adjourned meeting the same or an earlier date as that fixed for determination of stockholders entitled to vote in accordance herewith at the adjourned meeting.</w:t>
      </w:r>
    </w:p>
    <w:p>
      <w:pPr>
        <w:spacing w:after="0" w:line="18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 (60) days prior to such other action. If no such record date is fixed, the record date for determining stockholders for any such purpose shall be at the close of business on the day on which the Board adopts the resolution relating thereto.</w:t>
      </w:r>
    </w:p>
    <w:p>
      <w:pPr>
        <w:sectPr>
          <w:pgSz w:w="11900" w:h="16928" w:orient="portrait"/>
          <w:cols w:equalWidth="0" w:num="1">
            <w:col w:w="11420"/>
          </w:cols>
          <w:pgMar w:left="240" w:top="125" w:right="23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2.14 PROXIES. Each stockholder entitled to vote at a meeting of stockholders may authorize another person or persons to act for such stockholder by proxy,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173"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2.15 LIST OF STOCKHOLDERS ENTITLED TO VOTE. The officer who has charge of the stock ledger of the Corporation shall prepare and make, at least ten (10) days before every meeting of stockholders, a complete list of the stockholders entitled to vote at the meeting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if the record date for determining the stockholders entitled to vote is less than ten (10) days before the date of the meeting, the list shall reflect the stockholders entitled to vote as of the tenth day before the date of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the identity of the stockholders entitled to vote in person or by proxy and the number of shares held by each of them, and as to the stockholders entitled to examine the list of stockholders.</w:t>
      </w:r>
    </w:p>
    <w:p>
      <w:pPr>
        <w:spacing w:after="0" w:line="18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7"/>
          <w:szCs w:val="17"/>
          <w:color w:val="auto"/>
        </w:rPr>
        <w:t>POSTPONEMENT, ADJOURNMENT AND CANCELLATION OF MEETING.</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Any previously scheduled annual or special meeting of the stockholders may be postponed or adjourned, and any previously scheduled annual or special meeting of the stockholders may be canceled, by resolution of the Board.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INSPECTORS OF ELECTION.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Before any meeting of stockholders, the Board shall appoint an inspector or inspectors of election to act at the meeting or its adjournment or postponement and make a written report thereof.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 Unless otherwise required by law, inspectors may be officers, employees or agents of the Corporation. Such inspectors shall have the duties prescribed by law. Each inspector, before entering upon the discharge of his or her duties, shall take and sign an oath to execute faithfully the duties of inspector with strict impartiality and according to the best of his or her ability. If there are three (3) inspectors of election, the decision, act or certificate of a majority is effective in all respects as the decision, act or certificate of all. Any report or certificate made by the inspectors of election is prima facie evidence of the facts stated therein.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 DIRECTORS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3.1 POWERS. Subject to the provisions of the DGCL and any limitations in the certificate of incorporation, the business and affairs of the Corporation shall be managed and all corporate powers shall be exercised by or under the direction of the Board.</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3.2 NUMBER OF DIRECTORS. The authorized number of directors shall be determined from time to time by resolution of the Board, provided the Board shall consist of at least one (1) member. No reduction of the authorized number of directors shall have the effect of removing any director before that director’s term of office expires.</w:t>
      </w:r>
    </w:p>
    <w:p>
      <w:pPr>
        <w:spacing w:after="0" w:line="181"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3.3 ELECTION, QUALIFICATION AND TERM OF OFFICE OF DIRECTORS. Except as provided in Section 3.4 of these bylaws, each director, including, without limitation,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Corporation may also have, at the discretion of the Board, a chairperson of the Board and a vice chairperson of the Board. The certificate of incorporation or these bylaws may prescribe other qualifications for directors.</w:t>
      </w:r>
    </w:p>
    <w:p>
      <w:pPr>
        <w:spacing w:after="0" w:line="17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3.4 RESIGNATION AND VACANCIES. Any director may resign at any time upon notice given in writing or by electronic transmission to the chairperson of the Board or the Corporation’s chief executive officer, president or secretary.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88"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Unless otherwise provided in the certificate of incorporation or these bylaws, vacancies and newly created directorships resulting from any increase in the authorized number of directors shall, unless the Board determines by resolution that any such vacancies or newly created directorships shall be filled by stockholders, be filled only by a majority of the directors then in office, although less than a quorum, or by a sole remaining director. Any director elected in</w:t>
      </w:r>
    </w:p>
    <w:p>
      <w:pPr>
        <w:sectPr>
          <w:pgSz w:w="11900" w:h="16838" w:orient="portrait"/>
          <w:cols w:equalWidth="0" w:num="1">
            <w:col w:w="11420"/>
          </w:cols>
          <w:pgMar w:left="240" w:top="341" w:right="239" w:bottom="0" w:gutter="0" w:footer="0" w:header="0"/>
        </w:sectPr>
      </w:pPr>
    </w:p>
    <w:bookmarkStart w:id="14" w:name="page15"/>
    <w:bookmarkEnd w:id="14"/>
    <w:p>
      <w:pPr>
        <w:spacing w:after="0" w:line="9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accordance with the preceding sentence shall hold office for the remainder of the full term of the director for which the vacancy was created or occurred and until such director’s successor shall have been elected and qualified. A vacancy in the Board shall be deemed to exist under these bylaws in the case of the death, removal or resignation of any director.</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3.5 PLACE OF MEETINGS; MEETINGS BY TELEPHONE. The Board may hold meetings, both regular and special, either within or outside the State of Delaware.</w:t>
      </w:r>
    </w:p>
    <w:p>
      <w:pPr>
        <w:spacing w:after="0" w:line="170" w:lineRule="exact"/>
        <w:rPr>
          <w:sz w:val="20"/>
          <w:szCs w:val="20"/>
          <w:color w:val="auto"/>
        </w:rPr>
      </w:pPr>
    </w:p>
    <w:p>
      <w:pPr>
        <w:jc w:val="both"/>
        <w:ind w:right="300" w:firstLine="648"/>
        <w:spacing w:after="0" w:line="277"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or any committee designated by the Board, may participate in a meeting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47"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 xml:space="preserve">3.6 REGULAR MEETINGS. Regular meetings of the Board may be held without notice at such time and at such place as shall from time to time be determined by the Board;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any director who is absent when such determination is made shall be given notice of the determination. A regular meeting of the Board may be held without notice immediately after and at the same place as the annual meeting of stockholders.</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3.7 SPECIAL MEETINGS; NOTICE. Special meetings of the Board for any purpose or purposes may be called at any time by the chairperson of the Board, the chief executive officer, the president, the secretary or a majority of the authorized number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25" w:lineRule="exact"/>
        <w:rPr>
          <w:sz w:val="20"/>
          <w:szCs w:val="20"/>
          <w:color w:val="auto"/>
        </w:rPr>
      </w:pPr>
    </w:p>
    <w:p>
      <w:pPr>
        <w:ind w:left="1940" w:hanging="635"/>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sent by facsimile;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sent by electronic mail, electronic transmission or other similar means,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or other electronic address, as the case may be, as shown on the Corporation’s records.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 notice is (a) delivered personally by hand, by courier or by telephone, (b) sent by facsimile or (c) sent by electronic mail or electronic transmission, it shall be delivered or sent at least twenty-four (24) hours before the time of the holding of the meeting. If the notice is sent by United States mail, it shall be deposited in the United States mail at least four (4)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3.8 QUORUM. The greater of (a) a majority of the directors at any time in office and (b) one-third of the number of directors established by the Board pursuant to Section 3.2 of these bylaws shall constitute a quorum of the Board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3.9 BOARD ACTION BY CONSENT WITHOUT A MEETING.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3.10 FEES AND COMPENSATION OF DIRECTORS. Unless otherwise restricted by the certificate of incorporation or these bylaws, the Board shall have the authority to fix the compensation of directors.</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3.11 REMOVAL OF DIRECTORS. Subject to the rights of the holders of the shares of any series of Preferred Stock, the Board or any individual director may be removed from office only for cause and only by the affirmative vote of the holders of at least two-thirds in voting power of the outstanding shares of capital stock of the Corporation entitled to vote thereon.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 COMMITTEES</w:t>
      </w:r>
    </w:p>
    <w:p>
      <w:pPr>
        <w:spacing w:after="0" w:line="229"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4.1 COMMITTEES OF DIRECTORS. 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(a) approve or adopt, or recommend to the stockholders, any action or matter (other than the election or removal of directors) expressly</w:t>
      </w:r>
    </w:p>
    <w:p>
      <w:pPr>
        <w:sectPr>
          <w:pgSz w:w="11900" w:h="16933" w:orient="portrait"/>
          <w:cols w:equalWidth="0" w:num="1">
            <w:col w:w="11420"/>
          </w:cols>
          <w:pgMar w:left="240" w:top="125"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required by the DGCL to be submitted to stockholders for approval, or (b) adopt, amend or repeal any bylaw of the Corporation.</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COMMITTEE MINUTES. Each committee shall keep regular minutes of its meetings and report the same to the Board when required.</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4.3 MEETINGS AND ACTION OF COMMITTEES. Meetings and actions of committees shall be governed by, and held and taken in accordance with, the provisions of:</w:t>
      </w:r>
    </w:p>
    <w:p>
      <w:pPr>
        <w:spacing w:after="0" w:line="170" w:lineRule="exact"/>
        <w:rPr>
          <w:sz w:val="20"/>
          <w:szCs w:val="20"/>
          <w:color w:val="auto"/>
        </w:rPr>
      </w:pPr>
    </w:p>
    <w:p>
      <w:pPr>
        <w:ind w:left="1940" w:hanging="635"/>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3.5 of these bylaws (place of meetings and meetings by telephone);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3.6 of these bylaws (regular meetings);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3.7 of these bylaws (special meetings and notice);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3.8 of these bylaws (quorum);</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7.12 of these bylaws (waiver of notice);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3.9 of these bylaws (action without a meeting),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r>
        <w:rPr>
          <w:rFonts w:ascii="Arial" w:cs="Arial" w:eastAsia="Arial" w:hAnsi="Arial"/>
          <w:sz w:val="16"/>
          <w:szCs w:val="16"/>
          <w:color w:val="auto"/>
        </w:rPr>
        <w:t>:</w:t>
      </w:r>
    </w:p>
    <w:p>
      <w:pPr>
        <w:spacing w:after="0" w:line="248" w:lineRule="exact"/>
        <w:rPr>
          <w:sz w:val="20"/>
          <w:szCs w:val="20"/>
          <w:color w:val="auto"/>
        </w:rPr>
      </w:pPr>
    </w:p>
    <w:p>
      <w:pPr>
        <w:ind w:left="2620" w:hanging="667"/>
        <w:spacing w:after="0"/>
        <w:tabs>
          <w:tab w:leader="none" w:pos="2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time of regular meetings of committees may be determined either by resolution of the Board or by resolution of the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committee;</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and</w:t>
      </w:r>
    </w:p>
    <w:p>
      <w:pPr>
        <w:spacing w:after="0" w:line="225" w:lineRule="exact"/>
        <w:rPr>
          <w:rFonts w:ascii="Arial" w:cs="Arial" w:eastAsia="Arial" w:hAnsi="Arial"/>
          <w:sz w:val="18"/>
          <w:szCs w:val="18"/>
          <w:color w:val="auto"/>
        </w:rPr>
      </w:pPr>
    </w:p>
    <w:p>
      <w:pPr>
        <w:ind w:left="1300" w:right="20" w:firstLine="653"/>
        <w:spacing w:after="0" w:line="264" w:lineRule="auto"/>
        <w:tabs>
          <w:tab w:leader="none" w:pos="26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notice of special meetings of committees shall also be given to all alternate members, who shall have the right to attend all meetings of the committee. The Board may adopt rules for the governance of any committee not inconsistent with the provisions (or any part thereof) of these bylaws.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 OFFICERS</w:t>
      </w:r>
    </w:p>
    <w:p>
      <w:pPr>
        <w:spacing w:after="0" w:line="229"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5.1 OFFICERS. The officers of the Corporation shall be a president and a secretary. The Corporation may also have, at the discretion of the Board, a chief executive officer, a chief financial officer or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w:t>
      </w:r>
    </w:p>
    <w:p>
      <w:pPr>
        <w:spacing w:after="0" w:line="187"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5.2 APPOINTMENT OF OFFICERS. The Board shall appoint the officers of the Corporation, except such officers as may be appointed in accordance with the provisions of Section 5.3 of these bylaws, subject to the rights, if any, of an officer under any contract of employment.</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5.3 SUBORDINATE OFFICERS. The Board may appoint, or empower the chief executive officer or, in the absence of a chief executive officer, the president, to appoint, such other officers and agents as the business of the Corporation may require. Each of such officers shall hold office for such period, as is provided in these bylaws or as the Board may from time to time determine.</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5.4 REMOVAL AND RESIGNATION OF OFFICERS. Subject to the rights, if any, of an officer under any contract of employment, any officer may be removed, either with or without cause, by the Board at any regular or special meeting of the Board or, except in the case of an officer chosen by the Board, by any officer upon whom such power of removal may be conferred by the Board.</w:t>
      </w:r>
    </w:p>
    <w:p>
      <w:pPr>
        <w:spacing w:after="0" w:line="181"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VACANCIES IN OFFICES. Any vacancy occurring in any office of the Corporation shall be filled by the Board or as provided in Section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5.3 of these bylaws.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5.6 REPRESENTATION OF SHARES OF OTHER ENTITIES. The chairperson of the Board, the president, any vice president, the treasurer, the secretary or assistant secretary of this Corporation, or any other person authorized by the Board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ectPr>
          <w:pgSz w:w="11900" w:h="16838" w:orient="portrait"/>
          <w:cols w:equalWidth="0" w:num="1">
            <w:col w:w="11420"/>
          </w:cols>
          <w:pgMar w:left="240" w:top="341" w:right="239" w:bottom="144" w:gutter="0" w:footer="0" w:header="0"/>
        </w:sectPr>
      </w:pPr>
    </w:p>
    <w:bookmarkStart w:id="16" w:name="page17"/>
    <w:bookmarkEnd w:id="16"/>
    <w:p>
      <w:pPr>
        <w:ind w:right="20" w:firstLine="648"/>
        <w:spacing w:after="0" w:line="264" w:lineRule="auto"/>
        <w:rPr>
          <w:sz w:val="20"/>
          <w:szCs w:val="20"/>
          <w:color w:val="auto"/>
        </w:rPr>
      </w:pPr>
      <w:r>
        <w:rPr>
          <w:rFonts w:ascii="Arial" w:cs="Arial" w:eastAsia="Arial" w:hAnsi="Arial"/>
          <w:sz w:val="18"/>
          <w:szCs w:val="18"/>
          <w:color w:val="auto"/>
        </w:rPr>
        <w:t>5.7 AUTHORITY AND DUTIES OF OFFICERS. 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 RECORDS AND REPORTS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6.1 MAINTENANCE OF RECORDS. Subject to applicable law,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 GENERAL MATTERS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7.1 EXECUTION OF CORPORATE CONTRACTS AND INSTRUMENTS. 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7.2 STOCK CERTIFICATES; PARTLY PAID SHARES. The shares of the Corporation shall be represented by certificates provided that the Board may provide by resolution or resolutions that some or all of any or all classes or series of stock shall be uncertificated shares.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the chairperson or vice-chairperson of the Board, or the president or vice-president,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7.3 MULTIPLES CLASSES OR SERIES OF STOCK.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or uncertificated stock, the Corporation shall send to the registered owner thereof a written notice containing the information required to be set forth or stated on certificates pursuant to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7.4 LOST CERTIFICATES. Except as provided in this Section 7.4, no new certificates for shares shall be issued to replace a previously issued certificate unless the latter is surrendered to the Corporation in accordance with applicable law.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9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7.5 CONSTRUCTION; DEFINITIONS.Unless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7.6 DIVIDENDS. 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spacing w:after="0" w:line="14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4" w:gutter="0" w:footer="0" w:header="0"/>
        </w:sectPr>
      </w:pPr>
    </w:p>
    <w:bookmarkStart w:id="17" w:name="page18"/>
    <w:bookmarkEnd w:id="17"/>
    <w:p>
      <w:pPr>
        <w:spacing w:after="0" w:line="7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FISCAL YEAR. The fiscal year of the Corporation shall be fixed by resolution of the Board and may be changed by the Board.</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7.8 SEAL. 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7.9 TRANSFER OF STOCK. 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To the fullest extent permitted by law, no transfer of stock shall be valid as against the Corporation for any purpose until it shall have been entered in the stock records of the Corporation by an entry showing the names of the persons from and to whom it was transferred.</w:t>
      </w:r>
    </w:p>
    <w:p>
      <w:pPr>
        <w:spacing w:after="0" w:line="178"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7.10 STOCK TRANSFER AGREEMENTS.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REGISTERED STOCKHOLDERS. The Corporation, to the fullest extent permitted by law,:</w:t>
      </w:r>
    </w:p>
    <w:p>
      <w:pPr>
        <w:spacing w:after="0" w:line="225" w:lineRule="exact"/>
        <w:rPr>
          <w:sz w:val="20"/>
          <w:szCs w:val="20"/>
          <w:color w:val="auto"/>
        </w:rPr>
      </w:pPr>
    </w:p>
    <w:p>
      <w:pPr>
        <w:ind w:left="1940" w:hanging="635"/>
        <w:spacing w:after="0"/>
        <w:tabs>
          <w:tab w:leader="none" w:pos="19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shall be entitled to recognize the exclusive right of a person registered on its books as the owner of shares to receive dividends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vote as such owner;</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shall be entitled to hold liable for calls and assessments the person registered on its books as the owner of shares; and</w:t>
      </w:r>
    </w:p>
    <w:p>
      <w:pPr>
        <w:spacing w:after="0" w:line="236" w:lineRule="exact"/>
        <w:rPr>
          <w:rFonts w:ascii="Arial" w:cs="Arial" w:eastAsia="Arial" w:hAnsi="Arial"/>
          <w:sz w:val="17"/>
          <w:szCs w:val="17"/>
          <w:color w:val="auto"/>
        </w:rPr>
      </w:pPr>
    </w:p>
    <w:p>
      <w:pPr>
        <w:ind w:right="320" w:firstLine="1305"/>
        <w:spacing w:after="0" w:line="277"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7.12 WAIVER OF NOTICE.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 - NOTICE BY ELECTRONIC TRANSMISSION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8.1 NOTICE BY ELECTRONIC TRANSMISSION.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88" w:lineRule="exact"/>
        <w:rPr>
          <w:sz w:val="20"/>
          <w:szCs w:val="20"/>
          <w:color w:val="auto"/>
        </w:rPr>
      </w:pPr>
    </w:p>
    <w:p>
      <w:pPr>
        <w:ind w:left="1940" w:hanging="635"/>
        <w:spacing w:after="0"/>
        <w:tabs>
          <w:tab w:leader="none" w:pos="19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Corporation is unable to deliver by electronic transmission two (2) consecutive notices given by the Corporation in accordance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such consent; and</w:t>
      </w:r>
    </w:p>
    <w:p>
      <w:pPr>
        <w:spacing w:after="0" w:line="210" w:lineRule="exact"/>
        <w:rPr>
          <w:rFonts w:ascii="Arial" w:cs="Arial" w:eastAsia="Arial" w:hAnsi="Arial"/>
          <w:sz w:val="16"/>
          <w:szCs w:val="16"/>
          <w:color w:val="auto"/>
        </w:rPr>
      </w:pPr>
    </w:p>
    <w:p>
      <w:pPr>
        <w:ind w:right="120" w:firstLine="1305"/>
        <w:spacing w:after="0" w:line="277" w:lineRule="auto"/>
        <w:tabs>
          <w:tab w:leader="none" w:pos="19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Corporation or to the transfer agent, or other person responsible for the giving of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225" w:lineRule="exact"/>
        <w:rPr>
          <w:sz w:val="20"/>
          <w:szCs w:val="20"/>
          <w:color w:val="auto"/>
        </w:rPr>
      </w:pPr>
    </w:p>
    <w:p>
      <w:pPr>
        <w:ind w:left="1940" w:hanging="635"/>
        <w:spacing w:after="0"/>
        <w:tabs>
          <w:tab w:leader="none" w:pos="1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by facsimile telecommunication, when directed to a number at which the stockholder has consented to receive notice;</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by electronic mail, when directed to an electronic mail address at which the stockholder has consented to receive notice;</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by a posting on an electronic network together with separate notice to the stockholder of such specific posting, upon the later of</w:t>
      </w:r>
    </w:p>
    <w:p>
      <w:pPr>
        <w:spacing w:after="0" w:line="46" w:lineRule="exact"/>
        <w:rPr>
          <w:rFonts w:ascii="Arial" w:cs="Arial" w:eastAsia="Arial" w:hAnsi="Arial"/>
          <w:sz w:val="16"/>
          <w:szCs w:val="16"/>
          <w:color w:val="auto"/>
        </w:rPr>
      </w:pPr>
    </w:p>
    <w:p>
      <w:pPr>
        <w:ind w:left="2160" w:hanging="207"/>
        <w:spacing w:after="0"/>
        <w:tabs>
          <w:tab w:leader="none" w:pos="2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such posting and (ii) the giving of such separate notice; and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14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8.2 DEFINITION OF ELECTRONIC TRANSMISSION. 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ectPr>
          <w:pgSz w:w="11900" w:h="16918" w:orient="portrait"/>
          <w:cols w:equalWidth="0" w:num="1">
            <w:col w:w="11400"/>
          </w:cols>
          <w:pgMar w:left="240" w:top="125" w:right="259" w:bottom="0" w:gutter="0" w:footer="0" w:header="0"/>
        </w:sectPr>
      </w:pPr>
    </w:p>
    <w:bookmarkStart w:id="18" w:name="page19"/>
    <w:bookmarkEnd w:id="18"/>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 INDEMNIFICATION AND ADVANCEMENT</w:t>
      </w:r>
    </w:p>
    <w:p>
      <w:pPr>
        <w:spacing w:after="0" w:line="22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ACTIONS, SUITS AND PROCEEDINGS OTHER THAN BY OR IN THE RIGHT OF THE CORPORATION.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(all such persons being referred to hereafter as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or by reason of any action alleged to have been taken or omitted in such capacity, against all expenses (including, without limitation, attorneys’ fees), liabilities, losses, judgments, fines (including, without limitation,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ACTIONS OR SUITS BY OR IN THE RIGHT OF THE CORPORATION.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or by reason of any action alleged to have been taken or omitted in such capacity, against all expenses (including, without limitation, attorneys’ fees)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9.2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without limitation, attorneys’ fees) which the Court of Chancery of Delaware or such other court shall deem proper.</w:t>
      </w:r>
    </w:p>
    <w:p>
      <w:pPr>
        <w:spacing w:after="0" w:line="1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INDEMNIFICATION FOR EXPENSES OF SUCCESSFUL PARTY.</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Notwithstanding any other provisions of this Article IX, to the extent that an Indemnitee has been successful, on the merits or otherwise, in defense of any action, suit or proceeding referred to in Sections 9.1 and 9.2 of these bylaws, or in defense of any claim, issue or matter therein, or on appeal from any such action, suit or proceeding, Indemnitee shall be indemnified to the fullest extent permitted by law against all expenses (including, without limitation, attorneys’ fees) actually and reasonably incurred by or on behalf of Indemnitee in connection therewith.</w:t>
      </w:r>
    </w:p>
    <w:p>
      <w:pPr>
        <w:spacing w:after="0" w:line="17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NOTIFICATION AND DEFENSE OF CLAIM.</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9.4. Indemnitee shall have the right to employ his or her own counsel in connection with such action, suit, proceeding or investigation,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but the fees and expenses of such counsel incurred after notice from the Corporation of its assumption of the defense thereof shall be at the expense of Indemnitee unless (a) the employment of counsel by Indemnitee has been authorized by the Corporation, (b) counsel to Indemnitee shall have reasonably concluded that there may be a conflict of interest or position on any significant issue between the Corporation and Indemnitee in the conduct of the defense of such action, suit, proceeding or investigation or (c)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IX. The Corporation shall not be entitled, without the consent of Indemnitee, to assume the defense of any claim brought by or in the right of the Corporation or as to which counsel for Indemnitee shall have reasonably made the conclusion provided for in clause (b) above. The Corporation shall not be required to indemnify Indemnitee under this Article IX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18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ADVANCE OF EXPENSES.</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Subject to the provisions of Sections 9.4 and 9.6 of these bylaws, in the event of any threatened or pending action, suit, proceeding or investigation of which the Corporation receives notice under this Article IX, any expenses (including, without limitation, attorneys’ fees) incurred by or on behalf of Indemnitee in defending an action, suit, proceeding or investigation or any appeal therefrom shall be paid by the Corporation in advance of the final</w:t>
      </w:r>
    </w:p>
    <w:p>
      <w:pPr>
        <w:sectPr>
          <w:pgSz w:w="11900" w:h="16952" w:orient="portrait"/>
          <w:cols w:equalWidth="0" w:num="1">
            <w:col w:w="11420"/>
          </w:cols>
          <w:pgMar w:left="240" w:top="337" w:right="239" w:bottom="0" w:gutter="0" w:footer="0" w:header="0"/>
        </w:sectPr>
      </w:pPr>
    </w:p>
    <w:bookmarkStart w:id="19" w:name="page20"/>
    <w:bookmarkEnd w:id="19"/>
    <w:p>
      <w:pPr>
        <w:ind w:right="20"/>
        <w:spacing w:after="0" w:line="271" w:lineRule="auto"/>
        <w:rPr>
          <w:sz w:val="20"/>
          <w:szCs w:val="20"/>
          <w:color w:val="auto"/>
        </w:rPr>
      </w:pPr>
      <w:r>
        <w:rPr>
          <w:rFonts w:ascii="Arial" w:cs="Arial" w:eastAsia="Arial" w:hAnsi="Arial"/>
          <w:sz w:val="17"/>
          <w:szCs w:val="17"/>
          <w:color w:val="auto"/>
        </w:rPr>
        <w:t xml:space="preserve">disposition of such matter to the fullest extent permitted by law; </w:t>
      </w:r>
      <w:r>
        <w:rPr>
          <w:rFonts w:ascii="Arial" w:cs="Arial" w:eastAsia="Arial" w:hAnsi="Arial"/>
          <w:sz w:val="17"/>
          <w:szCs w:val="17"/>
          <w:i w:val="1"/>
          <w:iCs w:val="1"/>
          <w:u w:val="single" w:color="auto"/>
          <w:color w:val="auto"/>
        </w:rPr>
        <w:t>provided</w:t>
      </w:r>
      <w:r>
        <w:rPr>
          <w:rFonts w:ascii="Arial" w:cs="Arial" w:eastAsia="Arial" w:hAnsi="Arial"/>
          <w:sz w:val="17"/>
          <w:szCs w:val="17"/>
          <w:u w:val="single" w:color="auto"/>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to the extent required by law,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IX or otherwise; and </w:t>
      </w:r>
      <w:r>
        <w:rPr>
          <w:rFonts w:ascii="Arial" w:cs="Arial" w:eastAsia="Arial" w:hAnsi="Arial"/>
          <w:sz w:val="17"/>
          <w:szCs w:val="17"/>
          <w:i w:val="1"/>
          <w:iCs w:val="1"/>
          <w:u w:val="single" w:color="auto"/>
          <w:color w:val="auto"/>
        </w:rPr>
        <w:t>provided further</w:t>
      </w:r>
      <w:r>
        <w:rPr>
          <w:rFonts w:ascii="Arial" w:cs="Arial" w:eastAsia="Arial" w:hAnsi="Arial"/>
          <w:sz w:val="17"/>
          <w:szCs w:val="17"/>
          <w:color w:val="auto"/>
        </w:rPr>
        <w:t xml:space="preserve"> that no such advancement of expenses shall be made under this Article IX if it is determined (in the manner described in Section 9.6 of these bylaws) that (a) Indemnitee did not act in good faith and in a manner he or she reasonably believed to be in, or not opposed to, the best interests of the Corporation, or (b) with respect to any criminal action or proceeding, Indemnitee had reasonable cause to believe his or her conduct was unlawful. Such undertaking shall be accepted without reference to the financial ability of Indemnitee to make such repayment.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7"/>
          <w:szCs w:val="17"/>
          <w:color w:val="auto"/>
        </w:rPr>
        <w:t>PROCEDURE FOR INDEMNIFICATION AND ADVANCEMENT OF EXPENSES.</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order to obtain indemnification or advancement of expenses pursuant to Section 9.1, 9.2, 9.3 or 9.5 of these bylaws, an Indemnitee shall submit to the Corporation a written request. Any such advancement of expenses shall be made promptly, and in any event within 60 days after receipt by the Corporation of the written request of Indemnitee, unless (a) the Corporation has assumed the defense pursuant to Section 9.4 of these bylaws (and none of the circumstances described in Section 9.4 of these bylaws that would nonetheless entitle the Indemnitee to indemnification for the fees and expenses of separate counsel have occurred) or (b) the Corporation determines within such 60-day period that Indemnitee did not meet the applicable standard of conduct set forth in Section 9.1, 9.2 or 9.5 of these bylaws, as the case may be. Any such indemnification, unless ordered by a court, shall be made with respect to requests under Section 9.1 or 9.2 of these bylaws only as authorized in the specific case upon a determination by the Corporation that the indemnification of Indemnitee is proper because Indemnitee has met the applicable standard of conduct set forth in Section 9.1 or 9.2 of these bylaws, as the case may be. Such determination shall be made in each instance (a) by a majority vote of the directors of the Corporation consisting of persons who are not at that time parties to the action, suit or proceeding in question (“</w:t>
      </w:r>
      <w:r>
        <w:rPr>
          <w:rFonts w:ascii="Arial" w:cs="Arial" w:eastAsia="Arial" w:hAnsi="Arial"/>
          <w:sz w:val="17"/>
          <w:szCs w:val="17"/>
          <w:u w:val="single" w:color="auto"/>
          <w:color w:val="auto"/>
        </w:rPr>
        <w:t>disinterested directors</w:t>
      </w:r>
      <w:r>
        <w:rPr>
          <w:rFonts w:ascii="Arial" w:cs="Arial" w:eastAsia="Arial" w:hAnsi="Arial"/>
          <w:sz w:val="17"/>
          <w:szCs w:val="17"/>
          <w:color w:val="auto"/>
        </w:rPr>
        <w:t>”),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18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7"/>
          <w:szCs w:val="17"/>
          <w:color w:val="auto"/>
        </w:rPr>
        <w:t>REMEDIES.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To the fullest extent permitted by law, the right to indemnification or advancement of expenses as granted by this Article IX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9.6 of these bylaws that Indemnitee has not met such applicable standard of conduct, shall be a defense to the action or create a presumption that Indemnitee has not met the applicable standard of conduct. In any suit brought by Indemnitee to enforce a right to indemnification or advancement, or brought by the Corporation to recover an advancement of expenses pursuant to the terms of an undertaking, the Corporation shall have the burden of proving that Indemnitee is not entitled to be indemnified, or to such advancement of expenses, under this Article IX. Indemnitee’s expenses (including, without limitation, attorneys’ fees) reasonably incurred in connection with successfully establishing Indemnitee’s right to indemnification or advancement, in whole or in part, in any such proceeding shall also be indemnified by the Corporation to the fullest extent permitted by law. Notwithstanding the foregoing, in any suit brought by Indemnitee to enforce a right to indemnification hereunder it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shall be a defense that the Indemnitee has not met any applicable standard for indemnification set forth in the DGCL.</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7"/>
          <w:szCs w:val="17"/>
          <w:color w:val="auto"/>
        </w:rPr>
        <w:t>LIMITATIONS.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Notwithstanding anything to the contrary in this Article IX, except as set forth in Section 9.7 of these bylaws, the Corporation shall not indemnify an Indemnitee pursuant to this Article IX in connection with a proceeding (or part thereof) initiated by such Indemnitee unless the initiation thereof was approved by the Board. Notwithstanding anything to the contrary in this Article IX, the Corporation shall not indemnify (or advance expenses to) an Indemnitee to the extent such Indemnitee is reimbursed (or advanced expenses) from the proceeds of insurance, 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w:t>
      </w:r>
    </w:p>
    <w:p>
      <w:pPr>
        <w:spacing w:after="0" w:line="16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7"/>
          <w:szCs w:val="17"/>
          <w:color w:val="auto"/>
        </w:rPr>
        <w:t>SUBSEQUENT AMENDMENT.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 amendment, termination or repeal of this Article IX or of the relevant provisions of the DGCL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spacing w:after="0" w:line="18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7"/>
          <w:szCs w:val="17"/>
          <w:color w:val="auto"/>
        </w:rPr>
        <w:t>OTHER RIGHTS.</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indemnification and advancement of expenses provided by this Article IX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IX shall be deemed to prohibit, and the Corporation is specifically authorized to enter into, agreements with officers and directors providing indemnification and advancement rights and procedures different from those set forth in this Article IX. In addition, the Corporation may, to the extent authorized from time to time by the Board, grant indemnification and advancement rights to other employees or agents of the Corporation or other persons serving the Corporation and such rights may be equivalent to, or greater or less than, those set forth in this Article IX.</w:t>
      </w:r>
    </w:p>
    <w:p>
      <w:pPr>
        <w:sectPr>
          <w:pgSz w:w="11900" w:h="16838" w:orient="portrait"/>
          <w:cols w:equalWidth="0" w:num="1">
            <w:col w:w="11400"/>
          </w:cols>
          <w:pgMar w:left="240" w:top="125" w:right="259" w:bottom="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7"/>
          <w:szCs w:val="17"/>
          <w:color w:val="auto"/>
        </w:rPr>
        <w:t>PARTIAL INDEMNIFICATION.</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If an Indemnitee is entitled under any provision of this Article IX to indemnification by the Corporation for some or a portion of the expenses (including, without limitation, attorneys’ fees), liabilities, losses, judgments, fines (including, without limitation, excise taxes and penalties arising under the Employee Retirement Income Security Act of 1974, as amended)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without limitation, attorneys’ fees), liabilities, losses, judgments, fines (including, without limitation, excise taxes and penalties arising under the Employee Retirement Income Security Act of 1974, as amended) or amounts paid in settlement to which Indemnitee is entitled.</w:t>
      </w:r>
    </w:p>
    <w:p>
      <w:pPr>
        <w:spacing w:after="0" w:line="17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INSURANCE.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Corporation may purchase and maintain insurance, at its expense, to protect itself and any director, officer, employee or agent of the Corporation or another corporation, partnership, joint venture, trust or other enterprise (including, without limitation, any employee benefit plan) against any expense, liability or loss incurred by him or her in any such capacity, or arising out of his or her status as such, whether or not the Corporation would have the power to indemnify such person against such expense, liability or loss under the DGCL.</w:t>
      </w:r>
    </w:p>
    <w:p>
      <w:pPr>
        <w:spacing w:after="0" w:line="18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7"/>
          <w:szCs w:val="17"/>
          <w:color w:val="auto"/>
        </w:rPr>
        <w:t>SAVINGS CLAUSE.</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If this Article IX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IX that shall not have been invalidated and to the fullest extent permitted by applicable law.</w:t>
      </w:r>
    </w:p>
    <w:p>
      <w:pPr>
        <w:spacing w:after="0" w:line="19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7"/>
          <w:szCs w:val="17"/>
          <w:color w:val="auto"/>
        </w:rPr>
        <w:t>DEFINITIONS.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Terms used in this Article IX and defined in Section 145(h) and Section 145(i) of the DGCL shall have the respective meanings assigned to such terms in such Section 145(h) and Section 145(i).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 AMENDMENTS</w:t>
      </w:r>
      <w:r>
        <w:rPr>
          <w:rFonts w:ascii="Arial" w:cs="Arial" w:eastAsia="Arial" w:hAnsi="Arial"/>
          <w:sz w:val="18"/>
          <w:szCs w:val="18"/>
          <w:color w:val="auto"/>
        </w:rPr>
        <w:t>.</w:t>
      </w:r>
    </w:p>
    <w:p>
      <w:pPr>
        <w:spacing w:after="0" w:line="229"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color w:val="auto"/>
        </w:rPr>
        <w:t xml:space="preserve">Subject to the limitations set forth in Section 9.9 of these bylaws or the provisions of the certificate of incorporation, the Board is expressly empowered to adopt, amend or repeal the bylaws of the Corporation. The stockholders also shall have power to adopt, amend or repeal the bylaws of the Corporation;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in addition to any vote of the holders of any class or series of stock of the Corporation required by law or by the certificate of incorporation, such action by stockholders shall require the affirmative vote of the holders of at least two-thirds in voting power of the outstanding shares of capital stock of the Corporation entitled to vote thereon.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o"/>
      <w:numFmt w:val="bullet"/>
      <w:start w:val="1"/>
    </w:lvl>
  </w:abstractNum>
  <w:abstractNum w:abstractNumId="1">
    <w:nsid w:val="25E45D32"/>
    <w:multiLevelType w:val="hybridMultilevel"/>
    <w:lvl w:ilvl="0">
      <w:lvlJc w:val="left"/>
      <w:lvlText w:val="(%1)"/>
      <w:numFmt w:val="lowerRoman"/>
      <w:start w:val="4"/>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upperLetter"/>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upperLetter"/>
      <w:start w:val="2"/>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8"/>
    </w:lvl>
  </w:abstractNum>
  <w:abstractNum w:abstractNumId="9">
    <w:nsid w:val="628C895D"/>
    <w:multiLevelType w:val="hybridMultilevel"/>
    <w:lvl w:ilvl="0">
      <w:lvlJc w:val="left"/>
      <w:lvlText w:val="%1."/>
      <w:numFmt w:val="decimal"/>
      <w:start w:val="9"/>
    </w:lvl>
  </w:abstractNum>
  <w:abstractNum w:abstractNumId="10">
    <w:nsid w:val="333AB105"/>
    <w:multiLevelType w:val="hybridMultilevel"/>
    <w:lvl w:ilvl="0">
      <w:lvlJc w:val="left"/>
      <w:lvlText w:val="%1"/>
      <w:numFmt w:val="lowerLetter"/>
      <w:start w:val="1"/>
    </w:lvl>
    <w:lvl w:ilvl="1">
      <w:lvlJc w:val="left"/>
      <w:lvlText w:val="(%2)"/>
      <w:numFmt w:val="lowerLetter"/>
      <w:start w:val="2"/>
    </w:lvl>
  </w:abstractNum>
  <w:abstractNum w:abstractNumId="11">
    <w:nsid w:val="721DA317"/>
    <w:multiLevelType w:val="hybridMultilevel"/>
    <w:lvl w:ilvl="0">
      <w:lvlJc w:val="left"/>
      <w:lvlText w:val="(%1)"/>
      <w:numFmt w:val="lowerLetter"/>
      <w:start w:val="24"/>
    </w:lvl>
    <w:lvl w:ilvl="1">
      <w:lvlJc w:val="left"/>
      <w:lvlText w:val="%2"/>
      <w:numFmt w:val="lowerLetter"/>
      <w:start w:val="1"/>
    </w:lvl>
  </w:abstractNum>
  <w:abstractNum w:abstractNumId="12">
    <w:nsid w:val="2443A858"/>
    <w:multiLevelType w:val="hybridMultilevel"/>
    <w:lvl w:ilvl="0">
      <w:lvlJc w:val="left"/>
      <w:lvlText w:val="(%1)"/>
      <w:numFmt w:val="lowerLetter"/>
      <w:start w:val="3"/>
    </w:lvl>
    <w:lvl w:ilvl="1">
      <w:lvlJc w:val="left"/>
      <w:lvlText w:val="(%2)"/>
      <w:numFmt w:val="lowerRoman"/>
      <w:start w:val="1"/>
    </w:lvl>
  </w:abstractNum>
  <w:abstractNum w:abstractNumId="13">
    <w:nsid w:val="2D1D5AE9"/>
    <w:multiLevelType w:val="hybridMultilevel"/>
    <w:lvl w:ilvl="0">
      <w:lvlJc w:val="left"/>
      <w:lvlText w:val="(%1)"/>
      <w:numFmt w:val="upperLetter"/>
      <w:start w:val="3"/>
    </w:lvl>
  </w:abstractNum>
  <w:abstractNum w:abstractNumId="14">
    <w:nsid w:val="6763845E"/>
    <w:multiLevelType w:val="hybridMultilevel"/>
    <w:lvl w:ilvl="0">
      <w:lvlJc w:val="left"/>
      <w:lvlText w:val="(%1)"/>
      <w:numFmt w:val="upperLetter"/>
      <w:start w:val="12"/>
    </w:lvl>
    <w:lvl w:ilvl="1">
      <w:lvlJc w:val="left"/>
      <w:lvlText w:val="(%2)"/>
      <w:numFmt w:val="lowerRoman"/>
      <w:start w:val="3"/>
    </w:lvl>
  </w:abstractNum>
  <w:abstractNum w:abstractNumId="15">
    <w:nsid w:val="75A2A8D4"/>
    <w:multiLevelType w:val="hybridMultilevel"/>
    <w:lvl w:ilvl="0">
      <w:lvlJc w:val="left"/>
      <w:lvlText w:val="(%1)"/>
      <w:numFmt w:val="lowerLetter"/>
      <w:start w:val="4"/>
    </w:lvl>
  </w:abstractNum>
  <w:abstractNum w:abstractNumId="16">
    <w:nsid w:val="8EDBDAB"/>
    <w:multiLevelType w:val="hybridMultilevel"/>
    <w:lvl w:ilvl="0">
      <w:lvlJc w:val="left"/>
      <w:lvlText w:val="(%1)"/>
      <w:numFmt w:val="lowerLetter"/>
      <w:start w:val="5"/>
    </w:lvl>
  </w:abstractNum>
  <w:abstractNum w:abstractNumId="17">
    <w:nsid w:val="79838CB2"/>
    <w:multiLevelType w:val="hybridMultilevel"/>
    <w:lvl w:ilvl="0">
      <w:lvlJc w:val="left"/>
      <w:lvlText w:val="(%1)"/>
      <w:numFmt w:val="lowerLetter"/>
      <w:start w:val="8"/>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3"/>
    </w:lvl>
    <w:lvl w:ilvl="1">
      <w:lvlJc w:val="left"/>
      <w:lvlText w:val="(%2)"/>
      <w:numFmt w:val="lowerRoman"/>
      <w:start w:val="1"/>
    </w:lvl>
  </w:abstractNum>
  <w:abstractNum w:abstractNumId="20">
    <w:nsid w:val="189A769B"/>
    <w:multiLevelType w:val="hybridMultilevel"/>
    <w:lvl w:ilvl="0">
      <w:lvlJc w:val="left"/>
      <w:lvlText w:val="%1"/>
      <w:numFmt w:val="lowerLetter"/>
      <w:start w:val="1"/>
    </w:lvl>
    <w:lvl w:ilvl="1">
      <w:lvlJc w:val="left"/>
      <w:lvlText w:val="(%2)"/>
      <w:numFmt w:val="lowerRoman"/>
      <w:start w:val="4"/>
    </w:lvl>
  </w:abstractNum>
  <w:abstractNum w:abstractNumId="21">
    <w:nsid w:val="54E49EB4"/>
    <w:multiLevelType w:val="hybridMultilevel"/>
    <w:lvl w:ilvl="0">
      <w:lvlJc w:val="left"/>
      <w:lvlText w:val="(%1)"/>
      <w:numFmt w:val="lowerLetter"/>
      <w:start w:val="4"/>
    </w:lvl>
    <w:lvl w:ilvl="1">
      <w:lvlJc w:val="left"/>
      <w:lvlText w:val="%2"/>
      <w:numFmt w:val="lowerRoman"/>
      <w:start w:val="1"/>
    </w:lvl>
  </w:abstractNum>
  <w:abstractNum w:abstractNumId="22">
    <w:nsid w:val="71F32454"/>
    <w:multiLevelType w:val="hybridMultilevel"/>
    <w:lvl w:ilvl="0">
      <w:lvlJc w:val="left"/>
      <w:lvlText w:val="(%1)"/>
      <w:numFmt w:val="lowerLetter"/>
      <w:start w:val="6"/>
    </w:lvl>
  </w:abstractNum>
  <w:abstractNum w:abstractNumId="23">
    <w:nsid w:val="2CA88611"/>
    <w:multiLevelType w:val="hybridMultilevel"/>
    <w:lvl w:ilvl="0">
      <w:lvlJc w:val="left"/>
      <w:lvlText w:val="(%1)"/>
      <w:numFmt w:val="lowerLetter"/>
      <w:start w:val="7"/>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Roman"/>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1"/>
    </w:lvl>
    <w:lvl w:ilvl="1">
      <w:lvlJc w:val="left"/>
      <w:lvlText w:val="(%2)"/>
      <w:numFmt w:val="lowerLetter"/>
      <w:start w:val="9"/>
    </w:lvl>
  </w:abstractNum>
  <w:abstractNum w:abstractNumId="31">
    <w:nsid w:val="6CEAF08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2019-12-08T18:39:03Z</dcterms:created>
  <dcterms:modified xsi:type="dcterms:W3CDTF">2019-12-08T18:39:03Z</dcterms:modified>
</cp:coreProperties>
</file>