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12,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45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16"/>
        </w:trPr>
        <w:tc>
          <w:tcPr>
            <w:tcW w:w="4500" w:type="dxa"/>
            <w:vAlign w:val="bottom"/>
          </w:tcPr>
          <w:p>
            <w:pPr>
              <w:jc w:val="center"/>
              <w:ind w:right="161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340" w:type="dxa"/>
            <w:vAlign w:val="bottom"/>
          </w:tcPr>
          <w:p>
            <w:pPr>
              <w:jc w:val="center"/>
              <w:ind w:left="161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500" w:type="dxa"/>
            <w:vAlign w:val="bottom"/>
          </w:tcPr>
          <w:p>
            <w:pPr>
              <w:jc w:val="center"/>
              <w:ind w:right="16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45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704 Quince Orchard Road</w:t>
            </w:r>
          </w:p>
        </w:tc>
        <w:tc>
          <w:tcPr>
            <w:tcW w:w="33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218"/>
        </w:trPr>
        <w:tc>
          <w:tcPr>
            <w:tcW w:w="45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Gaithersburg, MD</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36"/>
        </w:trPr>
        <w:tc>
          <w:tcPr>
            <w:tcW w:w="45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Address of principal executive offices)</w:t>
            </w:r>
          </w:p>
        </w:tc>
        <w:tc>
          <w:tcPr>
            <w:tcW w:w="3340" w:type="dxa"/>
            <w:vAlign w:val="bottom"/>
          </w:tcPr>
          <w:p>
            <w:pPr>
              <w:spacing w:after="0"/>
              <w:rPr>
                <w:sz w:val="20"/>
                <w:szCs w:val="20"/>
                <w:color w:val="auto"/>
              </w:rPr>
            </w:pPr>
          </w:p>
        </w:tc>
      </w:tr>
    </w:tbl>
    <w:p>
      <w:pPr>
        <w:spacing w:after="0" w:line="194"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923-1400</w:t>
      </w:r>
    </w:p>
    <w:p>
      <w:pPr>
        <w:spacing w:after="0" w:line="31" w:lineRule="exact"/>
        <w:rPr>
          <w:rFonts w:ascii="Times New Roman" w:cs="Times New Roman" w:eastAsia="Times New Roman" w:hAnsi="Times New Roman"/>
          <w:sz w:val="18"/>
          <w:szCs w:val="18"/>
          <w:b w:val="1"/>
          <w:bCs w:val="1"/>
          <w:color w:val="auto"/>
        </w:rPr>
      </w:pPr>
    </w:p>
    <w:p>
      <w:pPr>
        <w:ind w:left="4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including area code, of registrant’s principal executive offices)</w:t>
      </w:r>
    </w:p>
    <w:p>
      <w:pPr>
        <w:spacing w:after="0" w:line="203"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CARTESIAN THERAPEUTICS, INC. 2016 STOCK INCENTIVE PLAN CARTESIAN THERAPEUTICS, INC. 2018 EMPLOYMENT INDUCEMENT INCENTIVE AWARD PLAN </w:t>
      </w:r>
      <w:r>
        <w:rPr>
          <w:rFonts w:ascii="Times New Roman" w:cs="Times New Roman" w:eastAsia="Times New Roman" w:hAnsi="Times New Roman"/>
          <w:sz w:val="18"/>
          <w:szCs w:val="18"/>
          <w:i w:val="1"/>
          <w:iCs w:val="1"/>
          <w:color w:val="auto"/>
        </w:rPr>
        <w:t>(Full title of the plan)</w:t>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Carsten Brunn,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Copy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K. Rosenzweig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Sarah C. Griffiths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New York Times Building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620 Eighth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841-1000</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November 13, 2023, Cartesian Therapeutics, Inc. (formerly known as Selecta Biosciences, Inc.) (the “Registrant”) acquired Cartesian Bio, LLC (formerly known as Cartesian Therapeutics, Inc.) (“Old Cartesian”) in accordance with the terms of an Agreement and Plan of Merger, dated November 13, 2023 (the “Merger Agreement”), by and among the Registrant, Sakura Merger Sub I, Inc., a Delaware corporation and wholly owned subsidiary of the Registrant (“Merger Sub I”), Sakura Merger Sub II, LLC, a Delaware limited liability company and wholly owned subsidiary of the Registrant (“Merger Sub II”), and Old Cartesian. Pursuant to the Merger Agreement, Merger Sub I merged with and into Old Cartesian, with Old Cartesian surviving the First Merger as a wholly owned subsidiary of the Registrant (the “First Merger”). Immediately following the First Merger, and as part of the same overall transaction, the surviving entity of the First Merger merged with and into Merger Sub II, with Merger Sub II surviving the Second Merger (the “Second Merger” and, together with the First Merger, the “Merger”). In connection with the Merger, the Registrant assumed the Cartesian Therapeutics, Inc. 2016 Stock Incentive Plan (the “2016 Stock Incentive Plan”).</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for the purpose of registering (i) 41,267,769 shares of the Registrant’s common stock, par value $0.0001 per share (the “Common Stock”), issuable in connection with equity awards previously granted and available for issuance pursuant to future awards under the 2016 Stock Incentive Plan, and (ii) an additional 1,825,000 shares of the Registrant’s Common Stock to be issued pursuant to the Amended and Restated 2018 Employment Inducement Incentive Award Plan (the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are omitted from this filing in accordance with the provisions of Rule 424 under the Securities Act of 1933, as amended (the “Securities Act”) and the introductory note to Part I of Form S-8. The documents containing such information will be sent or given to participants in the plans as specified by Rule 428(b)(1) under the Securities Act.</w:t>
      </w:r>
    </w:p>
    <w:p>
      <w:pPr>
        <w:spacing w:after="0" w:line="176"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Upon written or oral request, the Registrant will provide, without charge, the documents incorporated by reference in Item 3 of Part II of this Registration Statement. The documents are incorporated by reference in the Section 10(a) prospectus. The Registrant will also provide, without charge, upon written or oral request, other documents required to be delivered to participants pursuant to Rule 428(b). Requests for the above-mentioned information should be directed to Blaine Davis, Chief Financial Officer, at the address and telephone number on the cover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33" w:right="5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“Commission”) pursuant to the Securities Exchange Act of 1934, as amended (the “Exchange Act”), are hereby incorporated by reference into this registration statement:</w:t>
      </w:r>
    </w:p>
    <w:p>
      <w:pPr>
        <w:spacing w:after="0" w:line="378" w:lineRule="exact"/>
        <w:rPr>
          <w:sz w:val="20"/>
          <w:szCs w:val="20"/>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2022, filed with the Commission on </w:t>
      </w:r>
      <w:hyperlink r:id="rId15">
        <w:r>
          <w:rPr>
            <w:rFonts w:ascii="Times New Roman" w:cs="Times New Roman" w:eastAsia="Times New Roman" w:hAnsi="Times New Roman"/>
            <w:sz w:val="18"/>
            <w:szCs w:val="18"/>
            <w:u w:val="single" w:color="auto"/>
            <w:color w:val="0000EE"/>
          </w:rPr>
          <w:t>March 2, 2023</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20" w:right="220" w:hanging="453"/>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quarters ended March 31, 2023, June 30, 2023 and September 30, 2023, filed with the Commission on </w:t>
      </w:r>
      <w:hyperlink r:id="rId16">
        <w:r>
          <w:rPr>
            <w:rFonts w:ascii="Times New Roman" w:cs="Times New Roman" w:eastAsia="Times New Roman" w:hAnsi="Times New Roman"/>
            <w:sz w:val="18"/>
            <w:szCs w:val="18"/>
            <w:u w:val="single" w:color="auto"/>
            <w:color w:val="0000EE"/>
          </w:rPr>
          <w:t>May 4, 2023</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August 17,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8">
        <w:r>
          <w:rPr>
            <w:rFonts w:ascii="Times New Roman" w:cs="Times New Roman" w:eastAsia="Times New Roman" w:hAnsi="Times New Roman"/>
            <w:sz w:val="18"/>
            <w:szCs w:val="18"/>
            <w:u w:val="single" w:color="auto"/>
            <w:color w:val="0000EE"/>
          </w:rPr>
          <w:t>November 13, 2023</w:t>
        </w:r>
      </w:hyperlink>
      <w:r>
        <w:rPr>
          <w:rFonts w:ascii="Times New Roman" w:cs="Times New Roman" w:eastAsia="Times New Roman" w:hAnsi="Times New Roman"/>
          <w:sz w:val="18"/>
          <w:szCs w:val="18"/>
          <w:color w:val="auto"/>
        </w:rPr>
        <w:t>, respectively;</w:t>
      </w:r>
    </w:p>
    <w:p>
      <w:pPr>
        <w:spacing w:after="0" w:line="37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(except to the extent furnished) filed with the Commission since December 31, 2022;</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20" w:right="200" w:hanging="453"/>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Exhibit 4.11 to the Registrant’s Annual Report on Form 10-K, filed with the Commission on </w:t>
      </w:r>
      <w:hyperlink r:id="rId19">
        <w:r>
          <w:rPr>
            <w:rFonts w:ascii="Times New Roman" w:cs="Times New Roman" w:eastAsia="Times New Roman" w:hAnsi="Times New Roman"/>
            <w:sz w:val="18"/>
            <w:szCs w:val="18"/>
            <w:u w:val="single" w:color="auto"/>
            <w:color w:val="0000EE"/>
          </w:rPr>
          <w:t>March 2, 2023</w:t>
        </w:r>
      </w:hyperlink>
      <w:r>
        <w:rPr>
          <w:rFonts w:ascii="Times New Roman" w:cs="Times New Roman" w:eastAsia="Times New Roman" w:hAnsi="Times New Roman"/>
          <w:sz w:val="18"/>
          <w:szCs w:val="18"/>
          <w:color w:val="auto"/>
        </w:rPr>
        <w:t>, including all amendments or reports filed for the purpose of updating such description; and</w:t>
      </w:r>
    </w:p>
    <w:p>
      <w:pPr>
        <w:spacing w:after="0" w:line="377" w:lineRule="exact"/>
        <w:rPr>
          <w:rFonts w:ascii="Times New Roman" w:cs="Times New Roman" w:eastAsia="Times New Roman" w:hAnsi="Times New Roman"/>
          <w:sz w:val="18"/>
          <w:szCs w:val="18"/>
          <w:color w:val="auto"/>
        </w:rPr>
      </w:pPr>
    </w:p>
    <w:p>
      <w:pPr>
        <w:ind w:left="920" w:right="400" w:hanging="453"/>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Registration Statements on Form S-8 (File Nos. </w:t>
      </w:r>
      <w:hyperlink r:id="rId20">
        <w:r>
          <w:rPr>
            <w:rFonts w:ascii="Times New Roman" w:cs="Times New Roman" w:eastAsia="Times New Roman" w:hAnsi="Times New Roman"/>
            <w:sz w:val="18"/>
            <w:szCs w:val="18"/>
            <w:u w:val="single" w:color="auto"/>
            <w:color w:val="0000EE"/>
          </w:rPr>
          <w:t>333-228264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333-230501</w:t>
        </w:r>
      </w:hyperlink>
      <w:r>
        <w:rPr>
          <w:rFonts w:ascii="Times New Roman" w:cs="Times New Roman" w:eastAsia="Times New Roman" w:hAnsi="Times New Roman"/>
          <w:sz w:val="18"/>
          <w:szCs w:val="18"/>
          <w:color w:val="auto"/>
        </w:rPr>
        <w:t>) filed with the Commission, relating to the Inducement Plan.</w:t>
      </w:r>
    </w:p>
    <w:p>
      <w:pPr>
        <w:spacing w:after="0" w:line="162" w:lineRule="exact"/>
        <w:rPr>
          <w:rFonts w:ascii="Times New Roman" w:cs="Times New Roman" w:eastAsia="Times New Roman" w:hAnsi="Times New Roman"/>
          <w:sz w:val="18"/>
          <w:szCs w:val="18"/>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incorporated herein by reference shall be deemed to be modified or superseded for the purpose of this Registration Statement to the extent that a statement contained herein or in any subsequently filed document which also is, or is deemed to be, incorporated herein by reference modifies or supersedes such statement. Any such statement so modified or superseded shall not be deemed, except as so modified or superseded, to constitute a part of this Registration Statement.</w:t>
      </w:r>
    </w:p>
    <w:p>
      <w:pPr>
        <w:spacing w:after="0" w:line="1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4" w:lineRule="exact"/>
        <w:rPr>
          <w:sz w:val="20"/>
          <w:szCs w:val="20"/>
          <w:color w:val="auto"/>
        </w:rPr>
      </w:pPr>
    </w:p>
    <w:p>
      <w:pPr>
        <w:ind w:right="360" w:firstLine="648"/>
        <w:spacing w:after="0" w:line="272"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 Section 174 of the DGCL, or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as amended,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our restated certificate of incorporation, as amended, our amended and restated bylaws, any agreement, any vote of stockholders or disinterested directors or otherwise.</w:t>
      </w:r>
    </w:p>
    <w:p>
      <w:pPr>
        <w:spacing w:after="0" w:line="176" w:lineRule="exact"/>
        <w:rPr>
          <w:sz w:val="20"/>
          <w:szCs w:val="20"/>
          <w:color w:val="auto"/>
        </w:rPr>
      </w:pPr>
    </w:p>
    <w:p>
      <w:pPr>
        <w:jc w:val="both"/>
        <w:ind w:right="180" w:firstLine="648"/>
        <w:spacing w:after="0" w:line="282"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w:t>
            </w:r>
          </w:p>
        </w:tc>
        <w:tc>
          <w:tcPr>
            <w:tcW w:w="760" w:type="dxa"/>
            <w:vAlign w:val="bottom"/>
          </w:tcPr>
          <w:p>
            <w:pPr>
              <w:spacing w:after="0"/>
              <w:rPr>
                <w:sz w:val="17"/>
                <w:szCs w:val="17"/>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4"/>
              </w:rPr>
              <w:t>Number</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60" w:type="dxa"/>
            <w:vAlign w:val="bottom"/>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Restated Certificate of Incorporation of the Registrant (incorporated herein by reference to Exhibit 3.1 of the Registrant’s Current Report</w:t>
            </w:r>
          </w:p>
        </w:tc>
      </w:tr>
      <w:tr>
        <w:trPr>
          <w:trHeight w:val="237"/>
        </w:trPr>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Form 8-K (File No. 001-37798) filed on June 29, 2016).</w:t>
            </w:r>
          </w:p>
        </w:tc>
      </w:tr>
      <w:tr>
        <w:trPr>
          <w:trHeight w:val="391"/>
        </w:trPr>
        <w:tc>
          <w:tcPr>
            <w:tcW w:w="320" w:type="dxa"/>
            <w:vAlign w:val="bottom"/>
            <w:gridSpan w:val="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by reference to Exhibit 3.1 of the Registrant’s</w:t>
            </w:r>
          </w:p>
        </w:tc>
      </w:tr>
      <w:tr>
        <w:trPr>
          <w:trHeight w:val="237"/>
        </w:trPr>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 No. 001-37798) filed on June 21, 2022).</w:t>
            </w:r>
          </w:p>
        </w:tc>
      </w:tr>
      <w:tr>
        <w:trPr>
          <w:trHeight w:val="391"/>
        </w:trPr>
        <w:tc>
          <w:tcPr>
            <w:tcW w:w="320" w:type="dxa"/>
            <w:vAlign w:val="bottom"/>
            <w:gridSpan w:val="3"/>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by reference to Exhibit 3.3 of the Registrant’s</w:t>
            </w:r>
          </w:p>
        </w:tc>
      </w:tr>
      <w:tr>
        <w:trPr>
          <w:trHeight w:val="237"/>
        </w:trPr>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 No. 001-37798) filed on November 13, 2023).</w:t>
            </w:r>
          </w:p>
        </w:tc>
      </w:tr>
      <w:tr>
        <w:trPr>
          <w:trHeight w:val="391"/>
        </w:trPr>
        <w:tc>
          <w:tcPr>
            <w:tcW w:w="320" w:type="dxa"/>
            <w:vAlign w:val="bottom"/>
            <w:gridSpan w:val="3"/>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 (incorporated herein by reference to Exhibit 3.2 of the Registrant’s Current Report on</w:t>
            </w:r>
          </w:p>
        </w:tc>
      </w:tr>
      <w:tr>
        <w:trPr>
          <w:trHeight w:val="237"/>
        </w:trPr>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 (File No. 001-37798) filed on November 13, 2023).</w:t>
            </w:r>
          </w:p>
        </w:tc>
      </w:tr>
      <w:tr>
        <w:trPr>
          <w:trHeight w:val="392"/>
        </w:trPr>
        <w:tc>
          <w:tcPr>
            <w:tcW w:w="320" w:type="dxa"/>
            <w:vAlign w:val="bottom"/>
            <w:gridSpan w:val="3"/>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Specimen Certificate Representing Common Stock (incorporated by reference to Exhibit 4.2 to the Registrant’s Registration</w:t>
            </w:r>
          </w:p>
        </w:tc>
      </w:tr>
      <w:tr>
        <w:trPr>
          <w:trHeight w:val="237"/>
        </w:trPr>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on Form S-1 filed on May 24, 2016, File No. 333-211555).</w:t>
            </w:r>
          </w:p>
        </w:tc>
      </w:tr>
      <w:tr>
        <w:trPr>
          <w:trHeight w:val="391"/>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Covington &amp; Burling LLP.</w:t>
            </w:r>
          </w:p>
        </w:tc>
      </w:tr>
      <w:tr>
        <w:trPr>
          <w:trHeight w:val="412"/>
        </w:trPr>
        <w:tc>
          <w:tcPr>
            <w:tcW w:w="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Ernst &amp; Young LLP, the Registrant’s independent registered public accounting firm.</w:t>
            </w:r>
          </w:p>
        </w:tc>
      </w:tr>
      <w:tr>
        <w:trPr>
          <w:trHeight w:val="412"/>
        </w:trPr>
        <w:tc>
          <w:tcPr>
            <w:tcW w:w="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Covington &amp; Burling LLP (included in Exhibit 5.1).</w:t>
            </w:r>
          </w:p>
        </w:tc>
      </w:tr>
      <w:tr>
        <w:trPr>
          <w:trHeight w:val="412"/>
        </w:trPr>
        <w:tc>
          <w:tcPr>
            <w:tcW w:w="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pages of this Registration Statement).</w:t>
            </w:r>
          </w:p>
        </w:tc>
      </w:tr>
      <w:tr>
        <w:trPr>
          <w:trHeight w:val="412"/>
        </w:trPr>
        <w:tc>
          <w:tcPr>
            <w:tcW w:w="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Cartesian Therapeutics, Inc. 2016 Stock Incentive Plan, and forms of award agreements thereunder.</w:t>
            </w:r>
          </w:p>
        </w:tc>
      </w:tr>
      <w:tr>
        <w:trPr>
          <w:trHeight w:val="412"/>
        </w:trPr>
        <w:tc>
          <w:tcPr>
            <w:tcW w:w="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Cartesian Therapeutics, Inc. 2018 Employment Inducement Incentive Award Plan, and forms of award</w:t>
            </w:r>
          </w:p>
        </w:tc>
      </w:tr>
      <w:tr>
        <w:trPr>
          <w:trHeight w:val="236"/>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 thereunder.</w:t>
            </w:r>
          </w:p>
        </w:tc>
      </w:tr>
      <w:tr>
        <w:trPr>
          <w:trHeight w:val="392"/>
        </w:trPr>
        <w:tc>
          <w:tcPr>
            <w:tcW w:w="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4"/>
              </w:rPr>
              <w:t>107*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Filing fee table.</w:t>
            </w:r>
          </w:p>
        </w:tc>
      </w:tr>
      <w:tr>
        <w:trPr>
          <w:trHeight w:val="45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Filed herewith</w:t>
            </w:r>
          </w:p>
        </w:tc>
      </w:tr>
      <w:tr>
        <w:trPr>
          <w:trHeight w:val="399"/>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580" w:hanging="343"/>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80" w:hanging="540"/>
        <w:spacing w:after="0"/>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700" w:hanging="558"/>
        <w:spacing w:after="0" w:line="254" w:lineRule="auto"/>
        <w:tabs>
          <w:tab w:leader="none" w:pos="170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spacing w:after="0" w:line="191" w:lineRule="exact"/>
        <w:rPr>
          <w:rFonts w:ascii="Times New Roman" w:cs="Times New Roman" w:eastAsia="Times New Roman" w:hAnsi="Times New Roman"/>
          <w:sz w:val="18"/>
          <w:szCs w:val="18"/>
          <w:color w:val="auto"/>
        </w:rPr>
      </w:pPr>
    </w:p>
    <w:p>
      <w:pPr>
        <w:ind w:left="1700" w:right="60" w:hanging="585"/>
        <w:spacing w:after="0" w:line="282" w:lineRule="auto"/>
        <w:tabs>
          <w:tab w:leader="none" w:pos="17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ind w:left="100" w:right="120"/>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above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left="1380" w:right="100" w:hanging="540"/>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1143" w:right="180" w:hanging="540"/>
        <w:spacing w:after="0" w:line="282" w:lineRule="auto"/>
        <w:tabs>
          <w:tab w:leader="none" w:pos="11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43" w:hanging="343"/>
        <w:spacing w:after="0" w:line="258" w:lineRule="auto"/>
        <w:tabs>
          <w:tab w:leader="none" w:pos="3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343" w:right="160" w:hanging="343"/>
        <w:spacing w:after="0" w:line="254" w:lineRule="auto"/>
        <w:tabs>
          <w:tab w:leader="none" w:pos="3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244475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3"/>
          </w:cols>
          <w:pgMar w:left="557" w:top="33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the requirements for filing on Form S-8 and has duly caused this registration statement to be signed on its behalf by the undersigned, thereunto duly authorized in the City of Gaithersburg, State of Maryland, as of January 12, 2024.</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1342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16"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ind w:firstLine="837"/>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94" w:lineRule="exact"/>
        <w:rPr>
          <w:sz w:val="20"/>
          <w:szCs w:val="20"/>
          <w:color w:val="auto"/>
        </w:rPr>
      </w:pPr>
    </w:p>
    <w:p>
      <w:pPr>
        <w:jc w:val="both"/>
        <w:ind w:firstLine="83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3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24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CARSTEN BRUNN, PH.D.</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Carsten Brunn, Ph.D.</w:t>
            </w: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BLAINE DAVIS</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Blaine Davis</w:t>
            </w: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CARRIE S. COX</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Carrie S. Cox</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C. BARABE</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Timothy C. Barabe</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NISHAN DE SILVA, M.D.</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Nishan de Silva, M.D.</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MURAT KALAYOGLU, M.D., PH.D.</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Murat Kalayoglu, M.D. Ph.D.</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AYMERIC SALLIN</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Aymeric Sallin</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4"/>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SINGER, M.D., PH.D.</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Michael Singer, M.D., Ph.D.</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SPRINGER, PH.D.</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Timothy Springer, Ph.D.</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ZENNER</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Patrick Zenner</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15"/>
        </w:trPr>
        <w:tc>
          <w:tcPr>
            <w:tcW w:w="4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31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The New York Times Bulding</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New York, NY 10018-1405</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 +1 212 841 1000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12,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704 Quince Orchard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Gaithersburg, Maryland 20878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have acted as counsel to Cartesian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by the Company under the Securities Act of 1933, as amended (the “Act”), of 43,092,769 shares of the Company’s common stock,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under the Company’s 2016 Stock Incentive Plan (the “</w:t>
      </w:r>
      <w:r>
        <w:rPr>
          <w:rFonts w:ascii="Times New Roman" w:cs="Times New Roman" w:eastAsia="Times New Roman" w:hAnsi="Times New Roman"/>
          <w:sz w:val="18"/>
          <w:szCs w:val="18"/>
          <w:b w:val="1"/>
          <w:bCs w:val="1"/>
          <w:i w:val="1"/>
          <w:iCs w:val="1"/>
          <w:color w:val="auto"/>
        </w:rPr>
        <w:t>2016 Stock Incentive Plan</w:t>
      </w:r>
      <w:r>
        <w:rPr>
          <w:rFonts w:ascii="Times New Roman" w:cs="Times New Roman" w:eastAsia="Times New Roman" w:hAnsi="Times New Roman"/>
          <w:sz w:val="18"/>
          <w:szCs w:val="18"/>
          <w:color w:val="auto"/>
        </w:rPr>
        <w:t>”) and under the Company’s Amended and Restated 2018 Employment Inducement Incentive Award Plan (the “</w:t>
      </w:r>
      <w:r>
        <w:rPr>
          <w:rFonts w:ascii="Times New Roman" w:cs="Times New Roman" w:eastAsia="Times New Roman" w:hAnsi="Times New Roman"/>
          <w:sz w:val="18"/>
          <w:szCs w:val="18"/>
          <w:b w:val="1"/>
          <w:bCs w:val="1"/>
          <w:i w:val="1"/>
          <w:iCs w:val="1"/>
          <w:color w:val="auto"/>
        </w:rPr>
        <w:t>Inducement Plan</w:t>
      </w:r>
      <w:r>
        <w:rPr>
          <w:rFonts w:ascii="Times New Roman" w:cs="Times New Roman" w:eastAsia="Times New Roman" w:hAnsi="Times New Roman"/>
          <w:sz w:val="18"/>
          <w:szCs w:val="18"/>
          <w:color w:val="auto"/>
        </w:rPr>
        <w:t>”), pursuant to the registration statement on Form S-8 being filed with the Securities and Exchange Commission on the date hereof (such registration statement is referred to herein as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authorized and, when issued and paid for in accordance with the terms of the Company’s Restated Certificate of Incorporation, as amended, the 2016 Stock Incentive Plan and the Inducement Plan and any individual agreements relating to such Shares, will be validly issued, fully paid and nonassessable.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We do not express any opinion herein on any laws other than the General Corporation Law of the State of Delaware and reported judicial decisions interpreting such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In giving such consent, we do not thereby admit that we are in the category of persons whose consent is required under Section 7 of the Act.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2016 Stock Incentive Plan and the Amended and Restated 2018 Employment Inducement Incentive Award Plan of Cartesian Therapeutics, Inc. of our report dated March 2, 2023, with respect to the consolidated financial statements of Selecta Biosciences, Inc. included in its Annual Report (Form 10-K) for the year ended December 31, 2022, filed with the Securities and Exchange Commission.</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0E0E0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E0E0E"/>
        </w:rPr>
        <w:t>CARTESIAN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E0E0E"/>
        </w:rPr>
        <w:t>2016 STOCK INCENTIVE PLAN</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225" w:lineRule="exact"/>
        <w:rPr>
          <w:sz w:val="20"/>
          <w:szCs w:val="20"/>
          <w:color w:val="auto"/>
        </w:rPr>
      </w:pPr>
    </w:p>
    <w:p>
      <w:pPr>
        <w:jc w:val="both"/>
        <w:ind w:firstLine="656"/>
        <w:spacing w:after="0" w:line="255" w:lineRule="auto"/>
        <w:rPr>
          <w:sz w:val="20"/>
          <w:szCs w:val="20"/>
          <w:color w:val="auto"/>
        </w:rPr>
      </w:pPr>
      <w:r>
        <w:rPr>
          <w:rFonts w:ascii="Times New Roman" w:cs="Times New Roman" w:eastAsia="Times New Roman" w:hAnsi="Times New Roman"/>
          <w:sz w:val="18"/>
          <w:szCs w:val="18"/>
          <w:color w:val="0E0E0E"/>
        </w:rPr>
        <w:t>The purpose of this 2016 Stock Incentive Plan (the "Plan") of Cartesian Therapeutics, Inc., a Delaware corporation (the "Company"), is to advance the interests of the Company's stockholders by enhancing the Company's ability to attract, retain and motivate persons who make (or are expected to make) important contributions to the Company by providing such persons with equity ownership opportunities and performance-based incentives and thereby better aligning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8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Eligibility</w:t>
      </w:r>
    </w:p>
    <w:p>
      <w:pPr>
        <w:spacing w:after="0" w:line="225" w:lineRule="exact"/>
        <w:rPr>
          <w:sz w:val="20"/>
          <w:szCs w:val="20"/>
          <w:color w:val="auto"/>
        </w:rPr>
      </w:pPr>
    </w:p>
    <w:p>
      <w:pPr>
        <w:ind w:firstLine="657"/>
        <w:spacing w:after="0" w:line="282" w:lineRule="auto"/>
        <w:rPr>
          <w:sz w:val="20"/>
          <w:szCs w:val="20"/>
          <w:color w:val="auto"/>
        </w:rPr>
      </w:pPr>
      <w:r>
        <w:rPr>
          <w:rFonts w:ascii="Times New Roman" w:cs="Times New Roman" w:eastAsia="Times New Roman" w:hAnsi="Times New Roman"/>
          <w:sz w:val="18"/>
          <w:szCs w:val="18"/>
          <w:color w:val="0E0E0E"/>
        </w:rPr>
        <w:t>All of the Company's employees, officers, directors, consultants and advisors are eligible to be granted options, restricted stock awards, or other stock-based awards (each, an "Award") under the Plan. Each person who has been granted an Award under the Plan shall be deemed a "Participant".</w:t>
      </w:r>
    </w:p>
    <w:p>
      <w:pPr>
        <w:spacing w:after="0" w:line="16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Administration and Delegation</w:t>
      </w:r>
    </w:p>
    <w:p>
      <w:pPr>
        <w:spacing w:after="0" w:line="225" w:lineRule="exact"/>
        <w:rPr>
          <w:rFonts w:ascii="Times New Roman" w:cs="Times New Roman" w:eastAsia="Times New Roman" w:hAnsi="Times New Roman"/>
          <w:sz w:val="18"/>
          <w:szCs w:val="18"/>
          <w:color w:val="auto"/>
        </w:rPr>
      </w:pPr>
    </w:p>
    <w:p>
      <w:pPr>
        <w:jc w:val="both"/>
        <w:ind w:firstLine="660"/>
        <w:spacing w:after="0" w:line="256" w:lineRule="auto"/>
        <w:tabs>
          <w:tab w:leader="none" w:pos="1296" w:val="left"/>
        </w:tabs>
        <w:numPr>
          <w:ilvl w:val="1"/>
          <w:numId w:val="1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Administration by Board of Directors</w:t>
      </w:r>
      <w:r>
        <w:rPr>
          <w:rFonts w:ascii="Times New Roman" w:cs="Times New Roman" w:eastAsia="Times New Roman" w:hAnsi="Times New Roman"/>
          <w:sz w:val="18"/>
          <w:szCs w:val="18"/>
          <w:color w:val="0E0E0E"/>
        </w:rPr>
        <w:t>. The Plan will be administered by the Board. The Board shall have authority to grant Awards and to adopt, amend and repeal such administrative rules, guidelines and practices relating to the Plan as it shall deem advisable.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87" w:lineRule="exact"/>
        <w:rPr>
          <w:rFonts w:ascii="Times New Roman" w:cs="Times New Roman" w:eastAsia="Times New Roman" w:hAnsi="Times New Roman"/>
          <w:sz w:val="18"/>
          <w:szCs w:val="18"/>
          <w:color w:val="0E0E0E"/>
        </w:rPr>
      </w:pPr>
    </w:p>
    <w:p>
      <w:pPr>
        <w:jc w:val="both"/>
        <w:ind w:firstLine="660"/>
        <w:spacing w:after="0" w:line="261" w:lineRule="auto"/>
        <w:tabs>
          <w:tab w:leader="none" w:pos="1296" w:val="left"/>
        </w:tabs>
        <w:numPr>
          <w:ilvl w:val="1"/>
          <w:numId w:val="1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Appointment of Committees</w:t>
      </w:r>
      <w:r>
        <w:rPr>
          <w:rFonts w:ascii="Times New Roman" w:cs="Times New Roman" w:eastAsia="Times New Roman" w:hAnsi="Times New Roman"/>
          <w:sz w:val="18"/>
          <w:szCs w:val="18"/>
          <w:color w:val="0E0E0E"/>
        </w:rPr>
        <w:t>. To the extent permitted by applicable law, the Board may delegate any or all of its powers under the Plan to one or more committees or subcommittees of the Board (a "Committee"). All references in the Plan to the "Board" shall mean the Board or a Committee of the Board or the executive officers referred to in Section 3(c) to the extent that the Board's powers or authority under the Plan have been delegated to such Committee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jc w:val="both"/>
        <w:ind w:firstLine="660"/>
        <w:spacing w:after="0" w:line="255" w:lineRule="auto"/>
        <w:tabs>
          <w:tab w:leader="none" w:pos="1296" w:val="left"/>
        </w:tabs>
        <w:numPr>
          <w:ilvl w:val="1"/>
          <w:numId w:val="12"/>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Delegation to Executive Officers</w:t>
      </w:r>
      <w:r>
        <w:rPr>
          <w:rFonts w:ascii="Times New Roman" w:cs="Times New Roman" w:eastAsia="Times New Roman" w:hAnsi="Times New Roman"/>
          <w:sz w:val="18"/>
          <w:szCs w:val="18"/>
          <w:color w:val="0E0E0E"/>
        </w:rPr>
        <w:t>. To the extent permitted by applicable law, the Board may delegate to one or more executive officers of the Company the power to grant Awards to employees or officers of the Company or any of its present or future subsidiary corporations and to exercise such other powers under the Plan as the Board may determine, provided that the Board shall fix the terms of the Awards to be granted by such executive officers (including the exercise price of such Awards, which may include a formula by which the exercise price will be determined) and the maximum number of shares subject to Awards that the executive officers may grant; provided further, however, that no executive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88" w:lineRule="exact"/>
        <w:rPr>
          <w:rFonts w:ascii="Times New Roman" w:cs="Times New Roman" w:eastAsia="Times New Roman" w:hAnsi="Times New Roman"/>
          <w:sz w:val="18"/>
          <w:szCs w:val="18"/>
          <w:color w:val="0E0E0E"/>
        </w:rPr>
      </w:pPr>
    </w:p>
    <w:p>
      <w:pPr>
        <w:jc w:val="both"/>
        <w:ind w:firstLine="8"/>
        <w:spacing w:after="0" w:line="255" w:lineRule="auto"/>
        <w:tabs>
          <w:tab w:leader="none" w:pos="648" w:val="left"/>
        </w:tabs>
        <w:numPr>
          <w:ilvl w:val="0"/>
          <w:numId w:val="13"/>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Stock Available for Awards</w:t>
      </w:r>
      <w:r>
        <w:rPr>
          <w:rFonts w:ascii="Times New Roman" w:cs="Times New Roman" w:eastAsia="Times New Roman" w:hAnsi="Times New Roman"/>
          <w:sz w:val="18"/>
          <w:szCs w:val="18"/>
          <w:color w:val="0E0E0E"/>
        </w:rPr>
        <w:t xml:space="preserve">. Subject to adjustment under Section 8, Awards may be made under the Plan for up to </w:t>
      </w:r>
      <w:r>
        <w:rPr>
          <w:rFonts w:ascii="Times New Roman" w:cs="Times New Roman" w:eastAsia="Times New Roman" w:hAnsi="Times New Roman"/>
          <w:sz w:val="18"/>
          <w:szCs w:val="18"/>
          <w:u w:val="single" w:color="auto"/>
          <w:color w:val="0E0E0E"/>
        </w:rPr>
        <w:t>30 shares</w:t>
      </w:r>
      <w:r>
        <w:rPr>
          <w:rFonts w:ascii="Times New Roman" w:cs="Times New Roman" w:eastAsia="Times New Roman" w:hAnsi="Times New Roman"/>
          <w:sz w:val="18"/>
          <w:szCs w:val="18"/>
          <w:color w:val="0E0E0E"/>
        </w:rPr>
        <w:t xml:space="preserve"> of common stock, $0.01 par value per share, of the Company (the "Common Stock"). 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subject, however, in the case of Incentive Stock Options (as hereinafter defined), to any limitations under the Code. Shares issued under the Plan may consist in whole or in part of authorized but unissued shares or treasury shares.</w:t>
      </w:r>
    </w:p>
    <w:p>
      <w:pPr>
        <w:spacing w:after="0" w:line="188" w:lineRule="exact"/>
        <w:rPr>
          <w:rFonts w:ascii="Times New Roman" w:cs="Times New Roman" w:eastAsia="Times New Roman" w:hAnsi="Times New Roman"/>
          <w:sz w:val="18"/>
          <w:szCs w:val="18"/>
          <w:color w:val="0E0E0E"/>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Stock Options</w:t>
      </w:r>
    </w:p>
    <w:p>
      <w:pPr>
        <w:spacing w:after="0" w:line="225" w:lineRule="exact"/>
        <w:rPr>
          <w:rFonts w:ascii="Times New Roman" w:cs="Times New Roman" w:eastAsia="Times New Roman" w:hAnsi="Times New Roman"/>
          <w:sz w:val="18"/>
          <w:szCs w:val="18"/>
          <w:color w:val="auto"/>
        </w:rPr>
      </w:pPr>
    </w:p>
    <w:p>
      <w:pPr>
        <w:jc w:val="both"/>
        <w:ind w:firstLine="666"/>
        <w:spacing w:after="0" w:line="261" w:lineRule="auto"/>
        <w:tabs>
          <w:tab w:leader="none" w:pos="1296" w:val="left"/>
        </w:tabs>
        <w:numPr>
          <w:ilvl w:val="1"/>
          <w:numId w:val="13"/>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General.</w:t>
      </w:r>
      <w:r>
        <w:rPr>
          <w:rFonts w:ascii="Times New Roman" w:cs="Times New Roman" w:eastAsia="Times New Roman" w:hAnsi="Times New Roman"/>
          <w:sz w:val="18"/>
          <w:szCs w:val="18"/>
          <w:color w:val="0E0E0E"/>
        </w:rPr>
        <w:t xml:space="preserve">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179" w:lineRule="exact"/>
        <w:rPr>
          <w:rFonts w:ascii="Times New Roman" w:cs="Times New Roman" w:eastAsia="Times New Roman" w:hAnsi="Times New Roman"/>
          <w:sz w:val="18"/>
          <w:szCs w:val="18"/>
          <w:color w:val="0E0E0E"/>
        </w:rPr>
      </w:pPr>
    </w:p>
    <w:p>
      <w:pPr>
        <w:jc w:val="both"/>
        <w:ind w:firstLine="660"/>
        <w:spacing w:after="0" w:line="258" w:lineRule="auto"/>
        <w:tabs>
          <w:tab w:leader="none" w:pos="1296" w:val="left"/>
        </w:tabs>
        <w:numPr>
          <w:ilvl w:val="1"/>
          <w:numId w:val="13"/>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Incentive Stock Options</w:t>
      </w:r>
      <w:r>
        <w:rPr>
          <w:rFonts w:ascii="Times New Roman" w:cs="Times New Roman" w:eastAsia="Times New Roman" w:hAnsi="Times New Roman"/>
          <w:sz w:val="18"/>
          <w:szCs w:val="18"/>
          <w:color w:val="0E0E0E"/>
        </w:rPr>
        <w:t>. An Option that the Board intends to be an "incentive stock option" as defined in Section 422 of the Code (an "Incentive Stock Option") shall only be granted to employees of the Company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w:t>
      </w:r>
    </w:p>
    <w:p>
      <w:pPr>
        <w:spacing w:after="0" w:line="183" w:lineRule="exact"/>
        <w:rPr>
          <w:rFonts w:ascii="Times New Roman" w:cs="Times New Roman" w:eastAsia="Times New Roman" w:hAnsi="Times New Roman"/>
          <w:sz w:val="18"/>
          <w:szCs w:val="18"/>
          <w:color w:val="0E0E0E"/>
        </w:rPr>
      </w:pPr>
    </w:p>
    <w:p>
      <w:pPr>
        <w:ind w:left="1300" w:hanging="640"/>
        <w:spacing w:after="0"/>
        <w:tabs>
          <w:tab w:leader="none" w:pos="1300" w:val="left"/>
        </w:tabs>
        <w:numPr>
          <w:ilvl w:val="1"/>
          <w:numId w:val="13"/>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Exercise Price</w:t>
      </w:r>
      <w:r>
        <w:rPr>
          <w:rFonts w:ascii="Times New Roman" w:cs="Times New Roman" w:eastAsia="Times New Roman" w:hAnsi="Times New Roman"/>
          <w:sz w:val="18"/>
          <w:szCs w:val="18"/>
          <w:color w:val="0E0E0E"/>
        </w:rPr>
        <w:t>. The Board shall establish the exercise price at the time each Option is granted and specify it in the applicable option</w:t>
      </w:r>
    </w:p>
    <w:p>
      <w:pPr>
        <w:spacing w:after="0" w:line="27" w:lineRule="exact"/>
        <w:rPr>
          <w:rFonts w:ascii="Times New Roman" w:cs="Times New Roman" w:eastAsia="Times New Roman" w:hAnsi="Times New Roman"/>
          <w:sz w:val="18"/>
          <w:szCs w:val="18"/>
          <w:color w:val="0E0E0E"/>
        </w:rPr>
      </w:pPr>
    </w:p>
    <w:p>
      <w:pPr>
        <w:spacing w:after="0"/>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agreement.</w:t>
      </w:r>
    </w:p>
    <w:p>
      <w:pPr>
        <w:spacing w:after="0" w:line="206" w:lineRule="exact"/>
        <w:rPr>
          <w:rFonts w:ascii="Times New Roman" w:cs="Times New Roman" w:eastAsia="Times New Roman" w:hAnsi="Times New Roman"/>
          <w:sz w:val="18"/>
          <w:szCs w:val="18"/>
          <w:color w:val="0E0E0E"/>
        </w:rPr>
      </w:pPr>
    </w:p>
    <w:p>
      <w:pPr>
        <w:ind w:firstLine="654"/>
        <w:spacing w:after="0" w:line="282" w:lineRule="auto"/>
        <w:tabs>
          <w:tab w:leader="none" w:pos="1296" w:val="left"/>
        </w:tabs>
        <w:numPr>
          <w:ilvl w:val="1"/>
          <w:numId w:val="13"/>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Duration of Options</w:t>
      </w:r>
      <w:r>
        <w:rPr>
          <w:rFonts w:ascii="Times New Roman" w:cs="Times New Roman" w:eastAsia="Times New Roman" w:hAnsi="Times New Roman"/>
          <w:sz w:val="18"/>
          <w:szCs w:val="18"/>
          <w:color w:val="0E0E0E"/>
        </w:rPr>
        <w:t>. Each Option shall be exercisable at such times and subject to such terms and conditions as the Board may specify in the applicable option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60"/>
        <w:spacing w:after="0" w:line="266" w:lineRule="auto"/>
        <w:tabs>
          <w:tab w:leader="none" w:pos="1296" w:val="left"/>
        </w:tabs>
        <w:numPr>
          <w:ilvl w:val="1"/>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Exercise of Option.</w:t>
      </w:r>
      <w:r>
        <w:rPr>
          <w:rFonts w:ascii="Times New Roman" w:cs="Times New Roman" w:eastAsia="Times New Roman" w:hAnsi="Times New Roman"/>
          <w:sz w:val="18"/>
          <w:szCs w:val="18"/>
          <w:color w:val="0E0E0E"/>
        </w:rPr>
        <w:t xml:space="preserve">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w:t>
      </w:r>
    </w:p>
    <w:p>
      <w:pPr>
        <w:spacing w:after="0" w:line="175" w:lineRule="exact"/>
        <w:rPr>
          <w:rFonts w:ascii="Times New Roman" w:cs="Times New Roman" w:eastAsia="Times New Roman" w:hAnsi="Times New Roman"/>
          <w:sz w:val="18"/>
          <w:szCs w:val="18"/>
          <w:color w:val="0E0E0E"/>
        </w:rPr>
      </w:pPr>
    </w:p>
    <w:p>
      <w:pPr>
        <w:ind w:left="1300" w:hanging="640"/>
        <w:spacing w:after="0"/>
        <w:tabs>
          <w:tab w:leader="none" w:pos="1300" w:val="left"/>
        </w:tabs>
        <w:numPr>
          <w:ilvl w:val="1"/>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Payment Upon Exercise.</w:t>
      </w:r>
      <w:r>
        <w:rPr>
          <w:rFonts w:ascii="Times New Roman" w:cs="Times New Roman" w:eastAsia="Times New Roman" w:hAnsi="Times New Roman"/>
          <w:sz w:val="18"/>
          <w:szCs w:val="18"/>
          <w:color w:val="0E0E0E"/>
        </w:rPr>
        <w:t xml:space="preserve"> Common Stock purchased upon the exercise of an Option granted under the Plan shall be paid for as follows:</w:t>
      </w:r>
    </w:p>
    <w:p>
      <w:pPr>
        <w:spacing w:after="0" w:line="225" w:lineRule="exact"/>
        <w:rPr>
          <w:rFonts w:ascii="Times New Roman" w:cs="Times New Roman" w:eastAsia="Times New Roman" w:hAnsi="Times New Roman"/>
          <w:sz w:val="18"/>
          <w:szCs w:val="18"/>
          <w:color w:val="0E0E0E"/>
        </w:rPr>
      </w:pPr>
    </w:p>
    <w:p>
      <w:pPr>
        <w:ind w:left="1960" w:hanging="656"/>
        <w:spacing w:after="0"/>
        <w:tabs>
          <w:tab w:leader="none" w:pos="1960" w:val="left"/>
        </w:tabs>
        <w:numPr>
          <w:ilvl w:val="2"/>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0E0E0E"/>
        </w:rPr>
      </w:pPr>
    </w:p>
    <w:p>
      <w:pPr>
        <w:jc w:val="both"/>
        <w:ind w:right="20" w:firstLine="1304"/>
        <w:spacing w:after="0" w:line="261" w:lineRule="auto"/>
        <w:tabs>
          <w:tab w:leader="none" w:pos="1944" w:val="left"/>
        </w:tabs>
        <w:numPr>
          <w:ilvl w:val="2"/>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except as the Board may, in its sole discretion, otherwise provide in an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9" w:lineRule="exact"/>
        <w:rPr>
          <w:rFonts w:ascii="Times New Roman" w:cs="Times New Roman" w:eastAsia="Times New Roman" w:hAnsi="Times New Roman"/>
          <w:sz w:val="18"/>
          <w:szCs w:val="18"/>
          <w:color w:val="0E0E0E"/>
        </w:rPr>
      </w:pPr>
    </w:p>
    <w:p>
      <w:pPr>
        <w:jc w:val="both"/>
        <w:ind w:firstLine="1304"/>
        <w:spacing w:after="0" w:line="261" w:lineRule="auto"/>
        <w:tabs>
          <w:tab w:leader="none" w:pos="1944" w:val="left"/>
        </w:tabs>
        <w:numPr>
          <w:ilvl w:val="2"/>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when the Common Stock is registered under the Exchange Act, by delivery of shares of Common Stock owned by the Participant valued at their fair market value as determined by (or in a manner approved by) the Board in good faith ("Fair Market Value"), provided (i) such method of payment is then permitted under applicable law and (ii) such Common Stock, if acquired directly from the Company, was owned by the Participant at least six months prior to such delivery;</w:t>
      </w:r>
    </w:p>
    <w:p>
      <w:pPr>
        <w:spacing w:after="0" w:line="179" w:lineRule="exact"/>
        <w:rPr>
          <w:rFonts w:ascii="Times New Roman" w:cs="Times New Roman" w:eastAsia="Times New Roman" w:hAnsi="Times New Roman"/>
          <w:sz w:val="18"/>
          <w:szCs w:val="18"/>
          <w:color w:val="0E0E0E"/>
        </w:rPr>
      </w:pPr>
    </w:p>
    <w:p>
      <w:pPr>
        <w:ind w:firstLine="1304"/>
        <w:spacing w:after="0" w:line="282" w:lineRule="auto"/>
        <w:tabs>
          <w:tab w:leader="none" w:pos="1944" w:val="left"/>
        </w:tabs>
        <w:numPr>
          <w:ilvl w:val="2"/>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to the extent permitted by applicable law and by the Board, in its sole discretion by (i) delivery of a promissory note of the Participant to the Company on terms determined by the Board, or (ii) payment of such other lawful consideration as the Board may determine; or</w:t>
      </w:r>
    </w:p>
    <w:p>
      <w:pPr>
        <w:spacing w:after="0" w:line="161" w:lineRule="exact"/>
        <w:rPr>
          <w:rFonts w:ascii="Times New Roman" w:cs="Times New Roman" w:eastAsia="Times New Roman" w:hAnsi="Times New Roman"/>
          <w:sz w:val="18"/>
          <w:szCs w:val="18"/>
          <w:color w:val="0E0E0E"/>
        </w:rPr>
      </w:pPr>
    </w:p>
    <w:p>
      <w:pPr>
        <w:ind w:left="1960" w:hanging="611"/>
        <w:spacing w:after="0"/>
        <w:tabs>
          <w:tab w:leader="none" w:pos="1960" w:val="left"/>
        </w:tabs>
        <w:numPr>
          <w:ilvl w:val="3"/>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by any combination of the above permitted forms of payment.</w:t>
      </w:r>
    </w:p>
    <w:p>
      <w:pPr>
        <w:spacing w:after="0" w:line="225" w:lineRule="exact"/>
        <w:rPr>
          <w:rFonts w:ascii="Times New Roman" w:cs="Times New Roman" w:eastAsia="Times New Roman" w:hAnsi="Times New Roman"/>
          <w:sz w:val="18"/>
          <w:szCs w:val="18"/>
          <w:color w:val="0E0E0E"/>
        </w:rPr>
      </w:pPr>
    </w:p>
    <w:p>
      <w:pPr>
        <w:jc w:val="both"/>
        <w:ind w:firstLine="660"/>
        <w:spacing w:after="0" w:line="261" w:lineRule="auto"/>
        <w:tabs>
          <w:tab w:leader="none" w:pos="1296" w:val="left"/>
        </w:tabs>
        <w:numPr>
          <w:ilvl w:val="1"/>
          <w:numId w:val="1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Substitute Options</w:t>
      </w:r>
      <w:r>
        <w:rPr>
          <w:rFonts w:ascii="Times New Roman" w:cs="Times New Roman" w:eastAsia="Times New Roman" w:hAnsi="Times New Roman"/>
          <w:sz w:val="18"/>
          <w:szCs w:val="18"/>
          <w:color w:val="0E0E0E"/>
        </w:rPr>
        <w:t>. In connection with a merger or consolidation of an entity with the Company or the acquisition by the Company of property or stock of an entity, the Board may grant Options in substitution for any options or other stock or stock-based awards granted by such entity or an affiliate thereof. Substitute Options may be granted on such terms as the Board deems appropriate in the circumstances, notwithstanding any limitations on Options contained in the other sections of this Section 5 or in Section 2.</w:t>
      </w:r>
    </w:p>
    <w:p>
      <w:pPr>
        <w:spacing w:after="0" w:line="179" w:lineRule="exact"/>
        <w:rPr>
          <w:rFonts w:ascii="Times New Roman" w:cs="Times New Roman" w:eastAsia="Times New Roman" w:hAnsi="Times New Roman"/>
          <w:sz w:val="18"/>
          <w:szCs w:val="18"/>
          <w:color w:val="0E0E0E"/>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Restricted Stock</w:t>
      </w:r>
    </w:p>
    <w:p>
      <w:pPr>
        <w:spacing w:after="0" w:line="225" w:lineRule="exact"/>
        <w:rPr>
          <w:rFonts w:ascii="Times New Roman" w:cs="Times New Roman" w:eastAsia="Times New Roman" w:hAnsi="Times New Roman"/>
          <w:sz w:val="18"/>
          <w:szCs w:val="18"/>
          <w:color w:val="auto"/>
        </w:rPr>
      </w:pPr>
    </w:p>
    <w:p>
      <w:pPr>
        <w:jc w:val="both"/>
        <w:ind w:firstLine="660"/>
        <w:spacing w:after="0" w:line="261" w:lineRule="auto"/>
        <w:tabs>
          <w:tab w:leader="none" w:pos="1296" w:val="left"/>
        </w:tabs>
        <w:numPr>
          <w:ilvl w:val="1"/>
          <w:numId w:val="15"/>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Grants</w:t>
      </w:r>
      <w:r>
        <w:rPr>
          <w:rFonts w:ascii="Times New Roman" w:cs="Times New Roman" w:eastAsia="Times New Roman" w:hAnsi="Times New Roman"/>
          <w:sz w:val="18"/>
          <w:szCs w:val="18"/>
          <w:color w:val="0E0E0E"/>
        </w:rPr>
        <w:t>. The Board may grant Awards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(each, a "Restricted Stock Award").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firstLine="660"/>
        <w:spacing w:after="0" w:line="282" w:lineRule="auto"/>
        <w:tabs>
          <w:tab w:leader="none" w:pos="1296" w:val="left"/>
        </w:tabs>
        <w:numPr>
          <w:ilvl w:val="1"/>
          <w:numId w:val="16"/>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Terms and Conditions</w:t>
      </w:r>
      <w:r>
        <w:rPr>
          <w:rFonts w:ascii="Times New Roman" w:cs="Times New Roman" w:eastAsia="Times New Roman" w:hAnsi="Times New Roman"/>
          <w:sz w:val="18"/>
          <w:szCs w:val="18"/>
          <w:color w:val="0E0E0E"/>
        </w:rPr>
        <w:t>. The Board shall determine the terms and conditions of any such Restricted Stock Award, including the conditions for repurchase (or forfeiture) and the issue price, if any.</w:t>
      </w:r>
    </w:p>
    <w:p>
      <w:pPr>
        <w:spacing w:after="0" w:line="161" w:lineRule="exact"/>
        <w:rPr>
          <w:rFonts w:ascii="Times New Roman" w:cs="Times New Roman" w:eastAsia="Times New Roman" w:hAnsi="Times New Roman"/>
          <w:sz w:val="18"/>
          <w:szCs w:val="18"/>
          <w:color w:val="0E0E0E"/>
        </w:rPr>
      </w:pPr>
    </w:p>
    <w:p>
      <w:pPr>
        <w:jc w:val="both"/>
        <w:ind w:firstLine="660"/>
        <w:spacing w:after="0" w:line="256" w:lineRule="auto"/>
        <w:tabs>
          <w:tab w:leader="none" w:pos="1296" w:val="left"/>
        </w:tabs>
        <w:numPr>
          <w:ilvl w:val="1"/>
          <w:numId w:val="16"/>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Stock Certificates</w:t>
      </w:r>
      <w:r>
        <w:rPr>
          <w:rFonts w:ascii="Times New Roman" w:cs="Times New Roman" w:eastAsia="Times New Roman" w:hAnsi="Times New Roman"/>
          <w:sz w:val="18"/>
          <w:szCs w:val="18"/>
          <w:color w:val="0E0E0E"/>
        </w:rPr>
        <w:t>.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87" w:lineRule="exact"/>
        <w:rPr>
          <w:rFonts w:ascii="Times New Roman" w:cs="Times New Roman" w:eastAsia="Times New Roman" w:hAnsi="Times New Roman"/>
          <w:sz w:val="18"/>
          <w:szCs w:val="18"/>
          <w:color w:val="0E0E0E"/>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Other Stock-Based Awards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E0E0E"/>
        </w:rPr>
        <w:t>The Board shall have the right to grant other Awards based upon the Common Stock having such terms and conditions as the Board may</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0E0E0E"/>
        </w:rPr>
        <w:t>determine, including the grant of shares based upon certain conditions, the grant of securities convertible into Common Stock and the grant of stock appreciation rights.</w:t>
      </w:r>
    </w:p>
    <w:p>
      <w:pPr>
        <w:spacing w:after="0" w:line="18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Adjustments for Changes in Common Stock and Certain Other Events</w:t>
      </w:r>
    </w:p>
    <w:p>
      <w:pPr>
        <w:spacing w:after="0" w:line="225" w:lineRule="exact"/>
        <w:rPr>
          <w:rFonts w:ascii="Times New Roman" w:cs="Times New Roman" w:eastAsia="Times New Roman" w:hAnsi="Times New Roman"/>
          <w:sz w:val="18"/>
          <w:szCs w:val="18"/>
          <w:color w:val="auto"/>
        </w:rPr>
      </w:pPr>
    </w:p>
    <w:p>
      <w:pPr>
        <w:jc w:val="both"/>
        <w:ind w:firstLine="660"/>
        <w:spacing w:after="0" w:line="255" w:lineRule="auto"/>
        <w:tabs>
          <w:tab w:leader="none" w:pos="1296" w:val="left"/>
        </w:tabs>
        <w:numPr>
          <w:ilvl w:val="1"/>
          <w:numId w:val="18"/>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Changes in Capitalization</w:t>
      </w:r>
      <w:r>
        <w:rPr>
          <w:rFonts w:ascii="Times New Roman" w:cs="Times New Roman" w:eastAsia="Times New Roman" w:hAnsi="Times New Roman"/>
          <w:sz w:val="18"/>
          <w:szCs w:val="18"/>
          <w:color w:val="0E0E0E"/>
        </w:rPr>
        <w:t>. 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number and class of securities and exercise price per share subject to each outstanding Option, (iii) the repurchase price per share subject to each outstanding Restricted Stock Award, and (iv) the terms of each other outstanding Award shall be appropriately adjusted by the Company (or substituted Awards may be made, if applicable) to the extent the Board shall determine, in good faith, that such an adjustment (or substitution) is necessary and appropriate. If this Section 8(a) applies and Section 8(c) also applies to any event, Section 8(c) shall be applicable to such event, and this Section 8(a) shall not be applicable.</w:t>
      </w:r>
    </w:p>
    <w:p>
      <w:pPr>
        <w:spacing w:after="0" w:line="188" w:lineRule="exact"/>
        <w:rPr>
          <w:rFonts w:ascii="Times New Roman" w:cs="Times New Roman" w:eastAsia="Times New Roman" w:hAnsi="Times New Roman"/>
          <w:sz w:val="18"/>
          <w:szCs w:val="18"/>
          <w:color w:val="0E0E0E"/>
        </w:rPr>
      </w:pPr>
    </w:p>
    <w:p>
      <w:pPr>
        <w:jc w:val="both"/>
        <w:ind w:firstLine="660"/>
        <w:spacing w:after="0" w:line="258" w:lineRule="auto"/>
        <w:tabs>
          <w:tab w:leader="none" w:pos="1296" w:val="left"/>
        </w:tabs>
        <w:numPr>
          <w:ilvl w:val="1"/>
          <w:numId w:val="18"/>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Liquidation or Dissolution.</w:t>
      </w:r>
      <w:r>
        <w:rPr>
          <w:rFonts w:ascii="Times New Roman" w:cs="Times New Roman" w:eastAsia="Times New Roman" w:hAnsi="Times New Roman"/>
          <w:sz w:val="18"/>
          <w:szCs w:val="18"/>
          <w:color w:val="0E0E0E"/>
        </w:rPr>
        <w:t xml:space="preserve"> In the event of a proposed liquidation or dissolution of the Company, the Board shall upon written notice to the Participants provide that all then unexercised Options will (i) become exercisable in full as of a specified time at least 10 business days prior to the effective date of such liquidation or dissolution and (ii) terminate effective upon such liquidation or dissolution, except to the extent exercised before such effective date. The Board may specify the effect of a liquidation or dissolution on any Restricted Stock Award or other Award granted under the Plan at the time of the grant of such Award.</w:t>
      </w:r>
    </w:p>
    <w:p>
      <w:pPr>
        <w:spacing w:after="0" w:line="183" w:lineRule="exact"/>
        <w:rPr>
          <w:rFonts w:ascii="Times New Roman" w:cs="Times New Roman" w:eastAsia="Times New Roman" w:hAnsi="Times New Roman"/>
          <w:sz w:val="18"/>
          <w:szCs w:val="18"/>
          <w:color w:val="0E0E0E"/>
        </w:rPr>
      </w:pPr>
    </w:p>
    <w:p>
      <w:pPr>
        <w:ind w:left="1300" w:hanging="640"/>
        <w:spacing w:after="0"/>
        <w:tabs>
          <w:tab w:leader="none" w:pos="1300" w:val="left"/>
        </w:tabs>
        <w:numPr>
          <w:ilvl w:val="1"/>
          <w:numId w:val="18"/>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Reorganization Events</w:t>
      </w:r>
    </w:p>
    <w:p>
      <w:pPr>
        <w:spacing w:after="0" w:line="225" w:lineRule="exact"/>
        <w:rPr>
          <w:rFonts w:ascii="Times New Roman" w:cs="Times New Roman" w:eastAsia="Times New Roman" w:hAnsi="Times New Roman"/>
          <w:sz w:val="18"/>
          <w:szCs w:val="18"/>
          <w:color w:val="0E0E0E"/>
        </w:rPr>
      </w:pPr>
    </w:p>
    <w:p>
      <w:pPr>
        <w:jc w:val="both"/>
        <w:ind w:firstLine="1304"/>
        <w:spacing w:after="0" w:line="266" w:lineRule="auto"/>
        <w:tabs>
          <w:tab w:leader="none" w:pos="1944" w:val="left"/>
        </w:tabs>
        <w:numPr>
          <w:ilvl w:val="2"/>
          <w:numId w:val="18"/>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 xml:space="preserve">Definition. A "Reorganization Event" shall mean: (a) any merger or consolidation of the Company with or into another entity as a result of which all of the Common Stock of the Company is converted into or exchanged for the right to receive cash, securities or </w:t>
      </w:r>
      <w:r>
        <w:rPr>
          <w:rFonts w:ascii="Times New Roman" w:cs="Times New Roman" w:eastAsia="Times New Roman" w:hAnsi="Times New Roman"/>
          <w:sz w:val="18"/>
          <w:szCs w:val="18"/>
          <w:color w:val="000000"/>
        </w:rPr>
        <w:t>other property or (b)</w:t>
      </w:r>
      <w:r>
        <w:rPr>
          <w:rFonts w:ascii="Times New Roman" w:cs="Times New Roman" w:eastAsia="Times New Roman" w:hAnsi="Times New Roman"/>
          <w:sz w:val="18"/>
          <w:szCs w:val="18"/>
          <w:color w:val="0E0E0E"/>
        </w:rPr>
        <w:t xml:space="preserve"> </w:t>
      </w:r>
      <w:r>
        <w:rPr>
          <w:rFonts w:ascii="Times New Roman" w:cs="Times New Roman" w:eastAsia="Times New Roman" w:hAnsi="Times New Roman"/>
          <w:sz w:val="18"/>
          <w:szCs w:val="18"/>
          <w:color w:val="000000"/>
        </w:rPr>
        <w:t>any exchange of all of the Common Stock of the Company for cash, securities or other property pursuant to a share exchange transaction.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1309"/>
        <w:spacing w:after="0" w:line="253" w:lineRule="auto"/>
        <w:tabs>
          <w:tab w:leader="none" w:pos="1944" w:val="left"/>
        </w:tabs>
        <w:numPr>
          <w:ilvl w:val="0"/>
          <w:numId w:val="19"/>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Consequences of a Reorganization Event on Options. Upon the occurrence of a Reorganization Event, or the execution by the Company of any agreement with respect to a Reorganization Event, the Board shall provide that all outstanding Options shall be assumed, or equivalent options shall be substituted, by the acquiring or succeeding corporation (or an affiliate thereof).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spacing w:after="0" w:line="190" w:lineRule="exact"/>
        <w:rPr>
          <w:sz w:val="20"/>
          <w:szCs w:val="20"/>
          <w:color w:val="auto"/>
        </w:rPr>
      </w:pPr>
    </w:p>
    <w:p>
      <w:pPr>
        <w:jc w:val="both"/>
        <w:ind w:firstLine="651"/>
        <w:spacing w:after="0" w:line="253" w:lineRule="auto"/>
        <w:rPr>
          <w:sz w:val="20"/>
          <w:szCs w:val="20"/>
          <w:color w:val="auto"/>
        </w:rPr>
      </w:pPr>
      <w:r>
        <w:rPr>
          <w:rFonts w:ascii="Times New Roman" w:cs="Times New Roman" w:eastAsia="Times New Roman" w:hAnsi="Times New Roman"/>
          <w:sz w:val="18"/>
          <w:szCs w:val="18"/>
          <w:color w:val="0F0F0F"/>
        </w:rPr>
        <w:t>Notwithstanding the foregoing, if the acquiring or succeeding corporation (or an affiliate thereof) does not agree to assume, or substitute for, such Options, then the Board shall determine if some or all of the then unexercised Options will become exercisable as of a specified time prior to the Reorganization Event and will terminate immediately prior to the consummation of such Reorganization Event, except to the extent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 To the extent all or any portion of an Option becomes exercisable solely as a result of the first sentence of this paragraph, upon exercise of such Option the Participant shall receive shares subject to a right of repurchase by the Company or its successor at the Option exercise price. Such repurchase right (1) shall lapse at the same rate as the Option would have become exercisable under its terms and (2) shall not apply to any shares subject to the Option that were exercisable under its terms without regard to the first sentence of this paragraph.</w:t>
      </w:r>
    </w:p>
    <w:p>
      <w:pPr>
        <w:spacing w:after="0" w:line="190"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0F0F0F"/>
        </w:rPr>
        <w:t>If any Option provides that it may be exercised for shares of Common Stock which remain subject to a repurchase right in favor of the Company, upon the occurrence of a Reorganization Event, any shares of restricted stock received upon exercise of such Option shall be treated in accordance with Section 8(c)(3) as if they were a Restricted Stock Award.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1308"/>
        <w:spacing w:after="0" w:line="261" w:lineRule="auto"/>
        <w:tabs>
          <w:tab w:leader="none" w:pos="1944" w:val="left"/>
        </w:tabs>
        <w:numPr>
          <w:ilvl w:val="2"/>
          <w:numId w:val="20"/>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Consequences of a Reorganization Event on Restricted Stock Awards. Upon the occurrence of a Reorganization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w:t>
      </w:r>
    </w:p>
    <w:p>
      <w:pPr>
        <w:spacing w:after="0" w:line="179" w:lineRule="exact"/>
        <w:rPr>
          <w:rFonts w:ascii="Times New Roman" w:cs="Times New Roman" w:eastAsia="Times New Roman" w:hAnsi="Times New Roman"/>
          <w:sz w:val="18"/>
          <w:szCs w:val="18"/>
          <w:color w:val="0E0E0E"/>
        </w:rPr>
      </w:pPr>
    </w:p>
    <w:p>
      <w:pPr>
        <w:ind w:right="20" w:firstLine="1308"/>
        <w:spacing w:after="0" w:line="282" w:lineRule="auto"/>
        <w:tabs>
          <w:tab w:leader="none" w:pos="1944" w:val="left"/>
        </w:tabs>
        <w:numPr>
          <w:ilvl w:val="2"/>
          <w:numId w:val="20"/>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Consequences of a Reorganization Event on Other Awards. The Board shall specify the effect of a Reorganization Event on any other Award granted under the Plan at the time of the grant of such Award.</w:t>
      </w:r>
    </w:p>
    <w:p>
      <w:pPr>
        <w:spacing w:after="0" w:line="161" w:lineRule="exact"/>
        <w:rPr>
          <w:rFonts w:ascii="Times New Roman" w:cs="Times New Roman" w:eastAsia="Times New Roman" w:hAnsi="Times New Roman"/>
          <w:sz w:val="18"/>
          <w:szCs w:val="18"/>
          <w:color w:val="0E0E0E"/>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General Provisions Applicable to Awards</w:t>
      </w:r>
    </w:p>
    <w:p>
      <w:pPr>
        <w:spacing w:after="0" w:line="225" w:lineRule="exact"/>
        <w:rPr>
          <w:rFonts w:ascii="Times New Roman" w:cs="Times New Roman" w:eastAsia="Times New Roman" w:hAnsi="Times New Roman"/>
          <w:sz w:val="18"/>
          <w:szCs w:val="18"/>
          <w:color w:val="auto"/>
        </w:rPr>
      </w:pPr>
    </w:p>
    <w:p>
      <w:pPr>
        <w:jc w:val="both"/>
        <w:ind w:firstLine="660"/>
        <w:spacing w:after="0" w:line="261" w:lineRule="auto"/>
        <w:tabs>
          <w:tab w:leader="none" w:pos="1296" w:val="left"/>
        </w:tabs>
        <w:numPr>
          <w:ilvl w:val="1"/>
          <w:numId w:val="2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Transferability of Awards</w:t>
      </w:r>
      <w:r>
        <w:rPr>
          <w:rFonts w:ascii="Times New Roman" w:cs="Times New Roman" w:eastAsia="Times New Roman" w:hAnsi="Times New Roman"/>
          <w:sz w:val="18"/>
          <w:szCs w:val="18"/>
          <w:color w:val="0E0E0E"/>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79" w:lineRule="exact"/>
        <w:rPr>
          <w:rFonts w:ascii="Times New Roman" w:cs="Times New Roman" w:eastAsia="Times New Roman" w:hAnsi="Times New Roman"/>
          <w:sz w:val="18"/>
          <w:szCs w:val="18"/>
          <w:color w:val="0E0E0E"/>
        </w:rPr>
      </w:pPr>
    </w:p>
    <w:p>
      <w:pPr>
        <w:ind w:firstLine="660"/>
        <w:spacing w:after="0" w:line="282" w:lineRule="auto"/>
        <w:tabs>
          <w:tab w:leader="none" w:pos="1296" w:val="left"/>
        </w:tabs>
        <w:numPr>
          <w:ilvl w:val="1"/>
          <w:numId w:val="2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Documentation</w:t>
      </w:r>
      <w:r>
        <w:rPr>
          <w:rFonts w:ascii="Times New Roman" w:cs="Times New Roman" w:eastAsia="Times New Roman" w:hAnsi="Times New Roman"/>
          <w:sz w:val="18"/>
          <w:szCs w:val="18"/>
          <w:color w:val="0E0E0E"/>
        </w:rPr>
        <w:t>. Each Award shall be evidenced in such form (written, electronic or otherwise) as the Board shall determine. Each Award may contain terms and conditions in addition to those set forth in the Plan.</w:t>
      </w:r>
    </w:p>
    <w:p>
      <w:pPr>
        <w:spacing w:after="0" w:line="161" w:lineRule="exact"/>
        <w:rPr>
          <w:rFonts w:ascii="Times New Roman" w:cs="Times New Roman" w:eastAsia="Times New Roman" w:hAnsi="Times New Roman"/>
          <w:sz w:val="18"/>
          <w:szCs w:val="18"/>
          <w:color w:val="0E0E0E"/>
        </w:rPr>
      </w:pPr>
    </w:p>
    <w:p>
      <w:pPr>
        <w:ind w:firstLine="659"/>
        <w:spacing w:after="0" w:line="282" w:lineRule="auto"/>
        <w:tabs>
          <w:tab w:leader="none" w:pos="1296" w:val="left"/>
        </w:tabs>
        <w:numPr>
          <w:ilvl w:val="1"/>
          <w:numId w:val="2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Board Discretion.</w:t>
      </w:r>
      <w:r>
        <w:rPr>
          <w:rFonts w:ascii="Times New Roman" w:cs="Times New Roman" w:eastAsia="Times New Roman" w:hAnsi="Times New Roman"/>
          <w:sz w:val="18"/>
          <w:szCs w:val="18"/>
          <w:color w:val="0E0E0E"/>
        </w:rPr>
        <w:t xml:space="preserve"> Except as otherwise provided by the Plan, each Award may be made alone or in addition or in relation to any other Award. The terms of each Award need not be identical, and the Board need not treat Participants uniformly.</w:t>
      </w:r>
    </w:p>
    <w:p>
      <w:pPr>
        <w:spacing w:after="0" w:line="161" w:lineRule="exact"/>
        <w:rPr>
          <w:rFonts w:ascii="Times New Roman" w:cs="Times New Roman" w:eastAsia="Times New Roman" w:hAnsi="Times New Roman"/>
          <w:sz w:val="18"/>
          <w:szCs w:val="18"/>
          <w:color w:val="0E0E0E"/>
        </w:rPr>
      </w:pPr>
    </w:p>
    <w:p>
      <w:pPr>
        <w:jc w:val="both"/>
        <w:ind w:firstLine="660"/>
        <w:spacing w:after="0" w:line="266" w:lineRule="auto"/>
        <w:tabs>
          <w:tab w:leader="none" w:pos="1296" w:val="left"/>
        </w:tabs>
        <w:numPr>
          <w:ilvl w:val="1"/>
          <w:numId w:val="2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Termination of Status</w:t>
      </w:r>
      <w:r>
        <w:rPr>
          <w:rFonts w:ascii="Times New Roman" w:cs="Times New Roman" w:eastAsia="Times New Roman" w:hAnsi="Times New Roman"/>
          <w:sz w:val="18"/>
          <w:szCs w:val="18"/>
          <w:color w:val="0E0E0E"/>
        </w:rPr>
        <w:t>. The Board shall determine the effect on an Award of the disability, death, retirement, authorized leave of absence or other change in the employment or other status of a Participant and the extent to which, and the period during which, the Participant, the Participant's legal representative, conservator, guardian or Designated Beneficiary may exercise rights under the Award.</w:t>
      </w:r>
    </w:p>
    <w:p>
      <w:pPr>
        <w:spacing w:after="0" w:line="175" w:lineRule="exact"/>
        <w:rPr>
          <w:rFonts w:ascii="Times New Roman" w:cs="Times New Roman" w:eastAsia="Times New Roman" w:hAnsi="Times New Roman"/>
          <w:sz w:val="18"/>
          <w:szCs w:val="18"/>
          <w:color w:val="0E0E0E"/>
        </w:rPr>
      </w:pPr>
    </w:p>
    <w:p>
      <w:pPr>
        <w:jc w:val="both"/>
        <w:ind w:firstLine="660"/>
        <w:spacing w:after="0" w:line="254" w:lineRule="auto"/>
        <w:tabs>
          <w:tab w:leader="none" w:pos="1296" w:val="left"/>
        </w:tabs>
        <w:numPr>
          <w:ilvl w:val="1"/>
          <w:numId w:val="2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Withholding</w:t>
      </w:r>
      <w:r>
        <w:rPr>
          <w:rFonts w:ascii="Times New Roman" w:cs="Times New Roman" w:eastAsia="Times New Roman" w:hAnsi="Times New Roman"/>
          <w:sz w:val="18"/>
          <w:szCs w:val="18"/>
          <w:color w:val="0E0E0E"/>
        </w:rPr>
        <w:t>. Each Participant shall pay to the Company, or make provision satisfactory to the Board for payment of, any taxes required by law to be withheld in connection with Awards to such Participant no later than the date of the event creating the tax liability. Except as the Board may otherwise provide in an Award, when the Common Stock is registered under the Exchange Act, Participants may satisfy such tax obligations in whole or in part by delivery of shares of Common Stock, including shares retained from the Award creating the tax obligation, valued at their Fair Market Value; provided, however,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The Company may, to the extent permitted by law, deduct any such tax obligations from any payment of any kind otherwise due to a Participant.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660"/>
        <w:spacing w:after="0" w:line="261" w:lineRule="auto"/>
        <w:tabs>
          <w:tab w:leader="none" w:pos="1296" w:val="left"/>
        </w:tabs>
        <w:numPr>
          <w:ilvl w:val="1"/>
          <w:numId w:val="22"/>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Amendment of Award.</w:t>
      </w:r>
      <w:r>
        <w:rPr>
          <w:rFonts w:ascii="Times New Roman" w:cs="Times New Roman" w:eastAsia="Times New Roman" w:hAnsi="Times New Roman"/>
          <w:sz w:val="18"/>
          <w:szCs w:val="18"/>
          <w:color w:val="0E0E0E"/>
        </w:rPr>
        <w:t xml:space="preserve">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such action shall be required unless the Board determines that the action, taking into account any related action, would not materially and adversely affect the Participant.</w:t>
      </w:r>
    </w:p>
    <w:p>
      <w:pPr>
        <w:spacing w:after="0" w:line="179" w:lineRule="exact"/>
        <w:rPr>
          <w:rFonts w:ascii="Times New Roman" w:cs="Times New Roman" w:eastAsia="Times New Roman" w:hAnsi="Times New Roman"/>
          <w:sz w:val="18"/>
          <w:szCs w:val="18"/>
          <w:color w:val="0E0E0E"/>
        </w:rPr>
      </w:pPr>
    </w:p>
    <w:p>
      <w:pPr>
        <w:jc w:val="both"/>
        <w:ind w:firstLine="660"/>
        <w:spacing w:after="0" w:line="256" w:lineRule="auto"/>
        <w:tabs>
          <w:tab w:leader="none" w:pos="1296" w:val="left"/>
        </w:tabs>
        <w:numPr>
          <w:ilvl w:val="1"/>
          <w:numId w:val="22"/>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Conditions on Delivery of Stock.</w:t>
      </w:r>
      <w:r>
        <w:rPr>
          <w:rFonts w:ascii="Times New Roman" w:cs="Times New Roman" w:eastAsia="Times New Roman" w:hAnsi="Times New Roman"/>
          <w:sz w:val="18"/>
          <w:szCs w:val="18"/>
          <w:color w:val="0E0E0E"/>
        </w:rPr>
        <w:t xml:space="preserve">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0E0E0E"/>
        </w:rPr>
      </w:pPr>
    </w:p>
    <w:p>
      <w:pPr>
        <w:ind w:firstLine="660"/>
        <w:spacing w:after="0" w:line="282" w:lineRule="auto"/>
        <w:tabs>
          <w:tab w:leader="none" w:pos="1296" w:val="left"/>
        </w:tabs>
        <w:numPr>
          <w:ilvl w:val="1"/>
          <w:numId w:val="22"/>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Acceleration.</w:t>
      </w:r>
      <w:r>
        <w:rPr>
          <w:rFonts w:ascii="Times New Roman" w:cs="Times New Roman" w:eastAsia="Times New Roman" w:hAnsi="Times New Roman"/>
          <w:sz w:val="18"/>
          <w:szCs w:val="18"/>
          <w:color w:val="0E0E0E"/>
        </w:rPr>
        <w:t xml:space="preserve"> The Board may at any time provide that any Award shall become immediately exercisable in full or in part, free of some or all restrictions or conditions, or otherwise realizable in full or in part, as the case may be.</w:t>
      </w:r>
    </w:p>
    <w:p>
      <w:pPr>
        <w:spacing w:after="0" w:line="161" w:lineRule="exact"/>
        <w:rPr>
          <w:rFonts w:ascii="Times New Roman" w:cs="Times New Roman" w:eastAsia="Times New Roman" w:hAnsi="Times New Roman"/>
          <w:sz w:val="18"/>
          <w:szCs w:val="18"/>
          <w:color w:val="0E0E0E"/>
        </w:rPr>
      </w:pPr>
    </w:p>
    <w:p>
      <w:pPr>
        <w:jc w:val="both"/>
        <w:ind w:firstLine="660"/>
        <w:spacing w:after="0" w:line="261" w:lineRule="auto"/>
        <w:tabs>
          <w:tab w:leader="none" w:pos="1296" w:val="left"/>
        </w:tabs>
        <w:numPr>
          <w:ilvl w:val="1"/>
          <w:numId w:val="22"/>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Deferred Delivery of Shares Issuable Pursuant to an Award.</w:t>
      </w:r>
      <w:r>
        <w:rPr>
          <w:rFonts w:ascii="Times New Roman" w:cs="Times New Roman" w:eastAsia="Times New Roman" w:hAnsi="Times New Roman"/>
          <w:sz w:val="18"/>
          <w:szCs w:val="18"/>
          <w:color w:val="0E0E0E"/>
        </w:rPr>
        <w:t xml:space="preserve"> The Board may, at the time any Award is granted, provide that, at the time Common Stock would otherwise be delivered pursuant to the Award, the Participant shall instead receive an instrument evidencing the right to future delivery of Common Stock at such time or times, and on such conditions, as the Board shall specify. The Board may at any time accelerate the time at which delivery of all or any part of the Common Stock shall take place.</w:t>
      </w:r>
    </w:p>
    <w:p>
      <w:pPr>
        <w:spacing w:after="0" w:line="179" w:lineRule="exact"/>
        <w:rPr>
          <w:rFonts w:ascii="Times New Roman" w:cs="Times New Roman" w:eastAsia="Times New Roman" w:hAnsi="Times New Roman"/>
          <w:sz w:val="18"/>
          <w:szCs w:val="18"/>
          <w:color w:val="0E0E0E"/>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E0E0E"/>
        </w:rPr>
        <w:t>Miscellaneous</w:t>
      </w:r>
    </w:p>
    <w:p>
      <w:pPr>
        <w:spacing w:after="0" w:line="225" w:lineRule="exact"/>
        <w:rPr>
          <w:rFonts w:ascii="Times New Roman" w:cs="Times New Roman" w:eastAsia="Times New Roman" w:hAnsi="Times New Roman"/>
          <w:sz w:val="18"/>
          <w:szCs w:val="18"/>
          <w:color w:val="auto"/>
        </w:rPr>
      </w:pPr>
    </w:p>
    <w:p>
      <w:pPr>
        <w:jc w:val="both"/>
        <w:ind w:firstLine="660"/>
        <w:spacing w:after="0" w:line="261" w:lineRule="auto"/>
        <w:tabs>
          <w:tab w:leader="none" w:pos="1296" w:val="left"/>
        </w:tabs>
        <w:numPr>
          <w:ilvl w:val="1"/>
          <w:numId w:val="23"/>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No Right To Employment or Other Status</w:t>
      </w:r>
      <w:r>
        <w:rPr>
          <w:rFonts w:ascii="Times New Roman" w:cs="Times New Roman" w:eastAsia="Times New Roman" w:hAnsi="Times New Roman"/>
          <w:sz w:val="18"/>
          <w:szCs w:val="18"/>
          <w:color w:val="0E0E0E"/>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9" w:lineRule="exact"/>
        <w:rPr>
          <w:rFonts w:ascii="Times New Roman" w:cs="Times New Roman" w:eastAsia="Times New Roman" w:hAnsi="Times New Roman"/>
          <w:sz w:val="18"/>
          <w:szCs w:val="18"/>
          <w:color w:val="0E0E0E"/>
        </w:rPr>
      </w:pPr>
    </w:p>
    <w:p>
      <w:pPr>
        <w:jc w:val="both"/>
        <w:ind w:firstLine="656"/>
        <w:spacing w:after="0" w:line="255" w:lineRule="auto"/>
        <w:tabs>
          <w:tab w:leader="none" w:pos="1296" w:val="left"/>
        </w:tabs>
        <w:numPr>
          <w:ilvl w:val="1"/>
          <w:numId w:val="23"/>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No Rights As Stockholder.</w:t>
      </w:r>
      <w:r>
        <w:rPr>
          <w:rFonts w:ascii="Times New Roman" w:cs="Times New Roman" w:eastAsia="Times New Roman" w:hAnsi="Times New Roman"/>
          <w:sz w:val="18"/>
          <w:szCs w:val="18"/>
          <w:color w:val="0E0E0E"/>
        </w:rPr>
        <w:t xml:space="preserve">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w:t>
      </w:r>
      <w:r>
        <w:rPr>
          <w:rFonts w:ascii="Times New Roman" w:cs="Times New Roman" w:eastAsia="Times New Roman" w:hAnsi="Times New Roman"/>
          <w:sz w:val="18"/>
          <w:szCs w:val="18"/>
          <w:color w:val="000000"/>
        </w:rPr>
        <w:t>upon such Option exercise, notwithstanding the fact that</w:t>
      </w:r>
      <w:r>
        <w:rPr>
          <w:rFonts w:ascii="Times New Roman" w:cs="Times New Roman" w:eastAsia="Times New Roman" w:hAnsi="Times New Roman"/>
          <w:sz w:val="18"/>
          <w:szCs w:val="18"/>
          <w:color w:val="0E0E0E"/>
        </w:rPr>
        <w:t xml:space="preserve"> </w:t>
      </w:r>
      <w:r>
        <w:rPr>
          <w:rFonts w:ascii="Times New Roman" w:cs="Times New Roman" w:eastAsia="Times New Roman" w:hAnsi="Times New Roman"/>
          <w:sz w:val="18"/>
          <w:szCs w:val="18"/>
          <w:color w:val="000000"/>
        </w:rPr>
        <w:t>such shares were not outstanding as of the close of business on the record date for such stock dividend.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660"/>
        <w:spacing w:after="0" w:line="266" w:lineRule="auto"/>
        <w:tabs>
          <w:tab w:leader="none" w:pos="1296" w:val="left"/>
        </w:tabs>
        <w:numPr>
          <w:ilvl w:val="1"/>
          <w:numId w:val="2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Effective Date and Term of Plan.</w:t>
      </w:r>
      <w:r>
        <w:rPr>
          <w:rFonts w:ascii="Times New Roman" w:cs="Times New Roman" w:eastAsia="Times New Roman" w:hAnsi="Times New Roman"/>
          <w:sz w:val="18"/>
          <w:szCs w:val="18"/>
          <w:color w:val="0E0E0E"/>
        </w:rPr>
        <w:t xml:space="preserve"> The Plan shall become effective on the date on which It IS adopted by the Board. No Awards shall be granted under the Plan after the completion of ten years from the earlier of (i) the date on which the Plan was adopted by the Board or (ii) the date the Plan was approved by the Company's stockholders, but Awards previously granted may extend beyond that date.</w:t>
      </w:r>
    </w:p>
    <w:p>
      <w:pPr>
        <w:spacing w:after="0" w:line="175" w:lineRule="exact"/>
        <w:rPr>
          <w:rFonts w:ascii="Times New Roman" w:cs="Times New Roman" w:eastAsia="Times New Roman" w:hAnsi="Times New Roman"/>
          <w:sz w:val="18"/>
          <w:szCs w:val="18"/>
          <w:color w:val="0E0E0E"/>
        </w:rPr>
      </w:pPr>
    </w:p>
    <w:p>
      <w:pPr>
        <w:ind w:left="1300" w:hanging="640"/>
        <w:spacing w:after="0"/>
        <w:tabs>
          <w:tab w:leader="none" w:pos="1300" w:val="left"/>
        </w:tabs>
        <w:numPr>
          <w:ilvl w:val="1"/>
          <w:numId w:val="2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Amendment of Plan.</w:t>
      </w:r>
      <w:r>
        <w:rPr>
          <w:rFonts w:ascii="Times New Roman" w:cs="Times New Roman" w:eastAsia="Times New Roman" w:hAnsi="Times New Roman"/>
          <w:sz w:val="18"/>
          <w:szCs w:val="18"/>
          <w:color w:val="0E0E0E"/>
        </w:rPr>
        <w:t xml:space="preserve"> The Board may amend, suspend or terminate the Plan or any portion thereof at any time.</w:t>
      </w:r>
    </w:p>
    <w:p>
      <w:pPr>
        <w:spacing w:after="0" w:line="225" w:lineRule="exact"/>
        <w:rPr>
          <w:rFonts w:ascii="Times New Roman" w:cs="Times New Roman" w:eastAsia="Times New Roman" w:hAnsi="Times New Roman"/>
          <w:sz w:val="18"/>
          <w:szCs w:val="18"/>
          <w:color w:val="0E0E0E"/>
        </w:rPr>
      </w:pPr>
    </w:p>
    <w:p>
      <w:pPr>
        <w:jc w:val="both"/>
        <w:ind w:firstLine="660"/>
        <w:spacing w:after="0" w:line="261" w:lineRule="auto"/>
        <w:tabs>
          <w:tab w:leader="none" w:pos="1296" w:val="left"/>
        </w:tabs>
        <w:numPr>
          <w:ilvl w:val="1"/>
          <w:numId w:val="24"/>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Authorization of Sub-Plans</w:t>
      </w:r>
      <w:r>
        <w:rPr>
          <w:rFonts w:ascii="Times New Roman" w:cs="Times New Roman" w:eastAsia="Times New Roman" w:hAnsi="Times New Roman"/>
          <w:sz w:val="18"/>
          <w:szCs w:val="18"/>
          <w:color w:val="0E0E0E"/>
        </w:rPr>
        <w:t>. The Board may from time to time establish one or more sub-plans under the Plan for purposes of satisfying applicable blue sky, securities or tax laws of various jurisdictions. The Board shall establish such sub-plans by adopting supplements to this Plan containing</w:t>
      </w:r>
    </w:p>
    <w:p>
      <w:pPr>
        <w:jc w:val="both"/>
        <w:ind w:firstLine="8"/>
        <w:spacing w:after="0" w:line="253" w:lineRule="auto"/>
        <w:tabs>
          <w:tab w:leader="none" w:pos="233" w:val="left"/>
        </w:tabs>
        <w:numPr>
          <w:ilvl w:val="0"/>
          <w:numId w:val="25"/>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8" w:lineRule="exact"/>
        <w:rPr>
          <w:rFonts w:ascii="Times New Roman" w:cs="Times New Roman" w:eastAsia="Times New Roman" w:hAnsi="Times New Roman"/>
          <w:sz w:val="18"/>
          <w:szCs w:val="18"/>
          <w:color w:val="0E0E0E"/>
        </w:rPr>
      </w:pPr>
    </w:p>
    <w:p>
      <w:pPr>
        <w:ind w:right="20" w:firstLine="658"/>
        <w:spacing w:after="0" w:line="282" w:lineRule="auto"/>
        <w:tabs>
          <w:tab w:leader="none" w:pos="1296" w:val="left"/>
        </w:tabs>
        <w:numPr>
          <w:ilvl w:val="1"/>
          <w:numId w:val="25"/>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u w:val="single" w:color="auto"/>
          <w:color w:val="0E0E0E"/>
        </w:rPr>
        <w:t>Governing Law</w:t>
      </w:r>
      <w:r>
        <w:rPr>
          <w:rFonts w:ascii="Times New Roman" w:cs="Times New Roman" w:eastAsia="Times New Roman" w:hAnsi="Times New Roman"/>
          <w:sz w:val="18"/>
          <w:szCs w:val="18"/>
          <w:color w:val="0E0E0E"/>
        </w:rPr>
        <w:t>. The provisions of the Plan and all Awards made hereunder shall be governed by and interpreted in accordance with the laws of the State of Delaware, without regard to any applicable conflicts of law.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2016 STOCK INCENTIVE PLAN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5" w:lineRule="exact"/>
        <w:rPr>
          <w:sz w:val="20"/>
          <w:szCs w:val="20"/>
          <w:color w:val="auto"/>
        </w:rPr>
      </w:pPr>
    </w:p>
    <w:p>
      <w:pPr>
        <w:jc w:val="both"/>
        <w:ind w:firstLine="652"/>
        <w:spacing w:after="0" w:line="259"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Cartesian Therapeutics, Inc. 2016 Stock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On November 13, 2023, Selecta Biosciences, Inc. acquired Cartesian Therapeutics, Inc. (the predecessor of Cartesian Bio, LLC) and, in connection therewith, assumed the Plan. Following such assumption, the Plan has been sponsored and maintained by Cartesian Therapeutics, Inc. (together with any successor,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formerly known as Selecta Biosciences, Inc.</w:t>
      </w:r>
    </w:p>
    <w:p>
      <w:pPr>
        <w:spacing w:after="0" w:line="179" w:lineRule="exact"/>
        <w:rPr>
          <w:sz w:val="20"/>
          <w:szCs w:val="20"/>
          <w:color w:val="auto"/>
        </w:rPr>
      </w:pPr>
    </w:p>
    <w:p>
      <w:pPr>
        <w:jc w:val="both"/>
        <w:ind w:firstLine="652"/>
        <w:spacing w:after="0" w:line="268" w:lineRule="auto"/>
        <w:rPr>
          <w:sz w:val="20"/>
          <w:szCs w:val="20"/>
          <w:color w:val="auto"/>
        </w:rPr>
      </w:pPr>
      <w:r>
        <w:rPr>
          <w:rFonts w:ascii="Times New Roman" w:cs="Times New Roman" w:eastAsia="Times New Roman" w:hAnsi="Times New Roman"/>
          <w:sz w:val="18"/>
          <w:szCs w:val="18"/>
          <w:color w:val="auto"/>
        </w:rPr>
        <w:t>The Company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described in this Grant Notice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xml:space="preserve">”), subject to the terms and conditions of the Plan and the Restricted Stock Unit Agreement attached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25"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[To be specified in individual award agreements]</w:t>
      </w:r>
    </w:p>
    <w:p>
      <w:pPr>
        <w:spacing w:after="0" w:line="200" w:lineRule="exact"/>
        <w:rPr>
          <w:sz w:val="20"/>
          <w:szCs w:val="20"/>
          <w:color w:val="auto"/>
        </w:rPr>
      </w:pPr>
    </w:p>
    <w:p>
      <w:pPr>
        <w:spacing w:after="0" w:line="245" w:lineRule="exact"/>
        <w:rPr>
          <w:sz w:val="20"/>
          <w:szCs w:val="20"/>
          <w:color w:val="auto"/>
        </w:rPr>
      </w:pPr>
    </w:p>
    <w:p>
      <w:pPr>
        <w:jc w:val="both"/>
        <w:ind w:firstLine="652"/>
        <w:spacing w:after="0" w:line="261"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5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6"/>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[Participant Name]</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399"/>
        </w:trPr>
        <w:tc>
          <w:tcPr>
            <w:tcW w:w="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52"/>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 As used herein: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or individual delegated the authority to administer the Plan in accordance with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under the Plan are granted.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(i) if Participant is a party to a written employment or consulting agreement with the Company or any of its Subsidiaries in which the term “cause” is defined (a “</w:t>
      </w:r>
      <w:r>
        <w:rPr>
          <w:rFonts w:ascii="Times New Roman" w:cs="Times New Roman" w:eastAsia="Times New Roman" w:hAnsi="Times New Roman"/>
          <w:sz w:val="18"/>
          <w:szCs w:val="18"/>
          <w:b w:val="1"/>
          <w:bCs w:val="1"/>
          <w:i w:val="1"/>
          <w:iCs w:val="1"/>
          <w:color w:val="auto"/>
        </w:rPr>
        <w:t>Relevant Agreement</w:t>
      </w:r>
      <w:r>
        <w:rPr>
          <w:rFonts w:ascii="Times New Roman" w:cs="Times New Roman" w:eastAsia="Times New Roman" w:hAnsi="Times New Roman"/>
          <w:sz w:val="18"/>
          <w:szCs w:val="18"/>
          <w:color w:val="auto"/>
        </w:rPr>
        <w:t>”), “Cause” as defined in the Relevant Agreement, and (ii) if no Relevant Agreement exists,</w:t>
      </w:r>
    </w:p>
    <w:p>
      <w:pPr>
        <w:spacing w:after="0" w:line="1" w:lineRule="exact"/>
        <w:rPr>
          <w:sz w:val="20"/>
          <w:szCs w:val="20"/>
          <w:color w:val="auto"/>
        </w:rPr>
      </w:pPr>
    </w:p>
    <w:p>
      <w:pPr>
        <w:jc w:val="both"/>
        <w:ind w:firstLine="8"/>
        <w:spacing w:after="0" w:line="251" w:lineRule="auto"/>
        <w:tabs>
          <w:tab w:leader="none" w:pos="3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Administrator’s determination that Participant failed to substantially perform Participant’s duties (other than a failure resulting from Participant’s Disability); (B) the Administrator’s determination that Participant failed to carry out, or comply with any lawful and reasonable directive of the Board or Participant’s immediate supervisor; (C) the occurrence of any act or omission by Participant that could reasonably be expected to result in (or has resulted in) Participant’s conviction, plea of no contest, plea of nolo contendere, or imposition of unadjudicated probation for any felony or indictable offense or crime involving moral turpitude; (D) Participant’s unlawful use (including being under the influence) or possession of illegal drugs on the premises of the Company or any of its Subsidiaries or while performing Participant’s duties and responsibilities for the Company or any of its Subsidiaries; or (E) Participant’s commission of an act of fraud, embezzlement, misappropriation, misconduct, or breach of fiduciary duty against the Company or any of its Subsidiaries.</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Board member.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a permanent and total disability under Section 22(e)(3) of the Code, as amended.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Common Stock.</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color w:val="auto"/>
        </w:rPr>
        <w:t>” means the date the Participant ceases to be a Service Provider.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means an Employee, Consultant or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Award of RSUs and Dividend Equivalents.</w:t>
      </w:r>
    </w:p>
    <w:p>
      <w:pPr>
        <w:spacing w:after="0" w:line="221" w:lineRule="exact"/>
        <w:rPr>
          <w:sz w:val="20"/>
          <w:szCs w:val="20"/>
          <w:color w:val="auto"/>
        </w:rPr>
      </w:pPr>
    </w:p>
    <w:p>
      <w:pPr>
        <w:ind w:right="40" w:firstLine="1304"/>
        <w:spacing w:after="0" w:line="268" w:lineRule="auto"/>
        <w:tabs>
          <w:tab w:leader="none" w:pos="19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74" w:lineRule="exact"/>
        <w:rPr>
          <w:rFonts w:ascii="Times New Roman" w:cs="Times New Roman" w:eastAsia="Times New Roman" w:hAnsi="Times New Roman"/>
          <w:sz w:val="18"/>
          <w:szCs w:val="18"/>
          <w:color w:val="auto"/>
        </w:rPr>
      </w:pPr>
    </w:p>
    <w:p>
      <w:pPr>
        <w:ind w:right="20" w:firstLine="1304"/>
        <w:spacing w:after="0" w:line="258" w:lineRule="auto"/>
        <w:tabs>
          <w:tab w:leader="none" w:pos="19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18"/>
          <w:szCs w:val="18"/>
          <w:b w:val="1"/>
          <w:bCs w:val="1"/>
          <w:i w:val="1"/>
          <w:iCs w:val="1"/>
          <w:color w:val="auto"/>
        </w:rPr>
        <w:t>Dividend Equivalent Account</w:t>
      </w:r>
      <w:r>
        <w:rPr>
          <w:rFonts w:ascii="Times New Roman" w:cs="Times New Roman" w:eastAsia="Times New Roman" w:hAnsi="Times New Roman"/>
          <w:sz w:val="18"/>
          <w:szCs w:val="18"/>
          <w:color w:val="auto"/>
        </w:rPr>
        <w:t>”) for each Dividend Equivalent and credit the Dividend Equivalent Account (without interest) on the applicable dividend payment date with the amount of any such cash paid.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are subject to the terms and conditions set forth in this Agreement and the Plan, which is incorporated herein by reference. In the event of any inconsistency between the Plan and this Agreement, the terms of this Agreement will control, provided, however, that silence in one document shall not be considered an inconsistency.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and Dividend Equivalents will at all times prior to settlement represent an unsecured Company obligation payable only from the Company’s general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Vesting; Forfeiture</w:t>
      </w:r>
      <w:r>
        <w:rPr>
          <w:rFonts w:ascii="Times New Roman" w:cs="Times New Roman" w:eastAsia="Times New Roman" w:hAnsi="Times New Roman"/>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taxes under Section 409A.</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must pay the Company, or make provision satisfactory to the Administrator for payment of, any taxes required by law to be withheld in connection with the RSUs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Participant. Subject to Section 5.2 and any Company insider trading policy (including blackout periods), Participant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this award of RSUs,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foregoing payment forms approved by the Administrator. If any tax withholding obligation will be satisfied under clause (ii) of the immediately preceding sentence by the Company’s retention of Shares from this award of RSUs and there is a public market for Shares at the time the tax obligation is satisfied, the Company may elect to instruct any brokerage firm determined acceptable to the Company for such purpose to sell on Participant’s behalf some or all of the Shares retained and to remit the proceeds of the sale to the Company or its designee, and Participant’s acceptance of this award of RSUs will constitute the Participant’s authorization to the Company and instruction and authorization to such brokerage firm to complete the transactions described in this sentence.</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 4.2(a), the Company has the right and option, but not the obligation, to treat Participant’s failure to provide timely payment of any withholding tax arising in connection with the RSUs or Dividend Equivalents as Participant’s election to satisfy all or any portion of the withholding tax by requesting the Company retain Shares otherwise issuable under the Award.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9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this award of RSUs be structured to comply with, or be exempt from, Section 409A, such that no adverse tax consequences, interest, or penalties under Section 409A apply. Notwithstanding anything in the Plan, the Grant Notice or this Agreement to the contrary, the Administrator may, without Participant’s consent, amend this Plan, the Grant Notice or this Agreement, adopt policies and procedures, or take any other actions (including amendments, policies, procedures and retroactive actions) as are necessary or appropriate to preserve the intended tax treatment, including any such actions intended to (A) exempt the RSUs from Section 409A, or (B) comply with Section 409A, including regulations, guidance, compliance programs and other interpretative authority that may be issued after the Grant Date. The Company makes no representations or warranties as to the RSU’s tax treatment under Section 409A or otherwise. The Company will have no obligation under this Section 4.3 or otherwise to avoid the taxes, penalties or interest under Section 409A with respect to the RSUs and will have no liability to Participant or any other person if the RSUs or any other compensation or other benefits under the Plan are determined to constitute noncompliant “nonqualified deferred compensation” subject to taxes, penalties or interest under Section 409A.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1304"/>
        <w:spacing w:after="0" w:line="261" w:lineRule="auto"/>
        <w:tabs>
          <w:tab w:leader="none" w:pos="19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the award of RSUs constitutes “nonqualified deferred compensation” under Section 409A, any payment or settlement of such RSUs upon a termination of Participant’s Service Provider relationship will, to the extent necessary to avoid taxes under Section 409A, be made only upon Participant’s “separation from service” (within the meaning of Section 409A). For purposes of the Plan, the Grant Notice and this Agreement, references to a “termination,” “termination of employment” or like terms means a “separation from service.”</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the Grant Notice or this Agreement, if Participant is a “specified employee” (as defined under Section 409A and as the Administrator determines), any payment(s) of “nonqualified deferred compensation” required to be made to Participant due to Participant’s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this Agreement) on the day immediately following such six-month period or as soon as administratively practicable thereafter (without interest). Any payments of “nonqualified deferred compensation” payable more than six months following Participant’s “separation from service” will be paid at the time or times the payments are otherwise scheduled to be made.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the Shares subject to the RSUs and the Dividend Equivalents are subject to adjustment, modification and termination in certain events as provided in this Agreement and the Plan.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the award of RSUs,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Participant, including Participant’s name, address and telephone number; birthdate; social security, insurance number or other identification number; salary; nationality; job title(s); any Shares held in the Company or its Subsidiaries and affiliates; and RSU details, to implement, manage and administer the Plan and the RSUs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the award of RSUs, Participant authorizes such recipients to receive, possess, use, retain and transfer the Data, in electronic or other form, to implement, administer and manage Participant’s participation in the Plan, including any required Data transfer to a broker or other third party with whom the Company or the Participant may elect to deposit any Shares. The Data related to Participant will be held only as long as necessary to implement, administer, and manage Participant’s participation in the Plan. A Participant may, at any time, view the Data that the Company holds regarding Participant, request additional information about the storage and processing of the Data regarding Participant, recommend any necessary corrections to the Data regarding the Participant or refuse or withdraw the consents in this Section 5.3 in writing, without cost, by contacting the local human resources representative. The Company may cancel Participant’s ability to participate in the Plan and, in the Administrator’s discretion, the Participant may forfeit any outstanding RSUs if the Participant refuses or withdraws the consents in this Section 5.3. For more information on the consequences of refusing or withdrawing consent, Participant may contact Participant’s local human resources representative.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This award of RSUs and all other incentive compensation awards held by Participant under the Plan (including any proceeds, gains or other economic benefit the Participant actually or constructively receives upon receipt or exercise of any award or the receipt or resale of any Shares underlying an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an award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Participant under or with respect to the Plan or the RSUs, including amounts to be paid under the final sentence of Section 4.2(a):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Participant will be responsible for all broker’s fees and other costs of sale, and by accepting the award of RSUs, Participant agrees to indemnify and hold the Company harmless from any losses, costs, damages, or expenses relating to any such sale; (d) to the extent the Company or its designee receives proceeds of such sale that exceed the amount owed, the Company will pay such excess in cash to Participant as soon as reasonably practicable; (e) the Company and its designees are under no obligation to arrange for such sale at any particular price; and (f) in the event the proceeds of such sale are insufficient to satisfy Participant’s applicable obligation, Participant may be required to pay immediately upon demand to the Company or its designee an amount in cash sufficient to satisfy any remaining portion of Participant’s obligation.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27875" cy="612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27875" cy="612775"/>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2018 EMPLOYMENT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INDUCEMENT INCENTIVE AWARD PLAN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Eligible Individuals are eligible to be granted Awards under the Plan, subject to the limitations described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Applicable Laws permit, the Board may delegate any or all of its powers under the Plan to one or more Committees. The Board may abolish any Committee or re-vest in itself any previously delegated authority at any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3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 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10.9, any Company insider trading policy (including blackout periods) and Applicable Laws, the exercise price of an Option must be paid by:</w:t>
      </w:r>
    </w:p>
    <w:p>
      <w:pPr>
        <w:spacing w:after="0" w:line="162" w:lineRule="exact"/>
        <w:rPr>
          <w:sz w:val="20"/>
          <w:szCs w:val="20"/>
          <w:color w:val="auto"/>
        </w:rPr>
      </w:pPr>
    </w:p>
    <w:p>
      <w:pPr>
        <w:ind w:firstLine="1304"/>
        <w:spacing w:after="0" w:line="282" w:lineRule="auto"/>
        <w:tabs>
          <w:tab w:leader="none" w:pos="19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property that the Administrator determines is good and valuable consideration;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Eligible Individual,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225" w:lineRule="exact"/>
        <w:rPr>
          <w:sz w:val="20"/>
          <w:szCs w:val="20"/>
          <w:color w:val="auto"/>
        </w:rPr>
      </w:pPr>
    </w:p>
    <w:p>
      <w:pPr>
        <w:jc w:val="both"/>
        <w:ind w:firstLine="1304"/>
        <w:spacing w:after="0" w:line="266" w:lineRule="auto"/>
        <w:tabs>
          <w:tab w:leader="none" w:pos="19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Stock or Cash Based Awards may be granted to Participants, including Awards entitling Participants to receive Shares to be delivered in the future and including annual or other periodic or long- 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 AND CERTAIN OTHER EVENTS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w:t>
      </w:r>
    </w:p>
    <w:p>
      <w:pPr>
        <w:spacing w:after="0" w:line="5"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such transaction or event or (z) give effect to such changes in Applicable Laws or accounting principles:</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Non-Assumption</w:t>
      </w:r>
      <w:r>
        <w:rPr>
          <w:rFonts w:ascii="Times New Roman" w:cs="Times New Roman" w:eastAsia="Times New Roman" w:hAnsi="Times New Roman"/>
          <w:sz w:val="18"/>
          <w:szCs w:val="18"/>
          <w:color w:val="auto"/>
        </w:rPr>
        <w:t>. Notwithstanding any other provision of the Plan to the contrary, if a Change in Control occurs and an outstanding Award that is not subject to performance-based vesting conditions is not continued, converted, assumed, or replaced with a substantially similar award by</w:t>
      </w:r>
    </w:p>
    <w:p>
      <w:pPr>
        <w:jc w:val="both"/>
        <w:ind w:firstLine="8"/>
        <w:spacing w:after="0" w:line="255" w:lineRule="auto"/>
        <w:tabs>
          <w:tab w:leader="none" w:pos="2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(ii)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Each Award may contain terms and conditions in addition to those set forth in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or changing the exercise or settlement date. The Participant’s consent to such action will be required unless</w:t>
      </w:r>
    </w:p>
    <w:p>
      <w:pPr>
        <w:jc w:val="both"/>
        <w:ind w:firstLine="8"/>
        <w:spacing w:after="0" w:line="253" w:lineRule="auto"/>
        <w:tabs>
          <w:tab w:leader="none" w:pos="2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Action Required Upon Grant of Award</w:t>
      </w:r>
      <w:r>
        <w:rPr>
          <w:rFonts w:ascii="Times New Roman" w:cs="Times New Roman" w:eastAsia="Times New Roman" w:hAnsi="Times New Roman"/>
          <w:sz w:val="18"/>
          <w:szCs w:val="18"/>
          <w:color w:val="auto"/>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87" w:lineRule="exact"/>
        <w:rPr>
          <w:sz w:val="20"/>
          <w:szCs w:val="20"/>
          <w:color w:val="auto"/>
        </w:rPr>
      </w:pPr>
    </w:p>
    <w:p>
      <w:pPr>
        <w:jc w:val="both"/>
        <w:ind w:firstLine="625"/>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Stockholder Approval Not Required</w:t>
      </w:r>
      <w:r>
        <w:rPr>
          <w:rFonts w:ascii="Times New Roman" w:cs="Times New Roman" w:eastAsia="Times New Roman" w:hAnsi="Times New Roman"/>
          <w:sz w:val="18"/>
          <w:szCs w:val="18"/>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 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50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Other Stock or Cash Based Awards.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(i) if a Participant is a party to a written employment or consulting agreement with the Company or any of its Subsidiaries or an Award Agreement in which the term “cause” is defined (a “</w:t>
      </w:r>
      <w:r>
        <w:rPr>
          <w:rFonts w:ascii="Times New Roman" w:cs="Times New Roman" w:eastAsia="Times New Roman" w:hAnsi="Times New Roman"/>
          <w:sz w:val="18"/>
          <w:szCs w:val="18"/>
          <w:b w:val="1"/>
          <w:bCs w:val="1"/>
          <w:i w:val="1"/>
          <w:iCs w:val="1"/>
          <w:color w:val="auto"/>
        </w:rPr>
        <w:t>Relevant Agreement</w:t>
      </w:r>
      <w:r>
        <w:rPr>
          <w:rFonts w:ascii="Times New Roman" w:cs="Times New Roman" w:eastAsia="Times New Roman" w:hAnsi="Times New Roman"/>
          <w:sz w:val="18"/>
          <w:szCs w:val="18"/>
          <w:color w:val="auto"/>
        </w:rPr>
        <w:t>”), “Cause” as defined in the Relevant Agreement, and</w:t>
      </w:r>
    </w:p>
    <w:p>
      <w:pPr>
        <w:spacing w:after="0" w:line="1" w:lineRule="exact"/>
        <w:rPr>
          <w:sz w:val="20"/>
          <w:szCs w:val="20"/>
          <w:color w:val="auto"/>
        </w:rPr>
      </w:pPr>
    </w:p>
    <w:p>
      <w:pPr>
        <w:jc w:val="both"/>
        <w:ind w:firstLine="8"/>
        <w:spacing w:after="0" w:line="251"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229" w:lineRule="exact"/>
        <w:rPr>
          <w:sz w:val="20"/>
          <w:szCs w:val="20"/>
          <w:color w:val="auto"/>
        </w:rPr>
      </w:pPr>
    </w:p>
    <w:p>
      <w:pPr>
        <w:jc w:val="both"/>
        <w:ind w:firstLine="1304"/>
        <w:spacing w:after="0" w:line="255" w:lineRule="auto"/>
        <w:tabs>
          <w:tab w:leader="none" w:pos="19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both"/>
        <w:ind w:firstLine="1304"/>
        <w:spacing w:after="0" w:line="258"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1.409A- 3(i)(5).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regulations issued thereunder.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Cartesian Therapeutics, Inc., a Delaware corporation, or any successor.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Board member.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a permanent and total disability under Section 22(e)(3) of the Code, as amended.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Eligible Individual</w:t>
      </w:r>
      <w:r>
        <w:rPr>
          <w:rFonts w:ascii="Times New Roman" w:cs="Times New Roman" w:eastAsia="Times New Roman" w:hAnsi="Times New Roman"/>
          <w:sz w:val="18"/>
          <w:szCs w:val="18"/>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11.18</w:t>
        <w:tab/>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3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11.20</w:t>
        <w:tab/>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color w:val="auto"/>
        </w:rPr>
        <w:t>” means an Option intended to qualify as an “incentive stock option” as defined in Section 422 of the Code.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Director who qualifies as “independent” within the meaning of NASDAQ Rule 5635(c)(4), or any successor rule, as such rule may be amended from time to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NASDAQ Rule 5635(c)(4)</w:t>
      </w:r>
      <w:r>
        <w:rPr>
          <w:rFonts w:ascii="Times New Roman" w:cs="Times New Roman" w:eastAsia="Times New Roman" w:hAnsi="Times New Roman"/>
          <w:sz w:val="18"/>
          <w:szCs w:val="18"/>
          <w:color w:val="auto"/>
        </w:rPr>
        <w:t>” means NASDAQ Rule 5635(c)(4), or any successor rule, and all guidance and other interpretative authority thereunder, as such rule, guidance and other authority may be amended from time to time.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Non-Qualified Stock Option</w:t>
      </w:r>
      <w:r>
        <w:rPr>
          <w:rFonts w:ascii="Times New Roman" w:cs="Times New Roman" w:eastAsia="Times New Roman" w:hAnsi="Times New Roman"/>
          <w:sz w:val="17"/>
          <w:szCs w:val="17"/>
          <w:color w:val="auto"/>
        </w:rPr>
        <w:t>” means an Option not intended to qualify as an Incentive Stock Option.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11.26</w:t>
        <w:tab/>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11.28</w:t>
        <w:tab/>
        <w:t>“</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5,000,000.</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an Eligible Individual who has been granted an Award.</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2018 Employment Inducement Incentive Award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11.32</w:t>
        <w:tab/>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11.34</w:t>
        <w:tab/>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11.36</w:t>
        <w:tab/>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means an Employee, Consultant or Director.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Common Stock.</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means a stock appreciation right granted under Article V.</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color w:val="auto"/>
        </w:rPr>
        <w:t>” means the date the Participant ceases to be a Service Provider.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2018 EMPLOYMENT INDUCEMENT INCENTIVE AWARD PLAN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Cartesian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Company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described in this Grant Notice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xml:space="preserve">”), subject to the terms and conditions of the Plan and the Restricted Stock Unit Agreement attached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25"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[To be specified in individual award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5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7"/>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[Participant Name]</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398"/>
        </w:trPr>
        <w:tc>
          <w:tcPr>
            <w:tcW w:w="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9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Award of RSUs and Dividend Equivalents</w:t>
      </w:r>
    </w:p>
    <w:p>
      <w:pPr>
        <w:spacing w:after="0" w:line="221" w:lineRule="exact"/>
        <w:rPr>
          <w:sz w:val="20"/>
          <w:szCs w:val="20"/>
          <w:color w:val="auto"/>
        </w:rPr>
      </w:pPr>
    </w:p>
    <w:p>
      <w:pPr>
        <w:jc w:val="both"/>
        <w:ind w:firstLine="1304"/>
        <w:spacing w:after="0" w:line="268" w:lineRule="auto"/>
        <w:tabs>
          <w:tab w:leader="none" w:pos="19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Each RSU represents the right to receive one Share or, at the option of the Company, an amount of cash, in either case, as set forth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Participant will have no right to the distribution of any Shares or payment of any cash until the time (if ever) the RSUs have vested.</w:t>
      </w:r>
    </w:p>
    <w:p>
      <w:pPr>
        <w:spacing w:after="0" w:line="17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18"/>
          <w:szCs w:val="18"/>
          <w:b w:val="1"/>
          <w:bCs w:val="1"/>
          <w:i w:val="1"/>
          <w:iCs w:val="1"/>
          <w:color w:val="auto"/>
        </w:rPr>
        <w:t>Dividend Equivalent Account</w:t>
      </w:r>
      <w:r>
        <w:rPr>
          <w:rFonts w:ascii="Times New Roman" w:cs="Times New Roman" w:eastAsia="Times New Roman" w:hAnsi="Times New Roman"/>
          <w:sz w:val="18"/>
          <w:szCs w:val="18"/>
          <w:color w:val="auto"/>
        </w:rPr>
        <w:t>”) for each Dividend Equivalent and credit the Dividend Equivalent Account (without interest) on the applicable dividend payment date with the amount of any such cash paid.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and Dividend Equivalents will at all times prior to settlement represent an unsecured Company obligation payable only from the Company’s general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Employment Inducement Award</w:t>
      </w:r>
      <w:r>
        <w:rPr>
          <w:rFonts w:ascii="Times New Roman" w:cs="Times New Roman" w:eastAsia="Times New Roman" w:hAnsi="Times New Roman"/>
          <w:sz w:val="18"/>
          <w:szCs w:val="18"/>
          <w:color w:val="auto"/>
        </w:rPr>
        <w:t>. The RSUs are intended to constitute an “employment inducement award” under NASDAQ Rule 5635(c)(4) that is exempt from the requirements of shareholder approval of equity-compensation plans under NASDAQ Rule 5635(c)(4). This Agreement and the terms and conditions of the RSUs will be interpreted consistent with such intent.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Forfeiture</w:t>
      </w:r>
      <w:r>
        <w:rPr>
          <w:rFonts w:ascii="Times New Roman" w:cs="Times New Roman" w:eastAsia="Times New Roman" w:hAnsi="Times New Roman"/>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Settlement</w:t>
      </w:r>
    </w:p>
    <w:p>
      <w:pPr>
        <w:spacing w:after="0" w:line="225" w:lineRule="exact"/>
        <w:rPr>
          <w:sz w:val="20"/>
          <w:szCs w:val="20"/>
          <w:color w:val="auto"/>
        </w:rPr>
      </w:pPr>
    </w:p>
    <w:p>
      <w:pPr>
        <w:jc w:val="both"/>
        <w:ind w:firstLine="1304"/>
        <w:spacing w:after="0" w:line="256" w:lineRule="auto"/>
        <w:tabs>
          <w:tab w:leader="none" w:pos="19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taxes under Section 409A.</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Tax Withholding</w:t>
      </w:r>
    </w:p>
    <w:p>
      <w:pPr>
        <w:spacing w:after="0" w:line="225" w:lineRule="exact"/>
        <w:rPr>
          <w:sz w:val="20"/>
          <w:szCs w:val="20"/>
          <w:color w:val="auto"/>
        </w:rPr>
      </w:pPr>
    </w:p>
    <w:p>
      <w:pPr>
        <w:jc w:val="both"/>
        <w:ind w:firstLine="1304"/>
        <w:spacing w:after="0" w:line="266" w:lineRule="auto"/>
        <w:tabs>
          <w:tab w:leader="none" w:pos="19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the Shares subject to the RSUs and the Dividend Equivalents are subject to adjustment, modification and termination in certain events as provided in this Agreement and the Plan.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2018 EMPLOYMENT INDUCEMENT INCENTIVE AWARD PLAN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Capitalized terms not specifically defined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Cartesian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Company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option described in this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subject to the terms and conditions of the Plan and the Stock Option Agreement attached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the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Expiration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ectPr>
          <w:pgSz w:w="11900" w:h="16838" w:orient="portrait"/>
          <w:cols w:equalWidth="0" w:num="1">
            <w:col w:w="11240"/>
          </w:cols>
          <w:pgMar w:left="320" w:top="495"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color w:val="auto"/>
        </w:rPr>
        <w:t>[To be specified in individual award agreements]</w:t>
      </w:r>
    </w:p>
    <w:p>
      <w:pPr>
        <w:spacing w:after="0" w:line="200" w:lineRule="exact"/>
        <w:rPr>
          <w:sz w:val="20"/>
          <w:szCs w:val="20"/>
          <w:color w:val="auto"/>
        </w:rPr>
      </w:pPr>
    </w:p>
    <w:p>
      <w:pPr>
        <w:sectPr>
          <w:pgSz w:w="11900" w:h="16838" w:orient="portrait"/>
          <w:cols w:equalWidth="0" w:num="2">
            <w:col w:w="3780" w:space="720"/>
            <w:col w:w="6740"/>
          </w:cols>
          <w:pgMar w:left="320" w:top="495"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Stock Option</w:t>
      </w:r>
    </w:p>
    <w:p>
      <w:pPr>
        <w:spacing w:after="0" w:line="200" w:lineRule="exact"/>
        <w:rPr>
          <w:sz w:val="20"/>
          <w:szCs w:val="20"/>
          <w:color w:val="auto"/>
        </w:rPr>
      </w:pPr>
    </w:p>
    <w:p>
      <w:pPr>
        <w:sectPr>
          <w:pgSz w:w="11900" w:h="16838" w:orient="portrait"/>
          <w:cols w:equalWidth="0" w:num="2">
            <w:col w:w="3780" w:space="720"/>
            <w:col w:w="6740"/>
          </w:cols>
          <w:pgMar w:left="320" w:top="495" w:right="339" w:bottom="1440" w:gutter="0" w:footer="0" w:header="0"/>
          <w:type w:val="continuous"/>
        </w:sectPr>
      </w:pPr>
    </w:p>
    <w:p>
      <w:pPr>
        <w:spacing w:after="0" w:line="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5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7"/>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[Participant Name]</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614"/>
        </w:trPr>
        <w:tc>
          <w:tcPr>
            <w:tcW w:w="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95" w:right="3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has granted to Participant the Option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Employment Inducement Award</w:t>
      </w:r>
      <w:r>
        <w:rPr>
          <w:rFonts w:ascii="Times New Roman" w:cs="Times New Roman" w:eastAsia="Times New Roman" w:hAnsi="Times New Roman"/>
          <w:sz w:val="18"/>
          <w:szCs w:val="18"/>
          <w:color w:val="auto"/>
        </w:rPr>
        <w:t>. The Option is intended to constitute an “employment inducement award” under NASDAQ Rule 5635(c)(4) that is exempt from the requirements of shareholder approval of equity-compensation plans under NASDAQ Rule 5635(c)(4). This Agreement and the terms and conditions of the Option will be interpreted consistent with such intent.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 The Option will vest and become exercisable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and will expire on, the first of the following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w:t>
      </w:r>
    </w:p>
    <w:p>
      <w:pPr>
        <w:spacing w:after="0" w:line="207" w:lineRule="exact"/>
        <w:rPr>
          <w:sz w:val="20"/>
          <w:szCs w:val="20"/>
          <w:color w:val="auto"/>
        </w:rPr>
      </w:pPr>
    </w:p>
    <w:p>
      <w:pPr>
        <w:ind w:left="1960" w:hanging="656"/>
        <w:spacing w:after="0"/>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in the Grant Notice;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(1) year from the date of Participant’s Termination of Service by reason of Participant’s death or Disability;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Participant’s Termination of Service for Cause.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Tax Withholding</w:t>
      </w:r>
    </w:p>
    <w:p>
      <w:pPr>
        <w:spacing w:after="0" w:line="225" w:lineRule="exact"/>
        <w:rPr>
          <w:sz w:val="20"/>
          <w:szCs w:val="20"/>
          <w:color w:val="auto"/>
        </w:rPr>
      </w:pPr>
    </w:p>
    <w:p>
      <w:pPr>
        <w:jc w:val="both"/>
        <w:ind w:firstLine="1304"/>
        <w:spacing w:after="0" w:line="266" w:lineRule="auto"/>
        <w:tabs>
          <w:tab w:leader="none" w:pos="19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Option is subject to adjustment, modification and termination in certain events as provided in this Agreement and the Plan.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0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CARTESIAN THERAPUETICS,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2018 EMPLOYMENT INDUCEMENT INCENTIVE AWARD PLAN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GRANT NOTICE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Cartesian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Company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shares of Restricted Stock described in this Grant Notice (the “</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xml:space="preserve">”), subject to the terms and conditions of the Plan and the Restricted Stock Agreement attached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Restricted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25"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[To be specified in individual award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5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7"/>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[Participant Name]</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398"/>
        </w:trPr>
        <w:tc>
          <w:tcPr>
            <w:tcW w:w="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Issuance of Restricted Shares</w:t>
      </w:r>
      <w:r>
        <w:rPr>
          <w:rFonts w:ascii="Times New Roman" w:cs="Times New Roman" w:eastAsia="Times New Roman" w:hAnsi="Times New Roman"/>
          <w:sz w:val="18"/>
          <w:szCs w:val="18"/>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Employment Inducement Award</w:t>
      </w:r>
      <w:r>
        <w:rPr>
          <w:rFonts w:ascii="Times New Roman" w:cs="Times New Roman" w:eastAsia="Times New Roman" w:hAnsi="Times New Roman"/>
          <w:sz w:val="18"/>
          <w:szCs w:val="18"/>
          <w:color w:val="auto"/>
        </w:rPr>
        <w:t>. The Restricted Shares are intended to constitute an “employment inducement award” under NASDAQ Rule 5635(c)(4) that is exempt from the requirements of shareholder approval of equity-compensation plans under NASDAQ Rule 5635(c)(4). This Agreement and the terms and conditions of the Restricted Shares will be interpreted consistent with such intent.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ESCROW</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Restricted Shares will become vested Shares (the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In the event of Participant’s Termination of Service for any reason, Participant will immediately and automatically forfeit to the Company any Shares that are not Vested Shares (the “</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Escrow</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both"/>
        <w:ind w:firstLine="1304"/>
        <w:spacing w:after="0" w:line="256" w:lineRule="auto"/>
        <w:tabs>
          <w:tab w:leader="none" w:pos="19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and other distributions made or declared with respect to Unvested Shares (“</w:t>
      </w:r>
      <w:r>
        <w:rPr>
          <w:rFonts w:ascii="Times New Roman" w:cs="Times New Roman" w:eastAsia="Times New Roman" w:hAnsi="Times New Roman"/>
          <w:sz w:val="18"/>
          <w:szCs w:val="18"/>
          <w:b w:val="1"/>
          <w:bCs w:val="1"/>
          <w:i w:val="1"/>
          <w:iCs w:val="1"/>
          <w:color w:val="auto"/>
        </w:rPr>
        <w:t>Retained Distributions</w:t>
      </w:r>
      <w:r>
        <w:rPr>
          <w:rFonts w:ascii="Times New Roman" w:cs="Times New Roman" w:eastAsia="Times New Roman" w:hAnsi="Times New Roman"/>
          <w:sz w:val="18"/>
          <w:szCs w:val="18"/>
          <w:color w:val="auto"/>
        </w:rPr>
        <w:t>”) will be held by the Company until the time (if ever) when the Unvested Shares to which such Retained Distributions relate become Vested Shares. The Company will establish a separate Retained Distribution bookkeeping account (“</w:t>
      </w:r>
      <w:r>
        <w:rPr>
          <w:rFonts w:ascii="Times New Roman" w:cs="Times New Roman" w:eastAsia="Times New Roman" w:hAnsi="Times New Roman"/>
          <w:sz w:val="18"/>
          <w:szCs w:val="18"/>
          <w:b w:val="1"/>
          <w:bCs w:val="1"/>
          <w:i w:val="1"/>
          <w:iCs w:val="1"/>
          <w:color w:val="auto"/>
        </w:rPr>
        <w:t>Retained Distribution Account</w:t>
      </w:r>
      <w:r>
        <w:rPr>
          <w:rFonts w:ascii="Times New Roman" w:cs="Times New Roman" w:eastAsia="Times New Roman" w:hAnsi="Times New Roman"/>
          <w:sz w:val="18"/>
          <w:szCs w:val="18"/>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8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LEGENDS AND TRANSFERABILITY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certificate representing a Restricted Share will bear the following legend until the Restricted Share becomes a Vested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Restricted Shares are subject to adjustment, modification and termination in certain events as provided in this Agreement and the Plan.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S-8</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Type)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2480" w:type="dxa"/>
            <w:vAlign w:val="bottom"/>
            <w:tcBorders>
              <w:top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6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4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Calculation</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880" w:type="dxa"/>
            <w:vAlign w:val="bottom"/>
            <w:tcBorders>
              <w:left w:val="single" w:sz="8" w:color="auto"/>
              <w:right w:val="single" w:sz="8" w:color="auto"/>
            </w:tcBorders>
            <w:vMerge w:val="continue"/>
          </w:tcPr>
          <w:p>
            <w:pPr>
              <w:spacing w:after="0"/>
              <w:rPr>
                <w:sz w:val="8"/>
                <w:szCs w:val="8"/>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 Title</w:t>
            </w:r>
          </w:p>
        </w:tc>
        <w:tc>
          <w:tcPr>
            <w:tcW w:w="13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Offering</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3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Type</w:t>
            </w:r>
          </w:p>
        </w:tc>
        <w:tc>
          <w:tcPr>
            <w:tcW w:w="248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22"/>
                <w:szCs w:val="22"/>
                <w:b w:val="1"/>
                <w:bCs w:val="1"/>
                <w:color w:val="auto"/>
                <w:vertAlign w:val="superscript"/>
              </w:rPr>
              <w:t>(1)</w:t>
            </w:r>
          </w:p>
        </w:tc>
        <w:tc>
          <w:tcPr>
            <w:tcW w:w="14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540" w:type="dxa"/>
            <w:vAlign w:val="bottom"/>
            <w:tcBorders>
              <w:right w:val="single" w:sz="8" w:color="auto"/>
            </w:tcBorders>
            <w:vMerge w:val="continue"/>
          </w:tcPr>
          <w:p>
            <w:pPr>
              <w:spacing w:after="0"/>
              <w:rPr>
                <w:sz w:val="16"/>
                <w:szCs w:val="16"/>
                <w:color w:val="auto"/>
              </w:rPr>
            </w:pPr>
          </w:p>
        </w:tc>
        <w:tc>
          <w:tcPr>
            <w:tcW w:w="106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Registration 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vMerge w:val="continue"/>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3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 per share, to be issued</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457(c) and</w:t>
            </w:r>
          </w:p>
        </w:tc>
        <w:tc>
          <w:tcPr>
            <w:tcW w:w="1120" w:type="dxa"/>
            <w:vAlign w:val="bottom"/>
            <w:tcBorders>
              <w:right w:val="single" w:sz="8" w:color="auto"/>
            </w:tcBorders>
          </w:tcPr>
          <w:p>
            <w:pPr>
              <w:jc w:val="center"/>
              <w:spacing w:after="0" w:line="288" w:lineRule="exact"/>
              <w:rPr>
                <w:sz w:val="20"/>
                <w:szCs w:val="20"/>
                <w:color w:val="auto"/>
              </w:rPr>
            </w:pPr>
            <w:r>
              <w:rPr>
                <w:rFonts w:ascii="Times New Roman" w:cs="Times New Roman" w:eastAsia="Times New Roman" w:hAnsi="Times New Roman"/>
                <w:sz w:val="18"/>
                <w:szCs w:val="18"/>
                <w:color w:val="auto"/>
                <w:w w:val="98"/>
              </w:rPr>
              <w:t>41,267,769</w:t>
            </w:r>
            <w:r>
              <w:rPr>
                <w:rFonts w:ascii="Times New Roman" w:cs="Times New Roman" w:eastAsia="Times New Roman" w:hAnsi="Times New Roman"/>
                <w:sz w:val="29"/>
                <w:szCs w:val="29"/>
                <w:color w:val="auto"/>
                <w:w w:val="98"/>
                <w:vertAlign w:val="superscript"/>
              </w:rPr>
              <w:t>(2)</w:t>
            </w:r>
          </w:p>
        </w:tc>
        <w:tc>
          <w:tcPr>
            <w:tcW w:w="1420" w:type="dxa"/>
            <w:vAlign w:val="bottom"/>
            <w:tcBorders>
              <w:right w:val="single" w:sz="8" w:color="auto"/>
            </w:tcBorders>
          </w:tcPr>
          <w:p>
            <w:pPr>
              <w:jc w:val="center"/>
              <w:spacing w:after="0" w:line="288" w:lineRule="exact"/>
              <w:rPr>
                <w:sz w:val="20"/>
                <w:szCs w:val="20"/>
                <w:color w:val="auto"/>
              </w:rPr>
            </w:pPr>
            <w:r>
              <w:rPr>
                <w:rFonts w:ascii="Times New Roman" w:cs="Times New Roman" w:eastAsia="Times New Roman" w:hAnsi="Times New Roman"/>
                <w:sz w:val="18"/>
                <w:szCs w:val="18"/>
                <w:color w:val="auto"/>
                <w:w w:val="91"/>
              </w:rPr>
              <w:t>$0.656</w:t>
            </w:r>
            <w:r>
              <w:rPr>
                <w:rFonts w:ascii="Times New Roman" w:cs="Times New Roman" w:eastAsia="Times New Roman" w:hAnsi="Times New Roman"/>
                <w:sz w:val="29"/>
                <w:szCs w:val="29"/>
                <w:color w:val="auto"/>
                <w:w w:val="91"/>
                <w:vertAlign w:val="superscript"/>
              </w:rPr>
              <w:t>(4)</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$27,071,656.47</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$3,995.78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tcPr>
          <w:p>
            <w:pPr>
              <w:spacing w:after="0"/>
              <w:rPr>
                <w:sz w:val="12"/>
                <w:szCs w:val="12"/>
                <w:color w:val="auto"/>
              </w:rPr>
            </w:pPr>
          </w:p>
        </w:tc>
        <w:tc>
          <w:tcPr>
            <w:tcW w:w="24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under the Registrant’s 2016 Stock</w:t>
            </w:r>
          </w:p>
        </w:tc>
        <w:tc>
          <w:tcPr>
            <w:tcW w:w="13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457(h)</w:t>
            </w:r>
          </w:p>
        </w:tc>
        <w:tc>
          <w:tcPr>
            <w:tcW w:w="112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3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3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 per share, to be issued</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Rules 457(c)</w:t>
            </w:r>
          </w:p>
        </w:tc>
        <w:tc>
          <w:tcPr>
            <w:tcW w:w="112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8"/>
                <w:szCs w:val="18"/>
                <w:color w:val="auto"/>
              </w:rPr>
              <w:t>1,825,000</w:t>
            </w:r>
            <w:r>
              <w:rPr>
                <w:rFonts w:ascii="Times New Roman" w:cs="Times New Roman" w:eastAsia="Times New Roman" w:hAnsi="Times New Roman"/>
                <w:sz w:val="29"/>
                <w:szCs w:val="29"/>
                <w:color w:val="auto"/>
                <w:vertAlign w:val="superscript"/>
              </w:rPr>
              <w:t>(3)</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$0.656</w:t>
            </w:r>
            <w:r>
              <w:rPr>
                <w:rFonts w:ascii="Times New Roman" w:cs="Times New Roman" w:eastAsia="Times New Roman" w:hAnsi="Times New Roman"/>
                <w:sz w:val="29"/>
                <w:szCs w:val="29"/>
                <w:color w:val="auto"/>
                <w:w w:val="91"/>
                <w:vertAlign w:val="superscript"/>
              </w:rPr>
              <w:t>(4)</w:t>
            </w:r>
          </w:p>
        </w:tc>
        <w:tc>
          <w:tcPr>
            <w:tcW w:w="15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under the Registrant’s Amended</w:t>
            </w:r>
          </w:p>
        </w:tc>
        <w:tc>
          <w:tcPr>
            <w:tcW w:w="13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$1,197,200.00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$176.71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12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and Restated 2018 Employment</w:t>
            </w:r>
          </w:p>
        </w:tc>
        <w:tc>
          <w:tcPr>
            <w:tcW w:w="13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Inducement Incentive Award Plan</w:t>
            </w:r>
          </w:p>
        </w:tc>
        <w:tc>
          <w:tcPr>
            <w:tcW w:w="13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3780" w:type="dxa"/>
            <w:vAlign w:val="bottom"/>
            <w:tcBorders>
              <w:bottom w:val="single" w:sz="8" w:color="auto"/>
            </w:tcBorders>
            <w:gridSpan w:val="2"/>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1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$28,268,856.47</w:t>
            </w:r>
          </w:p>
        </w:tc>
        <w:tc>
          <w:tcPr>
            <w:tcW w:w="10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$4,172.49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3780" w:type="dxa"/>
            <w:vAlign w:val="bottom"/>
            <w:tcBorders>
              <w:bottom w:val="single" w:sz="8" w:color="auto"/>
            </w:tcBorders>
            <w:gridSpan w:val="2"/>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1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2480" w:type="dxa"/>
            <w:vAlign w:val="bottom"/>
            <w:tcBorders>
              <w:bottom w:val="single" w:sz="8" w:color="auto"/>
            </w:tcBorders>
          </w:tcPr>
          <w:p>
            <w:pPr>
              <w:jc w:val="center"/>
              <w:ind w:left="1451"/>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$4,172.49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right="120" w:hanging="432"/>
        <w:spacing w:after="0" w:line="229" w:lineRule="auto"/>
        <w:tabs>
          <w:tab w:leader="none" w:pos="4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Registrant’s 2016 Stock Incentive Plan (“2016 Stock Incentive Plan”) and the Registrant’s Amended and Restated 2018 Employment Inducement Incentive Award Plan (the “Inducement Plan”) to prevent dilution from stock splits, stock dividends or similar transactions.</w:t>
      </w:r>
    </w:p>
    <w:p>
      <w:pPr>
        <w:ind w:left="440" w:right="420" w:hanging="432"/>
        <w:spacing w:after="0" w:line="221" w:lineRule="auto"/>
        <w:tabs>
          <w:tab w:leader="none" w:pos="4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41,267,769 shares of the Registrant’s common stock, par value $0.0001 per share (the “Common Stock”) that may become issuable under the 2016 Stock Incentive Plan pursuant to its terms.</w:t>
      </w:r>
    </w:p>
    <w:p>
      <w:pPr>
        <w:ind w:left="440" w:hanging="432"/>
        <w:spacing w:after="0" w:line="221" w:lineRule="auto"/>
        <w:tabs>
          <w:tab w:leader="none" w:pos="4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1,825,000 shares of Common Stock that may become issuable under the Inducement Plan pursuant to its terms.</w:t>
      </w:r>
    </w:p>
    <w:p>
      <w:pPr>
        <w:ind w:left="440" w:right="60" w:hanging="432"/>
        <w:spacing w:after="0" w:line="239" w:lineRule="auto"/>
        <w:tabs>
          <w:tab w:leader="none" w:pos="4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amount of the registration fee pursuant to Rule 457(c) and Rule 457(h) under the Securities Act, and based upon the average of the high and low prices of the Registrant’s Common Stock as reported on the Nasdaq Stock Market on January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617"/>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lowerRoman"/>
      <w:start w:val="2"/>
    </w:lvl>
  </w:abstractNum>
  <w:abstractNum w:abstractNumId="3">
    <w:nsid w:val="71F32454"/>
    <w:multiLevelType w:val="hybridMultilevel"/>
    <w:lvl w:ilvl="0">
      <w:lvlJc w:val="left"/>
      <w:lvlText w:val="(%1)"/>
      <w:numFmt w:val="lowerRoman"/>
      <w:start w:val="4"/>
    </w:lvl>
  </w:abstractNum>
  <w:abstractNum w:abstractNumId="4">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lowerLetter"/>
      <w:start w:val="1"/>
    </w:lvl>
    <w:lvl w:ilvl="1">
      <w:lvlJc w:val="left"/>
      <w:lvlText w:val="(%2)"/>
      <w:numFmt w:val="decimal"/>
      <w:start w:val="3"/>
    </w:lvl>
  </w:abstractNum>
  <w:abstractNum w:abstractNumId="7">
    <w:nsid w:val="3A95F874"/>
    <w:multiLevelType w:val="hybridMultilevel"/>
    <w:lvl w:ilvl="0">
      <w:lvlJc w:val="left"/>
      <w:lvlText w:val="(%1)"/>
      <w:numFmt w:val="lowerLetter"/>
      <w:start w:val="2"/>
    </w:lvl>
    <w:lvl w:ilvl="1">
      <w:lvlJc w:val="left"/>
      <w:lvlText w:val="%2"/>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2"/>
    </w:lvl>
  </w:abstractNum>
  <w:abstractNum w:abstractNumId="10">
    <w:nsid w:val="7C3DBD3D"/>
    <w:multiLevelType w:val="hybridMultilevel"/>
    <w:lvl w:ilvl="0">
      <w:lvlJc w:val="left"/>
      <w:lvlText w:val="%1."/>
      <w:numFmt w:val="decimal"/>
      <w:start w:val="3"/>
    </w:lvl>
    <w:lvl w:ilvl="1">
      <w:lvlJc w:val="left"/>
      <w:lvlText w:val="(%2)"/>
      <w:numFmt w:val="lowerLetter"/>
      <w:start w:val="1"/>
    </w:lvl>
  </w:abstractNum>
  <w:abstractNum w:abstractNumId="11">
    <w:nsid w:val="737B8DDC"/>
    <w:multiLevelType w:val="hybridMultilevel"/>
    <w:lvl w:ilvl="0">
      <w:lvlJc w:val="left"/>
      <w:lvlText w:val="%1"/>
      <w:numFmt w:val="decimal"/>
      <w:start w:val="1"/>
    </w:lvl>
    <w:lvl w:ilvl="1">
      <w:lvlJc w:val="left"/>
      <w:lvlText w:val="(%2)"/>
      <w:numFmt w:val="lowerLetter"/>
      <w:start w:val="3"/>
    </w:lvl>
  </w:abstractNum>
  <w:abstractNum w:abstractNumId="12">
    <w:nsid w:val="6CEAF087"/>
    <w:multiLevelType w:val="hybridMultilevel"/>
    <w:lvl w:ilvl="0">
      <w:lvlJc w:val="left"/>
      <w:lvlText w:val="%1."/>
      <w:numFmt w:val="decimal"/>
      <w:start w:val="4"/>
    </w:lvl>
    <w:lvl w:ilvl="1">
      <w:lvlJc w:val="left"/>
      <w:lvlText w:val="(%2)"/>
      <w:numFmt w:val="lowerLetter"/>
      <w:start w:val="1"/>
    </w:lvl>
  </w:abstractNum>
  <w:abstractNum w:abstractNumId="13">
    <w:nsid w:val="22221A70"/>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lvl w:ilvl="3">
      <w:lvlJc w:val="left"/>
      <w:lvlText w:val="(%4)"/>
      <w:numFmt w:val="decimal"/>
      <w:start w:val="5"/>
    </w:lvl>
  </w:abstractNum>
  <w:abstractNum w:abstractNumId="14">
    <w:nsid w:val="4516DDE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5">
    <w:nsid w:val="3006C83E"/>
    <w:multiLevelType w:val="hybridMultilevel"/>
    <w:lvl w:ilvl="0">
      <w:lvlJc w:val="left"/>
      <w:lvlText w:val="%1"/>
      <w:numFmt w:val="decimal"/>
      <w:start w:val="1"/>
    </w:lvl>
    <w:lvl w:ilvl="1">
      <w:lvlJc w:val="left"/>
      <w:lvlText w:val="(%2)"/>
      <w:numFmt w:val="lowerLetter"/>
      <w:start w:val="2"/>
    </w:lvl>
  </w:abstractNum>
  <w:abstractNum w:abstractNumId="16">
    <w:nsid w:val="614FD4A1"/>
    <w:multiLevelType w:val="hybridMultilevel"/>
    <w:lvl w:ilvl="0">
      <w:lvlJc w:val="left"/>
      <w:lvlText w:val="%1."/>
      <w:numFmt w:val="decimal"/>
      <w:start w:val="7"/>
    </w:lvl>
    <w:lvl w:ilvl="1">
      <w:lvlJc w:val="left"/>
      <w:lvlText w:val="%2"/>
      <w:numFmt w:val="lowerLetter"/>
      <w:start w:val="1"/>
    </w:lvl>
  </w:abstractNum>
  <w:abstractNum w:abstractNumId="17">
    <w:nsid w:val="419AC24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8">
    <w:nsid w:val="5577F8E1"/>
    <w:multiLevelType w:val="hybridMultilevel"/>
    <w:lvl w:ilvl="0">
      <w:lvlJc w:val="left"/>
      <w:lvlText w:val="(%1)"/>
      <w:numFmt w:val="decimal"/>
      <w:start w:val="2"/>
    </w:lvl>
  </w:abstractNum>
  <w:abstractNum w:abstractNumId="19">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0">
    <w:nsid w:val="5072367"/>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21">
    <w:nsid w:val="3804823E"/>
    <w:multiLevelType w:val="hybridMultilevel"/>
    <w:lvl w:ilvl="0">
      <w:lvlJc w:val="left"/>
      <w:lvlText w:val="%1"/>
      <w:numFmt w:val="decimal"/>
      <w:start w:val="1"/>
    </w:lvl>
    <w:lvl w:ilvl="1">
      <w:lvlJc w:val="left"/>
      <w:lvlText w:val="(%2)"/>
      <w:numFmt w:val="lowerLetter"/>
      <w:start w:val="6"/>
    </w:lvl>
  </w:abstractNum>
  <w:abstractNum w:abstractNumId="22">
    <w:nsid w:val="77465F01"/>
    <w:multiLevelType w:val="hybridMultilevel"/>
    <w:lvl w:ilvl="0">
      <w:lvlJc w:val="left"/>
      <w:lvlText w:val="%1."/>
      <w:numFmt w:val="decimal"/>
      <w:start w:val="10"/>
    </w:lvl>
    <w:lvl w:ilvl="1">
      <w:lvlJc w:val="left"/>
      <w:lvlText w:val="(%2)"/>
      <w:numFmt w:val="lowerLetter"/>
      <w:start w:val="1"/>
    </w:lvl>
  </w:abstractNum>
  <w:abstractNum w:abstractNumId="23">
    <w:nsid w:val="7724C67E"/>
    <w:multiLevelType w:val="hybridMultilevel"/>
    <w:lvl w:ilvl="0">
      <w:lvlJc w:val="left"/>
      <w:lvlText w:val="%1"/>
      <w:numFmt w:val="lowerLetter"/>
      <w:start w:val="1"/>
    </w:lvl>
    <w:lvl w:ilvl="1">
      <w:lvlJc w:val="left"/>
      <w:lvlText w:val="(%2)"/>
      <w:numFmt w:val="lowerLetter"/>
      <w:start w:val="3"/>
    </w:lvl>
  </w:abstractNum>
  <w:abstractNum w:abstractNumId="24">
    <w:nsid w:val="5C482A97"/>
    <w:multiLevelType w:val="hybridMultilevel"/>
    <w:lvl w:ilvl="0">
      <w:lvlJc w:val="left"/>
      <w:lvlText w:val="(%1)"/>
      <w:numFmt w:val="lowerLetter"/>
      <w:start w:val="9"/>
    </w:lvl>
    <w:lvl w:ilvl="1">
      <w:lvlJc w:val="left"/>
      <w:lvlText w:val="(%2)"/>
      <w:numFmt w:val="lowerLetter"/>
      <w:start w:val="6"/>
    </w:lvl>
  </w:abstractNum>
  <w:abstractNum w:abstractNumId="25">
    <w:nsid w:val="2463B9EA"/>
    <w:multiLevelType w:val="hybridMultilevel"/>
    <w:lvl w:ilvl="0">
      <w:lvlJc w:val="left"/>
      <w:lvlText w:val="(%1)"/>
      <w:numFmt w:val="upp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Roman"/>
      <w:start w:val="1"/>
    </w:lvl>
    <w:lvl w:ilvl="1">
      <w:lvlJc w:val="left"/>
      <w:lvlText w:val="(%2)"/>
      <w:numFmt w:val="lowerLetter"/>
      <w:start w:val="1"/>
    </w:lvl>
  </w:abstractNum>
  <w:abstractNum w:abstractNumId="29">
    <w:nsid w:val="580BD78F"/>
    <w:multiLevelType w:val="hybridMultilevel"/>
    <w:lvl w:ilvl="0">
      <w:lvlJc w:val="left"/>
      <w:lvlText w:val="(%1)"/>
      <w:numFmt w:val="lowerRoman"/>
      <w:start w:val="4"/>
    </w:lvl>
    <w:lvl w:ilvl="1">
      <w:lvlJc w:val="left"/>
      <w:lvlText w:val="(%2)"/>
      <w:numFmt w:val="lowerLetter"/>
      <w:start w:val="2"/>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2"/>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25"/>
    </w:lvl>
    <w:lvl w:ilvl="1">
      <w:lvlJc w:val="left"/>
      <w:lvlText w:val="(%2)"/>
      <w:numFmt w:val="lowerLetter"/>
      <w:start w:val="1"/>
    </w:lvl>
  </w:abstractNum>
  <w:abstractNum w:abstractNumId="36">
    <w:nsid w:val="725A06FB"/>
    <w:multiLevelType w:val="hybridMultilevel"/>
    <w:lvl w:ilvl="0">
      <w:lvlJc w:val="left"/>
      <w:lvlText w:val="(%1)"/>
      <w:numFmt w:val="lowerRoman"/>
      <w:start w:val="1"/>
    </w:lvl>
  </w:abstractNum>
  <w:abstractNum w:abstractNumId="37">
    <w:nsid w:val="2CD89A32"/>
    <w:multiLevelType w:val="hybridMultilevel"/>
    <w:lvl w:ilvl="0">
      <w:lvlJc w:val="left"/>
      <w:lvlText w:val="(%1)"/>
      <w:numFmt w:val="lowerRoman"/>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Roman"/>
      <w:start w:val="2"/>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2"/>
    </w:lvl>
    <w:lvl w:ilvl="1">
      <w:lvlJc w:val="left"/>
      <w:lvlText w:val="(%2)"/>
      <w:numFmt w:val="lowerRoman"/>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2"/>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15" Type="http://schemas.openxmlformats.org/officeDocument/2006/relationships/hyperlink" Target="https://www.sec.gov/ix?doc=/Archives/edgar/data/1453687/000145368723000040/selb-20221231.htm" TargetMode="External"/><Relationship Id="rId16" Type="http://schemas.openxmlformats.org/officeDocument/2006/relationships/hyperlink" Target="https://www.sec.gov/ix?doc=/Archives/edgar/data/1453687/000145368723000052/selb-20230331.htm" TargetMode="External"/><Relationship Id="rId17" Type="http://schemas.openxmlformats.org/officeDocument/2006/relationships/hyperlink" Target="https://www.sec.gov/ix?doc=/Archives/edgar/data/1453687/000119312523214708/d536571d10q.htm" TargetMode="External"/><Relationship Id="rId18" Type="http://schemas.openxmlformats.org/officeDocument/2006/relationships/hyperlink" Target="https://www.sec.gov/ix?doc=/Archives/edgar/data/1453687/000119312523276086/d549858d10q.htm" TargetMode="External"/><Relationship Id="rId19" Type="http://schemas.openxmlformats.org/officeDocument/2006/relationships/hyperlink" Target="https://www.sec.gov/Archives/edgar/data/1453687/000145368723000040/exhibit411_12312022.htm" TargetMode="External"/><Relationship Id="rId20" Type="http://schemas.openxmlformats.org/officeDocument/2006/relationships/hyperlink" Target="https://www.sec.gov/Archives/edgar/data/1453687/000145368718000081/selectabiosciencess-8_nove.htm" TargetMode="External"/><Relationship Id="rId21" Type="http://schemas.openxmlformats.org/officeDocument/2006/relationships/hyperlink" Target="https://www.sec.gov/Archives/edgar/data/1453687/000145368719000036/selectabiosciencess-8_marc.htm" TargetMode="External"/><Relationship Id="rId24" Type="http://schemas.openxmlformats.org/officeDocument/2006/relationships/hyperlink" Target="https://www.sec.gov/Archives/edgar/data/1453687/000110465916129891/a16-14002_1ex3d1.htm" TargetMode="External"/><Relationship Id="rId25" Type="http://schemas.openxmlformats.org/officeDocument/2006/relationships/hyperlink" Target="https://www.sec.gov/Archives/edgar/data/1453687/000145368722000109/exhibit31_charteramendment.htm" TargetMode="External"/><Relationship Id="rId26" Type="http://schemas.openxmlformats.org/officeDocument/2006/relationships/hyperlink" Target="https://www.sec.gov/Archives/edgar/data/1453687/000119312523275461/d869185dex33.htm" TargetMode="External"/><Relationship Id="rId27" Type="http://schemas.openxmlformats.org/officeDocument/2006/relationships/hyperlink" Target="https://www.sec.gov/Archives/edgar/data/1453687/000119312523276086/d549858dex32.htm" TargetMode="External"/><Relationship Id="rId28" Type="http://schemas.openxmlformats.org/officeDocument/2006/relationships/hyperlink" Target="https://www.sec.gov/Archives/edgar/data/1453687/000104746916013398/a2228672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2024-01-12T15:25:46Z</dcterms:created>
  <dcterms:modified xsi:type="dcterms:W3CDTF">2024-01-12T15:25:46Z</dcterms:modified>
</cp:coreProperties>
</file>