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submitted to the Securities and Exchange Commission confidentially on November 24, 2015</w:t>
      </w:r>
    </w:p>
    <w:p>
      <w:pPr>
        <w:spacing w:after="0" w:line="175" w:lineRule="exact"/>
        <w:rPr>
          <w:sz w:val="24"/>
          <w:szCs w:val="24"/>
          <w:color w:val="auto"/>
        </w:rPr>
      </w:pPr>
    </w:p>
    <w:p>
      <w:pPr>
        <w:ind w:left="10007"/>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26567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110490</wp:posOffset>
            </wp:positionV>
            <wp:extent cx="18275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S-1</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REGISTRATION STATEMENT</w:t>
      </w:r>
    </w:p>
    <w:p>
      <w:pPr>
        <w:jc w:val="center"/>
        <w:ind w:right="-6"/>
        <w:spacing w:after="0" w:line="222" w:lineRule="auto"/>
        <w:rPr>
          <w:sz w:val="20"/>
          <w:szCs w:val="20"/>
          <w:color w:val="auto"/>
        </w:rPr>
      </w:pPr>
      <w:r>
        <w:rPr>
          <w:rFonts w:ascii="Arial" w:cs="Arial" w:eastAsia="Arial" w:hAnsi="Arial"/>
          <w:sz w:val="12"/>
          <w:szCs w:val="12"/>
          <w:b w:val="1"/>
          <w:bCs w:val="1"/>
          <w:color w:val="auto"/>
        </w:rPr>
        <w:t>UNDER</w:t>
      </w:r>
    </w:p>
    <w:p>
      <w:pPr>
        <w:jc w:val="center"/>
        <w:ind w:right="-6"/>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110490</wp:posOffset>
            </wp:positionV>
            <wp:extent cx="18275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Selecta Biosciences, Inc.</w:t>
      </w:r>
    </w:p>
    <w:p>
      <w:pPr>
        <w:spacing w:after="0" w:line="28" w:lineRule="exact"/>
        <w:rPr>
          <w:sz w:val="24"/>
          <w:szCs w:val="24"/>
          <w:color w:val="auto"/>
        </w:rPr>
      </w:pPr>
    </w:p>
    <w:p>
      <w:pPr>
        <w:jc w:val="center"/>
        <w:ind w:right="-26"/>
        <w:spacing w:after="0"/>
        <w:rPr>
          <w:sz w:val="20"/>
          <w:szCs w:val="20"/>
          <w:color w:val="auto"/>
        </w:rPr>
      </w:pPr>
      <w:r>
        <w:rPr>
          <w:rFonts w:ascii="Arial" w:cs="Arial" w:eastAsia="Arial" w:hAnsi="Arial"/>
          <w:sz w:val="12"/>
          <w:szCs w:val="12"/>
          <w:color w:val="auto"/>
        </w:rPr>
        <w:t>(Exact name of registrant as specified in its charter)</w:t>
      </w:r>
    </w:p>
    <w:p>
      <w:pPr>
        <w:spacing w:after="0" w:line="156" w:lineRule="exact"/>
        <w:rPr>
          <w:sz w:val="24"/>
          <w:szCs w:val="24"/>
          <w:color w:val="auto"/>
        </w:rPr>
      </w:pPr>
    </w:p>
    <w:tbl>
      <w:tblPr>
        <w:tblLayout w:type="fixed"/>
        <w:tblInd w:w="3487" w:type="dxa"/>
        <w:tblCellMar>
          <w:top w:w="0" w:type="dxa"/>
          <w:left w:w="0" w:type="dxa"/>
          <w:bottom w:w="0" w:type="dxa"/>
          <w:right w:w="0" w:type="dxa"/>
        </w:tblCellMar>
      </w:tblPr>
      <w:tr>
        <w:trPr>
          <w:trHeight w:val="138"/>
        </w:trPr>
        <w:tc>
          <w:tcPr>
            <w:tcW w:w="1440" w:type="dxa"/>
            <w:vAlign w:val="bottom"/>
          </w:tcPr>
          <w:p>
            <w:pPr>
              <w:jc w:val="center"/>
              <w:ind w:right="42"/>
              <w:spacing w:after="0"/>
              <w:rPr>
                <w:sz w:val="20"/>
                <w:szCs w:val="20"/>
                <w:color w:val="auto"/>
              </w:rPr>
            </w:pPr>
            <w:r>
              <w:rPr>
                <w:rFonts w:ascii="Arial" w:cs="Arial" w:eastAsia="Arial" w:hAnsi="Arial"/>
                <w:sz w:val="12"/>
                <w:szCs w:val="12"/>
                <w:b w:val="1"/>
                <w:bCs w:val="1"/>
                <w:color w:val="auto"/>
                <w:w w:val="87"/>
              </w:rPr>
              <w:t>Delaware</w:t>
            </w:r>
          </w:p>
        </w:tc>
        <w:tc>
          <w:tcPr>
            <w:tcW w:w="1700" w:type="dxa"/>
            <w:vAlign w:val="bottom"/>
          </w:tcPr>
          <w:p>
            <w:pPr>
              <w:jc w:val="center"/>
              <w:ind w:right="42"/>
              <w:spacing w:after="0"/>
              <w:rPr>
                <w:sz w:val="20"/>
                <w:szCs w:val="20"/>
                <w:color w:val="auto"/>
              </w:rPr>
            </w:pPr>
            <w:r>
              <w:rPr>
                <w:rFonts w:ascii="Arial" w:cs="Arial" w:eastAsia="Arial" w:hAnsi="Arial"/>
                <w:sz w:val="12"/>
                <w:szCs w:val="12"/>
                <w:b w:val="1"/>
                <w:bCs w:val="1"/>
                <w:color w:val="auto"/>
                <w:w w:val="89"/>
              </w:rPr>
              <w:t>2834</w:t>
            </w:r>
          </w:p>
        </w:tc>
        <w:tc>
          <w:tcPr>
            <w:tcW w:w="1100" w:type="dxa"/>
            <w:vAlign w:val="bottom"/>
          </w:tcPr>
          <w:p>
            <w:pPr>
              <w:jc w:val="center"/>
              <w:ind w:left="162"/>
              <w:spacing w:after="0"/>
              <w:rPr>
                <w:sz w:val="20"/>
                <w:szCs w:val="20"/>
                <w:color w:val="auto"/>
              </w:rPr>
            </w:pPr>
            <w:r>
              <w:rPr>
                <w:rFonts w:ascii="Arial" w:cs="Arial" w:eastAsia="Arial" w:hAnsi="Arial"/>
                <w:sz w:val="12"/>
                <w:szCs w:val="12"/>
                <w:b w:val="1"/>
                <w:bCs w:val="1"/>
                <w:color w:val="auto"/>
                <w:w w:val="87"/>
              </w:rPr>
              <w:t>26-1622110</w:t>
            </w:r>
          </w:p>
        </w:tc>
      </w:tr>
      <w:tr>
        <w:trPr>
          <w:trHeight w:val="128"/>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(State or other jurisdiction of</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(Primary Standard Industrial</w:t>
            </w:r>
          </w:p>
        </w:tc>
        <w:tc>
          <w:tcPr>
            <w:tcW w:w="110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0"/>
              </w:rPr>
              <w:t>(I.R.S. Employer</w:t>
            </w:r>
          </w:p>
        </w:tc>
      </w:tr>
      <w:tr>
        <w:trPr>
          <w:trHeight w:val="128"/>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incorporation or</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Classification Code Number)</w:t>
            </w:r>
          </w:p>
        </w:tc>
        <w:tc>
          <w:tcPr>
            <w:tcW w:w="110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4"/>
              </w:rPr>
              <w:t>Identification No.)</w:t>
            </w:r>
          </w:p>
        </w:tc>
      </w:tr>
      <w:tr>
        <w:trPr>
          <w:trHeight w:val="147"/>
        </w:trPr>
        <w:tc>
          <w:tcPr>
            <w:tcW w:w="1440" w:type="dxa"/>
            <w:vAlign w:val="bottom"/>
          </w:tcPr>
          <w:p>
            <w:pPr>
              <w:jc w:val="center"/>
              <w:ind w:right="42"/>
              <w:spacing w:after="0"/>
              <w:rPr>
                <w:sz w:val="20"/>
                <w:szCs w:val="20"/>
                <w:color w:val="auto"/>
              </w:rPr>
            </w:pPr>
            <w:r>
              <w:rPr>
                <w:rFonts w:ascii="Arial" w:cs="Arial" w:eastAsia="Arial" w:hAnsi="Arial"/>
                <w:sz w:val="12"/>
                <w:szCs w:val="12"/>
                <w:color w:val="auto"/>
                <w:w w:val="89"/>
              </w:rPr>
              <w:t>organization)</w:t>
            </w: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6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4" w:lineRule="auto"/>
        <w:rPr>
          <w:sz w:val="20"/>
          <w:szCs w:val="20"/>
          <w:color w:val="auto"/>
        </w:rPr>
      </w:pPr>
      <w:r>
        <w:rPr>
          <w:rFonts w:ascii="Arial" w:cs="Arial" w:eastAsia="Arial" w:hAnsi="Arial"/>
          <w:sz w:val="12"/>
          <w:szCs w:val="12"/>
          <w:b w:val="1"/>
          <w:bCs w:val="1"/>
          <w:color w:val="auto"/>
        </w:rPr>
        <w:t>Watertown, MA 02472</w:t>
      </w:r>
    </w:p>
    <w:p>
      <w:pPr>
        <w:jc w:val="center"/>
        <w:ind w:right="-6"/>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111125</wp:posOffset>
            </wp:positionV>
            <wp:extent cx="18275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Werner Cautreels, Ph.D.</w:t>
      </w:r>
    </w:p>
    <w:p>
      <w:pPr>
        <w:jc w:val="center"/>
        <w:ind w:right="-6"/>
        <w:spacing w:after="0" w:line="22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6"/>
        <w:spacing w:after="0" w:line="222" w:lineRule="auto"/>
        <w:rPr>
          <w:sz w:val="20"/>
          <w:szCs w:val="20"/>
          <w:color w:val="auto"/>
        </w:rPr>
      </w:pPr>
      <w:r>
        <w:rPr>
          <w:rFonts w:ascii="Arial" w:cs="Arial" w:eastAsia="Arial" w:hAnsi="Arial"/>
          <w:sz w:val="12"/>
          <w:szCs w:val="12"/>
          <w:b w:val="1"/>
          <w:bCs w:val="1"/>
          <w:color w:val="auto"/>
        </w:rPr>
        <w:t>Selecta Biosciences, Inc.</w:t>
      </w:r>
    </w:p>
    <w:p>
      <w:pPr>
        <w:jc w:val="center"/>
        <w:ind w:right="-6"/>
        <w:spacing w:after="0" w:line="222" w:lineRule="auto"/>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2" w:lineRule="auto"/>
        <w:rPr>
          <w:sz w:val="20"/>
          <w:szCs w:val="20"/>
          <w:color w:val="auto"/>
        </w:rPr>
      </w:pPr>
      <w:r>
        <w:rPr>
          <w:rFonts w:ascii="Arial" w:cs="Arial" w:eastAsia="Arial" w:hAnsi="Arial"/>
          <w:sz w:val="12"/>
          <w:szCs w:val="12"/>
          <w:b w:val="1"/>
          <w:bCs w:val="1"/>
          <w:color w:val="auto"/>
        </w:rPr>
        <w:t>Watertown, MA 02472</w:t>
      </w:r>
    </w:p>
    <w:p>
      <w:pPr>
        <w:jc w:val="center"/>
        <w:ind w:right="-6"/>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111125</wp:posOffset>
            </wp:positionV>
            <wp:extent cx="18275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tbl>
      <w:tblPr>
        <w:tblLayout w:type="fixed"/>
        <w:tblInd w:w="3767"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Copies to:</w:t>
            </w:r>
          </w:p>
        </w:tc>
      </w:tr>
      <w:tr>
        <w:trPr>
          <w:trHeight w:val="315"/>
        </w:trPr>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Peter N. Handrinos</w:t>
            </w:r>
          </w:p>
        </w:tc>
        <w:tc>
          <w:tcPr>
            <w:tcW w:w="2380" w:type="dxa"/>
            <w:vAlign w:val="bottom"/>
            <w:gridSpan w:val="2"/>
          </w:tcPr>
          <w:p>
            <w:pPr>
              <w:jc w:val="center"/>
              <w:ind w:left="762"/>
              <w:spacing w:after="0"/>
              <w:rPr>
                <w:sz w:val="20"/>
                <w:szCs w:val="20"/>
                <w:color w:val="auto"/>
              </w:rPr>
            </w:pPr>
            <w:r>
              <w:rPr>
                <w:rFonts w:ascii="Arial" w:cs="Arial" w:eastAsia="Arial" w:hAnsi="Arial"/>
                <w:sz w:val="12"/>
                <w:szCs w:val="12"/>
                <w:b w:val="1"/>
                <w:bCs w:val="1"/>
                <w:color w:val="auto"/>
                <w:w w:val="93"/>
              </w:rPr>
              <w:t>Divakar Gupta</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9"/>
              </w:rPr>
              <w:t>Brandon J. Bortner</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9"/>
              </w:rPr>
              <w:t>Marc Recht</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3"/>
              </w:rPr>
              <w:t>Latham &amp; Watkins LLP</w:t>
            </w:r>
          </w:p>
        </w:tc>
        <w:tc>
          <w:tcPr>
            <w:tcW w:w="2380" w:type="dxa"/>
            <w:vAlign w:val="bottom"/>
            <w:gridSpan w:val="2"/>
          </w:tcPr>
          <w:p>
            <w:pPr>
              <w:jc w:val="center"/>
              <w:ind w:left="762"/>
              <w:spacing w:after="0" w:line="128" w:lineRule="exact"/>
              <w:rPr>
                <w:sz w:val="20"/>
                <w:szCs w:val="20"/>
                <w:color w:val="auto"/>
              </w:rPr>
            </w:pPr>
            <w:r>
              <w:rPr>
                <w:rFonts w:ascii="Arial" w:cs="Arial" w:eastAsia="Arial" w:hAnsi="Arial"/>
                <w:sz w:val="12"/>
                <w:szCs w:val="12"/>
                <w:b w:val="1"/>
                <w:bCs w:val="1"/>
                <w:color w:val="auto"/>
                <w:w w:val="89"/>
              </w:rPr>
              <w:t>Joshua A. Kaufman</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John Hancock Tower</w:t>
            </w:r>
          </w:p>
        </w:tc>
        <w:tc>
          <w:tcPr>
            <w:tcW w:w="2380" w:type="dxa"/>
            <w:vAlign w:val="bottom"/>
            <w:gridSpan w:val="2"/>
          </w:tcPr>
          <w:p>
            <w:pPr>
              <w:jc w:val="center"/>
              <w:ind w:left="762"/>
              <w:spacing w:after="0" w:line="128" w:lineRule="exact"/>
              <w:rPr>
                <w:sz w:val="20"/>
                <w:szCs w:val="20"/>
                <w:color w:val="auto"/>
              </w:rPr>
            </w:pPr>
            <w:r>
              <w:rPr>
                <w:rFonts w:ascii="Arial" w:cs="Arial" w:eastAsia="Arial" w:hAnsi="Arial"/>
                <w:sz w:val="12"/>
                <w:szCs w:val="12"/>
                <w:b w:val="1"/>
                <w:bCs w:val="1"/>
                <w:color w:val="auto"/>
                <w:w w:val="90"/>
              </w:rPr>
              <w:t>Cooley LLP</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8"/>
              </w:rPr>
              <w:t>200 Clarendon Street</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7"/>
              </w:rPr>
              <w:t>500 Boylston Street, 14th Floor</w:t>
            </w:r>
          </w:p>
        </w:tc>
      </w:tr>
      <w:tr>
        <w:trPr>
          <w:trHeight w:val="128"/>
        </w:trPr>
        <w:tc>
          <w:tcPr>
            <w:tcW w:w="15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4"/>
              </w:rPr>
              <w:t>Boston, Massachusetts 02116</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3"/>
              </w:rPr>
              <w:t>Boston, Massachusetts 02116</w:t>
            </w:r>
          </w:p>
        </w:tc>
      </w:tr>
      <w:tr>
        <w:trPr>
          <w:trHeight w:val="149"/>
        </w:trPr>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(617) 948-6000</w:t>
            </w:r>
          </w:p>
        </w:tc>
        <w:tc>
          <w:tcPr>
            <w:tcW w:w="2380" w:type="dxa"/>
            <w:vAlign w:val="bottom"/>
            <w:gridSpan w:val="2"/>
          </w:tcPr>
          <w:p>
            <w:pPr>
              <w:jc w:val="center"/>
              <w:ind w:left="762"/>
              <w:spacing w:after="0"/>
              <w:rPr>
                <w:sz w:val="20"/>
                <w:szCs w:val="20"/>
                <w:color w:val="auto"/>
              </w:rPr>
            </w:pPr>
            <w:r>
              <w:rPr>
                <w:rFonts w:ascii="Arial" w:cs="Arial" w:eastAsia="Arial" w:hAnsi="Arial"/>
                <w:sz w:val="12"/>
                <w:szCs w:val="12"/>
                <w:b w:val="1"/>
                <w:bCs w:val="1"/>
                <w:color w:val="auto"/>
                <w:w w:val="87"/>
              </w:rPr>
              <w:t>(617) 937-2300</w:t>
            </w:r>
          </w:p>
        </w:tc>
      </w:tr>
      <w:tr>
        <w:trPr>
          <w:trHeight w:val="175"/>
        </w:trPr>
        <w:tc>
          <w:tcPr>
            <w:tcW w:w="5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bl>
    <w:p>
      <w:pPr>
        <w:spacing w:after="0" w:line="395"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66" w:lineRule="exact"/>
        <w:rPr>
          <w:sz w:val="24"/>
          <w:szCs w:val="24"/>
          <w:color w:val="auto"/>
        </w:rPr>
      </w:pPr>
    </w:p>
    <w:p>
      <w:pPr>
        <w:ind w:left="7"/>
        <w:spacing w:after="0"/>
        <w:tabs>
          <w:tab w:leader="none" w:pos="8587" w:val="left"/>
        </w:tabs>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w:t>
        <w:tab/>
        <w:t>o</w:t>
      </w:r>
    </w:p>
    <w:p>
      <w:pPr>
        <w:spacing w:after="0" w:line="198" w:lineRule="exact"/>
        <w:rPr>
          <w:sz w:val="24"/>
          <w:szCs w:val="24"/>
          <w:color w:val="auto"/>
        </w:rPr>
      </w:pPr>
    </w:p>
    <w:p>
      <w:pPr>
        <w:ind w:left="7" w:right="40"/>
        <w:spacing w:after="0" w:line="239"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60"/>
        <w:spacing w:after="0" w:line="239"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40"/>
        <w:spacing w:after="0" w:line="239"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20"/>
        <w:spacing w:after="0" w:line="23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107" w:type="dxa"/>
        <w:tblCellMar>
          <w:top w:w="0" w:type="dxa"/>
          <w:left w:w="0" w:type="dxa"/>
          <w:bottom w:w="0" w:type="dxa"/>
          <w:right w:w="0" w:type="dxa"/>
        </w:tblCellMar>
      </w:tblPr>
      <w:tr>
        <w:trPr>
          <w:trHeight w:val="148"/>
        </w:trPr>
        <w:tc>
          <w:tcPr>
            <w:tcW w:w="1280" w:type="dxa"/>
            <w:vAlign w:val="bottom"/>
          </w:tcPr>
          <w:p>
            <w:pPr>
              <w:spacing w:after="0"/>
              <w:rPr>
                <w:sz w:val="20"/>
                <w:szCs w:val="20"/>
                <w:color w:val="auto"/>
              </w:rPr>
            </w:pPr>
            <w:r>
              <w:rPr>
                <w:rFonts w:ascii="Arial" w:cs="Arial" w:eastAsia="Arial" w:hAnsi="Arial"/>
                <w:sz w:val="12"/>
                <w:szCs w:val="12"/>
                <w:color w:val="auto"/>
                <w:w w:val="97"/>
              </w:rPr>
              <w:t>Large accelerated filer o</w:t>
            </w:r>
          </w:p>
        </w:tc>
        <w:tc>
          <w:tcPr>
            <w:tcW w:w="1660" w:type="dxa"/>
            <w:vAlign w:val="bottom"/>
            <w:gridSpan w:val="3"/>
          </w:tcPr>
          <w:p>
            <w:pPr>
              <w:ind w:left="180"/>
              <w:spacing w:after="0"/>
              <w:rPr>
                <w:sz w:val="20"/>
                <w:szCs w:val="20"/>
                <w:color w:val="auto"/>
              </w:rPr>
            </w:pPr>
            <w:r>
              <w:rPr>
                <w:rFonts w:ascii="Arial" w:cs="Arial" w:eastAsia="Arial" w:hAnsi="Arial"/>
                <w:sz w:val="12"/>
                <w:szCs w:val="12"/>
                <w:color w:val="auto"/>
              </w:rPr>
              <w:t>Accelerated filer o</w:t>
            </w:r>
          </w:p>
        </w:tc>
        <w:tc>
          <w:tcPr>
            <w:tcW w:w="1240" w:type="dxa"/>
            <w:vAlign w:val="bottom"/>
          </w:tcPr>
          <w:p>
            <w:pPr>
              <w:spacing w:after="0"/>
              <w:rPr>
                <w:sz w:val="12"/>
                <w:szCs w:val="12"/>
                <w:color w:val="auto"/>
              </w:rPr>
            </w:pPr>
          </w:p>
        </w:tc>
        <w:tc>
          <w:tcPr>
            <w:tcW w:w="2620" w:type="dxa"/>
            <w:vAlign w:val="bottom"/>
          </w:tcPr>
          <w:p>
            <w:pPr>
              <w:jc w:val="center"/>
              <w:ind w:left="1122"/>
              <w:spacing w:after="0" w:line="138" w:lineRule="exact"/>
              <w:rPr>
                <w:sz w:val="20"/>
                <w:szCs w:val="20"/>
                <w:color w:val="auto"/>
              </w:rPr>
            </w:pPr>
            <w:r>
              <w:rPr>
                <w:rFonts w:ascii="Arial" w:cs="Arial" w:eastAsia="Arial" w:hAnsi="Arial"/>
                <w:sz w:val="12"/>
                <w:szCs w:val="12"/>
                <w:color w:val="auto"/>
                <w:w w:val="88"/>
              </w:rPr>
              <w:t xml:space="preserve">Non-accelerated filer </w:t>
            </w:r>
            <w:r>
              <w:rPr>
                <w:rFonts w:ascii="MS PGothic" w:cs="MS PGothic" w:eastAsia="MS PGothic" w:hAnsi="MS PGothic"/>
                <w:sz w:val="12"/>
                <w:szCs w:val="12"/>
                <w:color w:val="auto"/>
                <w:w w:val="88"/>
              </w:rPr>
              <w: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20" w:type="dxa"/>
            <w:vAlign w:val="bottom"/>
          </w:tcPr>
          <w:p>
            <w:pPr>
              <w:ind w:left="660"/>
              <w:spacing w:after="0"/>
              <w:rPr>
                <w:sz w:val="20"/>
                <w:szCs w:val="20"/>
                <w:color w:val="auto"/>
              </w:rPr>
            </w:pPr>
            <w:r>
              <w:rPr>
                <w:rFonts w:ascii="Arial" w:cs="Arial" w:eastAsia="Arial" w:hAnsi="Arial"/>
                <w:sz w:val="12"/>
                <w:szCs w:val="12"/>
                <w:color w:val="auto"/>
                <w:w w:val="87"/>
              </w:rPr>
              <w:t>Smaller reporting company o</w:t>
            </w:r>
          </w:p>
        </w:tc>
      </w:tr>
      <w:tr>
        <w:trPr>
          <w:trHeight w:val="128"/>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20" w:type="dxa"/>
            <w:vAlign w:val="bottom"/>
          </w:tcPr>
          <w:p>
            <w:pPr>
              <w:jc w:val="center"/>
              <w:ind w:left="1122"/>
              <w:spacing w:after="0" w:line="128" w:lineRule="exact"/>
              <w:rPr>
                <w:sz w:val="20"/>
                <w:szCs w:val="20"/>
                <w:color w:val="auto"/>
              </w:rPr>
            </w:pPr>
            <w:r>
              <w:rPr>
                <w:rFonts w:ascii="Arial" w:cs="Arial" w:eastAsia="Arial" w:hAnsi="Arial"/>
                <w:sz w:val="12"/>
                <w:szCs w:val="12"/>
                <w:color w:val="auto"/>
                <w:w w:val="89"/>
              </w:rPr>
              <w:t>(Do not check if a</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7"/>
        </w:trPr>
        <w:tc>
          <w:tcPr>
            <w:tcW w:w="1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20" w:type="dxa"/>
            <w:vAlign w:val="bottom"/>
          </w:tcPr>
          <w:p>
            <w:pPr>
              <w:jc w:val="center"/>
              <w:ind w:left="1122"/>
              <w:spacing w:after="0"/>
              <w:rPr>
                <w:sz w:val="20"/>
                <w:szCs w:val="20"/>
                <w:color w:val="auto"/>
              </w:rPr>
            </w:pPr>
            <w:r>
              <w:rPr>
                <w:rFonts w:ascii="Arial" w:cs="Arial" w:eastAsia="Arial" w:hAnsi="Arial"/>
                <w:sz w:val="12"/>
                <w:szCs w:val="12"/>
                <w:color w:val="auto"/>
                <w:w w:val="88"/>
              </w:rPr>
              <w:t>smaller reporting company)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75"/>
        </w:trPr>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536"/>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2"/>
                <w:szCs w:val="12"/>
                <w:b w:val="1"/>
                <w:bCs w:val="1"/>
                <w:color w:val="auto"/>
              </w:rPr>
              <w:t>CALCULATION OF REGISTRATION FEE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6"/>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2"/>
        </w:trPr>
        <w:tc>
          <w:tcPr>
            <w:tcW w:w="1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20" w:type="dxa"/>
            <w:vAlign w:val="bottom"/>
            <w:gridSpan w:val="2"/>
          </w:tcPr>
          <w:p>
            <w:pPr>
              <w:jc w:val="center"/>
              <w:ind w:right="2"/>
              <w:spacing w:after="0" w:line="92" w:lineRule="exact"/>
              <w:rPr>
                <w:sz w:val="20"/>
                <w:szCs w:val="20"/>
                <w:color w:val="auto"/>
              </w:rPr>
            </w:pPr>
            <w:r>
              <w:rPr>
                <w:rFonts w:ascii="Arial" w:cs="Arial" w:eastAsia="Arial" w:hAnsi="Arial"/>
                <w:sz w:val="10"/>
                <w:szCs w:val="10"/>
                <w:b w:val="1"/>
                <w:bCs w:val="1"/>
                <w:color w:val="auto"/>
              </w:rPr>
              <w:t>Proposed Maximum</w:t>
            </w:r>
          </w:p>
        </w:tc>
        <w:tc>
          <w:tcPr>
            <w:tcW w:w="118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128"/>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60" w:type="dxa"/>
            <w:vAlign w:val="bottom"/>
            <w:gridSpan w:val="2"/>
          </w:tcPr>
          <w:p>
            <w:pPr>
              <w:jc w:val="center"/>
              <w:ind w:right="962"/>
              <w:spacing w:after="0" w:line="128" w:lineRule="exact"/>
              <w:rPr>
                <w:sz w:val="20"/>
                <w:szCs w:val="20"/>
                <w:color w:val="auto"/>
              </w:rPr>
            </w:pPr>
            <w:r>
              <w:rPr>
                <w:rFonts w:ascii="Arial" w:cs="Arial" w:eastAsia="Arial" w:hAnsi="Arial"/>
                <w:sz w:val="12"/>
                <w:szCs w:val="12"/>
                <w:b w:val="1"/>
                <w:bCs w:val="1"/>
                <w:color w:val="auto"/>
                <w:w w:val="85"/>
              </w:rPr>
              <w:t>Title of Each Class of Securities</w:t>
            </w:r>
          </w:p>
        </w:tc>
        <w:tc>
          <w:tcPr>
            <w:tcW w:w="122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87"/>
              </w:rPr>
              <w:t>Aggregate Offering</w:t>
            </w:r>
          </w:p>
        </w:tc>
        <w:tc>
          <w:tcPr>
            <w:tcW w:w="3200" w:type="dxa"/>
            <w:vAlign w:val="bottom"/>
            <w:gridSpan w:val="2"/>
          </w:tcPr>
          <w:p>
            <w:pPr>
              <w:jc w:val="center"/>
              <w:ind w:right="1902"/>
              <w:spacing w:after="0" w:line="128" w:lineRule="exact"/>
              <w:rPr>
                <w:sz w:val="20"/>
                <w:szCs w:val="20"/>
                <w:color w:val="auto"/>
              </w:rPr>
            </w:pPr>
            <w:r>
              <w:rPr>
                <w:rFonts w:ascii="Arial" w:cs="Arial" w:eastAsia="Arial" w:hAnsi="Arial"/>
                <w:sz w:val="12"/>
                <w:szCs w:val="12"/>
                <w:b w:val="1"/>
                <w:bCs w:val="1"/>
                <w:color w:val="auto"/>
                <w:w w:val="86"/>
              </w:rPr>
              <w:t>Amount of</w:t>
            </w:r>
          </w:p>
        </w:tc>
      </w:tr>
      <w:tr>
        <w:trPr>
          <w:trHeight w:val="156"/>
        </w:trPr>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60" w:type="dxa"/>
            <w:vAlign w:val="bottom"/>
            <w:gridSpan w:val="2"/>
          </w:tcPr>
          <w:p>
            <w:pPr>
              <w:jc w:val="center"/>
              <w:ind w:right="962"/>
              <w:spacing w:after="0"/>
              <w:rPr>
                <w:sz w:val="20"/>
                <w:szCs w:val="20"/>
                <w:color w:val="auto"/>
              </w:rPr>
            </w:pPr>
            <w:r>
              <w:rPr>
                <w:rFonts w:ascii="Arial" w:cs="Arial" w:eastAsia="Arial" w:hAnsi="Arial"/>
                <w:sz w:val="12"/>
                <w:szCs w:val="12"/>
                <w:b w:val="1"/>
                <w:bCs w:val="1"/>
                <w:color w:val="auto"/>
                <w:w w:val="85"/>
              </w:rPr>
              <w:t>To Be Registered</w:t>
            </w:r>
          </w:p>
        </w:tc>
        <w:tc>
          <w:tcPr>
            <w:tcW w:w="260" w:type="dxa"/>
            <w:vAlign w:val="bottom"/>
          </w:tcPr>
          <w:p>
            <w:pPr>
              <w:spacing w:after="0"/>
              <w:rPr>
                <w:sz w:val="13"/>
                <w:szCs w:val="13"/>
                <w:color w:val="auto"/>
              </w:rPr>
            </w:pPr>
          </w:p>
        </w:tc>
        <w:tc>
          <w:tcPr>
            <w:tcW w:w="960" w:type="dxa"/>
            <w:vAlign w:val="bottom"/>
          </w:tcPr>
          <w:p>
            <w:pPr>
              <w:jc w:val="center"/>
              <w:ind w:right="262"/>
              <w:spacing w:after="0"/>
              <w:rPr>
                <w:sz w:val="20"/>
                <w:szCs w:val="20"/>
                <w:color w:val="auto"/>
              </w:rPr>
            </w:pPr>
            <w:r>
              <w:rPr>
                <w:rFonts w:ascii="Arial" w:cs="Arial" w:eastAsia="Arial" w:hAnsi="Arial"/>
                <w:sz w:val="12"/>
                <w:szCs w:val="12"/>
                <w:b w:val="1"/>
                <w:bCs w:val="1"/>
                <w:color w:val="auto"/>
                <w:w w:val="90"/>
              </w:rPr>
              <w:t>Price(1)</w:t>
            </w:r>
          </w:p>
        </w:tc>
        <w:tc>
          <w:tcPr>
            <w:tcW w:w="3200" w:type="dxa"/>
            <w:vAlign w:val="bottom"/>
            <w:gridSpan w:val="2"/>
          </w:tcPr>
          <w:p>
            <w:pPr>
              <w:jc w:val="center"/>
              <w:ind w:right="1902"/>
              <w:spacing w:after="0"/>
              <w:rPr>
                <w:sz w:val="20"/>
                <w:szCs w:val="20"/>
                <w:color w:val="auto"/>
              </w:rPr>
            </w:pPr>
            <w:r>
              <w:rPr>
                <w:rFonts w:ascii="Arial" w:cs="Arial" w:eastAsia="Arial" w:hAnsi="Arial"/>
                <w:sz w:val="12"/>
                <w:szCs w:val="12"/>
                <w:b w:val="1"/>
                <w:bCs w:val="1"/>
                <w:color w:val="auto"/>
                <w:w w:val="88"/>
              </w:rPr>
              <w:t>Registration Fee(2)</w:t>
            </w:r>
          </w:p>
        </w:tc>
      </w:tr>
      <w:tr>
        <w:trPr>
          <w:trHeight w:val="147"/>
        </w:trPr>
        <w:tc>
          <w:tcPr>
            <w:tcW w:w="1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Common Stock, $0.0001 par value per share</w:t>
            </w:r>
          </w:p>
        </w:tc>
        <w:tc>
          <w:tcPr>
            <w:tcW w:w="1220" w:type="dxa"/>
            <w:vAlign w:val="bottom"/>
            <w:tcBorders>
              <w:top w:val="single" w:sz="8" w:color="auto"/>
              <w:bottom w:val="single" w:sz="8" w:color="auto"/>
            </w:tcBorders>
            <w:gridSpan w:val="2"/>
          </w:tcPr>
          <w:p>
            <w:pPr>
              <w:jc w:val="right"/>
              <w:ind w:right="802"/>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20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63" w:lineRule="exact"/>
        <w:rPr>
          <w:sz w:val="24"/>
          <w:szCs w:val="24"/>
          <w:color w:val="auto"/>
        </w:rPr>
      </w:pPr>
    </w:p>
    <w:p>
      <w:pPr>
        <w:ind w:left="467" w:hanging="467"/>
        <w:spacing w:after="0" w:line="241"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94" w:lineRule="exact"/>
        <w:rPr>
          <w:rFonts w:ascii="Arial" w:cs="Arial" w:eastAsia="Arial" w:hAnsi="Arial"/>
          <w:sz w:val="12"/>
          <w:szCs w:val="12"/>
          <w:b w:val="1"/>
          <w:bCs w:val="1"/>
          <w:color w:val="auto"/>
        </w:rPr>
      </w:pPr>
    </w:p>
    <w:p>
      <w:pPr>
        <w:ind w:left="467" w:hanging="467"/>
        <w:spacing w:after="0"/>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Calculated pursuant to Rule 457(o) based on an estimate of the proposed maximum aggregate offering price</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118110</wp:posOffset>
            </wp:positionV>
            <wp:extent cx="18275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ectPr>
          <w:pgSz w:w="11900" w:h="16838" w:orient="portrait"/>
          <w:cols w:equalWidth="0" w:num="1">
            <w:col w:w="11427"/>
          </w:cols>
          <w:pgMar w:left="233" w:top="620" w:right="239" w:bottom="387" w:gutter="0" w:footer="0" w:header="0"/>
        </w:sectPr>
      </w:pPr>
    </w:p>
    <w:bookmarkStart w:id="1" w:name="page2"/>
    <w:bookmarkEnd w:id="1"/>
    <w:p>
      <w:pPr>
        <w:spacing w:after="0" w:line="23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72656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368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411480</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jc w:val="both"/>
        <w:ind w:right="100"/>
        <w:spacing w:after="0" w:line="273"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156" w:lineRule="exact"/>
        <w:rPr>
          <w:sz w:val="20"/>
          <w:szCs w:val="20"/>
          <w:color w:val="auto"/>
        </w:rPr>
      </w:pPr>
    </w:p>
    <w:p>
      <w:pPr>
        <w:spacing w:after="0"/>
        <w:tabs>
          <w:tab w:leader="none" w:pos="4860" w:val="left"/>
          <w:tab w:leader="none" w:pos="1050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November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280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39"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252031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03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809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prospectus. We expect the initial public offering price to be between $ and $ per share.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offered by this</w:t>
      </w:r>
    </w:p>
    <w:p>
      <w:pPr>
        <w:spacing w:after="0" w:line="407" w:lineRule="exact"/>
        <w:rPr>
          <w:sz w:val="20"/>
          <w:szCs w:val="20"/>
          <w:color w:val="auto"/>
        </w:rPr>
      </w:pPr>
    </w:p>
    <w:p>
      <w:pPr>
        <w:sectPr>
          <w:pgSz w:w="11900" w:h="16838" w:orient="portrait"/>
          <w:cols w:equalWidth="0" w:num="2">
            <w:col w:w="8320" w:space="460"/>
            <w:col w:w="2660"/>
          </w:cols>
          <w:pgMar w:left="240" w:top="132" w:right="219" w:bottom="1440" w:gutter="0" w:footer="0" w:header="0"/>
          <w:type w:val="continuous"/>
        </w:sectPr>
      </w:pPr>
    </w:p>
    <w:p>
      <w:pPr>
        <w:spacing w:after="0"/>
        <w:rPr>
          <w:sz w:val="20"/>
          <w:szCs w:val="20"/>
          <w:color w:val="auto"/>
        </w:rPr>
      </w:pPr>
      <w:r>
        <w:rPr>
          <w:rFonts w:ascii="Arial" w:cs="Arial" w:eastAsia="Arial" w:hAnsi="Arial"/>
          <w:sz w:val="15"/>
          <w:szCs w:val="15"/>
          <w:color w:val="auto"/>
        </w:rPr>
        <w:t>We intend to apply to list our common stock on The NASDAQ Global Market under the symbol "SELB."</w:t>
      </w:r>
    </w:p>
    <w:p>
      <w:pPr>
        <w:spacing w:after="0" w:line="199"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6" w:lineRule="exact"/>
        <w:rPr>
          <w:sz w:val="20"/>
          <w:szCs w:val="20"/>
          <w:color w:val="auto"/>
        </w:rPr>
      </w:pPr>
    </w:p>
    <w:p>
      <w:pPr>
        <w:ind w:right="320"/>
        <w:spacing w:after="0" w:line="288"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12 of this prospectus.</w:t>
      </w:r>
    </w:p>
    <w:p>
      <w:pPr>
        <w:spacing w:after="0" w:line="143"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refer you to "Underwriting" beginning on page 189 for additional information regarding total underwriting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20"/>
                <w:szCs w:val="20"/>
                <w:color w:val="auto"/>
              </w:rPr>
            </w:pPr>
            <w:r>
              <w:rPr>
                <w:rFonts w:ascii="Arial" w:cs="Arial" w:eastAsia="Arial" w:hAnsi="Arial"/>
                <w:sz w:val="15"/>
                <w:szCs w:val="15"/>
                <w:color w:val="auto"/>
              </w:rPr>
              <w:t>The underwriters may also purchase up to an additional</w:t>
            </w:r>
          </w:p>
        </w:tc>
        <w:tc>
          <w:tcPr>
            <w:tcW w:w="7620" w:type="dxa"/>
            <w:vAlign w:val="bottom"/>
            <w:gridSpan w:val="4"/>
          </w:tcPr>
          <w:p>
            <w:pPr>
              <w:ind w:left="20"/>
              <w:spacing w:after="0"/>
              <w:rPr>
                <w:sz w:val="20"/>
                <w:szCs w:val="20"/>
                <w:color w:val="auto"/>
              </w:rPr>
            </w:pPr>
            <w:r>
              <w:rPr>
                <w:rFonts w:ascii="Arial" w:cs="Arial" w:eastAsia="Arial" w:hAnsi="Arial"/>
                <w:sz w:val="15"/>
                <w:szCs w:val="15"/>
                <w:color w:val="auto"/>
                <w:w w:val="94"/>
              </w:rPr>
              <w:t>shares of common stock from us at the public offering price, less the underwriting discounts payable by us, to cover over-</w:t>
            </w:r>
          </w:p>
        </w:tc>
        <w:tc>
          <w:tcPr>
            <w:tcW w:w="0" w:type="dxa"/>
            <w:vAlign w:val="bottom"/>
          </w:tcPr>
          <w:p>
            <w:pPr>
              <w:spacing w:after="0"/>
              <w:rPr>
                <w:sz w:val="1"/>
                <w:szCs w:val="1"/>
                <w:color w:val="auto"/>
              </w:rPr>
            </w:pPr>
          </w:p>
        </w:tc>
      </w:tr>
      <w:tr>
        <w:trPr>
          <w:trHeight w:val="190"/>
        </w:trPr>
        <w:tc>
          <w:tcPr>
            <w:tcW w:w="5760" w:type="dxa"/>
            <w:vAlign w:val="bottom"/>
            <w:gridSpan w:val="3"/>
          </w:tcPr>
          <w:p>
            <w:pPr>
              <w:spacing w:after="0"/>
              <w:rPr>
                <w:sz w:val="20"/>
                <w:szCs w:val="20"/>
                <w:color w:val="auto"/>
              </w:rPr>
            </w:pPr>
            <w:r>
              <w:rPr>
                <w:rFonts w:ascii="Arial" w:cs="Arial" w:eastAsia="Arial" w:hAnsi="Arial"/>
                <w:sz w:val="15"/>
                <w:szCs w:val="15"/>
                <w:color w:val="auto"/>
              </w:rPr>
              <w:t>allotments, if any, within 30 days from the date of this prospectus.</w:t>
            </w:r>
          </w:p>
        </w:tc>
        <w:tc>
          <w:tcPr>
            <w:tcW w:w="14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760" w:type="dxa"/>
            <w:vAlign w:val="bottom"/>
            <w:gridSpan w:val="3"/>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60" w:type="dxa"/>
            <w:vAlign w:val="bottom"/>
          </w:tcPr>
          <w:p>
            <w:pPr>
              <w:jc w:val="right"/>
              <w:ind w:right="465"/>
              <w:spacing w:after="0"/>
              <w:rPr>
                <w:sz w:val="20"/>
                <w:szCs w:val="20"/>
                <w:color w:val="auto"/>
              </w:rPr>
            </w:pPr>
            <w:r>
              <w:rPr>
                <w:rFonts w:ascii="Arial" w:cs="Arial" w:eastAsia="Arial" w:hAnsi="Arial"/>
                <w:sz w:val="15"/>
                <w:szCs w:val="15"/>
                <w:color w:val="auto"/>
              </w:rPr>
              <w:t>, 2016.</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820" w:type="dxa"/>
            <w:vAlign w:val="bottom"/>
          </w:tcPr>
          <w:p>
            <w:pPr>
              <w:jc w:val="center"/>
              <w:ind w:left="1573"/>
              <w:spacing w:after="0"/>
              <w:rPr>
                <w:sz w:val="20"/>
                <w:szCs w:val="20"/>
                <w:color w:val="auto"/>
              </w:rPr>
            </w:pPr>
            <w:r>
              <w:rPr>
                <w:rFonts w:ascii="Arial" w:cs="Arial" w:eastAsia="Arial" w:hAnsi="Arial"/>
                <w:sz w:val="21"/>
                <w:szCs w:val="21"/>
                <w:b w:val="1"/>
                <w:bCs w:val="1"/>
                <w:color w:val="auto"/>
                <w:w w:val="98"/>
              </w:rPr>
              <w:t>UBS Investment Bank</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20" w:type="dxa"/>
            <w:vAlign w:val="bottom"/>
          </w:tcPr>
          <w:p>
            <w:pPr>
              <w:ind w:left="1180"/>
              <w:spacing w:after="0"/>
              <w:rPr>
                <w:sz w:val="20"/>
                <w:szCs w:val="20"/>
                <w:color w:val="auto"/>
              </w:rPr>
            </w:pPr>
            <w:r>
              <w:rPr>
                <w:rFonts w:ascii="Arial" w:cs="Arial" w:eastAsia="Arial" w:hAnsi="Arial"/>
                <w:sz w:val="21"/>
                <w:szCs w:val="21"/>
                <w:b w:val="1"/>
                <w:bCs w:val="1"/>
                <w:color w:val="auto"/>
              </w:rPr>
              <w:t>Stifel</w:t>
            </w:r>
          </w:p>
        </w:tc>
        <w:tc>
          <w:tcPr>
            <w:tcW w:w="0" w:type="dxa"/>
            <w:vAlign w:val="bottom"/>
          </w:tcPr>
          <w:p>
            <w:pPr>
              <w:spacing w:after="0"/>
              <w:rPr>
                <w:sz w:val="1"/>
                <w:szCs w:val="1"/>
                <w:color w:val="auto"/>
              </w:rPr>
            </w:pPr>
          </w:p>
        </w:tc>
      </w:tr>
      <w:tr>
        <w:trPr>
          <w:trHeight w:val="182"/>
        </w:trPr>
        <w:tc>
          <w:tcPr>
            <w:tcW w:w="3820" w:type="dxa"/>
            <w:vAlign w:val="bottom"/>
            <w:vMerge w:val="restart"/>
          </w:tcPr>
          <w:p>
            <w:pPr>
              <w:jc w:val="center"/>
              <w:ind w:left="1573"/>
              <w:spacing w:after="0"/>
              <w:rPr>
                <w:sz w:val="20"/>
                <w:szCs w:val="20"/>
                <w:color w:val="auto"/>
              </w:rPr>
            </w:pPr>
            <w:r>
              <w:rPr>
                <w:rFonts w:ascii="Arial" w:cs="Arial" w:eastAsia="Arial" w:hAnsi="Arial"/>
                <w:sz w:val="21"/>
                <w:szCs w:val="21"/>
                <w:b w:val="1"/>
                <w:bCs w:val="1"/>
                <w:color w:val="auto"/>
                <w:w w:val="99"/>
              </w:rPr>
              <w:t>Canaccord Genuity</w:t>
            </w:r>
          </w:p>
        </w:tc>
        <w:tc>
          <w:tcPr>
            <w:tcW w:w="4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220" w:type="dxa"/>
            <w:vAlign w:val="bottom"/>
            <w:vMerge w:val="restart"/>
          </w:tcPr>
          <w:p>
            <w:pPr>
              <w:ind w:left="400"/>
              <w:spacing w:after="0"/>
              <w:rPr>
                <w:sz w:val="20"/>
                <w:szCs w:val="20"/>
                <w:color w:val="auto"/>
              </w:rPr>
            </w:pPr>
            <w:r>
              <w:rPr>
                <w:rFonts w:ascii="Arial" w:cs="Arial" w:eastAsia="Arial" w:hAnsi="Arial"/>
                <w:sz w:val="21"/>
                <w:szCs w:val="21"/>
                <w:b w:val="1"/>
                <w:bCs w:val="1"/>
                <w:color w:val="auto"/>
              </w:rPr>
              <w:t>Needham &amp; Company</w:t>
            </w:r>
          </w:p>
        </w:tc>
        <w:tc>
          <w:tcPr>
            <w:tcW w:w="0" w:type="dxa"/>
            <w:vAlign w:val="bottom"/>
          </w:tcPr>
          <w:p>
            <w:pPr>
              <w:spacing w:after="0"/>
              <w:rPr>
                <w:sz w:val="1"/>
                <w:szCs w:val="1"/>
                <w:color w:val="auto"/>
              </w:rPr>
            </w:pPr>
          </w:p>
        </w:tc>
      </w:tr>
      <w:tr>
        <w:trPr>
          <w:trHeight w:val="703"/>
        </w:trPr>
        <w:tc>
          <w:tcPr>
            <w:tcW w:w="3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1260" w:type="dxa"/>
            <w:vAlign w:val="bottom"/>
            <w:gridSpan w:val="8"/>
            <w:vMerge w:val="restart"/>
          </w:tcPr>
          <w:p>
            <w:pPr>
              <w:spacing w:after="0"/>
              <w:rPr>
                <w:rFonts w:ascii="Arial" w:cs="Arial" w:eastAsia="Arial" w:hAnsi="Arial"/>
                <w:sz w:val="15"/>
                <w:szCs w:val="15"/>
                <w:color w:val="0000EE"/>
                <w:w w:val="87"/>
              </w:rPr>
            </w:pPr>
            <w:hyperlink w:anchor="page5">
              <w:r>
                <w:rPr>
                  <w:rFonts w:ascii="Arial" w:cs="Arial" w:eastAsia="Arial" w:hAnsi="Arial"/>
                  <w:sz w:val="15"/>
                  <w:szCs w:val="15"/>
                  <w:color w:val="0000EE"/>
                  <w:w w:val="87"/>
                </w:rPr>
                <w:t>Prospectus summary</w:t>
              </w:r>
            </w:hyperlink>
          </w:p>
        </w:tc>
        <w:tc>
          <w:tcPr>
            <w:tcW w:w="4820" w:type="dxa"/>
            <w:vAlign w:val="bottom"/>
            <w:gridSpan w:val="15"/>
            <w:vMerge w:val="restart"/>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0000EE"/>
            </w:tcBorders>
            <w:gridSpan w:val="8"/>
            <w:vMerge w:val="continue"/>
          </w:tcPr>
          <w:p>
            <w:pPr>
              <w:spacing w:after="0"/>
              <w:rPr>
                <w:sz w:val="14"/>
                <w:szCs w:val="14"/>
                <w:color w:val="auto"/>
              </w:rPr>
            </w:pPr>
          </w:p>
        </w:tc>
        <w:tc>
          <w:tcPr>
            <w:tcW w:w="4820" w:type="dxa"/>
            <w:vAlign w:val="bottom"/>
            <w:gridSpan w:val="15"/>
            <w:vMerge w:val="continue"/>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31" w:lineRule="exact"/>
              <w:rPr>
                <w:rFonts w:ascii="Arial" w:cs="Arial" w:eastAsia="Arial" w:hAnsi="Arial"/>
                <w:sz w:val="15"/>
                <w:szCs w:val="15"/>
                <w:b w:val="1"/>
                <w:bCs w:val="1"/>
                <w:color w:val="0000EE"/>
                <w:w w:val="71"/>
              </w:rPr>
            </w:pPr>
            <w:hyperlink w:anchor="page5">
              <w:r>
                <w:rPr>
                  <w:rFonts w:ascii="Arial" w:cs="Arial" w:eastAsia="Arial" w:hAnsi="Arial"/>
                  <w:sz w:val="15"/>
                  <w:szCs w:val="15"/>
                  <w:b w:val="1"/>
                  <w:bCs w:val="1"/>
                  <w:color w:val="0000EE"/>
                  <w:w w:val="71"/>
                </w:rPr>
                <w:t>1</w:t>
              </w:r>
            </w:hyperlink>
          </w:p>
        </w:tc>
        <w:tc>
          <w:tcPr>
            <w:tcW w:w="0" w:type="dxa"/>
            <w:vAlign w:val="bottom"/>
          </w:tcPr>
          <w:p>
            <w:pPr>
              <w:spacing w:after="0"/>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6">
              <w:r>
                <w:rPr>
                  <w:rFonts w:ascii="Arial" w:cs="Arial" w:eastAsia="Arial" w:hAnsi="Arial"/>
                  <w:sz w:val="15"/>
                  <w:szCs w:val="15"/>
                  <w:color w:val="0000EE"/>
                </w:rPr>
                <w:t>Risk factors</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6">
              <w:r>
                <w:rPr>
                  <w:rFonts w:ascii="Arial" w:cs="Arial" w:eastAsia="Arial" w:hAnsi="Arial"/>
                  <w:sz w:val="15"/>
                  <w:szCs w:val="15"/>
                  <w:b w:val="1"/>
                  <w:bCs w:val="1"/>
                  <w:color w:val="0000EE"/>
                </w:rPr>
                <w:t>12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67">
              <w:r>
                <w:rPr>
                  <w:rFonts w:ascii="Arial" w:cs="Arial" w:eastAsia="Arial" w:hAnsi="Arial"/>
                  <w:sz w:val="15"/>
                  <w:szCs w:val="15"/>
                  <w:color w:val="0000EE"/>
                </w:rPr>
                <w:t>Special note regarding forward-looking statements</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7">
              <w:r>
                <w:rPr>
                  <w:rFonts w:ascii="Arial" w:cs="Arial" w:eastAsia="Arial" w:hAnsi="Arial"/>
                  <w:sz w:val="15"/>
                  <w:szCs w:val="15"/>
                  <w:b w:val="1"/>
                  <w:bCs w:val="1"/>
                  <w:color w:val="0000EE"/>
                </w:rPr>
                <w:t>63</w:t>
              </w:r>
            </w:hyperlink>
          </w:p>
        </w:tc>
        <w:tc>
          <w:tcPr>
            <w:tcW w:w="0" w:type="dxa"/>
            <w:vAlign w:val="bottom"/>
          </w:tcPr>
          <w:p>
            <w:pPr>
              <w:spacing w:after="0"/>
              <w:rPr>
                <w:sz w:val="1"/>
                <w:szCs w:val="1"/>
                <w:color w:val="auto"/>
              </w:rPr>
            </w:pPr>
          </w:p>
        </w:tc>
      </w:tr>
      <w:tr>
        <w:trPr>
          <w:trHeight w:val="20"/>
        </w:trPr>
        <w:tc>
          <w:tcPr>
            <w:tcW w:w="1400" w:type="dxa"/>
            <w:vAlign w:val="bottom"/>
            <w:tcBorders>
              <w:top w:val="single" w:sz="8" w:color="0000EE"/>
            </w:tcBorders>
            <w:gridSpan w:val="10"/>
            <w:vMerge w:val="restart"/>
          </w:tcPr>
          <w:p>
            <w:pPr>
              <w:spacing w:after="0" w:line="154" w:lineRule="exact"/>
              <w:rPr>
                <w:rFonts w:ascii="Arial" w:cs="Arial" w:eastAsia="Arial" w:hAnsi="Arial"/>
                <w:sz w:val="15"/>
                <w:szCs w:val="15"/>
                <w:color w:val="0000EE"/>
                <w:w w:val="89"/>
              </w:rPr>
            </w:pPr>
            <w:hyperlink w:anchor="page68">
              <w:r>
                <w:rPr>
                  <w:rFonts w:ascii="Arial" w:cs="Arial" w:eastAsia="Arial" w:hAnsi="Arial"/>
                  <w:sz w:val="15"/>
                  <w:szCs w:val="15"/>
                  <w:color w:val="0000EE"/>
                  <w:w w:val="89"/>
                </w:rPr>
                <w:t>Industry and other data</w:t>
              </w:r>
            </w:hyperlink>
          </w:p>
        </w:tc>
        <w:tc>
          <w:tcPr>
            <w:tcW w:w="1660" w:type="dxa"/>
            <w:vAlign w:val="bottom"/>
            <w:tcBorders>
              <w:top w:val="single" w:sz="8" w:color="0000EE"/>
            </w:tcBorders>
            <w:gridSpan w:val="8"/>
            <w:vMerge w:val="restart"/>
          </w:tcPr>
          <w:p>
            <w:pPr>
              <w:spacing w:after="0" w:line="20" w:lineRule="exact"/>
              <w:rPr>
                <w:sz w:val="1"/>
                <w:szCs w:val="1"/>
                <w:color w:val="auto"/>
              </w:rPr>
            </w:pPr>
          </w:p>
        </w:tc>
        <w:tc>
          <w:tcPr>
            <w:tcW w:w="3020" w:type="dxa"/>
            <w:vAlign w:val="bottom"/>
            <w:gridSpan w:val="5"/>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0" w:type="dxa"/>
            <w:vAlign w:val="bottom"/>
            <w:tcBorders>
              <w:bottom w:val="single" w:sz="8" w:color="0000EE"/>
            </w:tcBorders>
            <w:gridSpan w:val="10"/>
            <w:vMerge w:val="continue"/>
          </w:tcPr>
          <w:p>
            <w:pPr>
              <w:spacing w:after="0"/>
              <w:rPr>
                <w:sz w:val="12"/>
                <w:szCs w:val="12"/>
                <w:color w:val="auto"/>
              </w:rPr>
            </w:pPr>
          </w:p>
        </w:tc>
        <w:tc>
          <w:tcPr>
            <w:tcW w:w="1660" w:type="dxa"/>
            <w:vAlign w:val="bottom"/>
            <w:gridSpan w:val="8"/>
            <w:vMerge w:val="continue"/>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8">
              <w:r>
                <w:rPr>
                  <w:rFonts w:ascii="Arial" w:cs="Arial" w:eastAsia="Arial" w:hAnsi="Arial"/>
                  <w:sz w:val="15"/>
                  <w:szCs w:val="15"/>
                  <w:b w:val="1"/>
                  <w:bCs w:val="1"/>
                  <w:color w:val="0000EE"/>
                </w:rPr>
                <w:t>64</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68">
              <w:r>
                <w:rPr>
                  <w:rFonts w:ascii="Arial" w:cs="Arial" w:eastAsia="Arial" w:hAnsi="Arial"/>
                  <w:sz w:val="15"/>
                  <w:szCs w:val="15"/>
                  <w:color w:val="0000EE"/>
                </w:rPr>
                <w:t>Trademarks, service marks and tradenames</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8">
              <w:r>
                <w:rPr>
                  <w:rFonts w:ascii="Arial" w:cs="Arial" w:eastAsia="Arial" w:hAnsi="Arial"/>
                  <w:sz w:val="15"/>
                  <w:szCs w:val="15"/>
                  <w:b w:val="1"/>
                  <w:bCs w:val="1"/>
                  <w:color w:val="0000EE"/>
                </w:rPr>
                <w:t>64</w:t>
              </w:r>
            </w:hyperlink>
          </w:p>
        </w:tc>
        <w:tc>
          <w:tcPr>
            <w:tcW w:w="0" w:type="dxa"/>
            <w:vAlign w:val="bottom"/>
          </w:tcPr>
          <w:p>
            <w:pPr>
              <w:spacing w:after="0"/>
              <w:rPr>
                <w:sz w:val="1"/>
                <w:szCs w:val="1"/>
                <w:color w:val="auto"/>
              </w:rPr>
            </w:pPr>
          </w:p>
        </w:tc>
      </w:tr>
      <w:tr>
        <w:trPr>
          <w:trHeight w:val="20"/>
        </w:trPr>
        <w:tc>
          <w:tcPr>
            <w:tcW w:w="980" w:type="dxa"/>
            <w:vAlign w:val="bottom"/>
            <w:tcBorders>
              <w:top w:val="single" w:sz="8" w:color="0000EE"/>
            </w:tcBorders>
            <w:gridSpan w:val="7"/>
            <w:vMerge w:val="restart"/>
          </w:tcPr>
          <w:p>
            <w:pPr>
              <w:spacing w:after="0" w:line="154" w:lineRule="exact"/>
              <w:rPr>
                <w:rFonts w:ascii="Arial" w:cs="Arial" w:eastAsia="Arial" w:hAnsi="Arial"/>
                <w:sz w:val="15"/>
                <w:szCs w:val="15"/>
                <w:color w:val="0000EE"/>
                <w:w w:val="87"/>
              </w:rPr>
            </w:pPr>
            <w:hyperlink w:anchor="page69">
              <w:r>
                <w:rPr>
                  <w:rFonts w:ascii="Arial" w:cs="Arial" w:eastAsia="Arial" w:hAnsi="Arial"/>
                  <w:sz w:val="15"/>
                  <w:szCs w:val="15"/>
                  <w:color w:val="0000EE"/>
                  <w:w w:val="87"/>
                </w:rPr>
                <w:t>Use of proceeds</w:t>
              </w:r>
            </w:hyperlink>
          </w:p>
        </w:tc>
        <w:tc>
          <w:tcPr>
            <w:tcW w:w="1620" w:type="dxa"/>
            <w:vAlign w:val="bottom"/>
            <w:tcBorders>
              <w:top w:val="single" w:sz="8" w:color="0000EE"/>
            </w:tcBorders>
            <w:gridSpan w:val="10"/>
            <w:vMerge w:val="restart"/>
          </w:tcPr>
          <w:p>
            <w:pPr>
              <w:spacing w:after="0" w:line="20" w:lineRule="exact"/>
              <w:rPr>
                <w:sz w:val="1"/>
                <w:szCs w:val="1"/>
                <w:color w:val="auto"/>
              </w:rPr>
            </w:pPr>
          </w:p>
        </w:tc>
        <w:tc>
          <w:tcPr>
            <w:tcW w:w="3480" w:type="dxa"/>
            <w:vAlign w:val="bottom"/>
            <w:gridSpan w:val="6"/>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80" w:type="dxa"/>
            <w:vAlign w:val="bottom"/>
            <w:tcBorders>
              <w:bottom w:val="single" w:sz="8" w:color="0000EE"/>
            </w:tcBorders>
            <w:gridSpan w:val="7"/>
            <w:vMerge w:val="continue"/>
          </w:tcPr>
          <w:p>
            <w:pPr>
              <w:spacing w:after="0"/>
              <w:rPr>
                <w:sz w:val="12"/>
                <w:szCs w:val="12"/>
                <w:color w:val="auto"/>
              </w:rPr>
            </w:pPr>
          </w:p>
        </w:tc>
        <w:tc>
          <w:tcPr>
            <w:tcW w:w="1620" w:type="dxa"/>
            <w:vAlign w:val="bottom"/>
            <w:gridSpan w:val="10"/>
            <w:vMerge w:val="continue"/>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9">
              <w:r>
                <w:rPr>
                  <w:rFonts w:ascii="Arial" w:cs="Arial" w:eastAsia="Arial" w:hAnsi="Arial"/>
                  <w:sz w:val="15"/>
                  <w:szCs w:val="15"/>
                  <w:b w:val="1"/>
                  <w:bCs w:val="1"/>
                  <w:color w:val="0000EE"/>
                </w:rPr>
                <w:t>65</w:t>
              </w:r>
            </w:hyperlink>
          </w:p>
        </w:tc>
        <w:tc>
          <w:tcPr>
            <w:tcW w:w="0" w:type="dxa"/>
            <w:vAlign w:val="bottom"/>
          </w:tcPr>
          <w:p>
            <w:pPr>
              <w:spacing w:after="0"/>
              <w:rPr>
                <w:sz w:val="1"/>
                <w:szCs w:val="1"/>
                <w:color w:val="auto"/>
              </w:rPr>
            </w:pPr>
          </w:p>
        </w:tc>
      </w:tr>
      <w:tr>
        <w:trPr>
          <w:trHeight w:val="20"/>
        </w:trPr>
        <w:tc>
          <w:tcPr>
            <w:tcW w:w="980" w:type="dxa"/>
            <w:vAlign w:val="bottom"/>
            <w:gridSpan w:val="7"/>
            <w:vMerge w:val="restart"/>
          </w:tcPr>
          <w:p>
            <w:pPr>
              <w:spacing w:after="0" w:line="154" w:lineRule="exact"/>
              <w:rPr>
                <w:rFonts w:ascii="Arial" w:cs="Arial" w:eastAsia="Arial" w:hAnsi="Arial"/>
                <w:sz w:val="15"/>
                <w:szCs w:val="15"/>
                <w:color w:val="0000EE"/>
                <w:w w:val="95"/>
              </w:rPr>
            </w:pPr>
            <w:hyperlink w:anchor="page70">
              <w:r>
                <w:rPr>
                  <w:rFonts w:ascii="Arial" w:cs="Arial" w:eastAsia="Arial" w:hAnsi="Arial"/>
                  <w:sz w:val="15"/>
                  <w:szCs w:val="15"/>
                  <w:color w:val="0000EE"/>
                  <w:w w:val="95"/>
                </w:rPr>
                <w:t>Dividend policy</w:t>
              </w:r>
            </w:hyperlink>
          </w:p>
        </w:tc>
        <w:tc>
          <w:tcPr>
            <w:tcW w:w="5100" w:type="dxa"/>
            <w:vAlign w:val="bottom"/>
            <w:gridSpan w:val="16"/>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80" w:type="dxa"/>
            <w:vAlign w:val="bottom"/>
            <w:tcBorders>
              <w:bottom w:val="single" w:sz="8" w:color="0000EE"/>
            </w:tcBorders>
            <w:gridSpan w:val="7"/>
            <w:vMerge w:val="continue"/>
          </w:tcPr>
          <w:p>
            <w:pPr>
              <w:spacing w:after="0"/>
              <w:rPr>
                <w:sz w:val="12"/>
                <w:szCs w:val="12"/>
                <w:color w:val="auto"/>
              </w:rPr>
            </w:pPr>
          </w:p>
        </w:tc>
        <w:tc>
          <w:tcPr>
            <w:tcW w:w="5100" w:type="dxa"/>
            <w:vAlign w:val="bottom"/>
            <w:gridSpan w:val="16"/>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0">
              <w:r>
                <w:rPr>
                  <w:rFonts w:ascii="Arial" w:cs="Arial" w:eastAsia="Arial" w:hAnsi="Arial"/>
                  <w:sz w:val="15"/>
                  <w:szCs w:val="15"/>
                  <w:b w:val="1"/>
                  <w:bCs w:val="1"/>
                  <w:color w:val="0000EE"/>
                </w:rPr>
                <w:t>66</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71">
              <w:r>
                <w:rPr>
                  <w:rFonts w:ascii="Arial" w:cs="Arial" w:eastAsia="Arial" w:hAnsi="Arial"/>
                  <w:sz w:val="15"/>
                  <w:szCs w:val="15"/>
                  <w:color w:val="0000EE"/>
                </w:rPr>
                <w:t>Capitalization</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1">
              <w:r>
                <w:rPr>
                  <w:rFonts w:ascii="Arial" w:cs="Arial" w:eastAsia="Arial" w:hAnsi="Arial"/>
                  <w:sz w:val="15"/>
                  <w:szCs w:val="15"/>
                  <w:b w:val="1"/>
                  <w:bCs w:val="1"/>
                  <w:color w:val="0000EE"/>
                </w:rPr>
                <w:t>67</w:t>
              </w:r>
            </w:hyperlink>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gridSpan w:val="6"/>
            <w:vMerge w:val="restart"/>
          </w:tcPr>
          <w:p>
            <w:pPr>
              <w:spacing w:after="0" w:line="154" w:lineRule="exact"/>
              <w:rPr>
                <w:rFonts w:ascii="Arial" w:cs="Arial" w:eastAsia="Arial" w:hAnsi="Arial"/>
                <w:sz w:val="15"/>
                <w:szCs w:val="15"/>
                <w:color w:val="0000EE"/>
              </w:rPr>
            </w:pPr>
            <w:hyperlink w:anchor="page73">
              <w:r>
                <w:rPr>
                  <w:rFonts w:ascii="Arial" w:cs="Arial" w:eastAsia="Arial" w:hAnsi="Arial"/>
                  <w:sz w:val="15"/>
                  <w:szCs w:val="15"/>
                  <w:color w:val="0000EE"/>
                </w:rPr>
                <w:t>Dilution</w:t>
              </w:r>
            </w:hyperlink>
          </w:p>
        </w:tc>
        <w:tc>
          <w:tcPr>
            <w:tcW w:w="5240" w:type="dxa"/>
            <w:vAlign w:val="bottom"/>
            <w:gridSpan w:val="17"/>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40" w:type="dxa"/>
            <w:vAlign w:val="bottom"/>
            <w:gridSpan w:val="6"/>
            <w:vMerge w:val="continue"/>
          </w:tcPr>
          <w:p>
            <w:pPr>
              <w:spacing w:after="0"/>
              <w:rPr>
                <w:sz w:val="12"/>
                <w:szCs w:val="12"/>
                <w:color w:val="auto"/>
              </w:rPr>
            </w:pPr>
          </w:p>
        </w:tc>
        <w:tc>
          <w:tcPr>
            <w:tcW w:w="5240" w:type="dxa"/>
            <w:vAlign w:val="bottom"/>
            <w:gridSpan w:val="17"/>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3">
              <w:r>
                <w:rPr>
                  <w:rFonts w:ascii="Arial" w:cs="Arial" w:eastAsia="Arial" w:hAnsi="Arial"/>
                  <w:sz w:val="15"/>
                  <w:szCs w:val="15"/>
                  <w:b w:val="1"/>
                  <w:bCs w:val="1"/>
                  <w:color w:val="0000EE"/>
                </w:rPr>
                <w:t>69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76">
              <w:r>
                <w:rPr>
                  <w:rFonts w:ascii="Arial" w:cs="Arial" w:eastAsia="Arial" w:hAnsi="Arial"/>
                  <w:sz w:val="15"/>
                  <w:szCs w:val="15"/>
                  <w:color w:val="0000EE"/>
                </w:rPr>
                <w:t>Selected consolidated financial data</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6">
              <w:r>
                <w:rPr>
                  <w:rFonts w:ascii="Arial" w:cs="Arial" w:eastAsia="Arial" w:hAnsi="Arial"/>
                  <w:sz w:val="15"/>
                  <w:szCs w:val="15"/>
                  <w:b w:val="1"/>
                  <w:bCs w:val="1"/>
                  <w:color w:val="0000EE"/>
                </w:rPr>
                <w:t>72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80" w:type="dxa"/>
            <w:vAlign w:val="bottom"/>
            <w:tcBorders>
              <w:bottom w:val="single" w:sz="8" w:color="0000EE"/>
            </w:tcBorders>
            <w:gridSpan w:val="22"/>
          </w:tcPr>
          <w:p>
            <w:pPr>
              <w:spacing w:after="0" w:line="134" w:lineRule="exact"/>
              <w:rPr>
                <w:rFonts w:ascii="Arial" w:cs="Arial" w:eastAsia="Arial" w:hAnsi="Arial"/>
                <w:sz w:val="15"/>
                <w:szCs w:val="15"/>
                <w:color w:val="0000EE"/>
                <w:w w:val="90"/>
              </w:rPr>
            </w:pPr>
            <w:hyperlink w:anchor="page78">
              <w:r>
                <w:rPr>
                  <w:rFonts w:ascii="Arial" w:cs="Arial" w:eastAsia="Arial" w:hAnsi="Arial"/>
                  <w:sz w:val="15"/>
                  <w:szCs w:val="15"/>
                  <w:color w:val="0000EE"/>
                  <w:w w:val="90"/>
                </w:rPr>
                <w:t>Management's discussion and analysis of financial condition and results of operations</w:t>
              </w:r>
            </w:hyperlink>
          </w:p>
        </w:tc>
        <w:tc>
          <w:tcPr>
            <w:tcW w:w="900" w:type="dxa"/>
            <w:vAlign w:val="bottom"/>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8">
              <w:r>
                <w:rPr>
                  <w:rFonts w:ascii="Arial" w:cs="Arial" w:eastAsia="Arial" w:hAnsi="Arial"/>
                  <w:sz w:val="15"/>
                  <w:szCs w:val="15"/>
                  <w:b w:val="1"/>
                  <w:bCs w:val="1"/>
                  <w:color w:val="0000EE"/>
                </w:rPr>
                <w:t>74</w:t>
              </w:r>
            </w:hyperlink>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line="154" w:lineRule="exact"/>
              <w:rPr>
                <w:rFonts w:ascii="Arial" w:cs="Arial" w:eastAsia="Arial" w:hAnsi="Arial"/>
                <w:sz w:val="15"/>
                <w:szCs w:val="15"/>
                <w:color w:val="0000EE"/>
                <w:w w:val="85"/>
              </w:rPr>
            </w:pPr>
            <w:hyperlink w:anchor="page99">
              <w:r>
                <w:rPr>
                  <w:rFonts w:ascii="Arial" w:cs="Arial" w:eastAsia="Arial" w:hAnsi="Arial"/>
                  <w:sz w:val="15"/>
                  <w:szCs w:val="15"/>
                  <w:color w:val="0000EE"/>
                  <w:w w:val="85"/>
                </w:rPr>
                <w:t>Business</w:t>
              </w:r>
            </w:hyperlink>
          </w:p>
        </w:tc>
        <w:tc>
          <w:tcPr>
            <w:tcW w:w="5540" w:type="dxa"/>
            <w:vAlign w:val="bottom"/>
            <w:gridSpan w:val="21"/>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0" w:type="dxa"/>
            <w:vAlign w:val="bottom"/>
            <w:tcBorders>
              <w:bottom w:val="single" w:sz="8" w:color="0000EE"/>
            </w:tcBorders>
            <w:gridSpan w:val="2"/>
            <w:vMerge w:val="continue"/>
          </w:tcPr>
          <w:p>
            <w:pPr>
              <w:spacing w:after="0"/>
              <w:rPr>
                <w:sz w:val="12"/>
                <w:szCs w:val="12"/>
                <w:color w:val="auto"/>
              </w:rPr>
            </w:pPr>
          </w:p>
        </w:tc>
        <w:tc>
          <w:tcPr>
            <w:tcW w:w="5540" w:type="dxa"/>
            <w:vAlign w:val="bottom"/>
            <w:gridSpan w:val="21"/>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99">
              <w:r>
                <w:rPr>
                  <w:rFonts w:ascii="Arial" w:cs="Arial" w:eastAsia="Arial" w:hAnsi="Arial"/>
                  <w:sz w:val="15"/>
                  <w:szCs w:val="15"/>
                  <w:b w:val="1"/>
                  <w:bCs w:val="1"/>
                  <w:color w:val="0000EE"/>
                </w:rPr>
                <w:t>95</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52">
              <w:r>
                <w:rPr>
                  <w:rFonts w:ascii="Arial" w:cs="Arial" w:eastAsia="Arial" w:hAnsi="Arial"/>
                  <w:sz w:val="15"/>
                  <w:szCs w:val="15"/>
                  <w:color w:val="0000EE"/>
                </w:rPr>
                <w:t>Management</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52">
              <w:r>
                <w:rPr>
                  <w:rFonts w:ascii="Arial" w:cs="Arial" w:eastAsia="Arial" w:hAnsi="Arial"/>
                  <w:sz w:val="15"/>
                  <w:szCs w:val="15"/>
                  <w:b w:val="1"/>
                  <w:bCs w:val="1"/>
                  <w:color w:val="0000EE"/>
                </w:rPr>
                <w:t>148</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61">
              <w:r>
                <w:rPr>
                  <w:rFonts w:ascii="Arial" w:cs="Arial" w:eastAsia="Arial" w:hAnsi="Arial"/>
                  <w:sz w:val="15"/>
                  <w:szCs w:val="15"/>
                  <w:color w:val="0000EE"/>
                </w:rPr>
                <w:t>Executive and director compensation</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61">
              <w:r>
                <w:rPr>
                  <w:rFonts w:ascii="Arial" w:cs="Arial" w:eastAsia="Arial" w:hAnsi="Arial"/>
                  <w:sz w:val="15"/>
                  <w:szCs w:val="15"/>
                  <w:b w:val="1"/>
                  <w:bCs w:val="1"/>
                  <w:color w:val="0000EE"/>
                </w:rPr>
                <w:t>157</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160" w:type="dxa"/>
            <w:vAlign w:val="bottom"/>
            <w:tcBorders>
              <w:bottom w:val="single" w:sz="8" w:color="0000EE"/>
            </w:tcBorders>
            <w:gridSpan w:val="20"/>
          </w:tcPr>
          <w:p>
            <w:pPr>
              <w:spacing w:after="0" w:line="134" w:lineRule="exact"/>
              <w:rPr>
                <w:rFonts w:ascii="Arial" w:cs="Arial" w:eastAsia="Arial" w:hAnsi="Arial"/>
                <w:sz w:val="15"/>
                <w:szCs w:val="15"/>
                <w:color w:val="0000EE"/>
                <w:w w:val="89"/>
              </w:rPr>
            </w:pPr>
            <w:hyperlink w:anchor="page173">
              <w:r>
                <w:rPr>
                  <w:rFonts w:ascii="Arial" w:cs="Arial" w:eastAsia="Arial" w:hAnsi="Arial"/>
                  <w:sz w:val="15"/>
                  <w:szCs w:val="15"/>
                  <w:color w:val="0000EE"/>
                  <w:w w:val="89"/>
                </w:rPr>
                <w:t>Certain relationships and related person transactions</w:t>
              </w:r>
            </w:hyperlink>
          </w:p>
        </w:tc>
        <w:tc>
          <w:tcPr>
            <w:tcW w:w="2920" w:type="dxa"/>
            <w:vAlign w:val="bottom"/>
            <w:gridSpan w:val="3"/>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73">
              <w:r>
                <w:rPr>
                  <w:rFonts w:ascii="Arial" w:cs="Arial" w:eastAsia="Arial" w:hAnsi="Arial"/>
                  <w:sz w:val="15"/>
                  <w:szCs w:val="15"/>
                  <w:b w:val="1"/>
                  <w:bCs w:val="1"/>
                  <w:color w:val="0000EE"/>
                </w:rPr>
                <w:t>169</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77">
              <w:r>
                <w:rPr>
                  <w:rFonts w:ascii="Arial" w:cs="Arial" w:eastAsia="Arial" w:hAnsi="Arial"/>
                  <w:sz w:val="15"/>
                  <w:szCs w:val="15"/>
                  <w:color w:val="0000EE"/>
                </w:rPr>
                <w:t>Principal stockholders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77">
              <w:r>
                <w:rPr>
                  <w:rFonts w:ascii="Arial" w:cs="Arial" w:eastAsia="Arial" w:hAnsi="Arial"/>
                  <w:sz w:val="15"/>
                  <w:szCs w:val="15"/>
                  <w:b w:val="1"/>
                  <w:bCs w:val="1"/>
                  <w:color w:val="0000EE"/>
                </w:rPr>
                <w:t>173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80">
              <w:r>
                <w:rPr>
                  <w:rFonts w:ascii="Arial" w:cs="Arial" w:eastAsia="Arial" w:hAnsi="Arial"/>
                  <w:sz w:val="15"/>
                  <w:szCs w:val="15"/>
                  <w:color w:val="0000EE"/>
                </w:rPr>
                <w:t>Description of capital stock</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0">
              <w:r>
                <w:rPr>
                  <w:rFonts w:ascii="Arial" w:cs="Arial" w:eastAsia="Arial" w:hAnsi="Arial"/>
                  <w:sz w:val="15"/>
                  <w:szCs w:val="15"/>
                  <w:b w:val="1"/>
                  <w:bCs w:val="1"/>
                  <w:color w:val="0000EE"/>
                </w:rPr>
                <w:t>176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3"/>
          </w:tcPr>
          <w:p>
            <w:pPr>
              <w:spacing w:after="0" w:line="134" w:lineRule="exact"/>
              <w:rPr>
                <w:rFonts w:ascii="Arial" w:cs="Arial" w:eastAsia="Arial" w:hAnsi="Arial"/>
                <w:sz w:val="15"/>
                <w:szCs w:val="15"/>
                <w:color w:val="0000EE"/>
                <w:w w:val="90"/>
              </w:rPr>
            </w:pPr>
            <w:hyperlink w:anchor="page186">
              <w:r>
                <w:rPr>
                  <w:rFonts w:ascii="Arial" w:cs="Arial" w:eastAsia="Arial" w:hAnsi="Arial"/>
                  <w:sz w:val="15"/>
                  <w:szCs w:val="15"/>
                  <w:color w:val="0000EE"/>
                  <w:w w:val="90"/>
                </w:rPr>
                <w:t>Shares eligible for future sale</w:t>
              </w:r>
            </w:hyperlink>
          </w:p>
        </w:tc>
        <w:tc>
          <w:tcPr>
            <w:tcW w:w="4300" w:type="dxa"/>
            <w:vAlign w:val="bottom"/>
            <w:gridSpan w:val="10"/>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6">
              <w:r>
                <w:rPr>
                  <w:rFonts w:ascii="Arial" w:cs="Arial" w:eastAsia="Arial" w:hAnsi="Arial"/>
                  <w:sz w:val="15"/>
                  <w:szCs w:val="15"/>
                  <w:b w:val="1"/>
                  <w:bCs w:val="1"/>
                  <w:color w:val="0000EE"/>
                </w:rPr>
                <w:t>182</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89">
              <w:r>
                <w:rPr>
                  <w:rFonts w:ascii="Arial" w:cs="Arial" w:eastAsia="Arial" w:hAnsi="Arial"/>
                  <w:sz w:val="15"/>
                  <w:szCs w:val="15"/>
                  <w:color w:val="0000EE"/>
                </w:rPr>
                <w:t>Material U.S. federal income tax consequences to non-U.S. holders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9">
              <w:r>
                <w:rPr>
                  <w:rFonts w:ascii="Arial" w:cs="Arial" w:eastAsia="Arial" w:hAnsi="Arial"/>
                  <w:sz w:val="15"/>
                  <w:szCs w:val="15"/>
                  <w:b w:val="1"/>
                  <w:bCs w:val="1"/>
                  <w:color w:val="0000EE"/>
                </w:rPr>
                <w:t>185</w:t>
              </w:r>
            </w:hyperlink>
          </w:p>
        </w:tc>
        <w:tc>
          <w:tcPr>
            <w:tcW w:w="0" w:type="dxa"/>
            <w:vAlign w:val="bottom"/>
          </w:tcPr>
          <w:p>
            <w:pPr>
              <w:spacing w:after="0"/>
              <w:rPr>
                <w:sz w:val="1"/>
                <w:szCs w:val="1"/>
                <w:color w:val="auto"/>
              </w:rPr>
            </w:pPr>
          </w:p>
        </w:tc>
      </w:tr>
      <w:tr>
        <w:trPr>
          <w:trHeight w:val="20"/>
        </w:trPr>
        <w:tc>
          <w:tcPr>
            <w:tcW w:w="820" w:type="dxa"/>
            <w:vAlign w:val="bottom"/>
            <w:tcBorders>
              <w:top w:val="single" w:sz="8" w:color="0000EE"/>
            </w:tcBorders>
            <w:gridSpan w:val="5"/>
            <w:vMerge w:val="restart"/>
          </w:tcPr>
          <w:p>
            <w:pPr>
              <w:spacing w:after="0" w:line="154" w:lineRule="exact"/>
              <w:rPr>
                <w:rFonts w:ascii="Arial" w:cs="Arial" w:eastAsia="Arial" w:hAnsi="Arial"/>
                <w:sz w:val="15"/>
                <w:szCs w:val="15"/>
                <w:color w:val="0000EE"/>
                <w:w w:val="94"/>
              </w:rPr>
            </w:pPr>
            <w:hyperlink w:anchor="page193">
              <w:r>
                <w:rPr>
                  <w:rFonts w:ascii="Arial" w:cs="Arial" w:eastAsia="Arial" w:hAnsi="Arial"/>
                  <w:sz w:val="15"/>
                  <w:szCs w:val="15"/>
                  <w:color w:val="0000EE"/>
                  <w:w w:val="94"/>
                </w:rPr>
                <w:t>Underwriting</w:t>
              </w:r>
            </w:hyperlink>
          </w:p>
        </w:tc>
        <w:tc>
          <w:tcPr>
            <w:tcW w:w="3240" w:type="dxa"/>
            <w:vAlign w:val="bottom"/>
            <w:tcBorders>
              <w:top w:val="single" w:sz="8" w:color="0000EE"/>
            </w:tcBorders>
            <w:gridSpan w:val="16"/>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0" w:type="dxa"/>
            <w:vAlign w:val="bottom"/>
            <w:tcBorders>
              <w:bottom w:val="single" w:sz="8" w:color="0000EE"/>
            </w:tcBorders>
            <w:gridSpan w:val="5"/>
            <w:vMerge w:val="continue"/>
          </w:tcPr>
          <w:p>
            <w:pPr>
              <w:spacing w:after="0"/>
              <w:rPr>
                <w:sz w:val="12"/>
                <w:szCs w:val="12"/>
                <w:color w:val="auto"/>
              </w:rPr>
            </w:pPr>
          </w:p>
        </w:tc>
        <w:tc>
          <w:tcPr>
            <w:tcW w:w="3240" w:type="dxa"/>
            <w:vAlign w:val="bottom"/>
            <w:gridSpan w:val="16"/>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93">
              <w:r>
                <w:rPr>
                  <w:rFonts w:ascii="Arial" w:cs="Arial" w:eastAsia="Arial" w:hAnsi="Arial"/>
                  <w:sz w:val="15"/>
                  <w:szCs w:val="15"/>
                  <w:b w:val="1"/>
                  <w:bCs w:val="1"/>
                  <w:color w:val="0000EE"/>
                </w:rPr>
                <w:t>189</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200">
              <w:r>
                <w:rPr>
                  <w:rFonts w:ascii="Arial" w:cs="Arial" w:eastAsia="Arial" w:hAnsi="Arial"/>
                  <w:sz w:val="15"/>
                  <w:szCs w:val="15"/>
                  <w:color w:val="0000EE"/>
                </w:rPr>
                <w:t>Legal matters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0">
              <w:r>
                <w:rPr>
                  <w:rFonts w:ascii="Arial" w:cs="Arial" w:eastAsia="Arial" w:hAnsi="Arial"/>
                  <w:sz w:val="15"/>
                  <w:szCs w:val="15"/>
                  <w:b w:val="1"/>
                  <w:bCs w:val="1"/>
                  <w:color w:val="0000EE"/>
                </w:rPr>
                <w:t>196</w:t>
              </w:r>
            </w:hyperlink>
          </w:p>
        </w:tc>
        <w:tc>
          <w:tcPr>
            <w:tcW w:w="0" w:type="dxa"/>
            <w:vAlign w:val="bottom"/>
          </w:tcPr>
          <w:p>
            <w:pPr>
              <w:spacing w:after="0"/>
              <w:rPr>
                <w:sz w:val="1"/>
                <w:szCs w:val="1"/>
                <w:color w:val="auto"/>
              </w:rPr>
            </w:pPr>
          </w:p>
        </w:tc>
      </w:tr>
      <w:tr>
        <w:trPr>
          <w:trHeight w:val="20"/>
        </w:trPr>
        <w:tc>
          <w:tcPr>
            <w:tcW w:w="820" w:type="dxa"/>
            <w:vAlign w:val="bottom"/>
            <w:tcBorders>
              <w:top w:val="single" w:sz="8" w:color="0000EE"/>
            </w:tcBorders>
            <w:gridSpan w:val="5"/>
            <w:vMerge w:val="restart"/>
          </w:tcPr>
          <w:p>
            <w:pPr>
              <w:spacing w:after="0" w:line="154" w:lineRule="exact"/>
              <w:rPr>
                <w:rFonts w:ascii="Arial" w:cs="Arial" w:eastAsia="Arial" w:hAnsi="Arial"/>
                <w:sz w:val="15"/>
                <w:szCs w:val="15"/>
                <w:color w:val="0000EE"/>
              </w:rPr>
            </w:pPr>
            <w:hyperlink w:anchor="page200">
              <w:r>
                <w:rPr>
                  <w:rFonts w:ascii="Arial" w:cs="Arial" w:eastAsia="Arial" w:hAnsi="Arial"/>
                  <w:sz w:val="15"/>
                  <w:szCs w:val="15"/>
                  <w:color w:val="0000EE"/>
                </w:rPr>
                <w:t>Experts</w:t>
              </w:r>
            </w:hyperlink>
          </w:p>
        </w:tc>
        <w:tc>
          <w:tcPr>
            <w:tcW w:w="5260" w:type="dxa"/>
            <w:vAlign w:val="bottom"/>
            <w:gridSpan w:val="18"/>
            <w:vMerge w:val="restart"/>
          </w:tcPr>
          <w:p>
            <w:pPr>
              <w:spacing w:after="0" w:line="20" w:lineRule="exact"/>
              <w:rPr>
                <w:sz w:val="1"/>
                <w:szCs w:val="1"/>
                <w:color w:val="auto"/>
              </w:rPr>
            </w:pPr>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 w:type="dxa"/>
            <w:vAlign w:val="bottom"/>
            <w:gridSpan w:val="5"/>
            <w:vMerge w:val="continue"/>
          </w:tcPr>
          <w:p>
            <w:pPr>
              <w:spacing w:after="0"/>
              <w:rPr>
                <w:sz w:val="12"/>
                <w:szCs w:val="12"/>
                <w:color w:val="auto"/>
              </w:rPr>
            </w:pPr>
          </w:p>
        </w:tc>
        <w:tc>
          <w:tcPr>
            <w:tcW w:w="5260" w:type="dxa"/>
            <w:vAlign w:val="bottom"/>
            <w:gridSpan w:val="18"/>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0">
              <w:r>
                <w:rPr>
                  <w:rFonts w:ascii="Arial" w:cs="Arial" w:eastAsia="Arial" w:hAnsi="Arial"/>
                  <w:sz w:val="15"/>
                  <w:szCs w:val="15"/>
                  <w:b w:val="1"/>
                  <w:bCs w:val="1"/>
                  <w:color w:val="0000EE"/>
                </w:rPr>
                <w:t>196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00" w:type="dxa"/>
            <w:vAlign w:val="bottom"/>
            <w:tcBorders>
              <w:bottom w:val="single" w:sz="8" w:color="0000EE"/>
            </w:tcBorders>
            <w:gridSpan w:val="16"/>
          </w:tcPr>
          <w:p>
            <w:pPr>
              <w:spacing w:after="0" w:line="134" w:lineRule="exact"/>
              <w:rPr>
                <w:rFonts w:ascii="Arial" w:cs="Arial" w:eastAsia="Arial" w:hAnsi="Arial"/>
                <w:sz w:val="15"/>
                <w:szCs w:val="15"/>
                <w:color w:val="0000EE"/>
                <w:w w:val="92"/>
              </w:rPr>
            </w:pPr>
            <w:hyperlink w:anchor="page200">
              <w:r>
                <w:rPr>
                  <w:rFonts w:ascii="Arial" w:cs="Arial" w:eastAsia="Arial" w:hAnsi="Arial"/>
                  <w:sz w:val="15"/>
                  <w:szCs w:val="15"/>
                  <w:color w:val="0000EE"/>
                  <w:w w:val="92"/>
                </w:rPr>
                <w:t>Where you can find more information</w:t>
              </w:r>
            </w:hyperlink>
          </w:p>
        </w:tc>
        <w:tc>
          <w:tcPr>
            <w:tcW w:w="3780" w:type="dxa"/>
            <w:vAlign w:val="bottom"/>
            <w:gridSpan w:val="7"/>
          </w:tcPr>
          <w:p>
            <w:pPr>
              <w:spacing w:after="0"/>
              <w:rPr>
                <w:sz w:val="14"/>
                <w:szCs w:val="14"/>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0">
              <w:r>
                <w:rPr>
                  <w:rFonts w:ascii="Arial" w:cs="Arial" w:eastAsia="Arial" w:hAnsi="Arial"/>
                  <w:sz w:val="15"/>
                  <w:szCs w:val="15"/>
                  <w:b w:val="1"/>
                  <w:bCs w:val="1"/>
                  <w:color w:val="0000EE"/>
                </w:rPr>
                <w:t>196</w:t>
              </w:r>
            </w:hyperlink>
          </w:p>
        </w:tc>
        <w:tc>
          <w:tcPr>
            <w:tcW w:w="0" w:type="dxa"/>
            <w:vAlign w:val="bottom"/>
          </w:tcPr>
          <w:p>
            <w:pPr>
              <w:spacing w:after="0"/>
              <w:rPr>
                <w:sz w:val="1"/>
                <w:szCs w:val="1"/>
                <w:color w:val="auto"/>
              </w:rPr>
            </w:pPr>
          </w:p>
        </w:tc>
      </w:tr>
      <w:tr>
        <w:trPr>
          <w:trHeight w:val="149"/>
        </w:trPr>
        <w:tc>
          <w:tcPr>
            <w:tcW w:w="6080" w:type="dxa"/>
            <w:vAlign w:val="bottom"/>
            <w:gridSpan w:val="23"/>
          </w:tcPr>
          <w:p>
            <w:pPr>
              <w:spacing w:after="0" w:line="134" w:lineRule="exact"/>
              <w:rPr>
                <w:rFonts w:ascii="Arial" w:cs="Arial" w:eastAsia="Arial" w:hAnsi="Arial"/>
                <w:sz w:val="15"/>
                <w:szCs w:val="15"/>
                <w:color w:val="0000EE"/>
              </w:rPr>
            </w:pPr>
            <w:hyperlink w:anchor="page201">
              <w:r>
                <w:rPr>
                  <w:rFonts w:ascii="Arial" w:cs="Arial" w:eastAsia="Arial" w:hAnsi="Arial"/>
                  <w:sz w:val="15"/>
                  <w:szCs w:val="15"/>
                  <w:color w:val="0000EE"/>
                </w:rPr>
                <w:t>Index to financial statements</w:t>
              </w:r>
            </w:hyperlink>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3" w:lineRule="exact"/>
              <w:rPr>
                <w:rFonts w:ascii="Arial" w:cs="Arial" w:eastAsia="Arial" w:hAnsi="Arial"/>
                <w:sz w:val="15"/>
                <w:szCs w:val="15"/>
                <w:b w:val="1"/>
                <w:bCs w:val="1"/>
                <w:color w:val="0000EE"/>
                <w:w w:val="88"/>
              </w:rPr>
            </w:pPr>
            <w:hyperlink w:anchor="page201">
              <w:r>
                <w:rPr>
                  <w:rFonts w:ascii="Arial" w:cs="Arial" w:eastAsia="Arial" w:hAnsi="Arial"/>
                  <w:sz w:val="15"/>
                  <w:szCs w:val="15"/>
                  <w:b w:val="1"/>
                  <w:bCs w:val="1"/>
                  <w:color w:val="0000EE"/>
                  <w:w w:val="88"/>
                </w:rPr>
                <w:t>F-1</w:t>
              </w:r>
            </w:hyperlink>
          </w:p>
        </w:tc>
        <w:tc>
          <w:tcPr>
            <w:tcW w:w="0" w:type="dxa"/>
            <w:vAlign w:val="bottom"/>
          </w:tcPr>
          <w:p>
            <w:pPr>
              <w:spacing w:after="0"/>
              <w:rPr>
                <w:sz w:val="1"/>
                <w:szCs w:val="1"/>
                <w:color w:val="auto"/>
              </w:rPr>
            </w:pPr>
          </w:p>
        </w:tc>
      </w:tr>
      <w:tr>
        <w:trPr>
          <w:trHeight w:val="197"/>
        </w:trPr>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b w:val="1"/>
          <w:bCs w:val="1"/>
          <w:color w:val="auto"/>
        </w:rPr>
        <w:t>Through and including , 2016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4411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441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4" w:lineRule="exact"/>
        <w:rPr>
          <w:sz w:val="20"/>
          <w:szCs w:val="20"/>
          <w:color w:val="auto"/>
        </w:rPr>
      </w:pPr>
    </w:p>
    <w:p>
      <w:pPr>
        <w:ind w:left="200" w:right="32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12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80"/>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w:t>
      </w:r>
    </w:p>
    <w:p>
      <w:pPr>
        <w:spacing w:after="0" w:line="157" w:lineRule="exact"/>
        <w:rPr>
          <w:sz w:val="20"/>
          <w:szCs w:val="20"/>
          <w:color w:val="auto"/>
        </w:rPr>
      </w:pPr>
    </w:p>
    <w:p>
      <w:pPr>
        <w:ind w:left="200" w:right="240"/>
        <w:spacing w:after="0" w:line="285" w:lineRule="auto"/>
        <w:rPr>
          <w:sz w:val="20"/>
          <w:szCs w:val="20"/>
          <w:color w:val="auto"/>
        </w:rPr>
      </w:pPr>
      <w:r>
        <w:rPr>
          <w:rFonts w:ascii="Arial" w:cs="Arial" w:eastAsia="Arial" w:hAnsi="Arial"/>
          <w:sz w:val="14"/>
          <w:szCs w:val="14"/>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320"/>
        <w:spacing w:after="0" w:line="266" w:lineRule="auto"/>
        <w:rPr>
          <w:sz w:val="20"/>
          <w:szCs w:val="20"/>
          <w:color w:val="auto"/>
        </w:rPr>
      </w:pPr>
      <w:r>
        <w:rPr>
          <w:rFonts w:ascii="Arial" w:cs="Arial" w:eastAsia="Arial" w:hAnsi="Arial"/>
          <w:sz w:val="15"/>
          <w:szCs w:val="15"/>
          <w:color w:val="auto"/>
        </w:rPr>
        <w:t>Our SVP technology is based on the pioneering research performed by our co-founders at Harvard University, Massachusetts Institute of Technology, or MIT, and Brigham and Women's Hospital, or Brigham. We license this technology pursuant to an agreement with MIT. Our SVP technology utilizes a biodegradable nanoparticle to selectively modulate an immune response in an antigen-specific manner. We believe that nanoparticles are uniquely suited to deliver precise instructions to the immune system as a result of the natural predisposition of the immune system to interrogate nanoparticles, such as viruses.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102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4102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right="120"/>
        <w:spacing w:after="0" w:line="283"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3" w:lineRule="exact"/>
        <w:rPr>
          <w:sz w:val="20"/>
          <w:szCs w:val="20"/>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chronic and refractory gout;</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antigen-specific immune tolerance to gene therapy under a collaboration with Genethon;</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infections and other diseases.</w:t>
      </w:r>
    </w:p>
    <w:p>
      <w:pPr>
        <w:spacing w:after="0" w:line="199" w:lineRule="exact"/>
        <w:rPr>
          <w:sz w:val="20"/>
          <w:szCs w:val="20"/>
          <w:color w:val="auto"/>
        </w:rPr>
      </w:pPr>
    </w:p>
    <w:p>
      <w:pPr>
        <w:ind w:left="200" w:right="560"/>
        <w:spacing w:after="0" w:line="320" w:lineRule="auto"/>
        <w:rPr>
          <w:sz w:val="20"/>
          <w:szCs w:val="20"/>
          <w:color w:val="auto"/>
        </w:rPr>
      </w:pPr>
      <w:r>
        <w:rPr>
          <w:rFonts w:ascii="Arial" w:cs="Arial" w:eastAsia="Arial" w:hAnsi="Arial"/>
          <w:sz w:val="14"/>
          <w:szCs w:val="14"/>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capable of either inducing a:</w:t>
      </w:r>
    </w:p>
    <w:p>
      <w:pPr>
        <w:spacing w:after="0" w:line="139" w:lineRule="exact"/>
        <w:rPr>
          <w:sz w:val="20"/>
          <w:szCs w:val="20"/>
          <w:color w:val="auto"/>
        </w:rPr>
      </w:pPr>
    </w:p>
    <w:p>
      <w:pPr>
        <w:ind w:left="660" w:hanging="46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9" w:lineRule="exact"/>
        <w:rPr>
          <w:sz w:val="20"/>
          <w:szCs w:val="20"/>
          <w:color w:val="auto"/>
        </w:rPr>
      </w:pPr>
    </w:p>
    <w:p>
      <w:pPr>
        <w:ind w:left="200"/>
        <w:spacing w:after="0" w:line="264"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5" w:lineRule="exact"/>
        <w:rPr>
          <w:sz w:val="20"/>
          <w:szCs w:val="20"/>
          <w:color w:val="auto"/>
        </w:rPr>
      </w:pPr>
    </w:p>
    <w:p>
      <w:pPr>
        <w:ind w:left="200"/>
        <w:spacing w:after="0" w:line="291"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To date, these programs have been primarily financed through grants.</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986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49866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PIPELINE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pipeline.</w:t>
      </w:r>
    </w:p>
    <w:p>
      <w:pPr>
        <w:spacing w:after="0" w:line="196" w:lineRule="exact"/>
        <w:rPr>
          <w:sz w:val="20"/>
          <w:szCs w:val="20"/>
          <w:color w:val="auto"/>
        </w:rPr>
      </w:pPr>
    </w:p>
    <w:p>
      <w:pPr>
        <w:ind w:left="200"/>
        <w:spacing w:after="0"/>
        <w:tabs>
          <w:tab w:leader="none" w:pos="3940" w:val="left"/>
          <w:tab w:leader="none" w:pos="6480" w:val="left"/>
          <w:tab w:leader="none" w:pos="9360" w:val="left"/>
        </w:tabs>
        <w:rPr>
          <w:sz w:val="20"/>
          <w:szCs w:val="20"/>
          <w:color w:val="auto"/>
        </w:rPr>
      </w:pPr>
      <w:r>
        <w:rPr>
          <w:rFonts w:ascii="Arial" w:cs="Arial" w:eastAsia="Arial" w:hAnsi="Arial"/>
          <w:sz w:val="12"/>
          <w:szCs w:val="12"/>
          <w:b w:val="1"/>
          <w:bCs w:val="1"/>
          <w:color w:val="auto"/>
        </w:rPr>
        <w:t>Program</w:t>
      </w:r>
      <w:r>
        <w:rPr>
          <w:sz w:val="20"/>
          <w:szCs w:val="20"/>
          <w:color w:val="auto"/>
        </w:rPr>
        <w:tab/>
      </w:r>
      <w:r>
        <w:rPr>
          <w:rFonts w:ascii="Arial" w:cs="Arial" w:eastAsia="Arial" w:hAnsi="Arial"/>
          <w:sz w:val="12"/>
          <w:szCs w:val="12"/>
          <w:b w:val="1"/>
          <w:bCs w:val="1"/>
          <w:color w:val="auto"/>
        </w:rPr>
        <w:t>Description</w:t>
      </w:r>
      <w:r>
        <w:rPr>
          <w:sz w:val="20"/>
          <w:szCs w:val="20"/>
          <w:color w:val="auto"/>
        </w:rPr>
        <w:tab/>
      </w:r>
      <w:r>
        <w:rPr>
          <w:rFonts w:ascii="Arial" w:cs="Arial" w:eastAsia="Arial" w:hAnsi="Arial"/>
          <w:sz w:val="12"/>
          <w:szCs w:val="12"/>
          <w:b w:val="1"/>
          <w:bCs w:val="1"/>
          <w:color w:val="auto"/>
        </w:rPr>
        <w:t>Development status</w:t>
      </w:r>
      <w:r>
        <w:rPr>
          <w:sz w:val="20"/>
          <w:szCs w:val="20"/>
          <w:color w:val="auto"/>
        </w:rPr>
        <w:tab/>
      </w:r>
      <w:r>
        <w:rPr>
          <w:rFonts w:ascii="Arial" w:cs="Arial" w:eastAsia="Arial" w:hAnsi="Arial"/>
          <w:sz w:val="12"/>
          <w:szCs w:val="12"/>
          <w:b w:val="1"/>
          <w:bCs w:val="1"/>
          <w:color w:val="auto"/>
        </w:rPr>
        <w:t>Program strategy</w:t>
      </w:r>
    </w:p>
    <w:p>
      <w:pPr>
        <w:sectPr>
          <w:pgSz w:w="11900" w:h="16838" w:orient="portrait"/>
          <w:cols w:equalWidth="0" w:num="1">
            <w:col w:w="11440"/>
          </w:cols>
          <w:pgMar w:left="240" w:top="132" w:right="219" w:bottom="1440" w:gutter="0" w:footer="0" w:header="0"/>
        </w:sectPr>
      </w:pP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Arial" w:cs="Arial" w:eastAsia="Arial" w:hAnsi="Arial"/>
                <w:sz w:val="15"/>
                <w:szCs w:val="15"/>
                <w:b w:val="1"/>
                <w:bCs w:val="1"/>
                <w:i w:val="1"/>
                <w:iCs w:val="1"/>
                <w:color w:val="auto"/>
              </w:rPr>
              <w:t>SVP for immune tolerance</w:t>
            </w:r>
          </w:p>
        </w:tc>
        <w:tc>
          <w:tcPr>
            <w:tcW w:w="26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381"/>
        </w:trPr>
        <w:tc>
          <w:tcPr>
            <w:tcW w:w="2700" w:type="dxa"/>
            <w:vAlign w:val="bottom"/>
          </w:tcPr>
          <w:p>
            <w:pPr>
              <w:spacing w:after="0"/>
              <w:rPr>
                <w:sz w:val="20"/>
                <w:szCs w:val="20"/>
                <w:color w:val="auto"/>
              </w:rPr>
            </w:pPr>
            <w:r>
              <w:rPr>
                <w:rFonts w:ascii="Arial" w:cs="Arial" w:eastAsia="Arial" w:hAnsi="Arial"/>
                <w:sz w:val="15"/>
                <w:szCs w:val="15"/>
                <w:color w:val="auto"/>
                <w:w w:val="93"/>
              </w:rPr>
              <w:t>Refractory and tophaceous gout (SEL-212)</w:t>
            </w:r>
          </w:p>
        </w:tc>
        <w:tc>
          <w:tcPr>
            <w:tcW w:w="2660" w:type="dxa"/>
            <w:vAlign w:val="bottom"/>
          </w:tcPr>
          <w:p>
            <w:pPr>
              <w:ind w:left="100"/>
              <w:spacing w:after="0"/>
              <w:rPr>
                <w:sz w:val="20"/>
                <w:szCs w:val="20"/>
                <w:color w:val="auto"/>
              </w:rPr>
            </w:pPr>
            <w:r>
              <w:rPr>
                <w:rFonts w:ascii="Arial" w:cs="Arial" w:eastAsia="Arial" w:hAnsi="Arial"/>
                <w:sz w:val="15"/>
                <w:szCs w:val="15"/>
                <w:color w:val="auto"/>
              </w:rPr>
              <w:t>SVP-Rapamycin co-administered with</w:t>
            </w:r>
          </w:p>
        </w:tc>
        <w:tc>
          <w:tcPr>
            <w:tcW w:w="2760" w:type="dxa"/>
            <w:vAlign w:val="bottom"/>
          </w:tcPr>
          <w:p>
            <w:pPr>
              <w:ind w:left="220"/>
              <w:spacing w:after="0"/>
              <w:rPr>
                <w:sz w:val="20"/>
                <w:szCs w:val="20"/>
                <w:color w:val="auto"/>
              </w:rPr>
            </w:pPr>
            <w:r>
              <w:rPr>
                <w:rFonts w:ascii="Arial" w:cs="Arial" w:eastAsia="Arial" w:hAnsi="Arial"/>
                <w:sz w:val="15"/>
                <w:szCs w:val="15"/>
                <w:color w:val="auto"/>
                <w:w w:val="95"/>
              </w:rPr>
              <w:t>Final data from Phase 1a and Phase 1b</w:t>
            </w:r>
          </w:p>
        </w:tc>
      </w:tr>
      <w:tr>
        <w:trPr>
          <w:trHeight w:val="190"/>
        </w:trPr>
        <w:tc>
          <w:tcPr>
            <w:tcW w:w="270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Arial" w:cs="Arial" w:eastAsia="Arial" w:hAnsi="Arial"/>
                <w:sz w:val="15"/>
                <w:szCs w:val="15"/>
                <w:color w:val="auto"/>
              </w:rPr>
              <w:t>pegsiticase</w:t>
            </w:r>
          </w:p>
        </w:tc>
        <w:tc>
          <w:tcPr>
            <w:tcW w:w="2760" w:type="dxa"/>
            <w:vAlign w:val="bottom"/>
          </w:tcPr>
          <w:p>
            <w:pPr>
              <w:ind w:left="220"/>
              <w:spacing w:after="0"/>
              <w:rPr>
                <w:sz w:val="20"/>
                <w:szCs w:val="20"/>
                <w:color w:val="auto"/>
              </w:rPr>
            </w:pPr>
            <w:r>
              <w:rPr>
                <w:rFonts w:ascii="Arial" w:cs="Arial" w:eastAsia="Arial" w:hAnsi="Arial"/>
                <w:sz w:val="15"/>
                <w:szCs w:val="15"/>
                <w:color w:val="auto"/>
              </w:rPr>
              <w:t>trials expected in the first half of 2016</w:t>
            </w:r>
          </w:p>
        </w:tc>
      </w:tr>
      <w:tr>
        <w:trPr>
          <w:trHeight w:val="390"/>
        </w:trPr>
        <w:tc>
          <w:tcPr>
            <w:tcW w:w="2700" w:type="dxa"/>
            <w:vAlign w:val="bottom"/>
          </w:tcPr>
          <w:p>
            <w:pPr>
              <w:spacing w:after="0"/>
              <w:rPr>
                <w:sz w:val="20"/>
                <w:szCs w:val="20"/>
                <w:color w:val="auto"/>
              </w:rPr>
            </w:pPr>
            <w:r>
              <w:rPr>
                <w:rFonts w:ascii="Arial" w:cs="Arial" w:eastAsia="Arial" w:hAnsi="Arial"/>
                <w:sz w:val="15"/>
                <w:szCs w:val="15"/>
                <w:color w:val="auto"/>
              </w:rPr>
              <w:t>Gene therapy</w:t>
            </w:r>
          </w:p>
        </w:tc>
        <w:tc>
          <w:tcPr>
            <w:tcW w:w="2660" w:type="dxa"/>
            <w:vAlign w:val="bottom"/>
          </w:tcPr>
          <w:p>
            <w:pPr>
              <w:ind w:left="100"/>
              <w:spacing w:after="0"/>
              <w:rPr>
                <w:sz w:val="20"/>
                <w:szCs w:val="20"/>
                <w:color w:val="auto"/>
              </w:rPr>
            </w:pPr>
            <w:r>
              <w:rPr>
                <w:rFonts w:ascii="Arial" w:cs="Arial" w:eastAsia="Arial" w:hAnsi="Arial"/>
                <w:sz w:val="15"/>
                <w:szCs w:val="15"/>
                <w:color w:val="auto"/>
              </w:rPr>
              <w:t>SVP-Rapamycin co-administered with</w:t>
            </w:r>
          </w:p>
        </w:tc>
        <w:tc>
          <w:tcPr>
            <w:tcW w:w="2760" w:type="dxa"/>
            <w:vAlign w:val="bottom"/>
          </w:tcPr>
          <w:p>
            <w:pPr>
              <w:ind w:left="220"/>
              <w:spacing w:after="0"/>
              <w:rPr>
                <w:sz w:val="20"/>
                <w:szCs w:val="20"/>
                <w:color w:val="auto"/>
              </w:rPr>
            </w:pPr>
            <w:r>
              <w:rPr>
                <w:rFonts w:ascii="Arial" w:cs="Arial" w:eastAsia="Arial" w:hAnsi="Arial"/>
                <w:sz w:val="15"/>
                <w:szCs w:val="15"/>
                <w:color w:val="auto"/>
                <w:w w:val="94"/>
              </w:rPr>
              <w:t>Investigational New Drug Application, or</w:t>
            </w:r>
          </w:p>
        </w:tc>
      </w:tr>
      <w:tr>
        <w:trPr>
          <w:trHeight w:val="186"/>
        </w:trPr>
        <w:tc>
          <w:tcPr>
            <w:tcW w:w="270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Arial" w:cs="Arial" w:eastAsia="Arial" w:hAnsi="Arial"/>
                <w:sz w:val="15"/>
                <w:szCs w:val="15"/>
                <w:color w:val="auto"/>
              </w:rPr>
              <w:t>AAV vector</w:t>
            </w:r>
          </w:p>
        </w:tc>
        <w:tc>
          <w:tcPr>
            <w:tcW w:w="2760" w:type="dxa"/>
            <w:vAlign w:val="bottom"/>
          </w:tcPr>
          <w:p>
            <w:pPr>
              <w:ind w:left="220"/>
              <w:spacing w:after="0"/>
              <w:rPr>
                <w:sz w:val="20"/>
                <w:szCs w:val="20"/>
                <w:color w:val="auto"/>
              </w:rPr>
            </w:pPr>
            <w:r>
              <w:rPr>
                <w:rFonts w:ascii="Arial" w:cs="Arial" w:eastAsia="Arial" w:hAnsi="Arial"/>
                <w:sz w:val="15"/>
                <w:szCs w:val="15"/>
                <w:color w:val="auto"/>
                <w:w w:val="95"/>
              </w:rPr>
              <w:t>IND, filing for first indication expected in</w:t>
            </w:r>
          </w:p>
        </w:tc>
      </w:tr>
      <w:tr>
        <w:trPr>
          <w:trHeight w:val="190"/>
        </w:trPr>
        <w:tc>
          <w:tcPr>
            <w:tcW w:w="2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60" w:type="dxa"/>
            <w:vAlign w:val="bottom"/>
          </w:tcPr>
          <w:p>
            <w:pPr>
              <w:ind w:left="220"/>
              <w:spacing w:after="0"/>
              <w:rPr>
                <w:sz w:val="20"/>
                <w:szCs w:val="20"/>
                <w:color w:val="auto"/>
              </w:rPr>
            </w:pPr>
            <w:r>
              <w:rPr>
                <w:rFonts w:ascii="Arial" w:cs="Arial" w:eastAsia="Arial" w:hAnsi="Arial"/>
                <w:sz w:val="15"/>
                <w:szCs w:val="15"/>
                <w:color w:val="auto"/>
              </w:rPr>
              <w:t>mid-2017</w:t>
            </w:r>
          </w:p>
        </w:tc>
      </w:tr>
      <w:tr>
        <w:trPr>
          <w:trHeight w:val="395"/>
        </w:trPr>
        <w:tc>
          <w:tcPr>
            <w:tcW w:w="2700" w:type="dxa"/>
            <w:vAlign w:val="bottom"/>
          </w:tcPr>
          <w:p>
            <w:pPr>
              <w:spacing w:after="0"/>
              <w:rPr>
                <w:sz w:val="20"/>
                <w:szCs w:val="20"/>
                <w:color w:val="auto"/>
              </w:rPr>
            </w:pPr>
            <w:r>
              <w:rPr>
                <w:rFonts w:ascii="Arial" w:cs="Arial" w:eastAsia="Arial" w:hAnsi="Arial"/>
                <w:sz w:val="15"/>
                <w:szCs w:val="15"/>
                <w:color w:val="auto"/>
              </w:rPr>
              <w:t>Food allergy</w:t>
            </w:r>
          </w:p>
        </w:tc>
        <w:tc>
          <w:tcPr>
            <w:tcW w:w="2660" w:type="dxa"/>
            <w:vAlign w:val="bottom"/>
          </w:tcPr>
          <w:p>
            <w:pPr>
              <w:ind w:left="100"/>
              <w:spacing w:after="0"/>
              <w:rPr>
                <w:sz w:val="20"/>
                <w:szCs w:val="20"/>
                <w:color w:val="auto"/>
              </w:rPr>
            </w:pPr>
            <w:r>
              <w:rPr>
                <w:rFonts w:ascii="Arial" w:cs="Arial" w:eastAsia="Arial" w:hAnsi="Arial"/>
                <w:sz w:val="15"/>
                <w:szCs w:val="15"/>
                <w:color w:val="auto"/>
              </w:rPr>
              <w:t>SVP-adjuvant and SVP-food allergen</w:t>
            </w:r>
          </w:p>
        </w:tc>
        <w:tc>
          <w:tcPr>
            <w:tcW w:w="2760" w:type="dxa"/>
            <w:vAlign w:val="bottom"/>
          </w:tcPr>
          <w:p>
            <w:pPr>
              <w:ind w:left="220"/>
              <w:spacing w:after="0"/>
              <w:rPr>
                <w:sz w:val="20"/>
                <w:szCs w:val="20"/>
                <w:color w:val="auto"/>
              </w:rPr>
            </w:pPr>
            <w:r>
              <w:rPr>
                <w:rFonts w:ascii="Arial" w:cs="Arial" w:eastAsia="Arial" w:hAnsi="Arial"/>
                <w:sz w:val="15"/>
                <w:szCs w:val="15"/>
                <w:color w:val="auto"/>
              </w:rPr>
              <w:t>Currently in discovery</w:t>
            </w:r>
          </w:p>
        </w:tc>
      </w:tr>
      <w:tr>
        <w:trPr>
          <w:trHeight w:val="395"/>
        </w:trPr>
        <w:tc>
          <w:tcPr>
            <w:tcW w:w="2700" w:type="dxa"/>
            <w:vAlign w:val="bottom"/>
          </w:tcPr>
          <w:p>
            <w:pPr>
              <w:spacing w:after="0"/>
              <w:rPr>
                <w:sz w:val="20"/>
                <w:szCs w:val="20"/>
                <w:color w:val="auto"/>
              </w:rPr>
            </w:pPr>
            <w:r>
              <w:rPr>
                <w:rFonts w:ascii="Arial" w:cs="Arial" w:eastAsia="Arial" w:hAnsi="Arial"/>
                <w:sz w:val="15"/>
                <w:szCs w:val="15"/>
                <w:color w:val="auto"/>
              </w:rPr>
              <w:t>Celiac disease</w:t>
            </w:r>
          </w:p>
        </w:tc>
        <w:tc>
          <w:tcPr>
            <w:tcW w:w="2660" w:type="dxa"/>
            <w:vAlign w:val="bottom"/>
          </w:tcPr>
          <w:p>
            <w:pPr>
              <w:ind w:left="100"/>
              <w:spacing w:after="0"/>
              <w:rPr>
                <w:sz w:val="20"/>
                <w:szCs w:val="20"/>
                <w:color w:val="auto"/>
              </w:rPr>
            </w:pPr>
            <w:r>
              <w:rPr>
                <w:rFonts w:ascii="Arial" w:cs="Arial" w:eastAsia="Arial" w:hAnsi="Arial"/>
                <w:sz w:val="15"/>
                <w:szCs w:val="15"/>
                <w:color w:val="auto"/>
              </w:rPr>
              <w:t>SVP-Rapamycin and SVP-gluten</w:t>
            </w:r>
          </w:p>
        </w:tc>
        <w:tc>
          <w:tcPr>
            <w:tcW w:w="2760" w:type="dxa"/>
            <w:vAlign w:val="bottom"/>
          </w:tcPr>
          <w:p>
            <w:pPr>
              <w:ind w:left="220"/>
              <w:spacing w:after="0"/>
              <w:rPr>
                <w:sz w:val="20"/>
                <w:szCs w:val="20"/>
                <w:color w:val="auto"/>
              </w:rPr>
            </w:pPr>
            <w:r>
              <w:rPr>
                <w:rFonts w:ascii="Arial" w:cs="Arial" w:eastAsia="Arial" w:hAnsi="Arial"/>
                <w:sz w:val="15"/>
                <w:szCs w:val="15"/>
                <w:color w:val="auto"/>
              </w:rPr>
              <w:t>Currently in discovery</w:t>
            </w:r>
          </w:p>
        </w:tc>
      </w:tr>
      <w:tr>
        <w:trPr>
          <w:trHeight w:val="395"/>
        </w:trPr>
        <w:tc>
          <w:tcPr>
            <w:tcW w:w="2700" w:type="dxa"/>
            <w:vAlign w:val="bottom"/>
          </w:tcPr>
          <w:p>
            <w:pPr>
              <w:spacing w:after="0"/>
              <w:rPr>
                <w:sz w:val="20"/>
                <w:szCs w:val="20"/>
                <w:color w:val="auto"/>
              </w:rPr>
            </w:pPr>
            <w:r>
              <w:rPr>
                <w:rFonts w:ascii="Arial" w:cs="Arial" w:eastAsia="Arial" w:hAnsi="Arial"/>
                <w:sz w:val="15"/>
                <w:szCs w:val="15"/>
                <w:color w:val="auto"/>
              </w:rPr>
              <w:t>Type 1 diabetes</w:t>
            </w:r>
          </w:p>
        </w:tc>
        <w:tc>
          <w:tcPr>
            <w:tcW w:w="2660" w:type="dxa"/>
            <w:vAlign w:val="bottom"/>
          </w:tcPr>
          <w:p>
            <w:pPr>
              <w:ind w:left="100"/>
              <w:spacing w:after="0"/>
              <w:rPr>
                <w:sz w:val="20"/>
                <w:szCs w:val="20"/>
                <w:color w:val="auto"/>
              </w:rPr>
            </w:pPr>
            <w:r>
              <w:rPr>
                <w:rFonts w:ascii="Arial" w:cs="Arial" w:eastAsia="Arial" w:hAnsi="Arial"/>
                <w:sz w:val="15"/>
                <w:szCs w:val="15"/>
                <w:color w:val="auto"/>
              </w:rPr>
              <w:t>SVP-Rapamycin and SVP-insulin</w:t>
            </w:r>
          </w:p>
        </w:tc>
        <w:tc>
          <w:tcPr>
            <w:tcW w:w="2760" w:type="dxa"/>
            <w:vAlign w:val="bottom"/>
          </w:tcPr>
          <w:p>
            <w:pPr>
              <w:ind w:left="220"/>
              <w:spacing w:after="0"/>
              <w:rPr>
                <w:sz w:val="20"/>
                <w:szCs w:val="20"/>
                <w:color w:val="auto"/>
              </w:rPr>
            </w:pPr>
            <w:r>
              <w:rPr>
                <w:rFonts w:ascii="Arial" w:cs="Arial" w:eastAsia="Arial" w:hAnsi="Arial"/>
                <w:sz w:val="15"/>
                <w:szCs w:val="15"/>
                <w:color w:val="auto"/>
              </w:rPr>
              <w:t>Currently in discovery</w:t>
            </w:r>
          </w:p>
        </w:tc>
      </w:tr>
      <w:tr>
        <w:trPr>
          <w:trHeight w:val="766"/>
        </w:trPr>
        <w:tc>
          <w:tcPr>
            <w:tcW w:w="2700" w:type="dxa"/>
            <w:vAlign w:val="bottom"/>
          </w:tcPr>
          <w:p>
            <w:pPr>
              <w:spacing w:after="0"/>
              <w:rPr>
                <w:sz w:val="20"/>
                <w:szCs w:val="20"/>
                <w:color w:val="auto"/>
              </w:rPr>
            </w:pPr>
            <w:r>
              <w:rPr>
                <w:rFonts w:ascii="Arial" w:cs="Arial" w:eastAsia="Arial" w:hAnsi="Arial"/>
                <w:sz w:val="15"/>
                <w:szCs w:val="15"/>
                <w:b w:val="1"/>
                <w:bCs w:val="1"/>
                <w:i w:val="1"/>
                <w:iCs w:val="1"/>
                <w:color w:val="auto"/>
              </w:rPr>
              <w:t>SVP for immune stimulation</w:t>
            </w:r>
          </w:p>
        </w:tc>
        <w:tc>
          <w:tcPr>
            <w:tcW w:w="266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Own development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Co-development with Genethon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Sanofi worldwide exclusive license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Sanofi worldwide exclusive license</w:t>
      </w:r>
    </w:p>
    <w:p>
      <w:pPr>
        <w:spacing w:after="0" w:line="222"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Sanofi and Juvenile Diabetes Research Foundation, or JDRF, sponsored research program</w:t>
      </w:r>
    </w:p>
    <w:p>
      <w:pPr>
        <w:spacing w:after="0" w:line="574" w:lineRule="exact"/>
        <w:rPr>
          <w:sz w:val="20"/>
          <w:szCs w:val="20"/>
          <w:color w:val="auto"/>
        </w:rPr>
      </w:pPr>
    </w:p>
    <w:p>
      <w:pPr>
        <w:sectPr>
          <w:pgSz w:w="11900" w:h="16838" w:orient="portrait"/>
          <w:cols w:equalWidth="0" w:num="2">
            <w:col w:w="8320" w:space="260"/>
            <w:col w:w="2860"/>
          </w:cols>
          <w:pgMar w:left="240" w:top="132" w:right="219" w:bottom="1440" w:gutter="0" w:footer="0" w:header="0"/>
          <w:type w:val="continuous"/>
        </w:sectPr>
      </w:pP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660" w:type="dxa"/>
            <w:vAlign w:val="bottom"/>
          </w:tcPr>
          <w:p>
            <w:pPr>
              <w:spacing w:after="0"/>
              <w:rPr>
                <w:sz w:val="20"/>
                <w:szCs w:val="20"/>
                <w:color w:val="auto"/>
              </w:rPr>
            </w:pPr>
            <w:r>
              <w:rPr>
                <w:rFonts w:ascii="Arial" w:cs="Arial" w:eastAsia="Arial" w:hAnsi="Arial"/>
                <w:sz w:val="15"/>
                <w:szCs w:val="15"/>
                <w:color w:val="auto"/>
                <w:w w:val="93"/>
              </w:rPr>
              <w:t>Smoking cessation and relapse prevention</w:t>
            </w:r>
          </w:p>
        </w:tc>
        <w:tc>
          <w:tcPr>
            <w:tcW w:w="2660" w:type="dxa"/>
            <w:vAlign w:val="bottom"/>
          </w:tcPr>
          <w:p>
            <w:pPr>
              <w:ind w:left="140"/>
              <w:spacing w:after="0"/>
              <w:rPr>
                <w:sz w:val="20"/>
                <w:szCs w:val="20"/>
                <w:color w:val="auto"/>
              </w:rPr>
            </w:pPr>
            <w:r>
              <w:rPr>
                <w:rFonts w:ascii="Arial" w:cs="Arial" w:eastAsia="Arial" w:hAnsi="Arial"/>
                <w:sz w:val="15"/>
                <w:szCs w:val="15"/>
                <w:color w:val="auto"/>
              </w:rPr>
              <w:t>SVP-adjuvant and SVP-nicotine</w:t>
            </w:r>
          </w:p>
        </w:tc>
        <w:tc>
          <w:tcPr>
            <w:tcW w:w="2700" w:type="dxa"/>
            <w:vAlign w:val="bottom"/>
          </w:tcPr>
          <w:p>
            <w:pPr>
              <w:ind w:left="260"/>
              <w:spacing w:after="0"/>
              <w:rPr>
                <w:sz w:val="20"/>
                <w:szCs w:val="20"/>
                <w:color w:val="auto"/>
              </w:rPr>
            </w:pPr>
            <w:r>
              <w:rPr>
                <w:rFonts w:ascii="Arial" w:cs="Arial" w:eastAsia="Arial" w:hAnsi="Arial"/>
                <w:sz w:val="15"/>
                <w:szCs w:val="15"/>
                <w:color w:val="auto"/>
              </w:rPr>
              <w:t>Currently in preclinical studies; good</w:t>
            </w:r>
          </w:p>
        </w:tc>
      </w:tr>
      <w:tr>
        <w:trPr>
          <w:trHeight w:val="186"/>
        </w:trPr>
        <w:tc>
          <w:tcPr>
            <w:tcW w:w="2660" w:type="dxa"/>
            <w:vAlign w:val="bottom"/>
          </w:tcPr>
          <w:p>
            <w:pPr>
              <w:spacing w:after="0"/>
              <w:rPr>
                <w:sz w:val="20"/>
                <w:szCs w:val="20"/>
                <w:color w:val="auto"/>
              </w:rPr>
            </w:pPr>
            <w:r>
              <w:rPr>
                <w:rFonts w:ascii="Arial" w:cs="Arial" w:eastAsia="Arial" w:hAnsi="Arial"/>
                <w:sz w:val="15"/>
                <w:szCs w:val="15"/>
                <w:color w:val="auto"/>
              </w:rPr>
              <w:t>(SEL-070)</w:t>
            </w:r>
          </w:p>
        </w:tc>
        <w:tc>
          <w:tcPr>
            <w:tcW w:w="2660" w:type="dxa"/>
            <w:vAlign w:val="bottom"/>
          </w:tcPr>
          <w:p>
            <w:pPr>
              <w:spacing w:after="0"/>
              <w:rPr>
                <w:sz w:val="16"/>
                <w:szCs w:val="16"/>
                <w:color w:val="auto"/>
              </w:rPr>
            </w:pPr>
          </w:p>
        </w:tc>
        <w:tc>
          <w:tcPr>
            <w:tcW w:w="2700" w:type="dxa"/>
            <w:vAlign w:val="bottom"/>
          </w:tcPr>
          <w:p>
            <w:pPr>
              <w:ind w:left="260"/>
              <w:spacing w:after="0"/>
              <w:rPr>
                <w:sz w:val="20"/>
                <w:szCs w:val="20"/>
                <w:color w:val="auto"/>
              </w:rPr>
            </w:pPr>
            <w:r>
              <w:rPr>
                <w:rFonts w:ascii="Arial" w:cs="Arial" w:eastAsia="Arial" w:hAnsi="Arial"/>
                <w:sz w:val="15"/>
                <w:szCs w:val="15"/>
                <w:color w:val="auto"/>
                <w:w w:val="95"/>
              </w:rPr>
              <w:t>laboratory practice, or GLP, toxicology</w:t>
            </w:r>
          </w:p>
        </w:tc>
      </w:tr>
      <w:tr>
        <w:trPr>
          <w:trHeight w:val="190"/>
        </w:trPr>
        <w:tc>
          <w:tcPr>
            <w:tcW w:w="2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00" w:type="dxa"/>
            <w:vAlign w:val="bottom"/>
          </w:tcPr>
          <w:p>
            <w:pPr>
              <w:ind w:left="260"/>
              <w:spacing w:after="0"/>
              <w:rPr>
                <w:sz w:val="20"/>
                <w:szCs w:val="20"/>
                <w:color w:val="auto"/>
              </w:rPr>
            </w:pPr>
            <w:r>
              <w:rPr>
                <w:rFonts w:ascii="Arial" w:cs="Arial" w:eastAsia="Arial" w:hAnsi="Arial"/>
                <w:sz w:val="15"/>
                <w:szCs w:val="15"/>
                <w:color w:val="auto"/>
                <w:w w:val="91"/>
              </w:rPr>
              <w:t>studies expected in the first half of 2016</w:t>
            </w:r>
          </w:p>
        </w:tc>
      </w:tr>
      <w:tr>
        <w:trPr>
          <w:trHeight w:val="395"/>
        </w:trPr>
        <w:tc>
          <w:tcPr>
            <w:tcW w:w="2660" w:type="dxa"/>
            <w:vAlign w:val="bottom"/>
          </w:tcPr>
          <w:p>
            <w:pPr>
              <w:spacing w:after="0"/>
              <w:rPr>
                <w:sz w:val="20"/>
                <w:szCs w:val="20"/>
                <w:color w:val="auto"/>
              </w:rPr>
            </w:pPr>
            <w:r>
              <w:rPr>
                <w:rFonts w:ascii="Arial" w:cs="Arial" w:eastAsia="Arial" w:hAnsi="Arial"/>
                <w:sz w:val="15"/>
                <w:szCs w:val="15"/>
                <w:color w:val="auto"/>
              </w:rPr>
              <w:t>HPV-associated cancer (SEL-701)</w:t>
            </w:r>
          </w:p>
        </w:tc>
        <w:tc>
          <w:tcPr>
            <w:tcW w:w="2660" w:type="dxa"/>
            <w:vAlign w:val="bottom"/>
          </w:tcPr>
          <w:p>
            <w:pPr>
              <w:ind w:left="140"/>
              <w:spacing w:after="0"/>
              <w:rPr>
                <w:sz w:val="20"/>
                <w:szCs w:val="20"/>
                <w:color w:val="auto"/>
              </w:rPr>
            </w:pPr>
            <w:r>
              <w:rPr>
                <w:rFonts w:ascii="Arial" w:cs="Arial" w:eastAsia="Arial" w:hAnsi="Arial"/>
                <w:sz w:val="15"/>
                <w:szCs w:val="15"/>
                <w:color w:val="auto"/>
              </w:rPr>
              <w:t>SVP-adjuvant and SVP-HPV antigen</w:t>
            </w:r>
          </w:p>
        </w:tc>
        <w:tc>
          <w:tcPr>
            <w:tcW w:w="2700" w:type="dxa"/>
            <w:vAlign w:val="bottom"/>
          </w:tcPr>
          <w:p>
            <w:pPr>
              <w:ind w:left="260"/>
              <w:spacing w:after="0"/>
              <w:rPr>
                <w:sz w:val="20"/>
                <w:szCs w:val="20"/>
                <w:color w:val="auto"/>
              </w:rPr>
            </w:pPr>
            <w:r>
              <w:rPr>
                <w:rFonts w:ascii="Arial" w:cs="Arial" w:eastAsia="Arial" w:hAnsi="Arial"/>
                <w:sz w:val="15"/>
                <w:szCs w:val="15"/>
                <w:color w:val="auto"/>
              </w:rPr>
              <w:t>Currently in discovery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spacing w:after="0"/>
        <w:tabs>
          <w:tab w:leader="none" w:pos="2980" w:val="left"/>
          <w:tab w:leader="none" w:pos="5760" w:val="left"/>
        </w:tabs>
        <w:rPr>
          <w:sz w:val="20"/>
          <w:szCs w:val="20"/>
          <w:color w:val="auto"/>
        </w:rPr>
      </w:pPr>
      <w:r>
        <w:rPr>
          <w:rFonts w:ascii="Arial" w:cs="Arial" w:eastAsia="Arial" w:hAnsi="Arial"/>
          <w:sz w:val="15"/>
          <w:szCs w:val="15"/>
          <w:color w:val="auto"/>
        </w:rPr>
        <w:t>Malaria</w:t>
      </w:r>
      <w:r>
        <w:rPr>
          <w:sz w:val="20"/>
          <w:szCs w:val="20"/>
          <w:color w:val="auto"/>
        </w:rPr>
        <w:tab/>
      </w:r>
      <w:r>
        <w:rPr>
          <w:rFonts w:ascii="Arial" w:cs="Arial" w:eastAsia="Arial" w:hAnsi="Arial"/>
          <w:sz w:val="15"/>
          <w:szCs w:val="15"/>
          <w:color w:val="auto"/>
        </w:rPr>
        <w:t>SVP-adjuvant and SVP-malaria antigen</w:t>
      </w:r>
      <w:r>
        <w:rPr>
          <w:sz w:val="20"/>
          <w:szCs w:val="20"/>
          <w:color w:val="auto"/>
        </w:rPr>
        <w:tab/>
      </w:r>
      <w:r>
        <w:rPr>
          <w:rFonts w:ascii="Arial" w:cs="Arial" w:eastAsia="Arial" w:hAnsi="Arial"/>
          <w:sz w:val="14"/>
          <w:szCs w:val="14"/>
          <w:color w:val="auto"/>
        </w:rPr>
        <w:t>Currently in discovery</w:t>
      </w:r>
    </w:p>
    <w:p>
      <w:pPr>
        <w:spacing w:after="0" w:line="20" w:lineRule="exact"/>
        <w:rPr>
          <w:sz w:val="20"/>
          <w:szCs w:val="20"/>
          <w:color w:val="auto"/>
        </w:rPr>
      </w:pPr>
      <w:r>
        <w:rPr>
          <w:sz w:val="20"/>
          <w:szCs w:val="20"/>
          <w:color w:val="auto"/>
        </w:rPr>
        <w:br w:type="column"/>
      </w:r>
    </w:p>
    <w:p>
      <w:pPr>
        <w:ind w:right="220"/>
        <w:spacing w:after="0" w:line="320" w:lineRule="auto"/>
        <w:rPr>
          <w:sz w:val="20"/>
          <w:szCs w:val="20"/>
          <w:color w:val="auto"/>
        </w:rPr>
      </w:pPr>
      <w:r>
        <w:rPr>
          <w:rFonts w:ascii="Arial" w:cs="Arial" w:eastAsia="Arial" w:hAnsi="Arial"/>
          <w:sz w:val="14"/>
          <w:szCs w:val="14"/>
          <w:color w:val="auto"/>
        </w:rPr>
        <w:t>Own development, with grant from the National Institute on Drug Abuse, or NIDA</w:t>
      </w:r>
    </w:p>
    <w:p>
      <w:pPr>
        <w:spacing w:after="0" w:line="337"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color w:val="auto"/>
        </w:rPr>
        <w:t>Own development, with grant from the Russian-based Development Fund of New Technologies Development and Commercialization Center, or the Skolkovo Foundation</w:t>
      </w:r>
    </w:p>
    <w:p>
      <w:pPr>
        <w:spacing w:after="0" w:line="189" w:lineRule="exact"/>
        <w:rPr>
          <w:sz w:val="20"/>
          <w:szCs w:val="20"/>
          <w:color w:val="auto"/>
        </w:rPr>
      </w:pPr>
    </w:p>
    <w:p>
      <w:pPr>
        <w:ind w:right="460"/>
        <w:spacing w:after="0" w:line="363" w:lineRule="auto"/>
        <w:rPr>
          <w:sz w:val="20"/>
          <w:szCs w:val="20"/>
          <w:color w:val="auto"/>
        </w:rPr>
      </w:pPr>
      <w:r>
        <w:rPr>
          <w:rFonts w:ascii="Arial" w:cs="Arial" w:eastAsia="Arial" w:hAnsi="Arial"/>
          <w:sz w:val="13"/>
          <w:szCs w:val="13"/>
          <w:color w:val="auto"/>
        </w:rPr>
        <w:t>The Bill and Melinda Gates Foundation sponsored research program</w:t>
      </w:r>
    </w:p>
    <w:p>
      <w:pPr>
        <w:spacing w:after="0" w:line="200" w:lineRule="exact"/>
        <w:rPr>
          <w:sz w:val="20"/>
          <w:szCs w:val="20"/>
          <w:color w:val="auto"/>
        </w:rPr>
      </w:pPr>
    </w:p>
    <w:p>
      <w:pPr>
        <w:sectPr>
          <w:pgSz w:w="11900" w:h="16838" w:orient="portrait"/>
          <w:cols w:equalWidth="0" w:num="2">
            <w:col w:w="8220" w:space="360"/>
            <w:col w:w="2860"/>
          </w:cols>
          <w:pgMar w:left="240" w:top="132" w:right="21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1380"/>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603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460375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TOPHACEOUS GOUT</w:t>
      </w:r>
    </w:p>
    <w:p>
      <w:pPr>
        <w:spacing w:after="0" w:line="195" w:lineRule="exact"/>
        <w:rPr>
          <w:sz w:val="20"/>
          <w:szCs w:val="20"/>
          <w:color w:val="auto"/>
        </w:rPr>
      </w:pPr>
    </w:p>
    <w:p>
      <w:pPr>
        <w:ind w:left="200" w:right="80"/>
        <w:spacing w:after="0" w:line="287" w:lineRule="auto"/>
        <w:rPr>
          <w:sz w:val="20"/>
          <w:szCs w:val="20"/>
          <w:color w:val="auto"/>
        </w:rPr>
      </w:pPr>
      <w:r>
        <w:rPr>
          <w:rFonts w:ascii="Arial" w:cs="Arial" w:eastAsia="Arial" w:hAnsi="Arial"/>
          <w:sz w:val="14"/>
          <w:szCs w:val="14"/>
          <w:color w:val="auto"/>
        </w:rPr>
        <w:t>Our lead product candidate, SEL-212, consists of SVP-Rapamycin co-administered with pegsiticase, our proprietary pegylated uricase, for the treatment of refractory and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tophaceous gout, while also demonstrating the clinical effectiveness of our SVP technology. We completed the patient treatment portion of our Phase 1a trial in November 2015 and plan to initiate a Phase 1b trial in December 2015, with final data from both Phase 1 clinical trials expected in the first half of 2016.</w:t>
      </w:r>
    </w:p>
    <w:p>
      <w:pPr>
        <w:spacing w:after="0" w:line="151" w:lineRule="exact"/>
        <w:rPr>
          <w:sz w:val="20"/>
          <w:szCs w:val="20"/>
          <w:color w:val="auto"/>
        </w:rPr>
      </w:pPr>
    </w:p>
    <w:p>
      <w:pPr>
        <w:ind w:left="200"/>
        <w:spacing w:after="0" w:line="285" w:lineRule="auto"/>
        <w:rPr>
          <w:sz w:val="20"/>
          <w:szCs w:val="20"/>
          <w:color w:val="auto"/>
        </w:rPr>
      </w:pPr>
      <w:r>
        <w:rPr>
          <w:rFonts w:ascii="Arial" w:cs="Arial" w:eastAsia="Arial" w:hAnsi="Arial"/>
          <w:sz w:val="14"/>
          <w:szCs w:val="14"/>
          <w:color w:val="auto"/>
        </w:rPr>
        <w:t>Approximately 8.3 million and 10 million patients in the United States and the European Union, respectively, suffer from gout, which is caused by elevated levels of serum uric acid. Excessive uric acid levels result in harmful uric acid deposits in joints and tissues, causing joint damage and painful inflammation. Approximately 50,000 patients in the United States have been diagnosed with chronic refractory gout, an orphan indication defined by uric acid levels that cannot be controlled by available oral therapies. In addition, approximately 200,000 patients in the United States suffer from tophaceous gout in which patients develop nodular masses of uric acid crystals referred to as tophi, typically in the joints of fingers, toes or elbows. Both refractory and tophaceous gout are severe diseases that can cause pain, arthritis and organ failure. Krystexxa, a pegylated uricase, is the only product approved by the U.S. Food and Drug Administration, or FDA, for the treatment of chronic refractory gout. There is no approved product for tophaceous gout.</w:t>
      </w:r>
    </w:p>
    <w:p>
      <w:pPr>
        <w:spacing w:after="0" w:line="153" w:lineRule="exact"/>
        <w:rPr>
          <w:sz w:val="20"/>
          <w:szCs w:val="20"/>
          <w:color w:val="auto"/>
        </w:rPr>
      </w:pPr>
    </w:p>
    <w:p>
      <w:pPr>
        <w:ind w:left="200" w:right="60"/>
        <w:spacing w:after="0" w:line="263" w:lineRule="auto"/>
        <w:rPr>
          <w:sz w:val="20"/>
          <w:szCs w:val="20"/>
          <w:color w:val="auto"/>
        </w:rPr>
      </w:pPr>
      <w:r>
        <w:rPr>
          <w:rFonts w:ascii="Arial" w:cs="Arial" w:eastAsia="Arial" w:hAnsi="Arial"/>
          <w:sz w:val="15"/>
          <w:szCs w:val="15"/>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normalization of uric acid levels. Similarly, a 2011 study published in The Journal of the American Medical Association found that 58% of Krystexxa patients were non-responders as measured by the high uric acid levels in patients, which was associated with the anti-Krystexxa antibody levels.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140"/>
        <w:spacing w:after="0" w:line="263" w:lineRule="auto"/>
        <w:rPr>
          <w:sz w:val="20"/>
          <w:szCs w:val="20"/>
          <w:color w:val="auto"/>
        </w:rPr>
      </w:pPr>
      <w:r>
        <w:rPr>
          <w:rFonts w:ascii="Arial" w:cs="Arial" w:eastAsia="Arial" w:hAnsi="Arial"/>
          <w:sz w:val="15"/>
          <w:szCs w:val="15"/>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Based on our preclinical data, we believe that SVP-Rapamycin has the potential to enable repeat dosing of AAV-based gene therapies via system-wide, or systemic, routes of administration and mitigate immune system response to the treated cells. We have entered into a collaboration with Genethon to develop an AAV-based gene therapy designed to mitigate the formation of ADAs to enable repeated administration.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200"/>
        <w:spacing w:after="0" w:line="283" w:lineRule="auto"/>
        <w:rPr>
          <w:sz w:val="20"/>
          <w:szCs w:val="20"/>
          <w:color w:val="auto"/>
        </w:rPr>
      </w:pPr>
      <w:r>
        <w:rPr>
          <w:rFonts w:ascii="Arial" w:cs="Arial" w:eastAsia="Arial" w:hAnsi="Arial"/>
          <w:sz w:val="15"/>
          <w:szCs w:val="15"/>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765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47656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right="380"/>
        <w:spacing w:after="0" w:line="287" w:lineRule="auto"/>
        <w:rPr>
          <w:sz w:val="20"/>
          <w:szCs w:val="20"/>
          <w:color w:val="auto"/>
        </w:rPr>
      </w:pPr>
      <w:r>
        <w:rPr>
          <w:rFonts w:ascii="Arial" w:cs="Arial" w:eastAsia="Arial" w:hAnsi="Arial"/>
          <w:sz w:val="14"/>
          <w:szCs w:val="14"/>
          <w:color w:val="auto"/>
        </w:rPr>
        <w:t>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jc w:val="both"/>
        <w:ind w:left="200" w:right="360"/>
        <w:spacing w:after="0" w:line="298" w:lineRule="auto"/>
        <w:rPr>
          <w:sz w:val="20"/>
          <w:szCs w:val="20"/>
          <w:color w:val="auto"/>
        </w:rPr>
      </w:pPr>
      <w:r>
        <w:rPr>
          <w:rFonts w:ascii="Arial" w:cs="Arial" w:eastAsia="Arial" w:hAnsi="Arial"/>
          <w:sz w:val="14"/>
          <w:szCs w:val="14"/>
          <w:color w:val="auto"/>
        </w:rPr>
        <w:t>We also believe our SVP technology, by encapsulating other antigens and adjuvants, has the potential to be used for therapies that stimulate the immune system to prevent and treat cancer, infections and other diseases. We have early-stage research programs for therapeutic vaccines for human papilloma virus, or HPV, associated cancers and for antibody-based vaccine programs for nicotine addiction and malaria. To date, these programs have been primarily financed through grants.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left="200" w:right="28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4" w:lineRule="exact"/>
        <w:rPr>
          <w:sz w:val="20"/>
          <w:szCs w:val="20"/>
          <w:color w:val="auto"/>
        </w:rPr>
      </w:pPr>
    </w:p>
    <w:p>
      <w:pPr>
        <w:ind w:left="660" w:right="340" w:hanging="466"/>
        <w:spacing w:after="0" w:line="266"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Rapidly advance the development of our lead product candidate, SEL-212, for the treatment of refractory and tophaceous gout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SEL-212 has the potential to be the first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non-immunogenic biologic treatment of refractory and tophaceous gout. We are currently conducting a comprehensive Phase 1/2 clinical program, comprised of two Phase 1 clinical trials, for which we expect to receive final data in the first half of 2016, and a Phase 2 clinical trial, which we expect to initiate in 2016. We plan to advance this program through regulatory approval and commercialization.</w:t>
      </w:r>
    </w:p>
    <w:p>
      <w:pPr>
        <w:spacing w:after="0" w:line="175" w:lineRule="exact"/>
        <w:rPr>
          <w:rFonts w:ascii="Arial" w:cs="Arial" w:eastAsia="Arial" w:hAnsi="Arial"/>
          <w:sz w:val="15"/>
          <w:szCs w:val="15"/>
          <w:color w:val="auto"/>
        </w:rPr>
      </w:pPr>
    </w:p>
    <w:p>
      <w:pPr>
        <w:ind w:left="660" w:right="380" w:hanging="466"/>
        <w:spacing w:after="0" w:line="287"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SVP technology for immune tolerance to develop novel uses and classes of non-immunogenic biologics. </w:t>
      </w:r>
      <w:r>
        <w:rPr>
          <w:rFonts w:ascii="Arial" w:cs="Arial" w:eastAsia="Arial" w:hAnsi="Arial"/>
          <w:sz w:val="14"/>
          <w:szCs w:val="14"/>
          <w:color w:val="auto"/>
        </w:rPr>
        <w:t>We intend to use our SVP technology to develop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63" w:lineRule="exact"/>
        <w:rPr>
          <w:rFonts w:ascii="Arial" w:cs="Arial" w:eastAsia="Arial" w:hAnsi="Arial"/>
          <w:sz w:val="14"/>
          <w:szCs w:val="14"/>
          <w:color w:val="auto"/>
        </w:rPr>
      </w:pPr>
    </w:p>
    <w:p>
      <w:pPr>
        <w:ind w:left="660" w:right="280" w:hanging="466"/>
        <w:spacing w:after="0" w:line="319"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 infrastructure and capabilities to commercialize our products in rare and orphan diseases. </w:t>
      </w:r>
      <w:r>
        <w:rPr>
          <w:rFonts w:ascii="Arial" w:cs="Arial" w:eastAsia="Arial" w:hAnsi="Arial"/>
          <w:sz w:val="13"/>
          <w:szCs w:val="13"/>
          <w:color w:val="auto"/>
        </w:rPr>
        <w:t>While we believe our SVP technology may be broadly applicable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across disease areas, we intend to focus our efforts on developing and commercializing proprietary SVP-enabled products for rare diseases where there is high unmet medical need. Therapies for treating rare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6" w:lineRule="exact"/>
        <w:rPr>
          <w:rFonts w:ascii="Arial" w:cs="Arial" w:eastAsia="Arial" w:hAnsi="Arial"/>
          <w:sz w:val="13"/>
          <w:szCs w:val="13"/>
          <w:color w:val="auto"/>
        </w:rPr>
      </w:pPr>
    </w:p>
    <w:p>
      <w:pPr>
        <w:ind w:left="660" w:right="340" w:hanging="466"/>
        <w:spacing w:after="0" w:line="283"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collaborations and maximize the value of our SVP programs for immune tolerance. </w:t>
      </w:r>
      <w:r>
        <w:rPr>
          <w:rFonts w:ascii="Arial" w:cs="Arial" w:eastAsia="Arial" w:hAnsi="Arial"/>
          <w:sz w:val="15"/>
          <w:szCs w:val="15"/>
          <w:color w:val="auto"/>
        </w:rPr>
        <w:t>In addition to our own proprietary product development efforts,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collaborating with Genethon to pursue AAV gene therapies and Sanofi on programs for a food allergy, celiac</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5767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576770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disease and type 1 diabetes. We also intend to selectively pursue additional collaborations with biopharmaceutical companies to further leverage our SVP technology.</w:t>
      </w:r>
    </w:p>
    <w:p>
      <w:pPr>
        <w:spacing w:after="0" w:line="234" w:lineRule="exact"/>
        <w:rPr>
          <w:sz w:val="20"/>
          <w:szCs w:val="20"/>
          <w:color w:val="auto"/>
        </w:rPr>
      </w:pPr>
    </w:p>
    <w:p>
      <w:pPr>
        <w:ind w:left="660" w:right="40" w:hanging="466"/>
        <w:spacing w:after="0" w:line="314"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80"/>
        <w:spacing w:after="0" w:line="283"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61" w:lineRule="exact"/>
        <w:rPr>
          <w:rFonts w:ascii="Arial" w:cs="Arial" w:eastAsia="Arial" w:hAnsi="Arial"/>
          <w:sz w:val="15"/>
          <w:szCs w:val="15"/>
          <w:color w:val="auto"/>
        </w:rPr>
      </w:pPr>
    </w:p>
    <w:p>
      <w:pPr>
        <w:ind w:left="660" w:right="80" w:hanging="466"/>
        <w:spacing w:after="0" w:line="363"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28" w:lineRule="exact"/>
        <w:rPr>
          <w:rFonts w:ascii="Arial" w:cs="Arial" w:eastAsia="Arial" w:hAnsi="Arial"/>
          <w:sz w:val="13"/>
          <w:szCs w:val="13"/>
          <w:color w:val="auto"/>
        </w:rPr>
      </w:pPr>
    </w:p>
    <w:p>
      <w:pPr>
        <w:ind w:left="66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1" w:lineRule="exact"/>
        <w:rPr>
          <w:rFonts w:ascii="Arial" w:cs="Arial" w:eastAsia="Arial" w:hAnsi="Arial"/>
          <w:sz w:val="15"/>
          <w:szCs w:val="15"/>
          <w:color w:val="auto"/>
        </w:rPr>
      </w:pPr>
    </w:p>
    <w:p>
      <w:pPr>
        <w:ind w:left="660" w:right="2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61" w:lineRule="exact"/>
        <w:rPr>
          <w:rFonts w:ascii="Arial" w:cs="Arial" w:eastAsia="Arial" w:hAnsi="Arial"/>
          <w:sz w:val="15"/>
          <w:szCs w:val="15"/>
          <w:color w:val="auto"/>
        </w:rPr>
      </w:pPr>
    </w:p>
    <w:p>
      <w:pPr>
        <w:ind w:left="660" w:right="24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73" w:lineRule="exact"/>
        <w:rPr>
          <w:rFonts w:ascii="Arial" w:cs="Arial" w:eastAsia="Arial" w:hAnsi="Arial"/>
          <w:sz w:val="15"/>
          <w:szCs w:val="15"/>
          <w:color w:val="auto"/>
        </w:rPr>
      </w:pPr>
    </w:p>
    <w:p>
      <w:pPr>
        <w:ind w:left="660" w:hanging="466"/>
        <w:spacing w:after="0" w:line="29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154" w:lineRule="exact"/>
        <w:rPr>
          <w:rFonts w:ascii="Arial" w:cs="Arial" w:eastAsia="Arial" w:hAnsi="Arial"/>
          <w:sz w:val="14"/>
          <w:szCs w:val="14"/>
          <w:color w:val="auto"/>
        </w:rPr>
      </w:pPr>
    </w:p>
    <w:p>
      <w:pPr>
        <w:ind w:left="660" w:right="22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61" w:lineRule="exact"/>
        <w:rPr>
          <w:rFonts w:ascii="Arial" w:cs="Arial" w:eastAsia="Arial" w:hAnsi="Arial"/>
          <w:sz w:val="15"/>
          <w:szCs w:val="15"/>
          <w:color w:val="auto"/>
        </w:rPr>
      </w:pPr>
    </w:p>
    <w:p>
      <w:pPr>
        <w:ind w:left="660" w:right="20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73" w:lineRule="exact"/>
        <w:rPr>
          <w:rFonts w:ascii="Arial" w:cs="Arial" w:eastAsia="Arial" w:hAnsi="Arial"/>
          <w:sz w:val="15"/>
          <w:szCs w:val="15"/>
          <w:color w:val="auto"/>
        </w:rPr>
      </w:pPr>
    </w:p>
    <w:p>
      <w:pPr>
        <w:ind w:left="660" w:hanging="466"/>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80"/>
        <w:spacing w:after="0" w:line="283"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3947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39477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requirements that are otherwise applicable to public companies. These provisions include, but are not limited to:</w:t>
      </w:r>
    </w:p>
    <w:p>
      <w:pPr>
        <w:spacing w:after="0" w:line="222" w:lineRule="exact"/>
        <w:rPr>
          <w:sz w:val="20"/>
          <w:szCs w:val="20"/>
          <w:color w:val="auto"/>
        </w:rPr>
      </w:pPr>
    </w:p>
    <w:p>
      <w:pPr>
        <w:ind w:left="660" w:right="220" w:hanging="466"/>
        <w:spacing w:after="0" w:line="28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1" w:lineRule="exact"/>
        <w:rPr>
          <w:rFonts w:ascii="Arial" w:cs="Arial" w:eastAsia="Arial" w:hAnsi="Arial"/>
          <w:sz w:val="15"/>
          <w:szCs w:val="15"/>
          <w:color w:val="auto"/>
        </w:rPr>
      </w:pPr>
    </w:p>
    <w:p>
      <w:pPr>
        <w:ind w:left="660" w:hanging="466"/>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22" w:lineRule="exact"/>
        <w:rPr>
          <w:rFonts w:ascii="Arial" w:cs="Arial" w:eastAsia="Arial" w:hAnsi="Arial"/>
          <w:sz w:val="15"/>
          <w:szCs w:val="15"/>
          <w:color w:val="auto"/>
        </w:rPr>
      </w:pPr>
    </w:p>
    <w:p>
      <w:pPr>
        <w:ind w:left="660" w:right="780" w:hanging="466"/>
        <w:spacing w:after="0" w:line="28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0"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61" w:lineRule="exact"/>
        <w:rPr>
          <w:sz w:val="20"/>
          <w:szCs w:val="20"/>
          <w:color w:val="auto"/>
        </w:rPr>
      </w:pPr>
    </w:p>
    <w:p>
      <w:pPr>
        <w:ind w:left="200" w:right="42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1"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right="28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5819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581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stock</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offered by</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us</w:t>
            </w:r>
          </w:p>
        </w:tc>
        <w:tc>
          <w:tcPr>
            <w:tcW w:w="1360" w:type="dxa"/>
            <w:vAlign w:val="bottom"/>
          </w:tcPr>
          <w:p>
            <w:pPr>
              <w:ind w:left="560"/>
              <w:spacing w:after="0"/>
              <w:rPr>
                <w:sz w:val="20"/>
                <w:szCs w:val="20"/>
                <w:color w:val="auto"/>
              </w:rPr>
            </w:pPr>
            <w:r>
              <w:rPr>
                <w:rFonts w:ascii="Arial" w:cs="Arial" w:eastAsia="Arial" w:hAnsi="Arial"/>
                <w:sz w:val="15"/>
                <w:szCs w:val="15"/>
                <w:color w:val="auto"/>
              </w:rPr>
              <w:t>shares (or</w:t>
            </w:r>
          </w:p>
        </w:tc>
        <w:tc>
          <w:tcPr>
            <w:tcW w:w="8680" w:type="dxa"/>
            <w:vAlign w:val="bottom"/>
            <w:gridSpan w:val="3"/>
          </w:tcPr>
          <w:p>
            <w:pPr>
              <w:ind w:left="82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stock to be</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w w:val="95"/>
              </w:rPr>
              <w:t>outstanding</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after this</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offering</w:t>
            </w:r>
          </w:p>
        </w:tc>
        <w:tc>
          <w:tcPr>
            <w:tcW w:w="1360" w:type="dxa"/>
            <w:vAlign w:val="bottom"/>
          </w:tcPr>
          <w:p>
            <w:pPr>
              <w:ind w:left="560"/>
              <w:spacing w:after="0"/>
              <w:rPr>
                <w:sz w:val="20"/>
                <w:szCs w:val="20"/>
                <w:color w:val="auto"/>
              </w:rPr>
            </w:pPr>
            <w:r>
              <w:rPr>
                <w:rFonts w:ascii="Arial" w:cs="Arial" w:eastAsia="Arial" w:hAnsi="Arial"/>
                <w:sz w:val="15"/>
                <w:szCs w:val="15"/>
                <w:color w:val="auto"/>
              </w:rPr>
              <w:t>shares (or</w:t>
            </w:r>
          </w:p>
        </w:tc>
        <w:tc>
          <w:tcPr>
            <w:tcW w:w="8680" w:type="dxa"/>
            <w:vAlign w:val="bottom"/>
            <w:gridSpan w:val="3"/>
          </w:tcPr>
          <w:p>
            <w:pPr>
              <w:ind w:left="82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Use of</w:t>
            </w: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8"/>
              </w:rPr>
              <w:t>We estimate that the net proceeds to us from this offering, after deducting underwriting discounts and estimated offering expenses payable by us, will be</w:t>
            </w: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proceeds</w:t>
            </w:r>
          </w:p>
        </w:tc>
        <w:tc>
          <w:tcPr>
            <w:tcW w:w="1360" w:type="dxa"/>
            <w:vAlign w:val="bottom"/>
          </w:tcPr>
          <w:p>
            <w:pPr>
              <w:ind w:left="80"/>
              <w:spacing w:after="0"/>
              <w:rPr>
                <w:sz w:val="20"/>
                <w:szCs w:val="20"/>
                <w:color w:val="auto"/>
              </w:rPr>
            </w:pPr>
            <w:r>
              <w:rPr>
                <w:rFonts w:ascii="Arial" w:cs="Arial" w:eastAsia="Arial" w:hAnsi="Arial"/>
                <w:sz w:val="15"/>
                <w:szCs w:val="15"/>
                <w:color w:val="auto"/>
              </w:rPr>
              <w:t>approximately $</w:t>
            </w:r>
          </w:p>
        </w:tc>
        <w:tc>
          <w:tcPr>
            <w:tcW w:w="1780" w:type="dxa"/>
            <w:vAlign w:val="bottom"/>
          </w:tcPr>
          <w:p>
            <w:pPr>
              <w:ind w:left="180"/>
              <w:spacing w:after="0"/>
              <w:rPr>
                <w:sz w:val="20"/>
                <w:szCs w:val="20"/>
                <w:color w:val="auto"/>
              </w:rPr>
            </w:pPr>
            <w:r>
              <w:rPr>
                <w:rFonts w:ascii="Arial" w:cs="Arial" w:eastAsia="Arial" w:hAnsi="Arial"/>
                <w:sz w:val="15"/>
                <w:szCs w:val="15"/>
                <w:color w:val="auto"/>
              </w:rPr>
              <w:t>, or approximately $</w:t>
            </w:r>
          </w:p>
        </w:tc>
        <w:tc>
          <w:tcPr>
            <w:tcW w:w="6900" w:type="dxa"/>
            <w:vAlign w:val="bottom"/>
            <w:gridSpan w:val="2"/>
          </w:tcPr>
          <w:p>
            <w:pPr>
              <w:ind w:left="120"/>
              <w:spacing w:after="0"/>
              <w:rPr>
                <w:sz w:val="20"/>
                <w:szCs w:val="20"/>
                <w:color w:val="auto"/>
              </w:rPr>
            </w:pPr>
            <w:r>
              <w:rPr>
                <w:rFonts w:ascii="Arial" w:cs="Arial" w:eastAsia="Arial" w:hAnsi="Arial"/>
                <w:sz w:val="15"/>
                <w:szCs w:val="15"/>
                <w:color w:val="auto"/>
                <w:w w:val="92"/>
              </w:rPr>
              <w:t>if the underwriters exercise their option to purchase additional shares in full, based on an assumed initial public</w:t>
            </w:r>
          </w:p>
        </w:tc>
      </w:tr>
      <w:tr>
        <w:trPr>
          <w:trHeight w:val="186"/>
        </w:trPr>
        <w:tc>
          <w:tcPr>
            <w:tcW w:w="920" w:type="dxa"/>
            <w:vAlign w:val="bottom"/>
          </w:tcPr>
          <w:p>
            <w:pPr>
              <w:spacing w:after="0"/>
              <w:rPr>
                <w:sz w:val="16"/>
                <w:szCs w:val="16"/>
                <w:color w:val="auto"/>
              </w:rPr>
            </w:pPr>
          </w:p>
        </w:tc>
        <w:tc>
          <w:tcPr>
            <w:tcW w:w="1360" w:type="dxa"/>
            <w:vAlign w:val="bottom"/>
          </w:tcPr>
          <w:p>
            <w:pPr>
              <w:ind w:left="80"/>
              <w:spacing w:after="0"/>
              <w:rPr>
                <w:sz w:val="20"/>
                <w:szCs w:val="20"/>
                <w:color w:val="auto"/>
              </w:rPr>
            </w:pPr>
            <w:r>
              <w:rPr>
                <w:rFonts w:ascii="Arial" w:cs="Arial" w:eastAsia="Arial" w:hAnsi="Arial"/>
                <w:sz w:val="15"/>
                <w:szCs w:val="15"/>
                <w:color w:val="auto"/>
              </w:rPr>
              <w:t>offering price of $</w:t>
            </w:r>
          </w:p>
        </w:tc>
        <w:tc>
          <w:tcPr>
            <w:tcW w:w="8680" w:type="dxa"/>
            <w:vAlign w:val="bottom"/>
            <w:gridSpan w:val="3"/>
          </w:tcPr>
          <w:p>
            <w:pPr>
              <w:ind w:left="300"/>
              <w:spacing w:after="0"/>
              <w:rPr>
                <w:sz w:val="20"/>
                <w:szCs w:val="20"/>
                <w:color w:val="auto"/>
              </w:rPr>
            </w:pPr>
            <w:r>
              <w:rPr>
                <w:rFonts w:ascii="Arial" w:cs="Arial" w:eastAsia="Arial" w:hAnsi="Arial"/>
                <w:sz w:val="15"/>
                <w:szCs w:val="15"/>
                <w:color w:val="auto"/>
                <w:w w:val="95"/>
              </w:rPr>
              <w:t>per share, which is the midpoint of the price range set forth on the cover page of this prospectus. We expect that we will use the net</w:t>
            </w:r>
          </w:p>
        </w:tc>
      </w:tr>
      <w:tr>
        <w:trPr>
          <w:trHeight w:val="186"/>
        </w:trPr>
        <w:tc>
          <w:tcPr>
            <w:tcW w:w="920" w:type="dxa"/>
            <w:vAlign w:val="bottom"/>
          </w:tcPr>
          <w:p>
            <w:pPr>
              <w:spacing w:after="0"/>
              <w:rPr>
                <w:sz w:val="16"/>
                <w:szCs w:val="16"/>
                <w:color w:val="auto"/>
              </w:rPr>
            </w:pP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5"/>
              </w:rPr>
              <w:t>proceeds from this offering to support the clinical development of SEL-212, conduct preclinical studies in order to advance the development of our other SVP</w:t>
            </w:r>
          </w:p>
        </w:tc>
      </w:tr>
      <w:tr>
        <w:trPr>
          <w:trHeight w:val="190"/>
        </w:trPr>
        <w:tc>
          <w:tcPr>
            <w:tcW w:w="920" w:type="dxa"/>
            <w:vAlign w:val="bottom"/>
          </w:tcPr>
          <w:p>
            <w:pPr>
              <w:spacing w:after="0"/>
              <w:rPr>
                <w:sz w:val="16"/>
                <w:szCs w:val="16"/>
                <w:color w:val="auto"/>
              </w:rPr>
            </w:pP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rPr>
              <w:t>product candidates and for working capital and general corporate purposes. See "Use of proceeds" beginning on page 65.</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Risk factors</w:t>
            </w: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5"/>
              </w:rPr>
              <w:t>See "Risk factors" beginning on page 12 and the other information included in this prospectus for a discussion of factors you should consider carefully before</w:t>
            </w:r>
          </w:p>
        </w:tc>
      </w:tr>
      <w:tr>
        <w:trPr>
          <w:trHeight w:val="190"/>
        </w:trPr>
        <w:tc>
          <w:tcPr>
            <w:tcW w:w="920" w:type="dxa"/>
            <w:vAlign w:val="bottom"/>
          </w:tcPr>
          <w:p>
            <w:pPr>
              <w:spacing w:after="0"/>
              <w:rPr>
                <w:sz w:val="16"/>
                <w:szCs w:val="16"/>
                <w:color w:val="auto"/>
              </w:rPr>
            </w:pPr>
          </w:p>
        </w:tc>
        <w:tc>
          <w:tcPr>
            <w:tcW w:w="3140" w:type="dxa"/>
            <w:vAlign w:val="bottom"/>
            <w:gridSpan w:val="2"/>
          </w:tcPr>
          <w:p>
            <w:pPr>
              <w:ind w:left="80"/>
              <w:spacing w:after="0"/>
              <w:rPr>
                <w:sz w:val="20"/>
                <w:szCs w:val="20"/>
                <w:color w:val="auto"/>
              </w:rPr>
            </w:pPr>
            <w:r>
              <w:rPr>
                <w:rFonts w:ascii="Arial" w:cs="Arial" w:eastAsia="Arial" w:hAnsi="Arial"/>
                <w:sz w:val="15"/>
                <w:szCs w:val="15"/>
                <w:color w:val="auto"/>
              </w:rPr>
              <w:t>deciding to invest in our common stock.</w:t>
            </w: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Proposed</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NASDAQ</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Global</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Market</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symbol</w:t>
            </w:r>
          </w:p>
        </w:tc>
        <w:tc>
          <w:tcPr>
            <w:tcW w:w="1360" w:type="dxa"/>
            <w:vAlign w:val="bottom"/>
          </w:tcPr>
          <w:p>
            <w:pPr>
              <w:ind w:left="80"/>
              <w:spacing w:after="0"/>
              <w:rPr>
                <w:sz w:val="20"/>
                <w:szCs w:val="20"/>
                <w:color w:val="auto"/>
              </w:rPr>
            </w:pPr>
            <w:r>
              <w:rPr>
                <w:rFonts w:ascii="Arial" w:cs="Arial" w:eastAsia="Arial" w:hAnsi="Arial"/>
                <w:sz w:val="15"/>
                <w:szCs w:val="15"/>
                <w:color w:val="auto"/>
              </w:rPr>
              <w:t>"SELB"</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Reserved</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share</w:t>
            </w:r>
          </w:p>
        </w:tc>
        <w:tc>
          <w:tcPr>
            <w:tcW w:w="6040" w:type="dxa"/>
            <w:vAlign w:val="bottom"/>
            <w:gridSpan w:val="3"/>
          </w:tcPr>
          <w:p>
            <w:pPr>
              <w:ind w:left="80"/>
              <w:spacing w:after="0"/>
              <w:rPr>
                <w:sz w:val="20"/>
                <w:szCs w:val="20"/>
                <w:color w:val="auto"/>
              </w:rPr>
            </w:pPr>
            <w:r>
              <w:rPr>
                <w:rFonts w:ascii="Arial" w:cs="Arial" w:eastAsia="Arial" w:hAnsi="Arial"/>
                <w:sz w:val="15"/>
                <w:szCs w:val="15"/>
                <w:color w:val="auto"/>
                <w:w w:val="95"/>
              </w:rPr>
              <w:t>At our request, the underwriters have reserved for sale, at the initial public offering price, up to</w:t>
            </w:r>
          </w:p>
        </w:tc>
        <w:tc>
          <w:tcPr>
            <w:tcW w:w="4000" w:type="dxa"/>
            <w:vAlign w:val="bottom"/>
          </w:tcPr>
          <w:p>
            <w:pPr>
              <w:ind w:left="780"/>
              <w:spacing w:after="0"/>
              <w:rPr>
                <w:sz w:val="20"/>
                <w:szCs w:val="20"/>
                <w:color w:val="auto"/>
              </w:rPr>
            </w:pPr>
            <w:r>
              <w:rPr>
                <w:rFonts w:ascii="Arial" w:cs="Arial" w:eastAsia="Arial" w:hAnsi="Arial"/>
                <w:sz w:val="15"/>
                <w:szCs w:val="15"/>
                <w:color w:val="auto"/>
                <w:w w:val="90"/>
              </w:rPr>
              <w:t>shares of common stock offered by this prospectus to</w:t>
            </w: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program</w:t>
            </w:r>
          </w:p>
        </w:tc>
        <w:tc>
          <w:tcPr>
            <w:tcW w:w="6040" w:type="dxa"/>
            <w:vAlign w:val="bottom"/>
            <w:gridSpan w:val="3"/>
          </w:tcPr>
          <w:p>
            <w:pPr>
              <w:ind w:left="80"/>
              <w:spacing w:after="0"/>
              <w:rPr>
                <w:sz w:val="20"/>
                <w:szCs w:val="20"/>
                <w:color w:val="auto"/>
              </w:rPr>
            </w:pPr>
            <w:r>
              <w:rPr>
                <w:rFonts w:ascii="Arial" w:cs="Arial" w:eastAsia="Arial" w:hAnsi="Arial"/>
                <w:sz w:val="15"/>
                <w:szCs w:val="15"/>
                <w:color w:val="auto"/>
              </w:rPr>
              <w:t>our directors, officers, employees and affiliates of such persons.</w:t>
            </w:r>
          </w:p>
        </w:tc>
        <w:tc>
          <w:tcPr>
            <w:tcW w:w="4000" w:type="dxa"/>
            <w:vAlign w:val="bottom"/>
          </w:tcPr>
          <w:p>
            <w:pPr>
              <w:spacing w:after="0"/>
              <w:rPr>
                <w:sz w:val="16"/>
                <w:szCs w:val="16"/>
                <w:color w:val="auto"/>
              </w:rPr>
            </w:pPr>
          </w:p>
        </w:tc>
      </w:tr>
      <w:tr>
        <w:trPr>
          <w:trHeight w:val="188"/>
        </w:trPr>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ind w:left="200"/>
        <w:spacing w:after="0" w:line="319" w:lineRule="auto"/>
        <w:rPr>
          <w:sz w:val="20"/>
          <w:szCs w:val="20"/>
          <w:color w:val="auto"/>
        </w:rPr>
      </w:pPr>
      <w:r>
        <w:rPr>
          <w:rFonts w:ascii="Arial" w:cs="Arial" w:eastAsia="Arial" w:hAnsi="Arial"/>
          <w:sz w:val="13"/>
          <w:szCs w:val="13"/>
          <w:color w:val="auto"/>
        </w:rPr>
        <w:t>The number of shares of our common stock to be outstanding after this offering is based on 46,625,214 shares of our common stock outstanding as of September 30, 2015, which includes 36,933 shares of unvested restricted common stock subject to repurchase by us and gives effect to the conversion of our outstanding preferred stock into 35,935,400 shares of common stock upon the closing of this offering and the issuance of 2,208,651 shares of common stock in connection with the automatic cashless exercise of warrants, or the Series E Warrants, upon the filing of the registration statement of which this prospectus forms a part with the U.S. Securities and Exchange Commission, or the SEC, and excludes:</w:t>
      </w:r>
    </w:p>
    <w:p>
      <w:pPr>
        <w:spacing w:after="0" w:line="157" w:lineRule="exact"/>
        <w:rPr>
          <w:sz w:val="20"/>
          <w:szCs w:val="20"/>
          <w:color w:val="auto"/>
        </w:rPr>
      </w:pPr>
    </w:p>
    <w:p>
      <w:pPr>
        <w:ind w:left="660" w:hanging="466"/>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3"/>
          <w:szCs w:val="13"/>
          <w:color w:val="auto"/>
        </w:rPr>
      </w:pPr>
    </w:p>
    <w:p>
      <w:pPr>
        <w:ind w:left="660" w:hanging="466"/>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69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469201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140" w:hanging="946"/>
        <w:spacing w:after="0"/>
        <w:tabs>
          <w:tab w:leader="none" w:pos="11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2015 Incentive Award Plan, which will become effective upon the closing of this offering, as well</w:t>
      </w:r>
    </w:p>
    <w:p>
      <w:pPr>
        <w:spacing w:after="0" w:line="41" w:lineRule="exact"/>
        <w:rPr>
          <w:sz w:val="20"/>
          <w:szCs w:val="20"/>
          <w:color w:val="auto"/>
        </w:rPr>
      </w:pPr>
    </w:p>
    <w:p>
      <w:pPr>
        <w:ind w:left="660" w:right="220"/>
        <w:spacing w:after="0" w:line="276" w:lineRule="auto"/>
        <w:rPr>
          <w:sz w:val="20"/>
          <w:szCs w:val="20"/>
          <w:color w:val="auto"/>
        </w:rPr>
      </w:pPr>
      <w:r>
        <w:rPr>
          <w:rFonts w:ascii="Arial" w:cs="Arial" w:eastAsia="Arial" w:hAnsi="Arial"/>
          <w:sz w:val="15"/>
          <w:szCs w:val="15"/>
          <w:color w:val="auto"/>
        </w:rPr>
        <w:t>as shares of our common stock that become available pursuant to provisions in our 2015 Incentive Award Plan on January 1 of each calendar year as described in "Executive and director compensation—Long-term incentive plans—2015 Incentive Award Plan."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ectPr>
          <w:pgSz w:w="11900" w:h="16838" w:orient="portrait"/>
          <w:cols w:equalWidth="0" w:num="1">
            <w:col w:w="11440"/>
          </w:cols>
          <w:pgMar w:left="240" w:top="132" w:right="219" w:bottom="1440" w:gutter="0" w:footer="0" w:header="0"/>
        </w:sectPr>
      </w:pPr>
    </w:p>
    <w:p>
      <w:pPr>
        <w:spacing w:after="0" w:line="19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-for-</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reverse stock split of our common stock, which will become effective prior to the effectiveness of the registration statement of which</w:t>
      </w:r>
    </w:p>
    <w:p>
      <w:pPr>
        <w:spacing w:after="0" w:line="390" w:lineRule="exact"/>
        <w:rPr>
          <w:sz w:val="20"/>
          <w:szCs w:val="20"/>
          <w:color w:val="auto"/>
        </w:rPr>
      </w:pPr>
    </w:p>
    <w:p>
      <w:pPr>
        <w:sectPr>
          <w:pgSz w:w="11900" w:h="16838" w:orient="portrait"/>
          <w:cols w:equalWidth="0" w:num="3">
            <w:col w:w="240" w:space="420"/>
            <w:col w:w="1700" w:space="720"/>
            <w:col w:w="8360"/>
          </w:cols>
          <w:pgMar w:left="240" w:top="132" w:right="219" w:bottom="1440" w:gutter="0" w:footer="0" w:header="0"/>
          <w:type w:val="continuous"/>
        </w:sectPr>
      </w:pPr>
    </w:p>
    <w:p>
      <w:pPr>
        <w:spacing w:after="0" w:line="29" w:lineRule="exact"/>
        <w:rPr>
          <w:sz w:val="20"/>
          <w:szCs w:val="20"/>
          <w:color w:val="auto"/>
        </w:rPr>
      </w:pPr>
    </w:p>
    <w:p>
      <w:pPr>
        <w:ind w:left="660" w:hanging="46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as of September 30, 2015 into common stock upon closing of this offering, which, based on an</w:t>
      </w:r>
    </w:p>
    <w:p>
      <w:pPr>
        <w:sectPr>
          <w:pgSz w:w="11900" w:h="16838" w:orient="portrait"/>
          <w:cols w:equalWidth="0" w:num="1">
            <w:col w:w="11440"/>
          </w:cols>
          <w:pgMar w:left="240" w:top="132" w:right="219" w:bottom="1440" w:gutter="0" w:footer="0" w:header="0"/>
          <w:type w:val="continuous"/>
        </w:sectPr>
      </w:pPr>
    </w:p>
    <w:p>
      <w:pPr>
        <w:spacing w:after="0" w:line="41" w:lineRule="exact"/>
        <w:rPr>
          <w:sz w:val="20"/>
          <w:szCs w:val="20"/>
          <w:color w:val="auto"/>
        </w:rPr>
      </w:pPr>
    </w:p>
    <w:p>
      <w:pPr>
        <w:ind w:left="660" w:right="1160"/>
        <w:spacing w:after="0" w:line="276" w:lineRule="auto"/>
        <w:rPr>
          <w:sz w:val="20"/>
          <w:szCs w:val="20"/>
          <w:color w:val="auto"/>
        </w:rPr>
      </w:pPr>
      <w:r>
        <w:rPr>
          <w:rFonts w:ascii="Arial" w:cs="Arial" w:eastAsia="Arial" w:hAnsi="Arial"/>
          <w:sz w:val="15"/>
          <w:szCs w:val="15"/>
          <w:color w:val="auto"/>
        </w:rPr>
        <w:t>assumed initial public offering price of $ per share, the midpoint of the price range set forth on the cover of this prospectus, would result in the issuance of shares of our common stock;</w:t>
      </w:r>
    </w:p>
    <w:p>
      <w:pPr>
        <w:sectPr>
          <w:pgSz w:w="11900" w:h="16838" w:orient="portrait"/>
          <w:cols w:equalWidth="0" w:num="1">
            <w:col w:w="11440"/>
          </w:cols>
          <w:pgMar w:left="240" w:top="132" w:right="219" w:bottom="1440" w:gutter="0" w:footer="0" w:header="0"/>
          <w:type w:val="continuous"/>
        </w:sectPr>
      </w:pPr>
    </w:p>
    <w:p>
      <w:pPr>
        <w:spacing w:after="0" w:line="179" w:lineRule="exact"/>
        <w:rPr>
          <w:sz w:val="20"/>
          <w:szCs w:val="20"/>
          <w:color w:val="auto"/>
        </w:rPr>
      </w:pPr>
    </w:p>
    <w:p>
      <w:pPr>
        <w:ind w:left="660" w:right="300" w:hanging="466"/>
        <w:spacing w:after="0" w:line="28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outstanding warrants to purchase shares of our Series D redeemable convertible preferred stock, or Series D Preferred Stock, becoming warrants to purchase 69,768 shares of our common stock, at a weighted average exercise price of $4.50 per share, upon the closing of this offering;</w:t>
      </w:r>
    </w:p>
    <w:p>
      <w:pPr>
        <w:spacing w:after="0" w:line="150" w:lineRule="exact"/>
        <w:rPr>
          <w:sz w:val="20"/>
          <w:szCs w:val="20"/>
          <w:color w:val="auto"/>
        </w:rPr>
      </w:pPr>
    </w:p>
    <w:p>
      <w:pPr>
        <w:ind w:left="200"/>
        <w:spacing w:after="0"/>
        <w:tabs>
          <w:tab w:leader="none" w:pos="640" w:val="left"/>
          <w:tab w:leader="none" w:pos="5220" w:val="left"/>
          <w:tab w:leader="none" w:pos="62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automatic cashless exercise of the Series E Warrants on</w:t>
      </w:r>
      <w:r>
        <w:rPr>
          <w:sz w:val="20"/>
          <w:szCs w:val="20"/>
          <w:color w:val="auto"/>
        </w:rPr>
        <w:tab/>
      </w:r>
      <w:r>
        <w:rPr>
          <w:rFonts w:ascii="Arial" w:cs="Arial" w:eastAsia="Arial" w:hAnsi="Arial"/>
          <w:sz w:val="15"/>
          <w:szCs w:val="15"/>
          <w:color w:val="auto"/>
        </w:rPr>
        <w:t>, 2016 for</w:t>
      </w:r>
      <w:r>
        <w:rPr>
          <w:sz w:val="20"/>
          <w:szCs w:val="20"/>
          <w:color w:val="auto"/>
        </w:rPr>
        <w:tab/>
      </w:r>
      <w:r>
        <w:rPr>
          <w:rFonts w:ascii="Arial" w:cs="Arial" w:eastAsia="Arial" w:hAnsi="Arial"/>
          <w:sz w:val="13"/>
          <w:szCs w:val="13"/>
          <w:color w:val="auto"/>
        </w:rPr>
        <w:t>shares of our common stock;</w:t>
      </w:r>
    </w:p>
    <w:p>
      <w:pPr>
        <w:spacing w:after="0" w:line="222" w:lineRule="exact"/>
        <w:rPr>
          <w:sz w:val="20"/>
          <w:szCs w:val="20"/>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of outstanding options or warrants after September 30, 2015, except for the automatic cashless exercise of the Series E Warrants;</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Additional assumptions</w:t>
      </w:r>
    </w:p>
    <w:p>
      <w:pPr>
        <w:spacing w:after="0" w:line="195" w:lineRule="exact"/>
        <w:rPr>
          <w:sz w:val="20"/>
          <w:szCs w:val="20"/>
          <w:color w:val="auto"/>
        </w:rPr>
      </w:pPr>
    </w:p>
    <w:p>
      <w:pPr>
        <w:ind w:left="200" w:right="220"/>
        <w:spacing w:after="0" w:line="282" w:lineRule="auto"/>
        <w:rPr>
          <w:sz w:val="20"/>
          <w:szCs w:val="20"/>
          <w:color w:val="auto"/>
        </w:rPr>
      </w:pPr>
      <w:r>
        <w:rPr>
          <w:rFonts w:ascii="Arial" w:cs="Arial" w:eastAsia="Arial" w:hAnsi="Arial"/>
          <w:sz w:val="14"/>
          <w:szCs w:val="14"/>
          <w:color w:val="auto"/>
        </w:rPr>
        <w:t>Throughout this prospectus, we have indicated that all of our outstanding shares of preferred stock will automatically convert into 35,935,400 shares of our common stock upon the closing of this offering based on the number of shares of our preferred stock outstanding as of September 30, 2015. Our outstanding preferred stock as of September 30, 2015 includes shares of our Series E redeemable convertible preferred stock, or Series E Preferred Stock. Pursuant to the terms of our Series E Preferred Stock, the number of shares of our common stock issuable upon conversion will be determined, in part, based on the initial public offering price per share of this offering. Until such time as a price range for this offering has been determined, throughout this prospectus we have assumed that each share of Series E Preferred Stock will convert into 1.15 shares of our common stock. Similarly, the automatic cashless exercise of the Series E Warrants will occur upon filing of the registration statement of which this prospectus forms a part with the SEC. The number of shares issuable upon exercise will be determined by a formula a component of which is the then-current fair market value of our common stock. Until such time as the cashless exercise has occurred, throughout this prospectus we have applied the assessed value of our common stock as of September 30, 2015 as such fair market value, which would result in the issuance of 2,208,651 shares of our common stock in the aggregate.</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5074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4" w:lineRule="exact"/>
        <w:rPr>
          <w:sz w:val="20"/>
          <w:szCs w:val="20"/>
          <w:color w:val="auto"/>
        </w:rPr>
      </w:pPr>
    </w:p>
    <w:p>
      <w:pPr>
        <w:ind w:left="200"/>
        <w:spacing w:after="0" w:line="282" w:lineRule="auto"/>
        <w:rPr>
          <w:sz w:val="20"/>
          <w:szCs w:val="20"/>
          <w:color w:val="auto"/>
        </w:rPr>
      </w:pPr>
      <w:r>
        <w:rPr>
          <w:rFonts w:ascii="Arial" w:cs="Arial" w:eastAsia="Arial" w:hAnsi="Arial"/>
          <w:sz w:val="14"/>
          <w:szCs w:val="14"/>
          <w:color w:val="auto"/>
        </w:rPr>
        <w:t>The following tables set forth, for the periods and as of the dates indicated, our summary consolidated financial data. You should read the following information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 We have derived the consolidated statements of operations data for the years ended December 31, 2013 and 2014 from our audited consolidated financial statements included elsewhere in this prospectus. The consolidated operations data for the nine months ended September 30, 2014 and 2015 and the consolidated balance sheet data as of September 30, 2015 have been derived from our unaudited condensed consolidated financial statements appearing at the end of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nine months ended September 30, 2015 are not necessarily indicative of the results to be expected for the full year ending December 31, 2015.</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Years ended December 31,</w:t>
            </w:r>
          </w:p>
        </w:tc>
        <w:tc>
          <w:tcPr>
            <w:tcW w:w="120" w:type="dxa"/>
            <w:vAlign w:val="bottom"/>
          </w:tcPr>
          <w:p>
            <w:pPr>
              <w:spacing w:after="0"/>
              <w:rPr>
                <w:sz w:val="12"/>
                <w:szCs w:val="12"/>
                <w:color w:val="auto"/>
              </w:rPr>
            </w:pPr>
          </w:p>
        </w:tc>
        <w:tc>
          <w:tcPr>
            <w:tcW w:w="196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46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9"/>
        </w:trPr>
        <w:tc>
          <w:tcPr>
            <w:tcW w:w="4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gridSpan w:val="9"/>
          </w:tcPr>
          <w:p>
            <w:pPr>
              <w:jc w:val="right"/>
              <w:spacing w:after="0" w:line="109" w:lineRule="exact"/>
              <w:rPr>
                <w:sz w:val="20"/>
                <w:szCs w:val="20"/>
                <w:color w:val="auto"/>
              </w:rPr>
            </w:pPr>
            <w:r>
              <w:rPr>
                <w:rFonts w:ascii="Arial" w:cs="Arial" w:eastAsia="Arial" w:hAnsi="Arial"/>
                <w:sz w:val="12"/>
                <w:szCs w:val="12"/>
                <w:b w:val="1"/>
                <w:bCs w:val="1"/>
                <w:color w:val="auto"/>
              </w:rPr>
              <w:t>(in thousands, except share and per share data)</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(unaudited)</w:t>
            </w:r>
          </w:p>
        </w:tc>
      </w:tr>
      <w:tr>
        <w:trPr>
          <w:trHeight w:val="186"/>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3,877</w:t>
            </w:r>
          </w:p>
        </w:tc>
      </w:tr>
      <w:tr>
        <w:trPr>
          <w:trHeight w:val="186"/>
        </w:trPr>
        <w:tc>
          <w:tcPr>
            <w:tcW w:w="466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10,417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10,486</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7,171</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15,769</w:t>
            </w: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6,355</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7,953</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6,666</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6,305</w:t>
            </w:r>
          </w:p>
        </w:tc>
      </w:tr>
      <w:tr>
        <w:trPr>
          <w:trHeight w:val="20"/>
        </w:trPr>
        <w:tc>
          <w:tcPr>
            <w:tcW w:w="4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16,772</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18,439</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13,837</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22,074</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(15,293)</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(11,732)</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(18,197)</w:t>
            </w:r>
          </w:p>
        </w:tc>
        <w:tc>
          <w:tcPr>
            <w:tcW w:w="140" w:type="dxa"/>
            <w:vAlign w:val="bottom"/>
          </w:tcPr>
          <w:p>
            <w:pPr>
              <w:spacing w:after="0"/>
              <w:rPr>
                <w:sz w:val="15"/>
                <w:szCs w:val="15"/>
                <w:color w:val="auto"/>
              </w:rPr>
            </w:pPr>
          </w:p>
        </w:tc>
      </w:tr>
      <w:tr>
        <w:trPr>
          <w:trHeight w:val="186"/>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Investment income</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82</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149</w:t>
            </w: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616</w:t>
            </w: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(141)</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(552)</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(344)</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(843)</w:t>
            </w: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w:t>
            </w:r>
          </w:p>
        </w:tc>
      </w:tr>
      <w:tr>
        <w:trPr>
          <w:trHeight w:val="177"/>
        </w:trPr>
        <w:tc>
          <w:tcPr>
            <w:tcW w:w="4660" w:type="dxa"/>
            <w:vAlign w:val="bottom"/>
          </w:tcPr>
          <w:p>
            <w:pPr>
              <w:ind w:left="460"/>
              <w:spacing w:after="0"/>
              <w:rPr>
                <w:sz w:val="20"/>
                <w:szCs w:val="20"/>
                <w:color w:val="auto"/>
              </w:rPr>
            </w:pPr>
            <w:r>
              <w:rPr>
                <w:rFonts w:ascii="Arial" w:cs="Arial" w:eastAsia="Arial" w:hAnsi="Arial"/>
                <w:sz w:val="15"/>
                <w:szCs w:val="15"/>
                <w:color w:val="auto"/>
              </w:rPr>
              <w:t>Total other income (expense), net</w:t>
            </w: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489</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5"/>
                <w:szCs w:val="15"/>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(15,177)</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(12,880)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(11,243)</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(18,325)</w:t>
            </w:r>
          </w:p>
        </w:tc>
      </w:tr>
      <w:tr>
        <w:trPr>
          <w:trHeight w:val="179"/>
        </w:trPr>
        <w:tc>
          <w:tcPr>
            <w:tcW w:w="4660" w:type="dxa"/>
            <w:vAlign w:val="bottom"/>
          </w:tcPr>
          <w:p>
            <w:pPr>
              <w:ind w:left="300"/>
              <w:spacing w:after="0"/>
              <w:rPr>
                <w:sz w:val="20"/>
                <w:szCs w:val="20"/>
                <w:color w:val="auto"/>
              </w:rPr>
            </w:pPr>
            <w:r>
              <w:rPr>
                <w:rFonts w:ascii="Arial" w:cs="Arial" w:eastAsia="Arial" w:hAnsi="Arial"/>
                <w:sz w:val="15"/>
                <w:szCs w:val="15"/>
                <w:color w:val="auto"/>
                <w:w w:val="94"/>
              </w:rPr>
              <w:t>Accrued dividends and accretion of redeemable convertible preferred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660" w:type="dxa"/>
            <w:vAlign w:val="bottom"/>
          </w:tcPr>
          <w:p>
            <w:pPr>
              <w:ind w:left="460"/>
              <w:spacing w:after="0"/>
              <w:rPr>
                <w:sz w:val="20"/>
                <w:szCs w:val="20"/>
                <w:color w:val="auto"/>
              </w:rPr>
            </w:pPr>
            <w:r>
              <w:rPr>
                <w:rFonts w:ascii="Arial" w:cs="Arial" w:eastAsia="Arial" w:hAnsi="Arial"/>
                <w:sz w:val="15"/>
                <w:szCs w:val="15"/>
                <w:color w:val="auto"/>
              </w:rPr>
              <w:t>stock</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(4,102)</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(3,401)</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(4,959)</w:t>
            </w:r>
          </w:p>
        </w:tc>
      </w:tr>
      <w:tr>
        <w:trPr>
          <w:trHeight w:val="180"/>
        </w:trPr>
        <w:tc>
          <w:tcPr>
            <w:tcW w:w="466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7"/>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3"/>
        </w:trPr>
        <w:tc>
          <w:tcPr>
            <w:tcW w:w="4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1,459</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(23,284)</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20"/>
          </w:cols>
          <w:pgMar w:left="240" w:top="132" w:right="5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5709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57092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Years ended December 31,</w:t>
            </w:r>
          </w:p>
        </w:tc>
        <w:tc>
          <w:tcPr>
            <w:tcW w:w="208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8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9"/>
        </w:trPr>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40" w:type="dxa"/>
            <w:vAlign w:val="bottom"/>
            <w:gridSpan w:val="8"/>
          </w:tcPr>
          <w:p>
            <w:pPr>
              <w:ind w:left="860"/>
              <w:spacing w:after="0" w:line="109" w:lineRule="exact"/>
              <w:rPr>
                <w:sz w:val="20"/>
                <w:szCs w:val="20"/>
                <w:color w:val="auto"/>
              </w:rPr>
            </w:pPr>
            <w:r>
              <w:rPr>
                <w:rFonts w:ascii="Arial" w:cs="Arial" w:eastAsia="Arial" w:hAnsi="Arial"/>
                <w:sz w:val="12"/>
                <w:szCs w:val="12"/>
                <w:b w:val="1"/>
                <w:bCs w:val="1"/>
                <w:color w:val="auto"/>
                <w:w w:val="86"/>
              </w:rPr>
              <w:t>(in thousands, except share and per share data)</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(unaudited)</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(unaudited)</w:t>
            </w:r>
          </w:p>
        </w:tc>
      </w:tr>
      <w:tr>
        <w:trPr>
          <w:trHeight w:val="186"/>
        </w:trPr>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common shares outstanding(1)</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020" w:type="dxa"/>
            <w:vAlign w:val="bottom"/>
            <w:gridSpan w:val="2"/>
          </w:tcPr>
          <w:p>
            <w:pPr>
              <w:ind w:left="280"/>
              <w:spacing w:after="0"/>
              <w:rPr>
                <w:sz w:val="20"/>
                <w:szCs w:val="20"/>
                <w:color w:val="auto"/>
              </w:rPr>
            </w:pPr>
            <w:r>
              <w:rPr>
                <w:rFonts w:ascii="Arial" w:cs="Arial" w:eastAsia="Arial" w:hAnsi="Arial"/>
                <w:sz w:val="15"/>
                <w:szCs w:val="15"/>
                <w:color w:val="auto"/>
              </w:rPr>
              <w:t>7,706,653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8,153,640</w:t>
            </w:r>
          </w:p>
        </w:tc>
        <w:tc>
          <w:tcPr>
            <w:tcW w:w="14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Arial" w:cs="Arial" w:eastAsia="Arial" w:hAnsi="Arial"/>
                <w:sz w:val="15"/>
                <w:szCs w:val="15"/>
                <w:color w:val="auto"/>
              </w:rPr>
              <w:t>8,117,213</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8,364,450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60" w:type="dxa"/>
            <w:vAlign w:val="bottom"/>
            <w:gridSpan w:val="2"/>
            <w:shd w:val="clear" w:color="auto" w:fill="CCEEFF"/>
          </w:tcPr>
          <w:p>
            <w:pPr>
              <w:spacing w:after="0" w:line="154" w:lineRule="exact"/>
              <w:rPr>
                <w:sz w:val="20"/>
                <w:szCs w:val="20"/>
                <w:color w:val="auto"/>
              </w:rPr>
            </w:pPr>
            <w:r>
              <w:rPr>
                <w:rFonts w:ascii="Arial" w:cs="Arial" w:eastAsia="Arial" w:hAnsi="Arial"/>
                <w:sz w:val="15"/>
                <w:szCs w:val="15"/>
                <w:color w:val="auto"/>
              </w:rPr>
              <w:t>Pro forma net loss per share attributable to common stockholders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3"/>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(unaudited)(1)</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(0.37)</w:t>
            </w:r>
          </w:p>
        </w:tc>
        <w:tc>
          <w:tcPr>
            <w:tcW w:w="11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(0.52)</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6"/>
              </w:rPr>
              <w:t>Pro forma weighted average common shares outstanding (unaudited)(1)</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31,250,048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35,165,602</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82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500" w:hanging="462"/>
        <w:spacing w:after="0" w:line="239" w:lineRule="auto"/>
        <w:tabs>
          <w:tab w:leader="none" w:pos="1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an explanation of the method used to calculate the historical and pro forma basic and diluted net loss per common share and the number of shares used in the computation of the per share amounts.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balance sheet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gridSpan w:val="5"/>
          </w:tcPr>
          <w:p>
            <w:pPr>
              <w:ind w:left="560"/>
              <w:spacing w:after="0"/>
              <w:rPr>
                <w:sz w:val="20"/>
                <w:szCs w:val="20"/>
                <w:color w:val="auto"/>
              </w:rPr>
            </w:pPr>
            <w:r>
              <w:rPr>
                <w:rFonts w:ascii="Arial" w:cs="Arial" w:eastAsia="Arial" w:hAnsi="Arial"/>
                <w:sz w:val="12"/>
                <w:szCs w:val="12"/>
                <w:b w:val="1"/>
                <w:bCs w:val="1"/>
                <w:color w:val="auto"/>
              </w:rPr>
              <w:t>As of September 30, 2015</w:t>
            </w:r>
          </w:p>
        </w:tc>
      </w:tr>
      <w:tr>
        <w:trPr>
          <w:trHeight w:val="121"/>
        </w:trPr>
        <w:tc>
          <w:tcPr>
            <w:tcW w:w="9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 as</w:t>
            </w:r>
          </w:p>
        </w:tc>
        <w:tc>
          <w:tcPr>
            <w:tcW w:w="140" w:type="dxa"/>
            <w:vAlign w:val="bottom"/>
          </w:tcPr>
          <w:p>
            <w:pPr>
              <w:spacing w:after="0"/>
              <w:rPr>
                <w:sz w:val="10"/>
                <w:szCs w:val="10"/>
                <w:color w:val="auto"/>
              </w:rPr>
            </w:pPr>
          </w:p>
        </w:tc>
      </w:tr>
      <w:tr>
        <w:trPr>
          <w:trHeight w:val="167"/>
        </w:trPr>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2"/>
                <w:szCs w:val="12"/>
                <w:b w:val="1"/>
                <w:bCs w:val="1"/>
                <w:color w:val="auto"/>
              </w:rPr>
              <w:t>Actual</w:t>
            </w:r>
          </w:p>
        </w:tc>
        <w:tc>
          <w:tcPr>
            <w:tcW w:w="98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Pro forma(1)</w:t>
            </w: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adjusted(2)</w:t>
            </w:r>
          </w:p>
        </w:tc>
      </w:tr>
      <w:tr>
        <w:trPr>
          <w:trHeight w:val="114"/>
        </w:trPr>
        <w:tc>
          <w:tcPr>
            <w:tcW w:w="900" w:type="dxa"/>
            <w:vAlign w:val="bottom"/>
            <w:tcBorders>
              <w:top w:val="single" w:sz="8" w:color="auto"/>
            </w:tcBorders>
          </w:tcPr>
          <w:p>
            <w:pPr>
              <w:spacing w:after="0"/>
              <w:rPr>
                <w:sz w:val="9"/>
                <w:szCs w:val="9"/>
                <w:color w:val="auto"/>
              </w:rPr>
            </w:pPr>
          </w:p>
        </w:tc>
        <w:tc>
          <w:tcPr>
            <w:tcW w:w="5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47"/>
              <w:spacing w:after="0" w:line="114" w:lineRule="exact"/>
              <w:rPr>
                <w:sz w:val="20"/>
                <w:szCs w:val="20"/>
                <w:color w:val="auto"/>
              </w:rPr>
            </w:pPr>
            <w:r>
              <w:rPr>
                <w:rFonts w:ascii="Arial" w:cs="Arial" w:eastAsia="Arial" w:hAnsi="Arial"/>
                <w:sz w:val="12"/>
                <w:szCs w:val="12"/>
                <w:b w:val="1"/>
                <w:bCs w:val="1"/>
                <w:color w:val="auto"/>
                <w:w w:val="84"/>
              </w:rPr>
              <w:t>(in thousands)</w:t>
            </w: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9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28"/>
              <w:spacing w:after="0"/>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2"/>
                <w:szCs w:val="12"/>
                <w:color w:val="auto"/>
              </w:rPr>
            </w:pPr>
          </w:p>
        </w:tc>
        <w:tc>
          <w:tcPr>
            <w:tcW w:w="840" w:type="dxa"/>
            <w:vAlign w:val="bottom"/>
          </w:tcPr>
          <w:p>
            <w:pPr>
              <w:jc w:val="right"/>
              <w:ind w:right="147"/>
              <w:spacing w:after="0"/>
              <w:rPr>
                <w:sz w:val="20"/>
                <w:szCs w:val="20"/>
                <w:color w:val="auto"/>
              </w:rPr>
            </w:pPr>
            <w:r>
              <w:rPr>
                <w:rFonts w:ascii="Arial" w:cs="Arial" w:eastAsia="Arial" w:hAnsi="Arial"/>
                <w:sz w:val="12"/>
                <w:szCs w:val="12"/>
                <w:b w:val="1"/>
                <w:bCs w:val="1"/>
                <w:color w:val="auto"/>
                <w:w w:val="91"/>
              </w:rPr>
              <w:t>(unaudited)</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(unaudited)</w:t>
            </w: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37,514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37,514</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42,772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42,772</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Preferred stock warrant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Long-term debt, net of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2,985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2,985</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135,106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5</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135,321</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(102,570)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(102,570)</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(4,639)</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90"/>
        </w:trPr>
        <w:tc>
          <w:tcPr>
            <w:tcW w:w="5920" w:type="dxa"/>
            <w:vAlign w:val="bottom"/>
            <w:gridSpan w:val="2"/>
          </w:tcPr>
          <w:p>
            <w:pPr>
              <w:spacing w:after="0"/>
              <w:rPr>
                <w:sz w:val="20"/>
                <w:szCs w:val="20"/>
                <w:color w:val="auto"/>
              </w:rPr>
            </w:pPr>
            <w:r>
              <w:rPr>
                <w:rFonts w:ascii="Arial" w:cs="Arial" w:eastAsia="Arial" w:hAnsi="Arial"/>
                <w:sz w:val="15"/>
                <w:szCs w:val="15"/>
                <w:color w:val="auto"/>
              </w:rPr>
              <w:t>Total stockholders' (deficit)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(107,208)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28,117</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760" w:hanging="462"/>
        <w:spacing w:after="0"/>
        <w:tabs>
          <w:tab w:leader="none" w:pos="17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 forma consolidated balance sheet data give effect to the assumptions described under "Prospectus summary—The offering."</w:t>
      </w:r>
    </w:p>
    <w:p>
      <w:pPr>
        <w:spacing w:after="0" w:line="105" w:lineRule="exact"/>
        <w:rPr>
          <w:sz w:val="20"/>
          <w:szCs w:val="20"/>
          <w:color w:val="auto"/>
        </w:rPr>
      </w:pPr>
    </w:p>
    <w:p>
      <w:pPr>
        <w:ind w:left="1300"/>
        <w:spacing w:after="0"/>
        <w:tabs>
          <w:tab w:leader="none" w:pos="1740" w:val="left"/>
          <w:tab w:leader="none" w:pos="694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The pro forma as adjusted consolidated balance sheet data give further effect to our issuance and sale of</w:t>
      </w:r>
      <w:r>
        <w:rPr>
          <w:sz w:val="20"/>
          <w:szCs w:val="20"/>
          <w:color w:val="auto"/>
        </w:rPr>
        <w:tab/>
      </w:r>
      <w:r>
        <w:rPr>
          <w:rFonts w:ascii="Arial" w:cs="Arial" w:eastAsia="Arial" w:hAnsi="Arial"/>
          <w:sz w:val="10"/>
          <w:szCs w:val="10"/>
          <w:color w:val="auto"/>
        </w:rPr>
        <w:t>shares of our common stock in this offering at an assumed initial public offering price of</w:t>
      </w:r>
    </w:p>
    <w:p>
      <w:pPr>
        <w:ind w:left="1760" w:right="400" w:firstLine="2"/>
        <w:spacing w:after="0" w:line="230" w:lineRule="auto"/>
        <w:tabs>
          <w:tab w:leader="none" w:pos="2195"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 share, which is the midpoint of the price range set forth on the cover page of this prospectus, after deducting the estimated underwriting discounts and commissions and estimated offering expenses payable by us.</w:t>
      </w:r>
    </w:p>
    <w:p>
      <w:pPr>
        <w:spacing w:after="0" w:line="168" w:lineRule="exact"/>
        <w:rPr>
          <w:sz w:val="20"/>
          <w:szCs w:val="20"/>
          <w:color w:val="auto"/>
        </w:rPr>
      </w:pPr>
    </w:p>
    <w:p>
      <w:pPr>
        <w:ind w:left="200" w:right="560"/>
        <w:spacing w:after="0" w:line="301" w:lineRule="auto"/>
        <w:rPr>
          <w:sz w:val="20"/>
          <w:szCs w:val="20"/>
          <w:color w:val="auto"/>
        </w:rPr>
      </w:pPr>
      <w:r>
        <w:rPr>
          <w:rFonts w:ascii="Arial" w:cs="Arial" w:eastAsia="Arial" w:hAnsi="Arial"/>
          <w:sz w:val="13"/>
          <w:szCs w:val="13"/>
          <w:color w:val="auto"/>
        </w:rPr>
        <w:t>Each $1.00 increase (decrease) in the assumed initial public offering price of $ per share, which is the midpoint of the price range set forth on the cover page of this prospectus, would increase (decrease) the pro forma as adjusted amount of each of cash and cash equivalents, total assets, additional paid-in capital and total stockholders' equity</w:t>
      </w:r>
    </w:p>
    <w:p>
      <w:pPr>
        <w:spacing w:after="0" w:line="1" w:lineRule="exact"/>
        <w:rPr>
          <w:sz w:val="20"/>
          <w:szCs w:val="20"/>
          <w:color w:val="auto"/>
        </w:rPr>
      </w:pPr>
    </w:p>
    <w:p>
      <w:pPr>
        <w:ind w:left="200" w:right="380"/>
        <w:spacing w:after="0" w:line="298" w:lineRule="auto"/>
        <w:rPr>
          <w:sz w:val="20"/>
          <w:szCs w:val="20"/>
          <w:color w:val="auto"/>
        </w:rPr>
      </w:pPr>
      <w:r>
        <w:rPr>
          <w:rFonts w:ascii="Arial" w:cs="Arial" w:eastAsia="Arial" w:hAnsi="Arial"/>
          <w:sz w:val="13"/>
          <w:szCs w:val="13"/>
          <w:color w:val="auto"/>
        </w:rPr>
        <w:t>(deficit) by $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w:t>
      </w:r>
    </w:p>
    <w:p>
      <w:pPr>
        <w:ind w:left="200" w:right="320"/>
        <w:spacing w:after="0" w:line="276" w:lineRule="auto"/>
        <w:rPr>
          <w:sz w:val="20"/>
          <w:szCs w:val="20"/>
          <w:color w:val="auto"/>
        </w:rPr>
      </w:pPr>
      <w:r>
        <w:rPr>
          <w:rFonts w:ascii="Arial" w:cs="Arial" w:eastAsia="Arial" w:hAnsi="Arial"/>
          <w:sz w:val="14"/>
          <w:szCs w:val="14"/>
          <w:color w:val="auto"/>
        </w:rPr>
        <w:t>us at the assumed initial public offering price of $ per share would increase (decrease) each of cash and cash equivalents, total assets, additional paid-in capital and total stockholders' equity (deficit) by $ million. The pro forma information discussed above is illustrative only and will be adjusted based on the actual initial public offering price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4"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180"/>
        <w:spacing w:after="0" w:line="278"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2"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Since inception, we have incurred significant operating losses. Our net loss was $15.2 million for the year ended December 31, 2013, $12.9 million for the year ended December 31, 2014 and $11.2 million and $18.3 million for the nine months ended September 30, 2014 and 2015, respectively. As of September 30, 2015, we had an accumulated deficit of $102.6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3" w:lineRule="exact"/>
        <w:rPr>
          <w:sz w:val="20"/>
          <w:szCs w:val="20"/>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2" w:lineRule="exact"/>
        <w:rPr>
          <w:rFonts w:ascii="Arial" w:cs="Arial" w:eastAsia="Arial" w:hAnsi="Arial"/>
          <w:sz w:val="15"/>
          <w:szCs w:val="15"/>
          <w:color w:val="auto"/>
        </w:rPr>
      </w:pPr>
    </w:p>
    <w:p>
      <w:pPr>
        <w:ind w:left="467" w:right="420" w:hanging="467"/>
        <w:spacing w:after="0" w:line="283" w:lineRule="auto"/>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 w:name="page17"/>
    <w:bookmarkEnd w:id="1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61"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4" w:lineRule="exact"/>
        <w:rPr>
          <w:sz w:val="20"/>
          <w:szCs w:val="20"/>
          <w:color w:val="auto"/>
        </w:rPr>
      </w:pPr>
    </w:p>
    <w:p>
      <w:pPr>
        <w:ind w:left="7" w:right="340"/>
        <w:spacing w:after="0" w:line="363"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97" w:lineRule="exact"/>
        <w:rPr>
          <w:sz w:val="20"/>
          <w:szCs w:val="20"/>
          <w:color w:val="auto"/>
        </w:rPr>
      </w:pPr>
    </w:p>
    <w:p>
      <w:pPr>
        <w:ind w:left="7" w:right="280"/>
        <w:spacing w:after="0" w:line="260"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5" w:lineRule="exact"/>
        <w:rPr>
          <w:sz w:val="20"/>
          <w:szCs w:val="20"/>
          <w:color w:val="auto"/>
        </w:rPr>
      </w:pPr>
    </w:p>
    <w:p>
      <w:pPr>
        <w:ind w:left="7" w:right="60"/>
        <w:spacing w:after="0" w:line="291"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believe that our existing cash, cash equivalents and investments, and funding under our existing collaborations, together with the expected net proceeds from this offering, will enable us</w:t>
      </w:r>
    </w:p>
    <w:p>
      <w:pPr>
        <w:spacing w:after="0" w:line="41" w:lineRule="exact"/>
        <w:rPr>
          <w:sz w:val="20"/>
          <w:szCs w:val="20"/>
          <w:color w:val="auto"/>
        </w:rPr>
      </w:pPr>
    </w:p>
    <w:p>
      <w:pPr>
        <w:ind w:left="7" w:right="60"/>
        <w:spacing w:after="0" w:line="276" w:lineRule="auto"/>
        <w:rPr>
          <w:sz w:val="20"/>
          <w:szCs w:val="20"/>
          <w:color w:val="auto"/>
        </w:rPr>
      </w:pPr>
      <w:r>
        <w:rPr>
          <w:rFonts w:ascii="Arial" w:cs="Arial" w:eastAsia="Arial" w:hAnsi="Arial"/>
          <w:sz w:val="15"/>
          <w:szCs w:val="15"/>
          <w:color w:val="auto"/>
        </w:rPr>
        <w:t>to fund our operating expenses and capital expenditure requirements through at least . We have based this estimate on assumptions that may prove to be wrong, and we could use our capital resources sooner than we currently expect. Our future capital requirements will depend on many factors, including:</w:t>
      </w:r>
    </w:p>
    <w:p>
      <w:pPr>
        <w:spacing w:after="0" w:line="167"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collaboration agreements remaining in effect, our entering into additional collaboration agreements and our ability to achieve milestones under these agreements;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10" w:lineRule="exact"/>
        <w:rPr>
          <w:rFonts w:ascii="Arial" w:cs="Arial" w:eastAsia="Arial" w:hAnsi="Arial"/>
          <w:sz w:val="15"/>
          <w:szCs w:val="15"/>
          <w:color w:val="auto"/>
        </w:rPr>
      </w:pPr>
    </w:p>
    <w:p>
      <w:pPr>
        <w:ind w:left="467" w:right="480" w:hanging="467"/>
        <w:spacing w:after="0" w:line="283"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22"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 w:name="page18"/>
    <w:bookmarkEnd w:id="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2" w:lineRule="exact"/>
        <w:rPr>
          <w:sz w:val="20"/>
          <w:szCs w:val="20"/>
          <w:color w:val="auto"/>
        </w:rPr>
      </w:pPr>
    </w:p>
    <w:p>
      <w:pPr>
        <w:ind w:left="7" w:right="38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 future success or viability may not be as accurate as they could be if we had a longer operating history.</w:t>
      </w:r>
    </w:p>
    <w:p>
      <w:pPr>
        <w:spacing w:after="0" w:line="152" w:lineRule="exact"/>
        <w:rPr>
          <w:sz w:val="20"/>
          <w:szCs w:val="20"/>
          <w:color w:val="auto"/>
        </w:rPr>
      </w:pPr>
    </w:p>
    <w:p>
      <w:pPr>
        <w:ind w:left="7" w:right="360"/>
        <w:spacing w:after="0" w:line="283" w:lineRule="auto"/>
        <w:rPr>
          <w:sz w:val="20"/>
          <w:szCs w:val="20"/>
          <w:color w:val="auto"/>
        </w:rPr>
      </w:pPr>
      <w:r>
        <w:rPr>
          <w:rFonts w:ascii="Arial" w:cs="Arial" w:eastAsia="Arial" w:hAnsi="Arial"/>
          <w:sz w:val="15"/>
          <w:szCs w:val="15"/>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50" w:lineRule="exact"/>
        <w:rPr>
          <w:sz w:val="20"/>
          <w:szCs w:val="20"/>
          <w:color w:val="auto"/>
        </w:rPr>
      </w:pPr>
    </w:p>
    <w:p>
      <w:pPr>
        <w:ind w:left="7" w:right="640"/>
        <w:spacing w:after="0" w:line="283" w:lineRule="auto"/>
        <w:rPr>
          <w:sz w:val="20"/>
          <w:szCs w:val="20"/>
          <w:color w:val="auto"/>
        </w:rPr>
      </w:pPr>
      <w:r>
        <w:rPr>
          <w:rFonts w:ascii="Arial" w:cs="Arial" w:eastAsia="Arial" w:hAnsi="Arial"/>
          <w:sz w:val="15"/>
          <w:szCs w:val="15"/>
          <w:color w:val="auto"/>
        </w:rPr>
        <w:t>We have a $7.5 million credit facility with Oxford Finance LLC, or Oxford, and Pacific Western Bank, as successor-in-interest to Square 1 Bank, that is secured by a lien covering substantially all of our personal property, excluding intellectual property. As of September 30, 2015, the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balance under the credit facility was $5.9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permitting the aggregate value of assets held by our subsidiary, Selecta Biosciences Security Corporation, to exceed $1,000,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of December 31, 2014, we had net operating loss carryforwards, or NOLs, for federal and state income tax purposes of $58.3 million and $52.4 million, respectively, which may be available to offset our future taxable income. At December 31, 2014, we had available federal and state research and development income tax credits of approximately $1.3 million and $0.9 million, respectively, which may be available to reduce future income taxes, if any, at various times through 2034.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680"/>
        <w:spacing w:after="0" w:line="278"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2"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diseases, with an initial focus on developing SEL-212 for the treatment of refractory and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infections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82" w:lineRule="exact"/>
        <w:rPr>
          <w:sz w:val="20"/>
          <w:szCs w:val="20"/>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9" w:lineRule="exact"/>
        <w:rPr>
          <w:sz w:val="20"/>
          <w:szCs w:val="20"/>
          <w:color w:val="auto"/>
        </w:rPr>
      </w:pPr>
    </w:p>
    <w:p>
      <w:pPr>
        <w:ind w:left="7" w:right="500"/>
        <w:spacing w:after="0" w:line="283"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220"/>
        <w:spacing w:after="0" w:line="278"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2" w:lineRule="exact"/>
        <w:rPr>
          <w:sz w:val="20"/>
          <w:szCs w:val="20"/>
          <w:color w:val="auto"/>
        </w:rPr>
      </w:pPr>
    </w:p>
    <w:p>
      <w:pPr>
        <w:ind w:left="7" w:right="24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22"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72" w:lineRule="exact"/>
        <w:rPr>
          <w:rFonts w:ascii="Arial" w:cs="Arial" w:eastAsia="Arial" w:hAnsi="Arial"/>
          <w:sz w:val="15"/>
          <w:szCs w:val="15"/>
          <w:color w:val="auto"/>
        </w:rPr>
      </w:pPr>
    </w:p>
    <w:p>
      <w:pPr>
        <w:ind w:left="467" w:right="320" w:hanging="467"/>
        <w:spacing w:after="0" w:line="363" w:lineRule="auto"/>
        <w:tabs>
          <w:tab w:leader="none" w:pos="467"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1" w:lineRule="exact"/>
        <w:rPr>
          <w:sz w:val="20"/>
          <w:szCs w:val="20"/>
          <w:color w:val="auto"/>
        </w:rPr>
      </w:pPr>
    </w:p>
    <w:p>
      <w:pPr>
        <w:ind w:left="7" w:right="260"/>
        <w:spacing w:after="0" w:line="278"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2" w:lineRule="exact"/>
        <w:rPr>
          <w:sz w:val="20"/>
          <w:szCs w:val="20"/>
          <w:color w:val="auto"/>
        </w:rPr>
      </w:pPr>
    </w:p>
    <w:p>
      <w:pPr>
        <w:ind w:left="7" w:right="20"/>
        <w:spacing w:after="0" w:line="285" w:lineRule="auto"/>
        <w:rPr>
          <w:sz w:val="20"/>
          <w:szCs w:val="20"/>
          <w:color w:val="auto"/>
        </w:rPr>
      </w:pPr>
      <w:r>
        <w:rPr>
          <w:rFonts w:ascii="Arial" w:cs="Arial" w:eastAsia="Arial" w:hAnsi="Arial"/>
          <w:sz w:val="14"/>
          <w:szCs w:val="14"/>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145" w:lineRule="exact"/>
        <w:rPr>
          <w:sz w:val="20"/>
          <w:szCs w:val="20"/>
          <w:color w:val="auto"/>
        </w:rPr>
      </w:pPr>
    </w:p>
    <w:p>
      <w:pPr>
        <w:ind w:left="7" w:right="560"/>
        <w:spacing w:after="0" w:line="278"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2"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11327"/>
        <w:spacing w:after="0"/>
        <w:rPr>
          <w:sz w:val="20"/>
          <w:szCs w:val="20"/>
          <w:color w:val="auto"/>
        </w:rPr>
      </w:pP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7138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34" w:lineRule="exact"/>
        <w:rPr>
          <w:sz w:val="20"/>
          <w:szCs w:val="20"/>
          <w:color w:val="auto"/>
        </w:rPr>
      </w:pPr>
    </w:p>
    <w:p>
      <w:pPr>
        <w:ind w:left="7" w:right="140"/>
        <w:spacing w:after="0" w:line="291" w:lineRule="auto"/>
        <w:rPr>
          <w:sz w:val="20"/>
          <w:szCs w:val="20"/>
          <w:color w:val="auto"/>
        </w:rPr>
      </w:pPr>
      <w:r>
        <w:rPr>
          <w:rFonts w:ascii="Arial" w:cs="Arial" w:eastAsia="Arial" w:hAnsi="Arial"/>
          <w:sz w:val="14"/>
          <w:szCs w:val="14"/>
          <w:color w:val="auto"/>
        </w:rPr>
        <w:t>As of November 2015, we have completed the patient treatment portion of our Phase 1a trial for pegsiticase. The Phase 1a trial was a study of one of the components of SEL-212, pegsiticase, in an ascending single dose cohort study of 22 subjects. In this trial, pegsiticase was safe, demonstrated no serious adverse effects and was well tolerated at the five dose levels tested.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pegsiticase or SEL-212.</w:t>
      </w:r>
    </w:p>
    <w:p>
      <w:pPr>
        <w:spacing w:after="0" w:line="148"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anti-nicotine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are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2"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66"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 w:name="page23"/>
    <w:bookmarkEnd w:id="2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2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10" w:lineRule="exact"/>
        <w:rPr>
          <w:rFonts w:ascii="Arial" w:cs="Arial" w:eastAsia="Arial" w:hAnsi="Arial"/>
          <w:sz w:val="15"/>
          <w:szCs w:val="15"/>
          <w:color w:val="auto"/>
        </w:rPr>
      </w:pPr>
    </w:p>
    <w:p>
      <w:pPr>
        <w:ind w:left="467" w:right="18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1" w:lineRule="exact"/>
        <w:rPr>
          <w:rFonts w:ascii="Arial" w:cs="Arial" w:eastAsia="Arial" w:hAnsi="Arial"/>
          <w:sz w:val="15"/>
          <w:szCs w:val="15"/>
          <w:color w:val="auto"/>
        </w:rPr>
      </w:pPr>
    </w:p>
    <w:p>
      <w:pPr>
        <w:ind w:left="467" w:right="320" w:hanging="467"/>
        <w:spacing w:after="0" w:line="319" w:lineRule="auto"/>
        <w:tabs>
          <w:tab w:leader="none" w:pos="467"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56" w:lineRule="exact"/>
        <w:rPr>
          <w:rFonts w:ascii="Arial" w:cs="Arial" w:eastAsia="Arial" w:hAnsi="Arial"/>
          <w:sz w:val="13"/>
          <w:szCs w:val="13"/>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22" w:lineRule="exact"/>
        <w:rPr>
          <w:rFonts w:ascii="Arial" w:cs="Arial" w:eastAsia="Arial" w:hAnsi="Arial"/>
          <w:sz w:val="15"/>
          <w:szCs w:val="15"/>
          <w:color w:val="auto"/>
        </w:rPr>
      </w:pPr>
    </w:p>
    <w:p>
      <w:pPr>
        <w:ind w:left="467" w:right="56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0" w:lineRule="exact"/>
        <w:rPr>
          <w:sz w:val="20"/>
          <w:szCs w:val="20"/>
          <w:color w:val="auto"/>
        </w:rPr>
      </w:pPr>
    </w:p>
    <w:p>
      <w:pPr>
        <w:ind w:left="7" w:right="480"/>
        <w:spacing w:after="0" w:line="363" w:lineRule="auto"/>
        <w:rPr>
          <w:sz w:val="20"/>
          <w:szCs w:val="20"/>
          <w:color w:val="auto"/>
        </w:rPr>
      </w:pPr>
      <w:r>
        <w:rPr>
          <w:rFonts w:ascii="Arial" w:cs="Arial" w:eastAsia="Arial" w:hAnsi="Arial"/>
          <w:sz w:val="13"/>
          <w:szCs w:val="13"/>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16"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9" w:lineRule="exact"/>
        <w:rPr>
          <w:sz w:val="20"/>
          <w:szCs w:val="20"/>
          <w:color w:val="auto"/>
        </w:rPr>
      </w:pPr>
    </w:p>
    <w:p>
      <w:pPr>
        <w:jc w:val="both"/>
        <w:ind w:left="7" w:right="400"/>
        <w:spacing w:after="0" w:line="298" w:lineRule="auto"/>
        <w:rPr>
          <w:sz w:val="20"/>
          <w:szCs w:val="20"/>
          <w:color w:val="auto"/>
        </w:rPr>
      </w:pPr>
      <w:r>
        <w:rPr>
          <w:rFonts w:ascii="Arial" w:cs="Arial" w:eastAsia="Arial" w:hAnsi="Arial"/>
          <w:sz w:val="14"/>
          <w:szCs w:val="14"/>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market before we do, potentially impairing our ability to successfully commercialize our product candidates and harming our business and results of operations.</w:t>
      </w:r>
    </w:p>
    <w:p>
      <w:pPr>
        <w:spacing w:after="0" w:line="191" w:lineRule="exact"/>
        <w:rPr>
          <w:sz w:val="20"/>
          <w:szCs w:val="20"/>
          <w:color w:val="auto"/>
        </w:rPr>
      </w:pPr>
    </w:p>
    <w:p>
      <w:pPr>
        <w:ind w:left="7" w:right="720"/>
        <w:spacing w:after="0" w:line="278"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2"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6"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9"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52" w:lineRule="exact"/>
        <w:rPr>
          <w:sz w:val="20"/>
          <w:szCs w:val="20"/>
          <w:color w:val="auto"/>
        </w:rPr>
      </w:pPr>
    </w:p>
    <w:p>
      <w:pPr>
        <w:ind w:left="7" w:right="80"/>
        <w:spacing w:after="0" w:line="278"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2"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of additional statutes or regulations,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6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2"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65"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Crealta Pharmaceuticals LLC,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tophaceous gout, an indication we plan to pursue.</w:t>
      </w:r>
    </w:p>
    <w:p>
      <w:pPr>
        <w:spacing w:after="0" w:line="165"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0"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2" w:lineRule="exact"/>
        <w:rPr>
          <w:sz w:val="20"/>
          <w:szCs w:val="20"/>
          <w:color w:val="auto"/>
        </w:rPr>
      </w:pPr>
    </w:p>
    <w:p>
      <w:pPr>
        <w:jc w:val="both"/>
        <w:ind w:right="80"/>
        <w:spacing w:after="0" w:line="264"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and the FDA has not yet released additional guidance as to the criteria it uses in designating drugs as breakthrough therapies. As a result,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56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 w:name="page27"/>
    <w:bookmarkEnd w:id="2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78"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2" w:lineRule="exact"/>
        <w:rPr>
          <w:sz w:val="20"/>
          <w:szCs w:val="20"/>
          <w:color w:val="auto"/>
        </w:rPr>
      </w:pPr>
    </w:p>
    <w:p>
      <w:pPr>
        <w:ind w:left="7" w:right="120"/>
        <w:spacing w:after="0" w:line="311"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7"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9"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0"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40"/>
        <w:spacing w:after="0" w:line="254"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656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61"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4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4" w:lineRule="exact"/>
        <w:rPr>
          <w:sz w:val="20"/>
          <w:szCs w:val="20"/>
          <w:color w:val="auto"/>
        </w:rPr>
      </w:pPr>
    </w:p>
    <w:p>
      <w:pPr>
        <w:ind w:left="7" w:right="380"/>
        <w:spacing w:after="0" w:line="283"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260" w:hanging="467"/>
        <w:spacing w:after="0" w:line="283"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2" w:lineRule="exact"/>
        <w:rPr>
          <w:rFonts w:ascii="Arial" w:cs="Arial" w:eastAsia="Arial" w:hAnsi="Arial"/>
          <w:sz w:val="15"/>
          <w:szCs w:val="15"/>
          <w:color w:val="auto"/>
        </w:rPr>
      </w:pPr>
    </w:p>
    <w:p>
      <w:pPr>
        <w:jc w:val="both"/>
        <w:ind w:left="467" w:right="60" w:hanging="467"/>
        <w:spacing w:after="0" w:line="270"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2"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70"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43" w:lineRule="exact"/>
        <w:rPr>
          <w:sz w:val="20"/>
          <w:szCs w:val="20"/>
          <w:color w:val="auto"/>
        </w:rPr>
      </w:pPr>
    </w:p>
    <w:p>
      <w:pPr>
        <w:ind w:left="7" w:right="840"/>
        <w:spacing w:after="0" w:line="278"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2" w:lineRule="exact"/>
        <w:rPr>
          <w:sz w:val="20"/>
          <w:szCs w:val="20"/>
          <w:color w:val="auto"/>
        </w:rPr>
      </w:pPr>
    </w:p>
    <w:p>
      <w:pPr>
        <w:ind w:left="7" w:right="80"/>
        <w:spacing w:after="0" w:line="319" w:lineRule="auto"/>
        <w:rPr>
          <w:sz w:val="20"/>
          <w:szCs w:val="20"/>
          <w:color w:val="auto"/>
        </w:rPr>
      </w:pPr>
      <w:r>
        <w:rPr>
          <w:rFonts w:ascii="Arial" w:cs="Arial" w:eastAsia="Arial" w:hAnsi="Arial"/>
          <w:sz w:val="13"/>
          <w:szCs w:val="13"/>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and BIND Therapeutics,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45"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10" w:lineRule="exact"/>
        <w:rPr>
          <w:rFonts w:ascii="Arial" w:cs="Arial" w:eastAsia="Arial" w:hAnsi="Arial"/>
          <w:sz w:val="15"/>
          <w:szCs w:val="15"/>
          <w:color w:val="auto"/>
        </w:rPr>
      </w:pPr>
    </w:p>
    <w:p>
      <w:pPr>
        <w:ind w:left="467" w:right="80" w:hanging="467"/>
        <w:spacing w:after="0" w:line="270" w:lineRule="auto"/>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24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2" w:lineRule="exact"/>
        <w:rPr>
          <w:rFonts w:ascii="Arial" w:cs="Arial" w:eastAsia="Arial" w:hAnsi="Arial"/>
          <w:sz w:val="15"/>
          <w:szCs w:val="15"/>
          <w:color w:val="auto"/>
        </w:rPr>
      </w:pPr>
    </w:p>
    <w:p>
      <w:pPr>
        <w:ind w:left="467" w:right="2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Arial" w:cs="Arial" w:eastAsia="Arial" w:hAnsi="Arial"/>
          <w:sz w:val="15"/>
          <w:szCs w:val="15"/>
          <w:color w:val="auto"/>
        </w:rPr>
      </w:pPr>
    </w:p>
    <w:p>
      <w:pPr>
        <w:ind w:left="467" w:right="6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10" w:lineRule="exact"/>
        <w:rPr>
          <w:rFonts w:ascii="Arial" w:cs="Arial" w:eastAsia="Arial" w:hAnsi="Arial"/>
          <w:sz w:val="15"/>
          <w:szCs w:val="15"/>
          <w:color w:val="auto"/>
        </w:rPr>
      </w:pPr>
    </w:p>
    <w:p>
      <w:pPr>
        <w:ind w:left="467" w:right="6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22" w:lineRule="exact"/>
        <w:rPr>
          <w:rFonts w:ascii="Arial" w:cs="Arial" w:eastAsia="Arial" w:hAnsi="Arial"/>
          <w:sz w:val="15"/>
          <w:szCs w:val="15"/>
          <w:color w:val="auto"/>
        </w:rPr>
      </w:pPr>
    </w:p>
    <w:p>
      <w:pPr>
        <w:ind w:left="467" w:right="2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0"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3"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2"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3"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61" w:lineRule="exact"/>
        <w:rPr>
          <w:sz w:val="20"/>
          <w:szCs w:val="20"/>
          <w:color w:val="auto"/>
        </w:rPr>
      </w:pPr>
    </w:p>
    <w:p>
      <w:pPr>
        <w:ind w:right="120"/>
        <w:spacing w:after="0" w:line="363"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240"/>
        <w:spacing w:after="0" w:line="260"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51" w:lineRule="exact"/>
        <w:rPr>
          <w:sz w:val="20"/>
          <w:szCs w:val="20"/>
          <w:color w:val="auto"/>
        </w:rPr>
      </w:pPr>
    </w:p>
    <w:p>
      <w:pPr>
        <w:jc w:val="both"/>
        <w:ind w:right="140"/>
        <w:spacing w:after="0" w:line="298"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4" w:lineRule="exact"/>
        <w:rPr>
          <w:sz w:val="20"/>
          <w:szCs w:val="20"/>
          <w:color w:val="auto"/>
        </w:rPr>
      </w:pPr>
    </w:p>
    <w:p>
      <w:pPr>
        <w:ind w:right="480"/>
        <w:spacing w:after="0" w:line="363"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56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2" w:name="page33"/>
    <w:bookmarkEnd w:id="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180"/>
        <w:spacing w:after="0" w:line="278"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2"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2"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9" w:lineRule="exact"/>
        <w:rPr>
          <w:sz w:val="20"/>
          <w:szCs w:val="20"/>
          <w:color w:val="auto"/>
        </w:rPr>
      </w:pPr>
    </w:p>
    <w:p>
      <w:pPr>
        <w:ind w:left="7" w:right="280"/>
        <w:spacing w:after="0" w:line="264"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7" w:lineRule="exact"/>
        <w:rPr>
          <w:sz w:val="20"/>
          <w:szCs w:val="20"/>
          <w:color w:val="auto"/>
        </w:rPr>
      </w:pPr>
    </w:p>
    <w:p>
      <w:pPr>
        <w:ind w:left="7" w:right="340"/>
        <w:spacing w:after="0" w:line="278"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2"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make arrangements with third parties to perform sales and marketing functions and we may not be successful in doing so.</w:t>
      </w:r>
    </w:p>
    <w:p>
      <w:pPr>
        <w:spacing w:after="0" w:line="199"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9" w:lineRule="exact"/>
        <w:rPr>
          <w:sz w:val="20"/>
          <w:szCs w:val="20"/>
          <w:color w:val="auto"/>
        </w:rPr>
      </w:pPr>
    </w:p>
    <w:p>
      <w:pPr>
        <w:ind w:left="7" w:right="140"/>
        <w:spacing w:after="0" w:line="264"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In this regard, SEL-212 may compete with Krystexxa,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 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52"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2"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4"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4"/>
          <w:szCs w:val="14"/>
          <w:color w:val="auto"/>
        </w:rPr>
        <w:t>products that we develop could have a material adverse effect on our operating results, our ability to raise capital needed to commercialize products and our overall financial condition.</w:t>
      </w:r>
    </w:p>
    <w:p>
      <w:pPr>
        <w:spacing w:after="0" w:line="210"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2"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9" w:lineRule="exact"/>
        <w:rPr>
          <w:sz w:val="20"/>
          <w:szCs w:val="20"/>
          <w:color w:val="auto"/>
        </w:rPr>
      </w:pPr>
    </w:p>
    <w:p>
      <w:pPr>
        <w:jc w:val="both"/>
        <w:ind w:left="7" w:right="60"/>
        <w:spacing w:after="0" w:line="298"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59" w:lineRule="exact"/>
        <w:rPr>
          <w:sz w:val="20"/>
          <w:szCs w:val="20"/>
          <w:color w:val="auto"/>
        </w:rPr>
      </w:pPr>
    </w:p>
    <w:p>
      <w:pPr>
        <w:ind w:left="7" w:right="320"/>
        <w:spacing w:after="0" w:line="254"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5" w:lineRule="exact"/>
        <w:rPr>
          <w:sz w:val="20"/>
          <w:szCs w:val="20"/>
          <w:color w:val="auto"/>
        </w:rPr>
      </w:pPr>
    </w:p>
    <w:p>
      <w:pPr>
        <w:ind w:left="467" w:right="20" w:hanging="467"/>
        <w:spacing w:after="0" w:line="287" w:lineRule="auto"/>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4" w:lineRule="exact"/>
        <w:rPr>
          <w:rFonts w:ascii="Arial" w:cs="Arial" w:eastAsia="Arial" w:hAnsi="Arial"/>
          <w:sz w:val="14"/>
          <w:szCs w:val="14"/>
          <w:color w:val="auto"/>
        </w:rPr>
      </w:pPr>
    </w:p>
    <w:p>
      <w:pPr>
        <w:jc w:val="both"/>
        <w:ind w:left="467" w:right="240" w:hanging="467"/>
        <w:spacing w:after="0" w:line="270"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8" w:name="page39"/>
    <w:bookmarkEnd w:id="3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40" w:hanging="467"/>
        <w:spacing w:after="0" w:line="270"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83" w:lineRule="exact"/>
        <w:rPr>
          <w:rFonts w:ascii="Arial" w:cs="Arial" w:eastAsia="Arial" w:hAnsi="Arial"/>
          <w:sz w:val="15"/>
          <w:szCs w:val="15"/>
          <w:color w:val="auto"/>
        </w:rPr>
      </w:pPr>
    </w:p>
    <w:p>
      <w:pPr>
        <w:jc w:val="both"/>
        <w:ind w:left="467" w:right="180" w:hanging="467"/>
        <w:spacing w:after="0" w:line="270"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2" w:lineRule="exact"/>
        <w:rPr>
          <w:rFonts w:ascii="Arial" w:cs="Arial" w:eastAsia="Arial" w:hAnsi="Arial"/>
          <w:sz w:val="15"/>
          <w:szCs w:val="15"/>
          <w:color w:val="auto"/>
        </w:rPr>
      </w:pPr>
    </w:p>
    <w:p>
      <w:pPr>
        <w:ind w:left="467" w:right="240" w:hanging="467"/>
        <w:spacing w:after="0" w:line="264"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7" w:lineRule="exact"/>
        <w:rPr>
          <w:rFonts w:ascii="Arial" w:cs="Arial" w:eastAsia="Arial" w:hAnsi="Arial"/>
          <w:sz w:val="15"/>
          <w:szCs w:val="15"/>
          <w:color w:val="auto"/>
        </w:rPr>
      </w:pPr>
    </w:p>
    <w:p>
      <w:pPr>
        <w:ind w:left="467" w:right="80" w:hanging="467"/>
        <w:spacing w:after="0" w:line="263"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9" w:name="page40"/>
    <w:bookmarkEnd w:id="3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78"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2"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61" w:lineRule="exact"/>
        <w:rPr>
          <w:sz w:val="20"/>
          <w:szCs w:val="20"/>
          <w:color w:val="auto"/>
        </w:rPr>
      </w:pPr>
    </w:p>
    <w:p>
      <w:pPr>
        <w:jc w:val="both"/>
        <w:ind w:left="7" w:right="6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10"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1" w:lineRule="exact"/>
        <w:rPr>
          <w:rFonts w:ascii="Arial" w:cs="Arial" w:eastAsia="Arial" w:hAnsi="Arial"/>
          <w:sz w:val="15"/>
          <w:szCs w:val="15"/>
          <w:color w:val="auto"/>
        </w:rPr>
      </w:pPr>
    </w:p>
    <w:p>
      <w:pPr>
        <w:ind w:left="467" w:right="180" w:hanging="467"/>
        <w:spacing w:after="0" w:line="320" w:lineRule="auto"/>
        <w:tabs>
          <w:tab w:leader="none" w:pos="4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0" w:lineRule="exact"/>
        <w:rPr>
          <w:rFonts w:ascii="Arial" w:cs="Arial" w:eastAsia="Arial" w:hAnsi="Arial"/>
          <w:sz w:val="14"/>
          <w:szCs w:val="14"/>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2"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jc w:val="both"/>
        <w:ind w:right="140"/>
        <w:spacing w:after="0" w:line="260"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64"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340"/>
        <w:spacing w:after="0" w:line="298"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9"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6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6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2"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2" w:lineRule="exact"/>
        <w:rPr>
          <w:sz w:val="20"/>
          <w:szCs w:val="20"/>
          <w:color w:val="auto"/>
        </w:rPr>
      </w:pPr>
    </w:p>
    <w:p>
      <w:pPr>
        <w:ind w:right="140"/>
        <w:spacing w:after="0" w:line="298"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right to terminate the license. Termination of a necessary license could have a material adverse impact on our business.</w:t>
      </w:r>
    </w:p>
    <w:p>
      <w:pPr>
        <w:spacing w:after="0" w:line="19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We currently own five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4" w:lineRule="exact"/>
        <w:rPr>
          <w:sz w:val="20"/>
          <w:szCs w:val="20"/>
          <w:color w:val="auto"/>
        </w:rPr>
      </w:pPr>
    </w:p>
    <w:p>
      <w:pPr>
        <w:jc w:val="both"/>
        <w:ind w:right="140"/>
        <w:spacing w:after="0" w:line="266"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7"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8"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1" w:lineRule="exact"/>
        <w:rPr>
          <w:sz w:val="20"/>
          <w:szCs w:val="20"/>
          <w:color w:val="auto"/>
        </w:rPr>
      </w:pPr>
    </w:p>
    <w:p>
      <w:pPr>
        <w:ind w:left="7" w:right="80"/>
        <w:spacing w:after="0" w:line="283"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3"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6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3" w:lineRule="exact"/>
        <w:rPr>
          <w:rFonts w:ascii="Arial" w:cs="Arial" w:eastAsia="Arial" w:hAnsi="Arial"/>
          <w:sz w:val="13"/>
          <w:szCs w:val="13"/>
          <w:color w:val="auto"/>
        </w:rPr>
      </w:pPr>
    </w:p>
    <w:p>
      <w:pPr>
        <w:ind w:left="467" w:right="4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6" w:name="page47"/>
    <w:bookmarkEnd w:id="4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300" w:hanging="467"/>
        <w:spacing w:after="0" w:line="270"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83"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10" w:lineRule="exact"/>
        <w:rPr>
          <w:rFonts w:ascii="Arial" w:cs="Arial" w:eastAsia="Arial" w:hAnsi="Arial"/>
          <w:sz w:val="15"/>
          <w:szCs w:val="15"/>
          <w:color w:val="auto"/>
        </w:rPr>
      </w:pPr>
    </w:p>
    <w:p>
      <w:pPr>
        <w:ind w:left="467" w:right="560" w:hanging="467"/>
        <w:spacing w:after="0" w:line="283"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40"/>
        <w:spacing w:after="0" w:line="278"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2"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61"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61" w:lineRule="exact"/>
        <w:rPr>
          <w:sz w:val="20"/>
          <w:szCs w:val="20"/>
          <w:color w:val="auto"/>
        </w:rPr>
      </w:pPr>
    </w:p>
    <w:p>
      <w:pPr>
        <w:ind w:left="7" w:right="160"/>
        <w:spacing w:after="0" w:line="264"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4"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2" w:lineRule="exact"/>
        <w:rPr>
          <w:sz w:val="20"/>
          <w:szCs w:val="20"/>
          <w:color w:val="auto"/>
        </w:rPr>
      </w:pPr>
    </w:p>
    <w:p>
      <w:pPr>
        <w:jc w:val="both"/>
        <w:ind w:right="80"/>
        <w:spacing w:after="0" w:line="278"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2"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5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4" w:lineRule="exact"/>
        <w:rPr>
          <w:sz w:val="20"/>
          <w:szCs w:val="20"/>
          <w:color w:val="auto"/>
        </w:rPr>
      </w:pPr>
    </w:p>
    <w:p>
      <w:pPr>
        <w:ind w:right="560"/>
        <w:spacing w:after="0" w:line="270" w:lineRule="auto"/>
        <w:rPr>
          <w:sz w:val="20"/>
          <w:szCs w:val="20"/>
          <w:color w:val="auto"/>
        </w:rPr>
      </w:pPr>
      <w:r>
        <w:rPr>
          <w:rFonts w:ascii="Arial" w:cs="Arial" w:eastAsia="Arial" w:hAnsi="Arial"/>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10" w:lineRule="exact"/>
        <w:rPr>
          <w:rFonts w:ascii="Arial" w:cs="Arial" w:eastAsia="Arial" w:hAnsi="Arial"/>
          <w:sz w:val="15"/>
          <w:szCs w:val="15"/>
          <w:color w:val="auto"/>
        </w:rPr>
      </w:pPr>
    </w:p>
    <w:p>
      <w:pPr>
        <w:ind w:left="467" w:right="200" w:hanging="467"/>
        <w:spacing w:after="0" w:line="283"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0"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80"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5"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8" w:lineRule="exact"/>
        <w:rPr>
          <w:sz w:val="20"/>
          <w:szCs w:val="20"/>
          <w:color w:val="auto"/>
        </w:rPr>
      </w:pPr>
    </w:p>
    <w:p>
      <w:pPr>
        <w:ind w:right="700"/>
        <w:spacing w:after="0" w:line="278"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and BIND Therapeutics, Inc. Under our existing licensing agreements, we are obligated to pay royalties on net product sales of product candidates or related technologies to the extent they are covered by the agreement. If we fail to comply with our obligations under current or future license agreements, our counterparties may have the right to terminate these agreements, in which event we might not be 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 —Licenses and collaborations."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8" w:lineRule="exact"/>
        <w:rPr>
          <w:sz w:val="20"/>
          <w:szCs w:val="20"/>
          <w:color w:val="auto"/>
        </w:rPr>
      </w:pPr>
    </w:p>
    <w:p>
      <w:pPr>
        <w:ind w:right="520"/>
        <w:spacing w:after="0" w:line="283"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ind w:right="360"/>
        <w:spacing w:after="0" w:line="278"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6"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2"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0"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2"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20"/>
        <w:spacing w:after="0" w:line="278"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2"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1"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2"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64"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2016,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jc w:val="both"/>
        <w:ind w:right="2740"/>
        <w:spacing w:after="0" w:line="506" w:lineRule="auto"/>
        <w:rPr>
          <w:sz w:val="20"/>
          <w:szCs w:val="20"/>
          <w:color w:val="auto"/>
        </w:rPr>
      </w:pPr>
      <w:r>
        <w:rPr>
          <w:rFonts w:ascii="Arial" w:cs="Arial" w:eastAsia="Arial" w:hAnsi="Arial"/>
          <w:sz w:val="15"/>
          <w:szCs w:val="15"/>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6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6"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pricing and reimbursement, legal, political, tax and labor conditions, which could harm our business. For example, one of our principal shareholders, RUSNANO, is a Russian controlled entity and in 2015 several RUSNANO managers were accused of corruption and removed from their respective positions. While we and our officers and directors were not accused of any wrongdoing, further corruption charges could harm our reputation and increase the risk of political action against RUSNANO or us.</w:t>
      </w:r>
    </w:p>
    <w:p>
      <w:pPr>
        <w:spacing w:after="0" w:line="161"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8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22" w:lineRule="exact"/>
        <w:rPr>
          <w:rFonts w:ascii="Arial" w:cs="Arial" w:eastAsia="Arial" w:hAnsi="Arial"/>
          <w:sz w:val="15"/>
          <w:szCs w:val="15"/>
          <w:color w:val="auto"/>
        </w:rPr>
      </w:pPr>
    </w:p>
    <w:p>
      <w:pPr>
        <w:ind w:left="467" w:right="200" w:hanging="467"/>
        <w:spacing w:after="0" w:line="320" w:lineRule="auto"/>
        <w:tabs>
          <w:tab w:leader="none" w:pos="467"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39" w:lineRule="exact"/>
        <w:rPr>
          <w:rFonts w:ascii="Arial" w:cs="Arial" w:eastAsia="Arial" w:hAnsi="Arial"/>
          <w:sz w:val="14"/>
          <w:szCs w:val="14"/>
          <w:color w:val="auto"/>
        </w:rPr>
      </w:pPr>
    </w:p>
    <w:p>
      <w:pPr>
        <w:ind w:left="467" w:right="18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22" w:lineRule="exact"/>
        <w:rPr>
          <w:rFonts w:ascii="Arial" w:cs="Arial" w:eastAsia="Arial" w:hAnsi="Arial"/>
          <w:sz w:val="15"/>
          <w:szCs w:val="15"/>
          <w:color w:val="auto"/>
        </w:rPr>
      </w:pPr>
    </w:p>
    <w:p>
      <w:pPr>
        <w:ind w:left="467" w:right="14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22"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7"/>
          </w:cols>
          <w:pgMar w:left="233" w:top="132" w:right="339" w:bottom="1440" w:gutter="0" w:footer="0" w:header="0"/>
        </w:sectPr>
      </w:pPr>
    </w:p>
    <w:bookmarkStart w:id="58" w:name="page59"/>
    <w:bookmarkEnd w:id="5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right="80"/>
        <w:spacing w:after="0" w:line="314" w:lineRule="auto"/>
        <w:rPr>
          <w:sz w:val="20"/>
          <w:szCs w:val="20"/>
          <w:color w:val="auto"/>
        </w:rPr>
      </w:pPr>
      <w:r>
        <w:rPr>
          <w:rFonts w:ascii="Arial" w:cs="Arial" w:eastAsia="Arial" w:hAnsi="Arial"/>
          <w:sz w:val="13"/>
          <w:szCs w:val="13"/>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$4.8 million of cash in Russian banks as of September 30, 2015.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40"/>
        <w:spacing w:after="0" w:line="309"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0" w:lineRule="exact"/>
        <w:rPr>
          <w:sz w:val="20"/>
          <w:szCs w:val="20"/>
          <w:color w:val="auto"/>
        </w:rPr>
      </w:pPr>
    </w:p>
    <w:p>
      <w:pPr>
        <w:ind w:left="7" w:right="280"/>
        <w:spacing w:after="0" w:line="278"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2" w:lineRule="exact"/>
        <w:rPr>
          <w:sz w:val="20"/>
          <w:szCs w:val="20"/>
          <w:color w:val="auto"/>
        </w:rPr>
      </w:pPr>
    </w:p>
    <w:p>
      <w:pPr>
        <w:jc w:val="both"/>
        <w:ind w:left="7" w:right="20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spacing w:after="0" w:line="1" w:lineRule="exact"/>
        <w:rPr>
          <w:sz w:val="20"/>
          <w:szCs w:val="20"/>
          <w:color w:val="auto"/>
        </w:rPr>
      </w:pPr>
    </w:p>
    <w:p>
      <w:pPr>
        <w:ind w:left="7" w:right="40" w:hanging="7"/>
        <w:spacing w:after="0" w:line="284" w:lineRule="auto"/>
        <w:tabs>
          <w:tab w:leader="none" w:pos="221" w:val="left"/>
        </w:tabs>
        <w:numPr>
          <w:ilvl w:val="0"/>
          <w:numId w:val="41"/>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9" w:name="page60"/>
    <w:bookmarkEnd w:id="5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298" w:lineRule="auto"/>
        <w:rPr>
          <w:sz w:val="20"/>
          <w:szCs w:val="20"/>
          <w:color w:val="auto"/>
        </w:rPr>
      </w:pPr>
      <w:r>
        <w:rPr>
          <w:rFonts w:ascii="Arial" w:cs="Arial" w:eastAsia="Arial" w:hAnsi="Arial"/>
          <w:sz w:val="14"/>
          <w:szCs w:val="14"/>
          <w:color w:val="auto"/>
        </w:rPr>
        <w:t>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2" w:lineRule="exact"/>
        <w:rPr>
          <w:sz w:val="20"/>
          <w:szCs w:val="20"/>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9"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0"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intend to apply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60" w:name="page61"/>
    <w:bookmarkEnd w:id="6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440"/>
        <w:spacing w:after="0" w:line="278"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2" w:lineRule="exact"/>
        <w:rPr>
          <w:sz w:val="20"/>
          <w:szCs w:val="20"/>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191" w:lineRule="exact"/>
        <w:rPr>
          <w:sz w:val="20"/>
          <w:szCs w:val="20"/>
          <w:color w:val="auto"/>
        </w:rPr>
      </w:pPr>
    </w:p>
    <w:p>
      <w:pPr>
        <w:ind w:left="7" w:right="420"/>
        <w:spacing w:after="0" w:line="278"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ectPr>
          <w:pgSz w:w="11900" w:h="16838" w:orient="portrait"/>
          <w:cols w:equalWidth="0" w:num="1">
            <w:col w:w="11447"/>
          </w:cols>
          <w:pgMar w:left="233" w:top="132" w:right="219" w:bottom="1440" w:gutter="0" w:footer="0" w:header="0"/>
        </w:sectPr>
      </w:pPr>
    </w:p>
    <w:p>
      <w:pPr>
        <w:spacing w:after="0" w:line="142" w:lineRule="exact"/>
        <w:rPr>
          <w:sz w:val="20"/>
          <w:szCs w:val="20"/>
          <w:color w:val="auto"/>
        </w:rPr>
      </w:pPr>
    </w:p>
    <w:p>
      <w:pPr>
        <w:ind w:left="7" w:right="800"/>
        <w:spacing w:after="0" w:line="283" w:lineRule="auto"/>
        <w:rPr>
          <w:sz w:val="20"/>
          <w:szCs w:val="20"/>
          <w:color w:val="auto"/>
        </w:rPr>
      </w:pPr>
      <w:r>
        <w:rPr>
          <w:rFonts w:ascii="Arial" w:cs="Arial" w:eastAsia="Arial" w:hAnsi="Arial"/>
          <w:sz w:val="15"/>
          <w:szCs w:val="15"/>
          <w:color w:val="auto"/>
        </w:rPr>
        <w:t>Upon the closing of this offering, based on the number of shares of common stock outstanding as of owned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2016, our executive officers, directors and stockholders who</w:t>
      </w:r>
    </w:p>
    <w:p>
      <w:pPr>
        <w:spacing w:after="0" w:line="457" w:lineRule="exact"/>
        <w:rPr>
          <w:sz w:val="20"/>
          <w:szCs w:val="20"/>
          <w:color w:val="auto"/>
        </w:rPr>
      </w:pPr>
    </w:p>
    <w:p>
      <w:pPr>
        <w:sectPr>
          <w:pgSz w:w="11900" w:h="16838" w:orient="portrait"/>
          <w:cols w:equalWidth="0" w:num="2">
            <w:col w:w="6827" w:space="720"/>
            <w:col w:w="3900"/>
          </w:cols>
          <w:pgMar w:left="233" w:top="132" w:right="219" w:bottom="1440" w:gutter="0" w:footer="0" w:header="0"/>
          <w:type w:val="continuous"/>
        </w:sectPr>
      </w:pPr>
    </w:p>
    <w:p>
      <w:pPr>
        <w:spacing w:after="0" w:line="1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7138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5% of our outstanding common stock before this offering and their respective affiliates will, in the aggregate, hold shares representing approximately % of our outstanding voting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right="60"/>
        <w:spacing w:after="0" w:line="301" w:lineRule="auto"/>
        <w:rPr>
          <w:sz w:val="20"/>
          <w:szCs w:val="20"/>
          <w:color w:val="auto"/>
        </w:rPr>
      </w:pPr>
      <w:r>
        <w:rPr>
          <w:rFonts w:ascii="Arial" w:cs="Arial" w:eastAsia="Arial" w:hAnsi="Arial"/>
          <w:sz w:val="13"/>
          <w:szCs w:val="13"/>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under outstanding options or warrants, you will incur further dilution. Based on an assumed initial public offering price of $ per share, which is the midpoint of the price range set forth on the cover page of this prospectus, you will experience immediate dilution of $ per share as of , 2016, representing the difference between our pro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forma as adjusted net tangible book value per share, after giving effect to this offering, and the assumed initial public offering price. In addition, purchasers of common stock in this offering</w:t>
      </w:r>
    </w:p>
    <w:p>
      <w:pPr>
        <w:spacing w:after="0" w:line="330"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will have contributed approximately % of the aggregate price paid by all purchasers of our stock but will own only approximately % of our common stock outstanding after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8"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Sales of a substantial number of shares of our common stock in the public market, or the perception in the market that the holders of a large number of shares intend to sell shares, could</w:t>
      </w:r>
    </w:p>
    <w:p>
      <w:pPr>
        <w:spacing w:after="0" w:line="41" w:lineRule="exact"/>
        <w:rPr>
          <w:sz w:val="20"/>
          <w:szCs w:val="20"/>
          <w:color w:val="auto"/>
        </w:rPr>
      </w:pPr>
    </w:p>
    <w:p>
      <w:pPr>
        <w:spacing w:after="0"/>
        <w:tabs>
          <w:tab w:leader="none" w:pos="6500" w:val="left"/>
        </w:tabs>
        <w:rPr>
          <w:sz w:val="20"/>
          <w:szCs w:val="20"/>
          <w:color w:val="auto"/>
        </w:rPr>
      </w:pPr>
      <w:r>
        <w:rPr>
          <w:rFonts w:ascii="Arial" w:cs="Arial" w:eastAsia="Arial" w:hAnsi="Arial"/>
          <w:sz w:val="15"/>
          <w:szCs w:val="15"/>
          <w:color w:val="auto"/>
        </w:rPr>
        <w:t>reduce the market price of our common stock. After this offering, we will have outstanding</w:t>
      </w:r>
      <w:r>
        <w:rPr>
          <w:sz w:val="20"/>
          <w:szCs w:val="20"/>
          <w:color w:val="auto"/>
        </w:rPr>
        <w:tab/>
      </w:r>
      <w:r>
        <w:rPr>
          <w:rFonts w:ascii="Arial" w:cs="Arial" w:eastAsia="Arial" w:hAnsi="Arial"/>
          <w:sz w:val="13"/>
          <w:szCs w:val="13"/>
          <w:color w:val="auto"/>
        </w:rPr>
        <w:t>shares of common stock based on the number of shares outstanding as</w:t>
      </w:r>
    </w:p>
    <w:p>
      <w:pPr>
        <w:spacing w:after="0" w:line="13"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 2016. This includes the shares that we are selling in this offering, which may be resold in the public market immediately without restriction, unless purchased by</w:t>
      </w:r>
    </w:p>
    <w:p>
      <w:pPr>
        <w:spacing w:after="0" w:line="36" w:lineRule="exact"/>
        <w:rPr>
          <w:sz w:val="20"/>
          <w:szCs w:val="20"/>
          <w:color w:val="auto"/>
        </w:rPr>
      </w:pPr>
    </w:p>
    <w:p>
      <w:pPr>
        <w:spacing w:after="0"/>
        <w:tabs>
          <w:tab w:leader="none" w:pos="4680" w:val="left"/>
        </w:tabs>
        <w:rPr>
          <w:sz w:val="20"/>
          <w:szCs w:val="20"/>
          <w:color w:val="auto"/>
        </w:rPr>
      </w:pPr>
      <w:r>
        <w:rPr>
          <w:rFonts w:ascii="Arial" w:cs="Arial" w:eastAsia="Arial" w:hAnsi="Arial"/>
          <w:sz w:val="15"/>
          <w:szCs w:val="15"/>
          <w:color w:val="auto"/>
        </w:rPr>
        <w:t>our affiliates or existing stockholders. The remaining</w:t>
      </w:r>
      <w:r>
        <w:rPr>
          <w:sz w:val="20"/>
          <w:szCs w:val="20"/>
          <w:color w:val="auto"/>
        </w:rPr>
        <w:tab/>
      </w:r>
      <w:r>
        <w:rPr>
          <w:rFonts w:ascii="Arial" w:cs="Arial" w:eastAsia="Arial" w:hAnsi="Arial"/>
          <w:sz w:val="13"/>
          <w:szCs w:val="13"/>
          <w:color w:val="auto"/>
        </w:rPr>
        <w:t>sh ares are currently restricted as a result of securities laws or lock-up agreements but will become eligible to</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 sold at various times beginning 180 days after this offering, unless held by one of our affiliates, in which case the resale of those securities will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volume limitations under Rule 144 of the Securities Act of 1933, as amended, or Rule 144. Moreover, after this offering, holders of an aggregate of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8" w:lineRule="exact"/>
        <w:rPr>
          <w:sz w:val="20"/>
          <w:szCs w:val="20"/>
          <w:color w:val="auto"/>
        </w:rPr>
      </w:pPr>
    </w:p>
    <w:p>
      <w:pPr>
        <w:ind w:left="7" w:right="40"/>
        <w:spacing w:after="0" w:line="278"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2" w:lineRule="exact"/>
        <w:rPr>
          <w:sz w:val="20"/>
          <w:szCs w:val="20"/>
          <w:color w:val="auto"/>
        </w:rPr>
      </w:pPr>
    </w:p>
    <w:p>
      <w:pPr>
        <w:ind w:left="7" w:right="8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3" w:lineRule="exact"/>
        <w:rPr>
          <w:sz w:val="20"/>
          <w:szCs w:val="20"/>
          <w:color w:val="auto"/>
        </w:rPr>
      </w:pPr>
    </w:p>
    <w:p>
      <w:pPr>
        <w:ind w:left="467" w:right="66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5"/>
          <w:szCs w:val="15"/>
          <w:color w:val="auto"/>
        </w:rPr>
      </w:pPr>
    </w:p>
    <w:p>
      <w:pPr>
        <w:ind w:left="467" w:right="70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2"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0" w:lineRule="exact"/>
        <w:rPr>
          <w:sz w:val="20"/>
          <w:szCs w:val="20"/>
          <w:color w:val="auto"/>
        </w:rPr>
      </w:pPr>
    </w:p>
    <w:p>
      <w:pPr>
        <w:ind w:left="7" w:right="200"/>
        <w:spacing w:after="0" w:line="285"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656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this exemption and, therefore, we will be subject to the same new or revised accounting standards as other public companies that are not emerging growth companies.</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7" w:lineRule="exact"/>
        <w:rPr>
          <w:sz w:val="20"/>
          <w:szCs w:val="20"/>
          <w:color w:val="auto"/>
        </w:rPr>
      </w:pPr>
    </w:p>
    <w:p>
      <w:pPr>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6"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33"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2"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left="7" w:right="220"/>
        <w:spacing w:after="0" w:line="330" w:lineRule="auto"/>
        <w:rPr>
          <w:sz w:val="20"/>
          <w:szCs w:val="20"/>
          <w:color w:val="auto"/>
        </w:rPr>
      </w:pPr>
      <w:r>
        <w:rPr>
          <w:rFonts w:ascii="Arial" w:cs="Arial" w:eastAsia="Arial" w:hAnsi="Arial"/>
          <w:sz w:val="13"/>
          <w:szCs w:val="13"/>
          <w:color w:val="auto"/>
        </w:rPr>
        <w:t>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18" w:lineRule="exact"/>
        <w:rPr>
          <w:sz w:val="20"/>
          <w:szCs w:val="20"/>
          <w:color w:val="auto"/>
        </w:rPr>
      </w:pPr>
    </w:p>
    <w:p>
      <w:pPr>
        <w:jc w:val="both"/>
        <w:ind w:left="7" w:right="220"/>
        <w:spacing w:after="0" w:line="278"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2"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7"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10" w:lineRule="exact"/>
        <w:rPr>
          <w:rFonts w:ascii="Arial" w:cs="Arial" w:eastAsia="Arial" w:hAnsi="Arial"/>
          <w:sz w:val="15"/>
          <w:szCs w:val="15"/>
          <w:color w:val="auto"/>
        </w:rPr>
      </w:pPr>
    </w:p>
    <w:p>
      <w:pPr>
        <w:ind w:left="467" w:right="24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Arial" w:cs="Arial" w:eastAsia="Arial" w:hAnsi="Arial"/>
          <w:sz w:val="15"/>
          <w:szCs w:val="15"/>
          <w:color w:val="auto"/>
        </w:rPr>
      </w:pPr>
    </w:p>
    <w:p>
      <w:pPr>
        <w:ind w:left="467" w:right="10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10" w:lineRule="exact"/>
        <w:rPr>
          <w:rFonts w:ascii="Arial" w:cs="Arial" w:eastAsia="Arial" w:hAnsi="Arial"/>
          <w:sz w:val="15"/>
          <w:szCs w:val="15"/>
          <w:color w:val="auto"/>
        </w:rPr>
      </w:pPr>
    </w:p>
    <w:p>
      <w:pPr>
        <w:ind w:left="467" w:right="8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22" w:lineRule="exact"/>
        <w:rPr>
          <w:rFonts w:ascii="Arial" w:cs="Arial" w:eastAsia="Arial" w:hAnsi="Arial"/>
          <w:sz w:val="15"/>
          <w:szCs w:val="15"/>
          <w:color w:val="auto"/>
        </w:rPr>
      </w:pPr>
    </w:p>
    <w:p>
      <w:pPr>
        <w:ind w:left="467" w:right="600" w:hanging="467"/>
        <w:spacing w:after="0" w:line="320" w:lineRule="auto"/>
        <w:tabs>
          <w:tab w:leader="none" w:pos="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39" w:lineRule="exact"/>
        <w:rPr>
          <w:rFonts w:ascii="Arial" w:cs="Arial" w:eastAsia="Arial" w:hAnsi="Arial"/>
          <w:sz w:val="14"/>
          <w:szCs w:val="14"/>
          <w:color w:val="auto"/>
        </w:rPr>
      </w:pPr>
    </w:p>
    <w:p>
      <w:pPr>
        <w:ind w:left="467" w:right="32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may discourage or deter a potential acquirer from conducting a solicitation of proxies to elect the acquirer's own slate of directors or otherwise attempting to obtain control of us.</w:t>
      </w:r>
    </w:p>
    <w:p>
      <w:pPr>
        <w:spacing w:after="0" w:line="21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53"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62"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42"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100"/>
        <w:spacing w:after="0" w:line="305"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as to such matters is reliable and the market definitions are appropriate, neither such research nor these definitions have been verified by any independent source.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0"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8" w:name="page69"/>
    <w:bookmarkEnd w:id="68"/>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4" w:lineRule="exact"/>
        <w:rPr>
          <w:sz w:val="20"/>
          <w:szCs w:val="20"/>
          <w:color w:val="auto"/>
        </w:rPr>
      </w:pPr>
    </w:p>
    <w:p>
      <w:pPr>
        <w:ind w:left="7"/>
        <w:spacing w:after="0"/>
        <w:tabs>
          <w:tab w:leader="none" w:pos="3487" w:val="left"/>
          <w:tab w:leader="none" w:pos="8127" w:val="left"/>
        </w:tabs>
        <w:rPr>
          <w:sz w:val="20"/>
          <w:szCs w:val="20"/>
          <w:color w:val="auto"/>
        </w:rPr>
      </w:pPr>
      <w:r>
        <w:rPr>
          <w:rFonts w:ascii="Arial" w:cs="Arial" w:eastAsia="Arial" w:hAnsi="Arial"/>
          <w:sz w:val="15"/>
          <w:szCs w:val="15"/>
          <w:color w:val="auto"/>
        </w:rPr>
        <w:t>We estimate that the net proceeds from our sale of</w:t>
      </w:r>
      <w:r>
        <w:rPr>
          <w:sz w:val="20"/>
          <w:szCs w:val="20"/>
          <w:color w:val="auto"/>
        </w:rPr>
        <w:tab/>
      </w:r>
      <w:r>
        <w:rPr>
          <w:rFonts w:ascii="Arial" w:cs="Arial" w:eastAsia="Arial" w:hAnsi="Arial"/>
          <w:sz w:val="15"/>
          <w:szCs w:val="15"/>
          <w:color w:val="auto"/>
        </w:rPr>
        <w:t>shares of our common stock in this offering will be approximately $</w:t>
      </w:r>
      <w:r>
        <w:rPr>
          <w:sz w:val="20"/>
          <w:szCs w:val="20"/>
          <w:color w:val="auto"/>
        </w:rPr>
        <w:tab/>
      </w:r>
      <w:r>
        <w:rPr>
          <w:rFonts w:ascii="Arial" w:cs="Arial" w:eastAsia="Arial" w:hAnsi="Arial"/>
          <w:sz w:val="14"/>
          <w:szCs w:val="14"/>
          <w:color w:val="auto"/>
        </w:rPr>
        <w:t>million, assuming an initial public offering price of</w:t>
      </w:r>
    </w:p>
    <w:p>
      <w:pPr>
        <w:spacing w:after="0" w:line="2" w:lineRule="exact"/>
        <w:rPr>
          <w:sz w:val="20"/>
          <w:szCs w:val="20"/>
          <w:color w:val="auto"/>
        </w:rPr>
      </w:pPr>
    </w:p>
    <w:p>
      <w:pPr>
        <w:ind w:left="567" w:hanging="567"/>
        <w:spacing w:after="0"/>
        <w:tabs>
          <w:tab w:leader="none" w:pos="567" w:val="left"/>
        </w:tabs>
        <w:numPr>
          <w:ilvl w:val="0"/>
          <w:numId w:val="46"/>
        </w:numPr>
        <w:rPr>
          <w:rFonts w:ascii="Arial" w:cs="Arial" w:eastAsia="Arial" w:hAnsi="Arial"/>
          <w:sz w:val="2"/>
          <w:szCs w:val="2"/>
          <w:color w:val="auto"/>
        </w:rPr>
      </w:pPr>
      <w:r>
        <w:rPr>
          <w:rFonts w:ascii="Arial" w:cs="Arial" w:eastAsia="Arial" w:hAnsi="Arial"/>
          <w:sz w:val="2"/>
          <w:szCs w:val="2"/>
          <w:color w:val="auto"/>
        </w:rPr>
        <w:t>per share, which is the midpoint of the price range set forth on the cover page of this prospectus, and after deducting the estimated underwriting discounts and commissions and</w:t>
      </w:r>
    </w:p>
    <w:p>
      <w:pPr>
        <w:spacing w:after="0" w:line="174" w:lineRule="exact"/>
        <w:rPr>
          <w:sz w:val="20"/>
          <w:szCs w:val="20"/>
          <w:color w:val="auto"/>
        </w:rPr>
      </w:pPr>
    </w:p>
    <w:p>
      <w:pPr>
        <w:ind w:left="7" w:right="160"/>
        <w:spacing w:after="0" w:line="280" w:lineRule="auto"/>
        <w:rPr>
          <w:sz w:val="20"/>
          <w:szCs w:val="20"/>
          <w:color w:val="auto"/>
        </w:rPr>
      </w:pPr>
      <w:r>
        <w:rPr>
          <w:rFonts w:ascii="Arial" w:cs="Arial" w:eastAsia="Arial" w:hAnsi="Arial"/>
          <w:sz w:val="14"/>
          <w:szCs w:val="14"/>
          <w:color w:val="auto"/>
        </w:rPr>
        <w:t>estimated offering expenses payable by us. If the underwriters' option to purchase additional shares from us is exercised in full, we estimate that our net proceeds will be $ million. Each $1.00 increase (decrease) in the assumed initial public offering price of $ per share would increase (decrease) the net proceeds to us from this offering by approximately</w:t>
      </w:r>
    </w:p>
    <w:p>
      <w:pPr>
        <w:ind w:left="607" w:hanging="607"/>
        <w:spacing w:after="0"/>
        <w:tabs>
          <w:tab w:leader="none" w:pos="607" w:val="left"/>
        </w:tabs>
        <w:numPr>
          <w:ilvl w:val="0"/>
          <w:numId w:val="47"/>
        </w:numPr>
        <w:rPr>
          <w:rFonts w:ascii="Arial" w:cs="Arial" w:eastAsia="Arial" w:hAnsi="Arial"/>
          <w:sz w:val="13"/>
          <w:szCs w:val="13"/>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estimated underwriting discounts</w:t>
      </w:r>
    </w:p>
    <w:p>
      <w:pPr>
        <w:spacing w:after="0" w:line="36"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3"/>
          <w:szCs w:val="13"/>
          <w:color w:val="auto"/>
        </w:rPr>
        <w:t>and commissions and estimated offering expenses payable by us. Each increase (decrease) of 1.0 million in the number of shares we are offering would increase (decrease) the net proceeds</w:t>
      </w:r>
    </w:p>
    <w:p>
      <w:pPr>
        <w:spacing w:after="0" w:line="217"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to us from this offering, after deducting the estimated underwriting discounts and commissions and estimated offering expenses payable by us, by $ million, assuming the assumed initial public offering price stays the same.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ectPr>
          <w:pgSz w:w="11900" w:h="16838" w:orient="portrait"/>
          <w:cols w:equalWidth="0" w:num="1">
            <w:col w:w="11447"/>
          </w:cols>
          <w:pgMar w:left="233" w:top="333" w:right="219" w:bottom="1440" w:gutter="0" w:footer="0" w:header="0"/>
        </w:sectPr>
      </w:pPr>
    </w:p>
    <w:p>
      <w:pPr>
        <w:spacing w:after="0" w:line="199"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million to support the clinical development of SEL-212;</w:t>
      </w:r>
    </w:p>
    <w:p>
      <w:pPr>
        <w:spacing w:after="0" w:line="200" w:lineRule="exact"/>
        <w:rPr>
          <w:sz w:val="20"/>
          <w:szCs w:val="20"/>
          <w:color w:val="auto"/>
        </w:rPr>
      </w:pPr>
    </w:p>
    <w:p>
      <w:pPr>
        <w:sectPr>
          <w:pgSz w:w="11900" w:h="16838" w:orient="portrait"/>
          <w:cols w:equalWidth="0" w:num="3">
            <w:col w:w="47" w:space="420"/>
            <w:col w:w="980" w:space="520"/>
            <w:col w:w="9480"/>
          </w:cols>
          <w:pgMar w:left="233" w:top="333" w:right="219" w:bottom="144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million to conduct preclinical studies in order to advance the development of our other SVP product candidates; and</w:t>
      </w:r>
    </w:p>
    <w:p>
      <w:pPr>
        <w:spacing w:after="0" w:line="200" w:lineRule="exact"/>
        <w:rPr>
          <w:sz w:val="20"/>
          <w:szCs w:val="20"/>
          <w:color w:val="auto"/>
        </w:rPr>
      </w:pPr>
    </w:p>
    <w:p>
      <w:pPr>
        <w:sectPr>
          <w:pgSz w:w="11900" w:h="16838" w:orient="portrait"/>
          <w:cols w:equalWidth="0" w:num="3">
            <w:col w:w="47" w:space="420"/>
            <w:col w:w="980" w:space="520"/>
            <w:col w:w="9480"/>
          </w:cols>
          <w:pgMar w:left="233" w:top="333" w:right="219" w:bottom="1440" w:gutter="0" w:footer="0" w:header="0"/>
          <w:type w:val="continuous"/>
        </w:sectPr>
      </w:pPr>
    </w:p>
    <w:p>
      <w:pPr>
        <w:spacing w:after="0" w:line="33" w:lineRule="exact"/>
        <w:rPr>
          <w:sz w:val="20"/>
          <w:szCs w:val="20"/>
          <w:color w:val="auto"/>
        </w:rPr>
      </w:pPr>
    </w:p>
    <w:p>
      <w:pPr>
        <w:ind w:left="467" w:right="760" w:hanging="467"/>
        <w:spacing w:after="0" w:line="283"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remainder for working capital and general corporate purposes, including potential future development programs, early-stage research and development and continued development of our SVP technologies.</w:t>
      </w:r>
    </w:p>
    <w:p>
      <w:pPr>
        <w:spacing w:after="0" w:line="150"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2"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70" w:name="page71"/>
    <w:bookmarkEnd w:id="7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September 30, 2015, as follows:</w:t>
      </w:r>
    </w:p>
    <w:p>
      <w:pPr>
        <w:spacing w:after="0" w:line="210" w:lineRule="exact"/>
        <w:rPr>
          <w:sz w:val="20"/>
          <w:szCs w:val="20"/>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 a pro forma basis to reflect the (i) the automatic conversion of all shares of our preferred stock into common stock upon closing of this offering, which, based on an assumed</w:t>
      </w:r>
    </w:p>
    <w:p>
      <w:pPr>
        <w:sectPr>
          <w:pgSz w:w="11900" w:h="16838" w:orient="portrait"/>
          <w:cols w:equalWidth="0" w:num="1">
            <w:col w:w="11447"/>
          </w:cols>
          <w:pgMar w:left="233" w:top="132" w:right="219" w:bottom="1440" w:gutter="0" w:footer="0" w:header="0"/>
        </w:sectPr>
      </w:pPr>
    </w:p>
    <w:p>
      <w:pPr>
        <w:spacing w:after="0" w:line="41" w:lineRule="exact"/>
        <w:rPr>
          <w:sz w:val="20"/>
          <w:szCs w:val="20"/>
          <w:color w:val="auto"/>
        </w:rPr>
      </w:pPr>
    </w:p>
    <w:p>
      <w:pPr>
        <w:ind w:left="467" w:right="120"/>
        <w:spacing w:after="0" w:line="264" w:lineRule="auto"/>
        <w:rPr>
          <w:sz w:val="20"/>
          <w:szCs w:val="20"/>
          <w:color w:val="auto"/>
        </w:rPr>
      </w:pPr>
      <w:r>
        <w:rPr>
          <w:rFonts w:ascii="Arial" w:cs="Arial" w:eastAsia="Arial" w:hAnsi="Arial"/>
          <w:sz w:val="15"/>
          <w:szCs w:val="15"/>
          <w:color w:val="auto"/>
        </w:rPr>
        <w:t>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 $4.50 per share, upon the closing of this offering, (iii) the automatic cashless exercise of the Series E Warrants for shares of our common stock and (iv) the filing of our restated certificate of incorporation; and</w:t>
      </w:r>
    </w:p>
    <w:p>
      <w:pPr>
        <w:sectPr>
          <w:pgSz w:w="11900" w:h="16838" w:orient="portrait"/>
          <w:cols w:equalWidth="0" w:num="1">
            <w:col w:w="11447"/>
          </w:cols>
          <w:pgMar w:left="233" w:top="132" w:right="219" w:bottom="1440" w:gutter="0" w:footer="0" w:header="0"/>
          <w:type w:val="continuous"/>
        </w:sectPr>
      </w:pPr>
    </w:p>
    <w:p>
      <w:pPr>
        <w:spacing w:after="0" w:line="165"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5320" w:val="left"/>
        </w:tabs>
        <w:rPr>
          <w:sz w:val="20"/>
          <w:szCs w:val="20"/>
          <w:color w:val="auto"/>
        </w:rPr>
      </w:pPr>
      <w:r>
        <w:rPr>
          <w:rFonts w:ascii="Arial" w:cs="Arial" w:eastAsia="Arial" w:hAnsi="Arial"/>
          <w:sz w:val="15"/>
          <w:szCs w:val="15"/>
          <w:color w:val="auto"/>
        </w:rPr>
        <w:t>on a pro forma as adjusted basis to give further effect to our issuance and sale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18" w:lineRule="exact"/>
        <w:rPr>
          <w:sz w:val="20"/>
          <w:szCs w:val="20"/>
          <w:color w:val="auto"/>
        </w:rPr>
      </w:pPr>
    </w:p>
    <w:p>
      <w:pPr>
        <w:sectPr>
          <w:pgSz w:w="11900" w:h="16838" w:orient="portrait"/>
          <w:cols w:equalWidth="0" w:num="2">
            <w:col w:w="47" w:space="420"/>
            <w:col w:w="10980"/>
          </w:cols>
          <w:pgMar w:left="233" w:top="132" w:right="219" w:bottom="1440" w:gutter="0" w:footer="0" w:header="0"/>
          <w:type w:val="continuous"/>
        </w:sectPr>
      </w:pPr>
    </w:p>
    <w:p>
      <w:pPr>
        <w:ind w:left="467" w:right="60" w:hanging="3"/>
        <w:spacing w:after="0" w:line="276" w:lineRule="auto"/>
        <w:tabs>
          <w:tab w:leader="none" w:pos="1033" w:val="left"/>
        </w:tabs>
        <w:numPr>
          <w:ilvl w:val="0"/>
          <w:numId w:val="50"/>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9"/>
          </w:tcPr>
          <w:p>
            <w:pPr>
              <w:jc w:val="center"/>
              <w:ind w:right="240"/>
              <w:spacing w:after="0"/>
              <w:rPr>
                <w:sz w:val="20"/>
                <w:szCs w:val="20"/>
                <w:color w:val="auto"/>
              </w:rPr>
            </w:pPr>
            <w:r>
              <w:rPr>
                <w:rFonts w:ascii="Arial" w:cs="Arial" w:eastAsia="Arial" w:hAnsi="Arial"/>
                <w:sz w:val="12"/>
                <w:szCs w:val="12"/>
                <w:b w:val="1"/>
                <w:bCs w:val="1"/>
                <w:color w:val="auto"/>
              </w:rPr>
              <w:t>As of September 30, 2015</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Actual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 forma</w:t>
            </w:r>
          </w:p>
        </w:tc>
        <w:tc>
          <w:tcPr>
            <w:tcW w:w="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26"/>
        </w:trPr>
        <w:tc>
          <w:tcPr>
            <w:tcW w:w="9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8"/>
          </w:tcPr>
          <w:p>
            <w:pPr>
              <w:jc w:val="center"/>
              <w:ind w:right="98"/>
              <w:spacing w:after="0" w:line="126" w:lineRule="exact"/>
              <w:rPr>
                <w:sz w:val="20"/>
                <w:szCs w:val="20"/>
                <w:color w:val="auto"/>
              </w:rPr>
            </w:pPr>
            <w:r>
              <w:rPr>
                <w:rFonts w:ascii="Arial" w:cs="Arial" w:eastAsia="Arial" w:hAnsi="Arial"/>
                <w:sz w:val="12"/>
                <w:szCs w:val="12"/>
                <w:b w:val="1"/>
                <w:bCs w:val="1"/>
                <w:color w:val="auto"/>
              </w:rPr>
              <w:t>(in thousands, except for share data)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2"/>
                <w:szCs w:val="12"/>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0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spacing w:after="0"/>
              <w:rPr>
                <w:sz w:val="20"/>
                <w:szCs w:val="20"/>
                <w:color w:val="auto"/>
              </w:rPr>
            </w:pPr>
            <w:r>
              <w:rPr>
                <w:rFonts w:ascii="Arial" w:cs="Arial" w:eastAsia="Arial" w:hAnsi="Arial"/>
                <w:sz w:val="15"/>
                <w:szCs w:val="15"/>
                <w:color w:val="auto"/>
                <w:w w:val="98"/>
              </w:rPr>
              <w:t>Preferred stock warrant liability</w:t>
            </w: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5"/>
                <w:szCs w:val="15"/>
                <w:color w:val="auto"/>
              </w:rPr>
              <w:t>219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41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15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20" w:type="dxa"/>
            <w:vAlign w:val="bottom"/>
            <w:gridSpan w:val="6"/>
          </w:tcPr>
          <w:p>
            <w:pPr>
              <w:spacing w:after="0"/>
              <w:rPr>
                <w:sz w:val="20"/>
                <w:szCs w:val="20"/>
                <w:color w:val="auto"/>
              </w:rPr>
            </w:pPr>
            <w:r>
              <w:rPr>
                <w:rFonts w:ascii="Arial" w:cs="Arial" w:eastAsia="Arial" w:hAnsi="Arial"/>
                <w:sz w:val="15"/>
                <w:szCs w:val="15"/>
                <w:color w:val="auto"/>
                <w:w w:val="96"/>
              </w:rPr>
              <w:t>Redeemable convertible preferred stock (Series A, B, C, D, E and SRN), par value $0.0001 per share;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60" w:type="dxa"/>
            <w:vAlign w:val="bottom"/>
            <w:gridSpan w:val="4"/>
          </w:tcPr>
          <w:p>
            <w:pPr>
              <w:ind w:left="140"/>
              <w:spacing w:after="0"/>
              <w:rPr>
                <w:sz w:val="20"/>
                <w:szCs w:val="20"/>
                <w:color w:val="auto"/>
              </w:rPr>
            </w:pPr>
            <w:r>
              <w:rPr>
                <w:rFonts w:ascii="Arial" w:cs="Arial" w:eastAsia="Arial" w:hAnsi="Arial"/>
                <w:sz w:val="15"/>
                <w:szCs w:val="15"/>
                <w:color w:val="auto"/>
                <w:w w:val="89"/>
              </w:rPr>
              <w:t>37,835,623 shares authorized, 34,127,186 shares issued and outstanding, actual; no shares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gridSpan w:val="4"/>
          </w:tcPr>
          <w:p>
            <w:pPr>
              <w:ind w:left="140"/>
              <w:spacing w:after="0"/>
              <w:rPr>
                <w:sz w:val="20"/>
                <w:szCs w:val="20"/>
                <w:color w:val="auto"/>
              </w:rPr>
            </w:pPr>
            <w:r>
              <w:rPr>
                <w:rFonts w:ascii="Arial" w:cs="Arial" w:eastAsia="Arial" w:hAnsi="Arial"/>
                <w:sz w:val="15"/>
                <w:szCs w:val="15"/>
                <w:color w:val="auto"/>
              </w:rPr>
              <w:t>authorized, issued or outstanding, pro forma and pro forma as adjusted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135,106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660" w:type="dxa"/>
            <w:vAlign w:val="bottom"/>
            <w:gridSpan w:val="4"/>
            <w:shd w:val="clear" w:color="auto" w:fill="CCEEFF"/>
          </w:tcPr>
          <w:p>
            <w:pPr>
              <w:spacing w:after="0"/>
              <w:rPr>
                <w:sz w:val="20"/>
                <w:szCs w:val="20"/>
                <w:color w:val="auto"/>
              </w:rPr>
            </w:pPr>
            <w:r>
              <w:rPr>
                <w:rFonts w:ascii="Arial" w:cs="Arial" w:eastAsia="Arial" w:hAnsi="Arial"/>
                <w:sz w:val="15"/>
                <w:szCs w:val="15"/>
                <w:color w:val="auto"/>
                <w:w w:val="96"/>
              </w:rPr>
              <w:t>Preferred stock, $0.0001 par value; no shares authorized, issued or outstanding, actual;</w:t>
            </w:r>
          </w:p>
        </w:tc>
        <w:tc>
          <w:tcPr>
            <w:tcW w:w="860" w:type="dxa"/>
            <w:vAlign w:val="bottom"/>
            <w:gridSpan w:val="2"/>
            <w:shd w:val="clear" w:color="auto" w:fill="CCEEFF"/>
          </w:tcPr>
          <w:p>
            <w:pPr>
              <w:jc w:val="right"/>
              <w:ind w:right="318"/>
              <w:spacing w:after="0"/>
              <w:rPr>
                <w:sz w:val="20"/>
                <w:szCs w:val="20"/>
                <w:color w:val="auto"/>
              </w:rPr>
            </w:pPr>
            <w:r>
              <w:rPr>
                <w:rFonts w:ascii="Arial" w:cs="Arial" w:eastAsia="Arial" w:hAnsi="Arial"/>
                <w:sz w:val="15"/>
                <w:szCs w:val="15"/>
                <w:color w:val="auto"/>
              </w:rPr>
              <w:t>shares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7"/>
              </w:rPr>
              <w:t>authorized and no shares issued or outstanding, pro forma and pro forma as adjusted</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520" w:type="dxa"/>
            <w:vAlign w:val="bottom"/>
            <w:gridSpan w:val="6"/>
          </w:tcPr>
          <w:p>
            <w:pPr>
              <w:spacing w:after="0"/>
              <w:rPr>
                <w:sz w:val="20"/>
                <w:szCs w:val="20"/>
                <w:color w:val="auto"/>
              </w:rPr>
            </w:pPr>
            <w:r>
              <w:rPr>
                <w:rFonts w:ascii="Arial" w:cs="Arial" w:eastAsia="Arial" w:hAnsi="Arial"/>
                <w:sz w:val="15"/>
                <w:szCs w:val="15"/>
                <w:color w:val="auto"/>
                <w:w w:val="95"/>
              </w:rPr>
              <w:t>Common stock, par value $0.0001 per share; 100,000,000 shares authorized, 8,444,230 shares issued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40" w:type="dxa"/>
            <w:vAlign w:val="bottom"/>
            <w:gridSpan w:val="2"/>
          </w:tcPr>
          <w:p>
            <w:pPr>
              <w:ind w:left="140"/>
              <w:spacing w:after="0" w:line="221" w:lineRule="exact"/>
              <w:rPr>
                <w:sz w:val="20"/>
                <w:szCs w:val="20"/>
                <w:color w:val="auto"/>
              </w:rPr>
            </w:pPr>
            <w:r>
              <w:rPr>
                <w:rFonts w:ascii="Arial" w:cs="Arial" w:eastAsia="Arial" w:hAnsi="Arial"/>
                <w:sz w:val="15"/>
                <w:szCs w:val="15"/>
                <w:color w:val="auto"/>
              </w:rPr>
              <w:t>and outstanding, actual</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w:t>
            </w:r>
          </w:p>
        </w:tc>
        <w:tc>
          <w:tcPr>
            <w:tcW w:w="3620" w:type="dxa"/>
            <w:vAlign w:val="bottom"/>
            <w:gridSpan w:val="2"/>
          </w:tcPr>
          <w:p>
            <w:pPr>
              <w:ind w:left="140"/>
              <w:spacing w:after="0"/>
              <w:rPr>
                <w:sz w:val="20"/>
                <w:szCs w:val="20"/>
                <w:color w:val="auto"/>
              </w:rPr>
            </w:pPr>
            <w:r>
              <w:rPr>
                <w:rFonts w:ascii="Arial" w:cs="Arial" w:eastAsia="Arial" w:hAnsi="Arial"/>
                <w:sz w:val="15"/>
                <w:szCs w:val="15"/>
                <w:color w:val="auto"/>
              </w:rPr>
              <w:t>shares authorized, pro forma and pro forma as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ind w:left="140"/>
              <w:spacing w:after="0"/>
              <w:rPr>
                <w:sz w:val="20"/>
                <w:szCs w:val="20"/>
                <w:color w:val="auto"/>
              </w:rPr>
            </w:pPr>
            <w:r>
              <w:rPr>
                <w:rFonts w:ascii="Arial" w:cs="Arial" w:eastAsia="Arial" w:hAnsi="Arial"/>
                <w:sz w:val="15"/>
                <w:szCs w:val="15"/>
                <w:color w:val="auto"/>
              </w:rPr>
              <w:t>adjusted;</w:t>
            </w:r>
          </w:p>
        </w:tc>
        <w:tc>
          <w:tcPr>
            <w:tcW w:w="3180" w:type="dxa"/>
            <w:vAlign w:val="bottom"/>
            <w:gridSpan w:val="2"/>
          </w:tcPr>
          <w:p>
            <w:pPr>
              <w:ind w:left="280"/>
              <w:spacing w:after="0" w:line="221" w:lineRule="exact"/>
              <w:rPr>
                <w:sz w:val="20"/>
                <w:szCs w:val="20"/>
                <w:color w:val="auto"/>
              </w:rPr>
            </w:pPr>
            <w:r>
              <w:rPr>
                <w:rFonts w:ascii="Arial" w:cs="Arial" w:eastAsia="Arial" w:hAnsi="Arial"/>
                <w:sz w:val="15"/>
                <w:szCs w:val="15"/>
                <w:color w:val="auto"/>
                <w:w w:val="95"/>
              </w:rPr>
              <w:t>shares issued and outstanding, pro forma</w:t>
            </w:r>
            <w:r>
              <w:rPr>
                <w:rFonts w:ascii="Arial" w:cs="Arial" w:eastAsia="Arial" w:hAnsi="Arial"/>
                <w:sz w:val="25"/>
                <w:szCs w:val="25"/>
                <w:color w:val="auto"/>
                <w:w w:val="95"/>
                <w:vertAlign w:val="superscript"/>
              </w:rPr>
              <w:t>(1)</w:t>
            </w:r>
            <w:r>
              <w:rPr>
                <w:rFonts w:ascii="Arial" w:cs="Arial" w:eastAsia="Arial" w:hAnsi="Arial"/>
                <w:sz w:val="15"/>
                <w:szCs w:val="15"/>
                <w:color w:val="auto"/>
                <w:w w:val="95"/>
              </w:rPr>
              <w:t>;</w:t>
            </w:r>
          </w:p>
        </w:tc>
        <w:tc>
          <w:tcPr>
            <w:tcW w:w="2400" w:type="dxa"/>
            <w:vAlign w:val="bottom"/>
            <w:gridSpan w:val="3"/>
          </w:tcPr>
          <w:p>
            <w:pPr>
              <w:jc w:val="right"/>
              <w:ind w:right="238"/>
              <w:spacing w:after="0"/>
              <w:rPr>
                <w:sz w:val="20"/>
                <w:szCs w:val="20"/>
                <w:color w:val="auto"/>
              </w:rPr>
            </w:pPr>
            <w:r>
              <w:rPr>
                <w:rFonts w:ascii="Arial" w:cs="Arial" w:eastAsia="Arial" w:hAnsi="Arial"/>
                <w:sz w:val="15"/>
                <w:szCs w:val="15"/>
                <w:color w:val="auto"/>
              </w:rPr>
              <w:t>shares issued and outstanding,</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40" w:type="dxa"/>
            <w:vAlign w:val="bottom"/>
            <w:gridSpan w:val="2"/>
          </w:tcPr>
          <w:p>
            <w:pPr>
              <w:ind w:left="140"/>
              <w:spacing w:after="0" w:line="227" w:lineRule="exact"/>
              <w:rPr>
                <w:sz w:val="20"/>
                <w:szCs w:val="20"/>
                <w:color w:val="auto"/>
              </w:rPr>
            </w:pPr>
            <w:r>
              <w:rPr>
                <w:rFonts w:ascii="Arial" w:cs="Arial" w:eastAsia="Arial" w:hAnsi="Arial"/>
                <w:sz w:val="15"/>
                <w:szCs w:val="15"/>
                <w:color w:val="auto"/>
              </w:rPr>
              <w:t>pro forma as adjusted</w:t>
            </w:r>
            <w:r>
              <w:rPr>
                <w:rFonts w:ascii="Arial" w:cs="Arial" w:eastAsia="Arial" w:hAnsi="Arial"/>
                <w:sz w:val="25"/>
                <w:szCs w:val="25"/>
                <w:color w:val="auto"/>
                <w:vertAlign w:val="superscript"/>
              </w:rPr>
              <w:t>(1)</w:t>
            </w:r>
          </w:p>
        </w:tc>
        <w:tc>
          <w:tcPr>
            <w:tcW w:w="2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20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135,321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2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(102,570)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(102,570)</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(4,639)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(4,639)</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20" w:type="dxa"/>
            <w:vAlign w:val="bottom"/>
            <w:gridSpan w:val="3"/>
          </w:tcPr>
          <w:p>
            <w:pPr>
              <w:ind w:left="140"/>
              <w:spacing w:after="0"/>
              <w:rPr>
                <w:sz w:val="20"/>
                <w:szCs w:val="20"/>
                <w:color w:val="auto"/>
              </w:rPr>
            </w:pPr>
            <w:r>
              <w:rPr>
                <w:rFonts w:ascii="Arial" w:cs="Arial" w:eastAsia="Arial" w:hAnsi="Arial"/>
                <w:sz w:val="15"/>
                <w:szCs w:val="15"/>
                <w:color w:val="auto"/>
              </w:rPr>
              <w:t>Total stockholders' (deficit) equity</w:t>
            </w: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(107,208)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28,117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capitalization</w:t>
            </w:r>
          </w:p>
        </w:tc>
        <w:tc>
          <w:tcPr>
            <w:tcW w:w="20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28,117</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7" w:hanging="463"/>
        <w:spacing w:after="0"/>
        <w:tabs>
          <w:tab w:leader="none" w:pos="1607" w:val="left"/>
        </w:tabs>
        <w:numPr>
          <w:ilvl w:val="0"/>
          <w:numId w:val="51"/>
        </w:numPr>
        <w:rPr>
          <w:rFonts w:ascii="Arial" w:cs="Arial" w:eastAsia="Arial" w:hAnsi="Arial"/>
          <w:sz w:val="12"/>
          <w:szCs w:val="12"/>
          <w:color w:val="auto"/>
        </w:rPr>
      </w:pPr>
      <w:r>
        <w:rPr>
          <w:rFonts w:ascii="Arial" w:cs="Arial" w:eastAsia="Arial" w:hAnsi="Arial"/>
          <w:sz w:val="12"/>
          <w:szCs w:val="12"/>
          <w:color w:val="auto"/>
        </w:rPr>
        <w:t>Shares issued and outstanding exclude 36,933 shares of unvested restricted common stock subject to repurchase by us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71" w:name="page72"/>
    <w:bookmarkEnd w:id="7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36,933 shares of unvested restricted common stock subject to repurchase by us;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22" w:lineRule="exact"/>
        <w:rPr>
          <w:rFonts w:ascii="Arial" w:cs="Arial" w:eastAsia="Arial" w:hAnsi="Arial"/>
          <w:sz w:val="15"/>
          <w:szCs w:val="15"/>
          <w:color w:val="auto"/>
        </w:rPr>
      </w:pPr>
    </w:p>
    <w:p>
      <w:pPr>
        <w:ind w:left="887" w:hanging="887"/>
        <w:spacing w:after="0"/>
        <w:tabs>
          <w:tab w:leader="none" w:pos="887" w:val="left"/>
        </w:tabs>
        <w:numPr>
          <w:ilvl w:val="0"/>
          <w:numId w:val="52"/>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2015 Incentive Award Plan, which will become effective upon the closing of this offering as well</w:t>
      </w:r>
    </w:p>
    <w:p>
      <w:pPr>
        <w:spacing w:after="0" w:line="29" w:lineRule="exact"/>
        <w:rPr>
          <w:sz w:val="20"/>
          <w:szCs w:val="20"/>
          <w:color w:val="auto"/>
        </w:rPr>
      </w:pPr>
    </w:p>
    <w:p>
      <w:pPr>
        <w:ind w:left="467"/>
        <w:spacing w:after="0" w:line="276" w:lineRule="auto"/>
        <w:rPr>
          <w:sz w:val="20"/>
          <w:szCs w:val="20"/>
          <w:color w:val="auto"/>
        </w:rPr>
      </w:pPr>
      <w:r>
        <w:rPr>
          <w:rFonts w:ascii="Arial" w:cs="Arial" w:eastAsia="Arial" w:hAnsi="Arial"/>
          <w:sz w:val="15"/>
          <w:szCs w:val="15"/>
          <w:color w:val="auto"/>
        </w:rPr>
        <w:t>as shares of our common stock that become available pursuant to provisions in our 2015 Incentive Award Plan on January 1 of each calendar year as described in "Executive and director compensation—Long-term incentive plans—2015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56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7"/>
          </w:cols>
          <w:pgMar w:left="233" w:top="132" w:right="47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As of September 30, 2015, we had a historical net tangible book value of $27.9 million, or $0.60 per share of common stock. Our historical net tangible book value per share represents total tangible assets less total liabilities, divided by the number of shares of our common stock outstanding as of September 30, 2015.</w:t>
      </w:r>
    </w:p>
    <w:p>
      <w:pPr>
        <w:spacing w:after="0" w:line="150"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Our pro forma net tangible book value as of September 30, 2015 was $ million, or $ per share. Pro forma net tangible book value represents the amount of our total tangible assets less total liabilities, after giving effect to the (i) the automatic conversion of all shares of our preferred stock into common stock upon closing of this offering, which, based on an</w:t>
      </w:r>
    </w:p>
    <w:p>
      <w:pPr>
        <w:ind w:right="220"/>
        <w:spacing w:after="0" w:line="276" w:lineRule="auto"/>
        <w:rPr>
          <w:sz w:val="20"/>
          <w:szCs w:val="20"/>
          <w:color w:val="auto"/>
        </w:rPr>
      </w:pPr>
      <w:r>
        <w:rPr>
          <w:rFonts w:ascii="Arial" w:cs="Arial" w:eastAsia="Arial" w:hAnsi="Arial"/>
          <w:sz w:val="14"/>
          <w:szCs w:val="14"/>
          <w:color w:val="auto"/>
        </w:rPr>
        <w:t>assumed 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w:t>
      </w:r>
    </w:p>
    <w:p>
      <w:pPr>
        <w:spacing w:after="0" w:line="1" w:lineRule="exact"/>
        <w:rPr>
          <w:sz w:val="20"/>
          <w:szCs w:val="20"/>
          <w:color w:val="auto"/>
        </w:rPr>
      </w:pPr>
    </w:p>
    <w:p>
      <w:pPr>
        <w:jc w:val="both"/>
        <w:ind w:right="320"/>
        <w:spacing w:after="0" w:line="267" w:lineRule="auto"/>
        <w:rPr>
          <w:sz w:val="20"/>
          <w:szCs w:val="20"/>
          <w:color w:val="auto"/>
        </w:rPr>
      </w:pPr>
      <w:r>
        <w:rPr>
          <w:rFonts w:ascii="Arial" w:cs="Arial" w:eastAsia="Arial" w:hAnsi="Arial"/>
          <w:sz w:val="15"/>
          <w:szCs w:val="15"/>
          <w:color w:val="auto"/>
        </w:rPr>
        <w:t>$4.50 per share, upon the closing of this offering, (iii) the automatic cashless exercise of the Series E Warrants for shares of our common stock and (iv) the filing of our restated certificate of incorporation; and the pro forma net tangible book value per share represents our pro forma net tangible book value divided by the total number of shares outstanding as of September 30, 2015, after giving effect to the pro forma adjustments described above as if they had occurred on such date.</w:t>
      </w:r>
    </w:p>
    <w:p>
      <w:pPr>
        <w:spacing w:after="0" w:line="162"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After giving further effect to the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w:t>
      </w:r>
    </w:p>
    <w:p>
      <w:pPr>
        <w:ind w:right="20"/>
        <w:spacing w:after="0" w:line="276" w:lineRule="auto"/>
        <w:rPr>
          <w:sz w:val="20"/>
          <w:szCs w:val="20"/>
          <w:color w:val="auto"/>
        </w:rPr>
      </w:pPr>
      <w:r>
        <w:rPr>
          <w:rFonts w:ascii="Arial" w:cs="Arial" w:eastAsia="Arial" w:hAnsi="Arial"/>
          <w:sz w:val="14"/>
          <w:szCs w:val="14"/>
          <w:color w:val="auto"/>
        </w:rPr>
        <w:t>as adjusted net tangible book value as of September 30, 2015 would have been approximately $ million, or approximately $ per share. This amount represents an immediate increase in pro forma net tangible book value of $ per share to our existing stockholders and an immediate dilution of approximately $ per share to new investors participating</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5680" w:type="dxa"/>
            <w:vAlign w:val="bottom"/>
            <w:gridSpan w:val="2"/>
          </w:tcPr>
          <w:p>
            <w:pPr>
              <w:ind w:left="160"/>
              <w:spacing w:after="0"/>
              <w:rPr>
                <w:sz w:val="20"/>
                <w:szCs w:val="20"/>
                <w:color w:val="auto"/>
              </w:rPr>
            </w:pPr>
            <w:r>
              <w:rPr>
                <w:rFonts w:ascii="Arial" w:cs="Arial" w:eastAsia="Arial" w:hAnsi="Arial"/>
                <w:sz w:val="15"/>
                <w:szCs w:val="15"/>
                <w:color w:val="auto"/>
              </w:rPr>
              <w:t>Historical net tangible book value per share as of September 30, 2015</w:t>
            </w:r>
          </w:p>
        </w:tc>
        <w:tc>
          <w:tcPr>
            <w:tcW w:w="2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0.60</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9"/>
        </w:trPr>
        <w:tc>
          <w:tcPr>
            <w:tcW w:w="1140" w:type="dxa"/>
            <w:vAlign w:val="bottom"/>
          </w:tcPr>
          <w:p>
            <w:pPr>
              <w:spacing w:after="0"/>
              <w:rPr>
                <w:sz w:val="15"/>
                <w:szCs w:val="15"/>
                <w:color w:val="auto"/>
              </w:rPr>
            </w:pPr>
          </w:p>
        </w:tc>
        <w:tc>
          <w:tcPr>
            <w:tcW w:w="802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98"/>
              </w:rPr>
              <w:t>Increase (decrease) per share attributable to the conversion of our preferred stock and cashless exercise of our Series E</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93"/>
        </w:trPr>
        <w:tc>
          <w:tcPr>
            <w:tcW w:w="1140" w:type="dxa"/>
            <w:vAlign w:val="bottom"/>
          </w:tcPr>
          <w:p>
            <w:pPr>
              <w:spacing w:after="0"/>
              <w:rPr>
                <w:sz w:val="16"/>
                <w:szCs w:val="16"/>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Warrants</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5680" w:type="dxa"/>
            <w:vAlign w:val="bottom"/>
            <w:gridSpan w:val="2"/>
          </w:tcPr>
          <w:p>
            <w:pPr>
              <w:ind w:left="160"/>
              <w:spacing w:after="0"/>
              <w:rPr>
                <w:sz w:val="20"/>
                <w:szCs w:val="20"/>
                <w:color w:val="auto"/>
              </w:rPr>
            </w:pPr>
            <w:r>
              <w:rPr>
                <w:rFonts w:ascii="Arial" w:cs="Arial" w:eastAsia="Arial" w:hAnsi="Arial"/>
                <w:sz w:val="15"/>
                <w:szCs w:val="15"/>
                <w:color w:val="auto"/>
              </w:rPr>
              <w:t>Pro forma net tangible book value per share as of September 30, 2015</w:t>
            </w: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76"/>
        </w:trPr>
        <w:tc>
          <w:tcPr>
            <w:tcW w:w="6820" w:type="dxa"/>
            <w:vAlign w:val="bottom"/>
            <w:gridSpan w:val="3"/>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18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498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39"/>
        </w:trPr>
        <w:tc>
          <w:tcPr>
            <w:tcW w:w="4980" w:type="dxa"/>
            <w:vAlign w:val="bottom"/>
            <w:gridSpan w:val="2"/>
          </w:tcPr>
          <w:p>
            <w:pPr>
              <w:spacing w:after="0"/>
              <w:rPr>
                <w:sz w:val="20"/>
                <w:szCs w:val="20"/>
                <w:color w:val="auto"/>
              </w:rPr>
            </w:pPr>
            <w:r>
              <w:rPr>
                <w:rFonts w:ascii="Arial" w:cs="Arial" w:eastAsia="Arial" w:hAnsi="Arial"/>
                <w:sz w:val="15"/>
                <w:szCs w:val="15"/>
                <w:color w:val="auto"/>
                <w:w w:val="95"/>
              </w:rPr>
              <w:t>Each $1.00 increase (decrease) in the assumed initial public offering price of $</w:t>
            </w:r>
          </w:p>
        </w:tc>
        <w:tc>
          <w:tcPr>
            <w:tcW w:w="6460" w:type="dxa"/>
            <w:vAlign w:val="bottom"/>
            <w:gridSpan w:val="8"/>
          </w:tcPr>
          <w:p>
            <w:pPr>
              <w:jc w:val="right"/>
              <w:ind w:right="400"/>
              <w:spacing w:after="0"/>
              <w:rPr>
                <w:sz w:val="20"/>
                <w:szCs w:val="20"/>
                <w:color w:val="auto"/>
              </w:rPr>
            </w:pPr>
            <w:r>
              <w:rPr>
                <w:rFonts w:ascii="Arial" w:cs="Arial" w:eastAsia="Arial" w:hAnsi="Arial"/>
                <w:sz w:val="15"/>
                <w:szCs w:val="15"/>
                <w:color w:val="auto"/>
                <w:w w:val="94"/>
              </w:rPr>
              <w:t>per share, which is the midpoint of the price range set forth on the cover page of this prospectus,</w:t>
            </w:r>
          </w:p>
        </w:tc>
      </w:tr>
      <w:tr>
        <w:trPr>
          <w:trHeight w:val="186"/>
        </w:trPr>
        <w:tc>
          <w:tcPr>
            <w:tcW w:w="6820" w:type="dxa"/>
            <w:vAlign w:val="bottom"/>
            <w:gridSpan w:val="3"/>
          </w:tcPr>
          <w:p>
            <w:pPr>
              <w:spacing w:after="0"/>
              <w:rPr>
                <w:sz w:val="20"/>
                <w:szCs w:val="20"/>
                <w:color w:val="auto"/>
              </w:rPr>
            </w:pPr>
            <w:r>
              <w:rPr>
                <w:rFonts w:ascii="Arial" w:cs="Arial" w:eastAsia="Arial" w:hAnsi="Arial"/>
                <w:sz w:val="15"/>
                <w:szCs w:val="15"/>
                <w:color w:val="auto"/>
                <w:w w:val="93"/>
              </w:rPr>
              <w:t>would increase (decrease) the pro forma as adjusted net tangible book value per share after this offering by $</w:t>
            </w:r>
          </w:p>
        </w:tc>
        <w:tc>
          <w:tcPr>
            <w:tcW w:w="4620" w:type="dxa"/>
            <w:vAlign w:val="bottom"/>
            <w:gridSpan w:val="7"/>
          </w:tcPr>
          <w:p>
            <w:pPr>
              <w:jc w:val="right"/>
              <w:ind w:right="60"/>
              <w:spacing w:after="0"/>
              <w:rPr>
                <w:sz w:val="20"/>
                <w:szCs w:val="20"/>
                <w:color w:val="auto"/>
              </w:rPr>
            </w:pPr>
            <w:r>
              <w:rPr>
                <w:rFonts w:ascii="Arial" w:cs="Arial" w:eastAsia="Arial" w:hAnsi="Arial"/>
                <w:sz w:val="15"/>
                <w:szCs w:val="15"/>
                <w:color w:val="auto"/>
                <w:w w:val="97"/>
              </w:rPr>
              <w:t>million, and increase (decrease) dilution in pro forma net tangible book</w:t>
            </w:r>
          </w:p>
        </w:tc>
      </w:tr>
      <w:tr>
        <w:trPr>
          <w:trHeight w:val="190"/>
        </w:trPr>
        <w:tc>
          <w:tcPr>
            <w:tcW w:w="4980" w:type="dxa"/>
            <w:vAlign w:val="bottom"/>
            <w:gridSpan w:val="2"/>
          </w:tcPr>
          <w:p>
            <w:pPr>
              <w:spacing w:after="0"/>
              <w:rPr>
                <w:sz w:val="20"/>
                <w:szCs w:val="20"/>
                <w:color w:val="auto"/>
              </w:rPr>
            </w:pPr>
            <w:r>
              <w:rPr>
                <w:rFonts w:ascii="Arial" w:cs="Arial" w:eastAsia="Arial" w:hAnsi="Arial"/>
                <w:sz w:val="15"/>
                <w:szCs w:val="15"/>
                <w:color w:val="auto"/>
              </w:rPr>
              <w:t>value per share to</w:t>
            </w: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Arial" w:cs="Arial" w:eastAsia="Arial" w:hAnsi="Arial"/>
                <w:sz w:val="12"/>
                <w:szCs w:val="12"/>
                <w:b w:val="1"/>
                <w:bCs w:val="1"/>
                <w:color w:val="auto"/>
              </w:rPr>
              <w:t>69</w:t>
            </w:r>
          </w:p>
        </w:tc>
      </w:tr>
      <w:tr>
        <w:trPr>
          <w:trHeight w:val="206"/>
        </w:trPr>
        <w:tc>
          <w:tcPr>
            <w:tcW w:w="1140" w:type="dxa"/>
            <w:vAlign w:val="bottom"/>
            <w:tcBorders>
              <w:bottom w:val="single" w:sz="8" w:color="808080"/>
            </w:tcBorders>
          </w:tcPr>
          <w:p>
            <w:pPr>
              <w:spacing w:after="0"/>
              <w:rPr>
                <w:sz w:val="17"/>
                <w:szCs w:val="17"/>
                <w:color w:val="auto"/>
              </w:rPr>
            </w:pPr>
          </w:p>
        </w:tc>
        <w:tc>
          <w:tcPr>
            <w:tcW w:w="384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3" w:name="page74"/>
    <w:bookmarkEnd w:id="7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80"/>
        <w:spacing w:after="0" w:line="301" w:lineRule="auto"/>
        <w:rPr>
          <w:sz w:val="20"/>
          <w:szCs w:val="20"/>
          <w:color w:val="auto"/>
        </w:rPr>
      </w:pPr>
      <w:r>
        <w:rPr>
          <w:rFonts w:ascii="Arial" w:cs="Arial" w:eastAsia="Arial" w:hAnsi="Arial"/>
          <w:sz w:val="13"/>
          <w:szCs w:val="13"/>
          <w:color w:val="auto"/>
        </w:rPr>
        <w:t>new investors by $ , assuming that the number of shares offered by us, as set forth on the cover page of this prospectus, remains the same and after deducting estimated underwriting discounts and commissions and estimated offering expenses payable by us. Each increase (decrease) of 1.0 million shares in the number of shares offered by us would increase (decrease)</w:t>
      </w:r>
    </w:p>
    <w:p>
      <w:pPr>
        <w:spacing w:after="0" w:line="1" w:lineRule="exact"/>
        <w:rPr>
          <w:sz w:val="20"/>
          <w:szCs w:val="20"/>
          <w:color w:val="auto"/>
        </w:rPr>
      </w:pPr>
    </w:p>
    <w:p>
      <w:pPr>
        <w:ind w:left="7"/>
        <w:spacing w:after="0" w:line="313" w:lineRule="auto"/>
        <w:rPr>
          <w:sz w:val="20"/>
          <w:szCs w:val="20"/>
          <w:color w:val="auto"/>
        </w:rPr>
      </w:pPr>
      <w:r>
        <w:rPr>
          <w:rFonts w:ascii="Arial" w:cs="Arial" w:eastAsia="Arial" w:hAnsi="Arial"/>
          <w:sz w:val="14"/>
          <w:szCs w:val="14"/>
          <w:color w:val="auto"/>
        </w:rPr>
        <w:t>our pro forma as adjusted net tangible book value per share after this offering by $ per share and decrease (increase) the dilution to new investors by $ per share, assuming that the assumed initial public offering price remains the same, and after deducting the estimated underwriting discounts and commissions and the estimated offering expenses payable by us.</w:t>
      </w:r>
    </w:p>
    <w:p>
      <w:pPr>
        <w:spacing w:after="0" w:line="132"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spacing w:after="0" w:line="161" w:lineRule="exact"/>
        <w:rPr>
          <w:sz w:val="20"/>
          <w:szCs w:val="20"/>
          <w:color w:val="auto"/>
        </w:rPr>
      </w:pPr>
    </w:p>
    <w:p>
      <w:pPr>
        <w:ind w:left="7" w:right="100"/>
        <w:spacing w:after="0" w:line="301" w:lineRule="auto"/>
        <w:rPr>
          <w:sz w:val="20"/>
          <w:szCs w:val="20"/>
          <w:color w:val="auto"/>
        </w:rPr>
      </w:pPr>
      <w:r>
        <w:rPr>
          <w:rFonts w:ascii="Arial" w:cs="Arial" w:eastAsia="Arial" w:hAnsi="Arial"/>
          <w:sz w:val="13"/>
          <w:szCs w:val="13"/>
          <w:color w:val="auto"/>
        </w:rPr>
        <w:t>The following table summarizes on the pro forma as adjusted basis described above, as of September 30, 2015, the differences between the number of shares purchased from us, the total consideration paid to us in cash and the average price per share that existing stockholders and new investors paid. The calculation below is based on an assumed initial public offering price</w:t>
      </w:r>
    </w:p>
    <w:p>
      <w:pPr>
        <w:spacing w:after="0" w:line="1" w:lineRule="exact"/>
        <w:rPr>
          <w:sz w:val="20"/>
          <w:szCs w:val="20"/>
          <w:color w:val="auto"/>
        </w:rPr>
      </w:pPr>
    </w:p>
    <w:p>
      <w:pPr>
        <w:ind w:left="7" w:right="240"/>
        <w:spacing w:after="0" w:line="276" w:lineRule="auto"/>
        <w:rPr>
          <w:sz w:val="20"/>
          <w:szCs w:val="20"/>
          <w:color w:val="auto"/>
        </w:rPr>
      </w:pPr>
      <w:r>
        <w:rPr>
          <w:rFonts w:ascii="Arial" w:cs="Arial" w:eastAsia="Arial" w:hAnsi="Arial"/>
          <w:sz w:val="15"/>
          <w:szCs w:val="15"/>
          <w:color w:val="auto"/>
        </w:rPr>
        <w:t>of $ per share, which is the midpoint of the price range set forth on the cover page of this prospectus, before deducting the estimated underwriting discounts and commissions and estimated offering expenses payable by us.</w:t>
      </w:r>
    </w:p>
    <w:p>
      <w:pPr>
        <w:spacing w:after="0" w:line="36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4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consideration</w:t>
            </w:r>
          </w:p>
        </w:tc>
        <w:tc>
          <w:tcPr>
            <w:tcW w:w="40" w:type="dxa"/>
            <w:vAlign w:val="bottom"/>
            <w:tcBorders>
              <w:bottom w:val="single" w:sz="8" w:color="auto"/>
            </w:tcBorders>
          </w:tcPr>
          <w:p>
            <w:pPr>
              <w:spacing w:after="0"/>
              <w:rPr>
                <w:sz w:val="12"/>
                <w:szCs w:val="12"/>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880" w:type="dxa"/>
            <w:vAlign w:val="bottom"/>
            <w:gridSpan w:val="6"/>
          </w:tcPr>
          <w:p>
            <w:pPr>
              <w:ind w:left="20"/>
              <w:spacing w:after="0"/>
              <w:rPr>
                <w:sz w:val="20"/>
                <w:szCs w:val="20"/>
                <w:color w:val="auto"/>
              </w:rPr>
            </w:pPr>
            <w:r>
              <w:rPr>
                <w:rFonts w:ascii="Arial" w:cs="Arial" w:eastAsia="Arial" w:hAnsi="Arial"/>
                <w:sz w:val="12"/>
                <w:szCs w:val="12"/>
                <w:b w:val="1"/>
                <w:bCs w:val="1"/>
                <w:color w:val="auto"/>
              </w:rPr>
              <w:t>Percent    Amount    Percent</w:t>
            </w:r>
          </w:p>
        </w:tc>
        <w:tc>
          <w:tcPr>
            <w:tcW w:w="40" w:type="dxa"/>
            <w:vAlign w:val="bottom"/>
          </w:tcPr>
          <w:p>
            <w:pPr>
              <w:spacing w:after="0"/>
              <w:rPr>
                <w:sz w:val="12"/>
                <w:szCs w:val="12"/>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per share</w:t>
            </w:r>
          </w:p>
        </w:tc>
      </w:tr>
      <w:tr>
        <w:trPr>
          <w:trHeight w:val="177"/>
        </w:trPr>
        <w:tc>
          <w:tcPr>
            <w:tcW w:w="20" w:type="dxa"/>
            <w:vAlign w:val="bottom"/>
          </w:tcPr>
          <w:p>
            <w:pPr>
              <w:spacing w:after="0"/>
              <w:rPr>
                <w:sz w:val="15"/>
                <w:szCs w:val="15"/>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96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ind w:right="75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New investors</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2120" w:type="dxa"/>
            <w:vAlign w:val="bottom"/>
            <w:gridSpan w:val="5"/>
            <w:shd w:val="clear" w:color="auto" w:fill="CCEEFF"/>
          </w:tcPr>
          <w:p>
            <w:pPr>
              <w:jc w:val="right"/>
              <w:ind w:right="838"/>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The foregoing tables and calculations are based on 46,625,214 shares of our common stock outstanding as of September 30, 2015, including 36,933 shares of unvested restricted common stock subject to repurchase by us and after giving effect to the conversion of our outstanding preferred stock into 35,935,400 shares of common stock upon the closing of this offering and the issuance of 2,208,651 shares of common stock in connection with the automatic cashless exercise of the Series E Warrants upon the filing of the registration statement of which this prospectus forms a part with the SEC, and exclude:</w:t>
      </w:r>
    </w:p>
    <w:p>
      <w:pPr>
        <w:spacing w:after="0" w:line="175" w:lineRule="exact"/>
        <w:rPr>
          <w:sz w:val="20"/>
          <w:szCs w:val="20"/>
          <w:color w:val="auto"/>
        </w:rPr>
      </w:pPr>
    </w:p>
    <w:p>
      <w:pPr>
        <w:ind w:left="467" w:hanging="467"/>
        <w:spacing w:after="0"/>
        <w:tabs>
          <w:tab w:leader="none" w:pos="467" w:val="left"/>
        </w:tabs>
        <w:numPr>
          <w:ilvl w:val="0"/>
          <w:numId w:val="53"/>
        </w:numPr>
        <w:rPr>
          <w:rFonts w:ascii="Arial" w:cs="Arial" w:eastAsia="Arial" w:hAnsi="Arial"/>
          <w:sz w:val="14"/>
          <w:szCs w:val="14"/>
          <w:color w:val="auto"/>
        </w:rPr>
      </w:pPr>
      <w:r>
        <w:rPr>
          <w:rFonts w:ascii="Arial" w:cs="Arial" w:eastAsia="Arial" w:hAnsi="Arial"/>
          <w:sz w:val="14"/>
          <w:szCs w:val="14"/>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10" w:lineRule="exact"/>
        <w:rPr>
          <w:rFonts w:ascii="Arial" w:cs="Arial" w:eastAsia="Arial" w:hAnsi="Arial"/>
          <w:sz w:val="15"/>
          <w:szCs w:val="15"/>
          <w:color w:val="auto"/>
        </w:rPr>
      </w:pPr>
    </w:p>
    <w:p>
      <w:pPr>
        <w:ind w:left="947" w:hanging="947"/>
        <w:spacing w:after="0"/>
        <w:tabs>
          <w:tab w:leader="none" w:pos="9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2015 Incentive Award Plan, which will become effective upon the closing of this offering as well</w:t>
      </w:r>
    </w:p>
    <w:p>
      <w:pPr>
        <w:spacing w:after="0" w:line="29" w:lineRule="exact"/>
        <w:rPr>
          <w:sz w:val="20"/>
          <w:szCs w:val="20"/>
          <w:color w:val="auto"/>
        </w:rPr>
      </w:pPr>
    </w:p>
    <w:p>
      <w:pPr>
        <w:ind w:left="467"/>
        <w:spacing w:after="0"/>
        <w:tabs>
          <w:tab w:leader="none" w:pos="1067" w:val="left"/>
        </w:tabs>
        <w:rPr>
          <w:sz w:val="20"/>
          <w:szCs w:val="20"/>
          <w:color w:val="auto"/>
        </w:rPr>
      </w:pPr>
      <w:r>
        <w:rPr>
          <w:rFonts w:ascii="Arial" w:cs="Arial" w:eastAsia="Arial" w:hAnsi="Arial"/>
          <w:sz w:val="15"/>
          <w:szCs w:val="15"/>
          <w:color w:val="auto"/>
        </w:rPr>
        <w:t>as</w:t>
      </w:r>
      <w:r>
        <w:rPr>
          <w:sz w:val="20"/>
          <w:szCs w:val="20"/>
          <w:color w:val="auto"/>
        </w:rPr>
        <w:tab/>
      </w:r>
      <w:r>
        <w:rPr>
          <w:rFonts w:ascii="Arial" w:cs="Arial" w:eastAsia="Arial" w:hAnsi="Arial"/>
          <w:sz w:val="15"/>
          <w:szCs w:val="15"/>
          <w:color w:val="auto"/>
        </w:rPr>
        <w:t>shares of our common stock that become available pursuant to provisions in our 2015 Incentive Award Plan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6567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January 1 of each calendar year as described in "Executive and director compensation—Long-term incentive plans—2015 Incentive Award Plan."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To the extent any of these outstanding options or warrants is exercised, there will be further dilution to new investors. If all of such outstanding options and warrants had been exercised as</w:t>
      </w:r>
    </w:p>
    <w:p>
      <w:pPr>
        <w:spacing w:after="0" w:line="41" w:lineRule="exact"/>
        <w:rPr>
          <w:sz w:val="20"/>
          <w:szCs w:val="20"/>
          <w:color w:val="auto"/>
        </w:rPr>
      </w:pPr>
    </w:p>
    <w:p>
      <w:pPr>
        <w:spacing w:after="0"/>
        <w:tabs>
          <w:tab w:leader="none" w:pos="7280" w:val="left"/>
          <w:tab w:leader="none" w:pos="11200" w:val="left"/>
        </w:tabs>
        <w:rPr>
          <w:sz w:val="20"/>
          <w:szCs w:val="20"/>
          <w:color w:val="auto"/>
        </w:rPr>
      </w:pPr>
      <w:r>
        <w:rPr>
          <w:rFonts w:ascii="Arial" w:cs="Arial" w:eastAsia="Arial" w:hAnsi="Arial"/>
          <w:sz w:val="15"/>
          <w:szCs w:val="15"/>
          <w:color w:val="auto"/>
        </w:rPr>
        <w:t>of September 30, 2015, the pro forma as adjusted net tangible book value per share after this offering would be $</w:t>
      </w:r>
      <w:r>
        <w:rPr>
          <w:sz w:val="20"/>
          <w:szCs w:val="20"/>
          <w:color w:val="auto"/>
        </w:rPr>
        <w:tab/>
      </w:r>
      <w:r>
        <w:rPr>
          <w:rFonts w:ascii="Arial" w:cs="Arial" w:eastAsia="Arial" w:hAnsi="Arial"/>
          <w:sz w:val="15"/>
          <w:szCs w:val="15"/>
          <w:color w:val="auto"/>
        </w:rPr>
        <w:t>, and total dilution per share to new investors would be $</w:t>
      </w:r>
      <w:r>
        <w:rPr>
          <w:sz w:val="20"/>
          <w:szCs w:val="20"/>
          <w:color w:val="auto"/>
        </w:rPr>
        <w:tab/>
      </w:r>
      <w:r>
        <w:rPr>
          <w:rFonts w:ascii="Arial" w:cs="Arial" w:eastAsia="Arial" w:hAnsi="Arial"/>
          <w:sz w:val="6"/>
          <w:szCs w:val="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ectPr>
          <w:pgSz w:w="11900" w:h="16838" w:orient="portrait"/>
          <w:cols w:equalWidth="0" w:num="1">
            <w:col w:w="11440"/>
          </w:cols>
          <w:pgMar w:left="240" w:top="132" w:right="2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percentage of shares of common stock held by existing stockholders will decrease to approximately this offering; and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 of the total number of shares of our common stock outstanding after</w:t>
      </w:r>
    </w:p>
    <w:p>
      <w:pPr>
        <w:spacing w:after="0" w:line="407" w:lineRule="exact"/>
        <w:rPr>
          <w:sz w:val="20"/>
          <w:szCs w:val="20"/>
          <w:color w:val="auto"/>
        </w:rPr>
      </w:pPr>
    </w:p>
    <w:p>
      <w:pPr>
        <w:sectPr>
          <w:pgSz w:w="11900" w:h="16838" w:orient="portrait"/>
          <w:cols w:equalWidth="0" w:num="3">
            <w:col w:w="40" w:space="420"/>
            <w:col w:w="6240" w:space="340"/>
            <w:col w:w="4400"/>
          </w:cols>
          <w:pgMar w:left="240" w:top="132" w:right="219" w:bottom="1440" w:gutter="0" w:footer="0" w:header="0"/>
          <w:type w:val="continuous"/>
        </w:sect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 or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138430</wp:posOffset>
            </wp:positionV>
            <wp:extent cx="72656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 of the total number of shares of our common stock outstanding after this offering.</w:t>
      </w:r>
    </w:p>
    <w:p>
      <w:pPr>
        <w:spacing w:after="0" w:line="211" w:lineRule="exact"/>
        <w:rPr>
          <w:sz w:val="20"/>
          <w:szCs w:val="20"/>
          <w:color w:val="auto"/>
        </w:rPr>
      </w:pPr>
    </w:p>
    <w:p>
      <w:pPr>
        <w:sectPr>
          <w:pgSz w:w="11900" w:h="16838" w:orient="portrait"/>
          <w:cols w:equalWidth="0" w:num="4">
            <w:col w:w="40" w:space="420"/>
            <w:col w:w="3580" w:space="480"/>
            <w:col w:w="1120" w:space="340"/>
            <w:col w:w="5460"/>
          </w:cols>
          <w:pgMar w:left="240" w:top="132" w:right="219" w:bottom="1440" w:gutter="0" w:footer="0" w:header="0"/>
          <w:type w:val="continuous"/>
        </w:sectPr>
      </w:pPr>
    </w:p>
    <w:p>
      <w:pPr>
        <w:spacing w:after="0" w:line="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75" w:name="page76"/>
    <w:bookmarkEnd w:id="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4"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for the years ended December 31, 2013 and 2014 and the consolidated balance sheet data as of December 31, 2013 and 2014 from our audited consolidated financial statements appearing elsewhere in this prospectus. The consolidated statement of operations data for the nine months ended September 30, 2014 and 2015 and the consolidated balance sheet data as of September 30, 2015 have been derived from our unaudited condensed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nine months ended September 30, 2015 are not necessarily indicative of the results to be expected for the full year ending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rPr>
              <w:t>Years ended 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94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9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13"/>
          </w:tcPr>
          <w:p>
            <w:pPr>
              <w:jc w:val="right"/>
              <w:ind w:right="406"/>
              <w:spacing w:after="0" w:line="121" w:lineRule="exact"/>
              <w:rPr>
                <w:sz w:val="20"/>
                <w:szCs w:val="20"/>
                <w:color w:val="auto"/>
              </w:rPr>
            </w:pPr>
            <w:r>
              <w:rPr>
                <w:rFonts w:ascii="Arial" w:cs="Arial" w:eastAsia="Arial" w:hAnsi="Arial"/>
                <w:sz w:val="12"/>
                <w:szCs w:val="12"/>
                <w:b w:val="1"/>
                <w:bCs w:val="1"/>
                <w:color w:val="auto"/>
              </w:rPr>
              <w:t>(in thousands, except share and per share data)</w:t>
            </w:r>
          </w:p>
        </w:tc>
        <w:tc>
          <w:tcPr>
            <w:tcW w:w="140" w:type="dxa"/>
            <w:vAlign w:val="bottom"/>
          </w:tcPr>
          <w:p>
            <w:pPr>
              <w:spacing w:after="0"/>
              <w:rPr>
                <w:sz w:val="10"/>
                <w:szCs w:val="10"/>
                <w:color w:val="auto"/>
              </w:rPr>
            </w:pPr>
          </w:p>
        </w:tc>
      </w:tr>
      <w:tr>
        <w:trPr>
          <w:trHeight w:val="14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42"/>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(unaudited)</w:t>
            </w:r>
          </w:p>
        </w:tc>
      </w:tr>
      <w:tr>
        <w:trPr>
          <w:trHeight w:val="186"/>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w:t>
            </w:r>
          </w:p>
        </w:tc>
        <w:tc>
          <w:tcPr>
            <w:tcW w:w="140" w:type="dxa"/>
            <w:vAlign w:val="bottom"/>
            <w:shd w:val="clear" w:color="auto" w:fill="CCEEFF"/>
          </w:tcPr>
          <w:p>
            <w:pPr>
              <w:spacing w:after="0"/>
              <w:rPr>
                <w:sz w:val="16"/>
                <w:szCs w:val="16"/>
                <w:color w:val="auto"/>
              </w:rPr>
            </w:pPr>
          </w:p>
        </w:tc>
      </w:tr>
      <w:tr>
        <w:trPr>
          <w:trHeight w:val="176"/>
        </w:trPr>
        <w:tc>
          <w:tcPr>
            <w:tcW w:w="50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140" w:type="dxa"/>
            <w:vAlign w:val="bottom"/>
            <w:shd w:val="clear" w:color="auto" w:fill="CCEEFF"/>
          </w:tcPr>
          <w:p>
            <w:pPr>
              <w:spacing w:after="0"/>
              <w:rPr>
                <w:sz w:val="16"/>
                <w:szCs w:val="16"/>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6,305</w:t>
            </w:r>
          </w:p>
        </w:tc>
        <w:tc>
          <w:tcPr>
            <w:tcW w:w="140" w:type="dxa"/>
            <w:vAlign w:val="bottom"/>
          </w:tcPr>
          <w:p>
            <w:pPr>
              <w:spacing w:after="0"/>
              <w:rPr>
                <w:sz w:val="16"/>
                <w:szCs w:val="16"/>
                <w:color w:val="auto"/>
              </w:rPr>
            </w:pPr>
          </w:p>
        </w:tc>
      </w:tr>
      <w:tr>
        <w:trPr>
          <w:trHeight w:val="177"/>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16,772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22,074</w:t>
            </w:r>
          </w:p>
        </w:tc>
        <w:tc>
          <w:tcPr>
            <w:tcW w:w="140" w:type="dxa"/>
            <w:vAlign w:val="bottom"/>
            <w:shd w:val="clear" w:color="auto" w:fill="CCEEFF"/>
          </w:tcPr>
          <w:p>
            <w:pPr>
              <w:spacing w:after="0"/>
              <w:rPr>
                <w:sz w:val="15"/>
                <w:szCs w:val="15"/>
                <w:color w:val="auto"/>
              </w:rPr>
            </w:pPr>
          </w:p>
        </w:tc>
      </w:tr>
      <w:tr>
        <w:trPr>
          <w:trHeight w:val="177"/>
        </w:trPr>
        <w:tc>
          <w:tcPr>
            <w:tcW w:w="50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(18,197)</w:t>
            </w:r>
          </w:p>
        </w:tc>
        <w:tc>
          <w:tcPr>
            <w:tcW w:w="140" w:type="dxa"/>
            <w:vAlign w:val="bottom"/>
          </w:tcPr>
          <w:p>
            <w:pPr>
              <w:spacing w:after="0"/>
              <w:rPr>
                <w:sz w:val="15"/>
                <w:szCs w:val="15"/>
                <w:color w:val="auto"/>
              </w:rPr>
            </w:pPr>
          </w:p>
        </w:tc>
      </w:tr>
      <w:tr>
        <w:trPr>
          <w:trHeight w:val="177"/>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Investment income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w:t>
            </w:r>
          </w:p>
        </w:tc>
        <w:tc>
          <w:tcPr>
            <w:tcW w:w="140" w:type="dxa"/>
            <w:vAlign w:val="bottom"/>
          </w:tcPr>
          <w:p>
            <w:pPr>
              <w:spacing w:after="0"/>
              <w:rPr>
                <w:sz w:val="16"/>
                <w:szCs w:val="16"/>
                <w:color w:val="auto"/>
              </w:rPr>
            </w:pPr>
          </w:p>
        </w:tc>
      </w:tr>
      <w:tr>
        <w:trPr>
          <w:trHeight w:val="18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Foreign currency gain</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140" w:type="dxa"/>
            <w:vAlign w:val="bottom"/>
            <w:shd w:val="clear" w:color="auto" w:fill="CCEEFF"/>
          </w:tcPr>
          <w:p>
            <w:pPr>
              <w:spacing w:after="0"/>
              <w:rPr>
                <w:sz w:val="16"/>
                <w:szCs w:val="16"/>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(141)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(344)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(843)</w:t>
            </w:r>
          </w:p>
        </w:tc>
      </w:tr>
      <w:tr>
        <w:trPr>
          <w:trHeight w:val="18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expense, net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w:t>
            </w:r>
          </w:p>
        </w:tc>
      </w:tr>
      <w:tr>
        <w:trPr>
          <w:trHeight w:val="177"/>
        </w:trPr>
        <w:tc>
          <w:tcPr>
            <w:tcW w:w="5060" w:type="dxa"/>
            <w:vAlign w:val="bottom"/>
            <w:gridSpan w:val="2"/>
          </w:tcPr>
          <w:p>
            <w:pPr>
              <w:ind w:left="280"/>
              <w:spacing w:after="0"/>
              <w:rPr>
                <w:sz w:val="20"/>
                <w:szCs w:val="20"/>
                <w:color w:val="auto"/>
              </w:rPr>
            </w:pPr>
            <w:r>
              <w:rPr>
                <w:rFonts w:ascii="Arial" w:cs="Arial" w:eastAsia="Arial" w:hAnsi="Arial"/>
                <w:sz w:val="15"/>
                <w:szCs w:val="15"/>
                <w:color w:val="auto"/>
              </w:rPr>
              <w:t>Total other income (expense), net</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5"/>
                <w:szCs w:val="15"/>
                <w:color w:val="auto"/>
              </w:rPr>
            </w:pPr>
          </w:p>
        </w:tc>
      </w:tr>
      <w:tr>
        <w:trPr>
          <w:trHeight w:val="177"/>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(15,177)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(18,325)</w:t>
            </w: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w w:val="98"/>
              </w:rPr>
              <w:t>Accrued dividends and accretion of redeemable convertible preferred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(4,102)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(3,401)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(4,959)</w:t>
            </w:r>
          </w:p>
        </w:tc>
      </w:tr>
      <w:tr>
        <w:trPr>
          <w:trHeight w:val="179"/>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6"/>
              </w:rPr>
              <w:t>Net effect of extinguishment of Series SRN redeemable convertible preferred</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3"/>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stock</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50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(23,284)</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(2.50)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(1.62)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Weighted average common shares outstanding(1)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7,706,653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8,117,213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8,364,450</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4"/>
              </w:rPr>
              <w:t>Pro forma net loss per share attributable to common stockholders (unaudited)(1)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(0.37)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(0.52)</w:t>
            </w: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Pro forma weighted average common shares outstanding (unaudited)(1)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31,250,048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35,165,602</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4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60" w:hanging="463"/>
        <w:spacing w:after="0" w:line="239" w:lineRule="auto"/>
        <w:tabs>
          <w:tab w:leader="none" w:pos="1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an explanation of the method used to calculate the historical and pro forma basic and diluted net loss per common share and the number of shares used in the computation of the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56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 data:</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80"/>
              <w:spacing w:after="0"/>
              <w:rPr>
                <w:sz w:val="20"/>
                <w:szCs w:val="20"/>
                <w:color w:val="auto"/>
              </w:rPr>
            </w:pPr>
            <w:r>
              <w:rPr>
                <w:rFonts w:ascii="Arial" w:cs="Arial" w:eastAsia="Arial" w:hAnsi="Arial"/>
                <w:sz w:val="12"/>
                <w:szCs w:val="12"/>
                <w:b w:val="1"/>
                <w:bCs w:val="1"/>
                <w:color w:val="auto"/>
              </w:rPr>
              <w:t>As of December 31,</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91"/>
        </w:trPr>
        <w:tc>
          <w:tcPr>
            <w:tcW w:w="43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2013</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8,057</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Total assets</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13,157</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22,228</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42,772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2,035</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Redeemable convertible preferred stock</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70,402</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94,033</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135,106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(68,869)</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(83,880)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(102,570)</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(595)</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(3,876)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(4,639)</w:t>
            </w: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deficit</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(69,463)</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(107,208)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ummet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w:t>
      </w:r>
    </w:p>
    <w:p>
      <w:pPr>
        <w:spacing w:after="0" w:line="141"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51" w:lineRule="exact"/>
        <w:rPr>
          <w:sz w:val="20"/>
          <w:szCs w:val="20"/>
          <w:color w:val="auto"/>
        </w:rPr>
      </w:pPr>
    </w:p>
    <w:p>
      <w:pPr>
        <w:jc w:val="both"/>
        <w:ind w:right="200"/>
        <w:spacing w:after="0" w:line="330" w:lineRule="auto"/>
        <w:rPr>
          <w:sz w:val="20"/>
          <w:szCs w:val="20"/>
          <w:color w:val="auto"/>
        </w:rPr>
      </w:pPr>
      <w:r>
        <w:rPr>
          <w:rFonts w:ascii="Arial" w:cs="Arial" w:eastAsia="Arial" w:hAnsi="Arial"/>
          <w:sz w:val="13"/>
          <w:szCs w:val="13"/>
          <w:color w:val="auto"/>
        </w:rPr>
        <w:t>Since our inception and through September 30, 2015, we have raised an aggregate of $141.3 million to fund our operations, of which $118.5 million was from the sale of preferred stock, $4.7 million was from government grants, $7.5 million was from the issuance of debt securities and $10.6 million was from grants and collaboration arrangements. As of September 30, 2015, we had cash and cash equivalents totaling $37.5 million, of which $3.6 million was held by our wholly owned Russian subsidiary and designated solely for use in its operations.</w:t>
      </w:r>
    </w:p>
    <w:p>
      <w:pPr>
        <w:spacing w:after="0" w:line="12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8" w:name="page79"/>
    <w:bookmarkEnd w:id="7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0"/>
        <w:spacing w:after="0" w:line="283" w:lineRule="auto"/>
        <w:rPr>
          <w:sz w:val="20"/>
          <w:szCs w:val="20"/>
          <w:color w:val="auto"/>
        </w:rPr>
      </w:pPr>
      <w:r>
        <w:rPr>
          <w:rFonts w:ascii="Arial" w:cs="Arial" w:eastAsia="Arial" w:hAnsi="Arial"/>
          <w:sz w:val="15"/>
          <w:szCs w:val="15"/>
          <w:color w:val="auto"/>
        </w:rPr>
        <w:t>issued as a result of the conversion of convertible notes. As part of the Series E Preferred Stock issuance, we also issued 2,222,213 common stock warrants to the stockholders who participated in that round of financing.</w:t>
      </w:r>
    </w:p>
    <w:p>
      <w:pPr>
        <w:spacing w:after="0" w:line="150"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Since inception, we have incurred significant operating losses. We incurred net losses of $15.2 million and $12.9 million for the years ended December 31, 2013 and 2014, respectively. Our net loss was $11.2 million and $18.3 million for the nine months ended September 30, 2014 and 2015, respectively. As of September 30, 2015, we had an accumulated deficit of $102.6 million. We expect to continue incurring significant expenses and operating losses for at least the next several years as we:</w:t>
      </w:r>
    </w:p>
    <w:p>
      <w:pPr>
        <w:spacing w:after="0" w:line="172" w:lineRule="exact"/>
        <w:rPr>
          <w:sz w:val="20"/>
          <w:szCs w:val="20"/>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10" w:lineRule="exact"/>
        <w:rPr>
          <w:rFonts w:ascii="Arial" w:cs="Arial" w:eastAsia="Arial" w:hAnsi="Arial"/>
          <w:sz w:val="15"/>
          <w:szCs w:val="15"/>
          <w:color w:val="auto"/>
        </w:rPr>
      </w:pPr>
    </w:p>
    <w:p>
      <w:pPr>
        <w:ind w:left="467" w:right="40" w:hanging="467"/>
        <w:spacing w:after="0" w:line="283"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0" w:lineRule="exact"/>
        <w:rPr>
          <w:sz w:val="20"/>
          <w:szCs w:val="20"/>
          <w:color w:val="auto"/>
        </w:rPr>
      </w:pPr>
    </w:p>
    <w:p>
      <w:pPr>
        <w:ind w:left="7" w:right="120"/>
        <w:spacing w:after="0" w:line="298"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3" w:lineRule="exact"/>
        <w:rPr>
          <w:sz w:val="20"/>
          <w:szCs w:val="20"/>
          <w:color w:val="auto"/>
        </w:rPr>
      </w:pPr>
    </w:p>
    <w:p>
      <w:pPr>
        <w:ind w:left="7" w:right="120"/>
        <w:spacing w:after="0" w:line="363"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or Selecta RUS, a Russian limited liability company,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collect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 2 to our consolidated financial statements included elsewhere in this prospectus.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48" w:lineRule="exact"/>
        <w:rPr>
          <w:sz w:val="20"/>
          <w:szCs w:val="20"/>
          <w:color w:val="auto"/>
        </w:rPr>
      </w:pPr>
    </w:p>
    <w:p>
      <w:pPr>
        <w:ind w:right="180"/>
        <w:spacing w:after="0" w:line="311"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$68.3 million in research and development expenses from inception through September 30, 2015,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47"/>
              <w:spacing w:after="0"/>
              <w:rPr>
                <w:sz w:val="20"/>
                <w:szCs w:val="20"/>
                <w:color w:val="auto"/>
              </w:rPr>
            </w:pPr>
            <w:r>
              <w:rPr>
                <w:rFonts w:ascii="Arial" w:cs="Arial" w:eastAsia="Arial" w:hAnsi="Arial"/>
                <w:sz w:val="12"/>
                <w:szCs w:val="12"/>
                <w:b w:val="1"/>
                <w:bCs w:val="1"/>
                <w:color w:val="auto"/>
              </w:rPr>
              <w:t>Nine months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7"/>
              <w:spacing w:after="0"/>
              <w:rPr>
                <w:sz w:val="20"/>
                <w:szCs w:val="20"/>
                <w:color w:val="auto"/>
              </w:rPr>
            </w:pPr>
            <w:r>
              <w:rPr>
                <w:rFonts w:ascii="Arial" w:cs="Arial" w:eastAsia="Arial" w:hAnsi="Arial"/>
                <w:sz w:val="12"/>
                <w:szCs w:val="12"/>
                <w:b w:val="1"/>
                <w:bCs w:val="1"/>
                <w:color w:val="auto"/>
              </w:rPr>
              <w:t>Years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7"/>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69"/>
              <w:spacing w:after="0"/>
              <w:rPr>
                <w:sz w:val="20"/>
                <w:szCs w:val="20"/>
                <w:color w:val="auto"/>
              </w:rPr>
            </w:pPr>
            <w:r>
              <w:rPr>
                <w:rFonts w:ascii="Arial" w:cs="Arial" w:eastAsia="Arial" w:hAnsi="Arial"/>
                <w:sz w:val="12"/>
                <w:szCs w:val="12"/>
                <w:b w:val="1"/>
                <w:bCs w:val="1"/>
                <w:color w:val="auto"/>
              </w:rPr>
              <w:t>Increase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27"/>
              <w:spacing w:after="0"/>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Increase</w:t>
            </w: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27"/>
              <w:spacing w:after="0" w:line="131" w:lineRule="exact"/>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left="49"/>
              <w:spacing w:after="0" w:line="131" w:lineRule="exact"/>
              <w:rPr>
                <w:sz w:val="20"/>
                <w:szCs w:val="20"/>
                <w:color w:val="auto"/>
              </w:rPr>
            </w:pPr>
            <w:r>
              <w:rPr>
                <w:rFonts w:ascii="Arial" w:cs="Arial" w:eastAsia="Arial" w:hAnsi="Arial"/>
                <w:sz w:val="12"/>
                <w:szCs w:val="12"/>
                <w:b w:val="1"/>
                <w:bCs w:val="1"/>
                <w:color w:val="auto"/>
              </w:rPr>
              <w:t>(decrease)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3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7"/>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jc w:val="right"/>
              <w:ind w:right="420"/>
              <w:spacing w:after="0" w:line="131" w:lineRule="exact"/>
              <w:rPr>
                <w:sz w:val="20"/>
                <w:szCs w:val="20"/>
                <w:color w:val="auto"/>
              </w:rPr>
            </w:pPr>
            <w:r>
              <w:rPr>
                <w:rFonts w:ascii="Arial" w:cs="Arial" w:eastAsia="Arial" w:hAnsi="Arial"/>
                <w:sz w:val="12"/>
                <w:szCs w:val="12"/>
                <w:b w:val="1"/>
                <w:bCs w:val="1"/>
                <w:color w:val="auto"/>
              </w:rPr>
              <w:t>(decrease)</w:t>
            </w:r>
          </w:p>
        </w:tc>
      </w:tr>
      <w:tr>
        <w:trPr>
          <w:trHeight w:val="177"/>
        </w:trPr>
        <w:tc>
          <w:tcPr>
            <w:tcW w:w="20" w:type="dxa"/>
            <w:vAlign w:val="bottom"/>
          </w:tcPr>
          <w:p>
            <w:pPr>
              <w:spacing w:after="0"/>
              <w:rPr>
                <w:sz w:val="15"/>
                <w:szCs w:val="15"/>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300" w:type="dxa"/>
            <w:vAlign w:val="bottom"/>
          </w:tcPr>
          <w:p>
            <w:pPr>
              <w:ind w:left="120"/>
              <w:spacing w:after="0"/>
              <w:rPr>
                <w:sz w:val="20"/>
                <w:szCs w:val="20"/>
                <w:color w:val="auto"/>
              </w:rPr>
            </w:pPr>
            <w:r>
              <w:rPr>
                <w:rFonts w:ascii="Arial" w:cs="Arial" w:eastAsia="Arial" w:hAnsi="Arial"/>
                <w:sz w:val="15"/>
                <w:szCs w:val="15"/>
                <w:color w:val="auto"/>
              </w:rPr>
              <w:t>SEL-212</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474</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474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212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6,319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6,107</w:t>
            </w: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rPr>
              <w:t>2,881%</w:t>
            </w:r>
          </w:p>
        </w:tc>
      </w:tr>
      <w:tr>
        <w:trPr>
          <w:trHeight w:val="186"/>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Discovery and preclinical programs, collectively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6"/>
              </w:rPr>
              <w:t>(1,149)</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8,979</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2,058</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120%</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of interest income earned on our cash and cash equivalents and short term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Other income (expense) represents the changes in the fair value of our Series D Preferred Stock warrants issued to lenders under our credit facilities. The warrants were classified as a liability and were initially recorded at their issuance date fair value and are remeasured on each subsequent balance sheet date. The change in fair value, which is subsequently recorded as interest expense, consists of the change in the fair value of the warrant liability at the end of each reporting period as calculated using the Black-Scholes option-pricing model, or Black-Scholes.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functional currency of our Russian subsidiary is the ruble. In addition to holding cash denominated in rubles, our Russian bank accounts also hold cash balances denominated in U.S. dollars to facilitate payments to be settled in U.S. dollars or other currencies. At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and September 30, 2015, we maintained cash of $3.0 million, $7.3 million and $4.8 million respectively, in Russian banks, of which $3.6 million was denominated in U.S. dollars for the period ended September 30, 2015. The amounts denominated in U.S. dollars and used in transacting the day to day operations are subject to transaction gains and losses, which are reported as incurred, as a component of other income (expense)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Nine months ended September 30, 2014 compared to the nine months ended September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nine months ended September 30, 2014 and 2015 (in thousands, except percentages):</w:t>
      </w:r>
    </w:p>
    <w:p>
      <w:pPr>
        <w:spacing w:after="0" w:line="196" w:lineRule="exact"/>
        <w:rPr>
          <w:sz w:val="20"/>
          <w:szCs w:val="20"/>
          <w:color w:val="auto"/>
        </w:rPr>
      </w:pPr>
    </w:p>
    <w:p>
      <w:pPr>
        <w:jc w:val="center"/>
        <w:ind w:left="428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4280"/>
        <w:spacing w:after="0"/>
        <w:rPr>
          <w:sz w:val="20"/>
          <w:szCs w:val="20"/>
          <w:color w:val="auto"/>
        </w:rPr>
      </w:pPr>
      <w:r>
        <w:rPr>
          <w:rFonts w:ascii="Arial" w:cs="Arial" w:eastAsia="Arial" w:hAnsi="Arial"/>
          <w:sz w:val="12"/>
          <w:szCs w:val="12"/>
          <w:b w:val="1"/>
          <w:bCs w:val="1"/>
          <w:color w:val="auto"/>
        </w:rPr>
        <w:t>September 30,</w:t>
      </w:r>
    </w:p>
    <w:p>
      <w:pPr>
        <w:jc w:val="center"/>
        <w:ind w:left="428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1"/>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571"/>
              <w:spacing w:after="0"/>
              <w:rPr>
                <w:sz w:val="20"/>
                <w:szCs w:val="20"/>
                <w:color w:val="auto"/>
              </w:rPr>
            </w:pPr>
            <w:r>
              <w:rPr>
                <w:rFonts w:ascii="Arial" w:cs="Arial" w:eastAsia="Arial" w:hAnsi="Arial"/>
                <w:sz w:val="15"/>
                <w:szCs w:val="15"/>
                <w:color w:val="auto"/>
              </w:rPr>
              <w:t>1,772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84%</w:t>
            </w:r>
          </w:p>
        </w:tc>
      </w:tr>
    </w:tbl>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During the nine months ended September 30, 2015, total revenue increased by $1.8 million, or 84%, as compared to the same period in the prior year, of which $1.2 million was related to a National Institute on Drug Abuse, or NIDA, grant, or the NIDA (NIH) grant, awarded to us in 2014 and recognized as revenue throughout the nine months ended September 30, 2015, and $0.2 million was related to the amortization of additional upfront payments from a supplemental license and research collaboration agreement with Sanofi executed in May 2015. We recognized other grant and collaboration revenue of $0.4 million during the nine months ended September 30, 2014 and 2015.</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nine months ended September 30, 2014 and 2015 (in thousands, except percentages):</w:t>
      </w:r>
    </w:p>
    <w:p>
      <w:pPr>
        <w:spacing w:after="0" w:line="196" w:lineRule="exact"/>
        <w:rPr>
          <w:sz w:val="20"/>
          <w:szCs w:val="20"/>
          <w:color w:val="auto"/>
        </w:rPr>
      </w:pPr>
    </w:p>
    <w:p>
      <w:pPr>
        <w:jc w:val="center"/>
        <w:ind w:left="436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4360"/>
        <w:spacing w:after="0"/>
        <w:rPr>
          <w:sz w:val="20"/>
          <w:szCs w:val="20"/>
          <w:color w:val="auto"/>
        </w:rPr>
      </w:pPr>
      <w:r>
        <w:rPr>
          <w:rFonts w:ascii="Arial" w:cs="Arial" w:eastAsia="Arial" w:hAnsi="Arial"/>
          <w:sz w:val="12"/>
          <w:szCs w:val="12"/>
          <w:b w:val="1"/>
          <w:bCs w:val="1"/>
          <w:color w:val="auto"/>
        </w:rPr>
        <w:t>September 30,</w:t>
      </w:r>
    </w:p>
    <w:p>
      <w:pPr>
        <w:jc w:val="center"/>
        <w:ind w:left="436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8"/>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40"/>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86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7,171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8,598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w:t>
            </w:r>
          </w:p>
        </w:tc>
      </w:tr>
    </w:tbl>
    <w:p>
      <w:pPr>
        <w:spacing w:after="0" w:line="179"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During the nine months ended September 30, 2015, our research and development expenses increased by $8.6 million, or 120%, as compared to the same period in the prior year, primarily due to the initiation of our preclinical good laboratory practice, or GLP, toxicology studies and clinical trial towards the development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nine months ended September 30, 2014 and 2015 (in thousands, except percentages):</w:t>
      </w:r>
    </w:p>
    <w:p>
      <w:pPr>
        <w:spacing w:after="0" w:line="196"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September 30,</w:t>
      </w:r>
    </w:p>
    <w:p>
      <w:pPr>
        <w:jc w:val="center"/>
        <w:ind w:left="328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line="131" w:lineRule="exact"/>
              <w:rPr>
                <w:sz w:val="20"/>
                <w:szCs w:val="20"/>
                <w:color w:val="auto"/>
              </w:rPr>
            </w:pPr>
            <w:r>
              <w:rPr>
                <w:rFonts w:ascii="Arial" w:cs="Arial" w:eastAsia="Arial" w:hAnsi="Arial"/>
                <w:sz w:val="12"/>
                <w:szCs w:val="12"/>
                <w:b w:val="1"/>
                <w:bCs w:val="1"/>
                <w:color w:val="auto"/>
              </w:rPr>
              <w:t>2014</w:t>
            </w:r>
          </w:p>
        </w:tc>
        <w:tc>
          <w:tcPr>
            <w:tcW w:w="1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6,666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5"/>
                <w:szCs w:val="15"/>
                <w:color w:val="auto"/>
              </w:rPr>
              <w:t>(361)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4"/>
              </w:rPr>
              <w:t>(5)%</w:t>
            </w:r>
          </w:p>
        </w:tc>
      </w:tr>
    </w:tbl>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For the nine months ended September 30, 2015, our general and administrative expenses decreased by $0.4 million, or 5%, as compared to the same period in the prior year, primarily due to an increased allocation of overhead costs (facility and other) to research and development expense as a result of the growth in research and development personnel during the period as well as the timing of expenses related to legal and auditing services.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Change in investment income was de minimis during the nine months ended September 30, 2015 as compared to the prior year period as cash and cash equivalent balances held in interest bearing accounts and the prevailing interest rates remained relatively consistent during both periods.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We recognized a foreign currency gain of $0.8 million and $0.6 million during the nine months ended September 30, 2014 and 2015, respectively, reflecting the increased strength of the U.S. dollar to the ruble from the beginning to the end of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80"/>
        <w:spacing w:after="0" w:line="363" w:lineRule="auto"/>
        <w:rPr>
          <w:sz w:val="20"/>
          <w:szCs w:val="20"/>
          <w:color w:val="auto"/>
        </w:rPr>
      </w:pPr>
      <w:r>
        <w:rPr>
          <w:rFonts w:ascii="Arial" w:cs="Arial" w:eastAsia="Arial" w:hAnsi="Arial"/>
          <w:sz w:val="13"/>
          <w:szCs w:val="13"/>
          <w:color w:val="auto"/>
        </w:rPr>
        <w:t>Interest expense for the nine months ended September 30, 2015 was $0.8 million, an increase of $0.5 million, or 145%, as compared to the same period in the prior year. The increase was primarily due to the amortization of loan issuance costs and interest accrued on convertible notes issued in April 2015 that were converted into our Series E Preferred Stock in August 2015.</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For the nine months ended September 30, 2015, the change in fair value of the warrant liability was de minimis.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2013 compared to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years ended December 31, 2013 and 2014 (in thousands, except percentages):</w:t>
      </w:r>
    </w:p>
    <w:p>
      <w:pPr>
        <w:spacing w:after="0" w:line="196"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50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20"/>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5"/>
                <w:szCs w:val="15"/>
                <w:color w:val="auto"/>
              </w:rPr>
              <w:t>1,561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During the year ended December 31, 2014, total revenue increased by $1.6 million, or 106%, as compared to the prior year, primarily due to $0.6 million of revenue recognized during the year from the NIDA (NIH) grant, which was awarded to us during 2014, and the recognition of $1.0 million of revenues under our collaboration agreements with Sanofi that were previously reported as deferred revenue.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2013 and 2014 (in thousands, except percentages):</w:t>
      </w:r>
    </w:p>
    <w:p>
      <w:pPr>
        <w:spacing w:after="0" w:line="196" w:lineRule="exact"/>
        <w:rPr>
          <w:sz w:val="20"/>
          <w:szCs w:val="20"/>
          <w:color w:val="auto"/>
        </w:rPr>
      </w:pPr>
    </w:p>
    <w:p>
      <w:pPr>
        <w:ind w:left="746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42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90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10,417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11"/>
              <w:spacing w:after="0"/>
              <w:rPr>
                <w:sz w:val="20"/>
                <w:szCs w:val="20"/>
                <w:color w:val="auto"/>
              </w:rPr>
            </w:pPr>
            <w:r>
              <w:rPr>
                <w:rFonts w:ascii="Arial" w:cs="Arial" w:eastAsia="Arial" w:hAnsi="Arial"/>
                <w:sz w:val="15"/>
                <w:szCs w:val="15"/>
                <w:color w:val="auto"/>
              </w:rPr>
              <w:t>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179"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During the year ended December 31, 2014, our total research and development expenses remained consistent with the prior year. Research and development expenses during the year ended December 31, 2014 primarily reflected costs associated with the advancement of SEL-212, including related headcount growth, as compared to the prior year during which research and development expenses primarily reflected costs associated with our Phase 1 nicotine vaccine clinical trial that was completed during 2013.</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2013 and 2014 (in thousands, except percentages):</w:t>
      </w:r>
    </w:p>
    <w:p>
      <w:pPr>
        <w:spacing w:after="0" w:line="196"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50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6,355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571"/>
              <w:spacing w:after="0"/>
              <w:rPr>
                <w:sz w:val="20"/>
                <w:szCs w:val="20"/>
                <w:color w:val="auto"/>
              </w:rPr>
            </w:pPr>
            <w:r>
              <w:rPr>
                <w:rFonts w:ascii="Arial" w:cs="Arial" w:eastAsia="Arial" w:hAnsi="Arial"/>
                <w:sz w:val="15"/>
                <w:szCs w:val="15"/>
                <w:color w:val="auto"/>
              </w:rPr>
              <w:t>1,598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25%</w:t>
            </w:r>
          </w:p>
        </w:tc>
      </w:tr>
    </w:tbl>
    <w:p>
      <w:pPr>
        <w:spacing w:after="0" w:line="179"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During the year ended December 31, 2014, our general and administrative expenses increased by $1.6 million, or 25%, as compared to the prior year, primarily due to an increase in legal and audit expenses incurred in preparation for a potential initial public offering, reviewing and investigating additional collaboration agreements and protection of our intellectual property portfolio.</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Change in investment income was de minimis during the year ended December 31, 2014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360"/>
        <w:spacing w:after="0" w:line="320" w:lineRule="auto"/>
        <w:rPr>
          <w:sz w:val="20"/>
          <w:szCs w:val="20"/>
          <w:color w:val="auto"/>
        </w:rPr>
      </w:pPr>
      <w:r>
        <w:rPr>
          <w:rFonts w:ascii="Arial" w:cs="Arial" w:eastAsia="Arial" w:hAnsi="Arial"/>
          <w:sz w:val="14"/>
          <w:szCs w:val="14"/>
          <w:color w:val="auto"/>
        </w:rPr>
        <w:t>We recognized a foreign currency gain of $3.0 million during the year ended December 31, 2014 as compared to $0.1 million during the year eneded December 31, 2013 reflecting the incremental strength of the U.S. dollar to the ruble occurring between December 31, 2013 (beginning of the period) to December 31, 2014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jc w:val="both"/>
        <w:ind w:right="480"/>
        <w:spacing w:after="0" w:line="270" w:lineRule="auto"/>
        <w:rPr>
          <w:sz w:val="20"/>
          <w:szCs w:val="20"/>
          <w:color w:val="auto"/>
        </w:rPr>
      </w:pPr>
      <w:r>
        <w:rPr>
          <w:rFonts w:ascii="Arial" w:cs="Arial" w:eastAsia="Arial" w:hAnsi="Arial"/>
          <w:sz w:val="15"/>
          <w:szCs w:val="15"/>
          <w:color w:val="auto"/>
        </w:rPr>
        <w:t>Interest expense was $0.6 million during the year ended December 31, 2014, as compared to $0.1 million in the prior year. The increase was primarily due to outstanding borrowings throughout 2014 as well as incremental amounts borrowed during the year. In August 2013, we entered into and drew $3.0 million under our credit facility. In July 2014, we drew the additional $4.5 million of available borrowings under the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2013 and 2014 was de minimis.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240"/>
        <w:spacing w:after="0" w:line="363" w:lineRule="auto"/>
        <w:rPr>
          <w:sz w:val="20"/>
          <w:szCs w:val="20"/>
          <w:color w:val="auto"/>
        </w:rPr>
      </w:pPr>
      <w:r>
        <w:rPr>
          <w:rFonts w:ascii="Arial" w:cs="Arial" w:eastAsia="Arial" w:hAnsi="Arial"/>
          <w:sz w:val="13"/>
          <w:szCs w:val="13"/>
          <w:color w:val="auto"/>
        </w:rPr>
        <w:t>Since our inception and through September 30, 2015, we have raised an aggregate of $141.3 million to fund our operations, of which $118.5 million was from the sale of preferred stock, $4.7 million was from government grants and $7.5 million was from borrowings under our credit facility and $10.6 million was through our collaborations and license agreements.</w:t>
      </w:r>
    </w:p>
    <w:p>
      <w:pPr>
        <w:spacing w:after="0" w:line="105" w:lineRule="exact"/>
        <w:rPr>
          <w:sz w:val="20"/>
          <w:szCs w:val="20"/>
          <w:color w:val="auto"/>
        </w:rPr>
      </w:pPr>
    </w:p>
    <w:p>
      <w:pPr>
        <w:ind w:right="340"/>
        <w:spacing w:after="0" w:line="320" w:lineRule="auto"/>
        <w:rPr>
          <w:sz w:val="20"/>
          <w:szCs w:val="20"/>
          <w:color w:val="auto"/>
        </w:rPr>
      </w:pPr>
      <w:r>
        <w:rPr>
          <w:rFonts w:ascii="Arial" w:cs="Arial" w:eastAsia="Arial" w:hAnsi="Arial"/>
          <w:sz w:val="14"/>
          <w:szCs w:val="14"/>
          <w:color w:val="auto"/>
        </w:rPr>
        <w:t>As of September 30, 2015, our cash and cash equivalents were $37.5 million, of which $3.6 million was held by our Russian subsidiary designated solely for use in its operations and is consolidated for financial reporting purposes. Additionally, our Russian subsidiary maintained $0.7 million in short term investments and $0.5 million in restricted cash.</w:t>
      </w:r>
    </w:p>
    <w:p>
      <w:pPr>
        <w:spacing w:after="0" w:line="128" w:lineRule="exact"/>
        <w:rPr>
          <w:sz w:val="20"/>
          <w:szCs w:val="20"/>
          <w:color w:val="auto"/>
        </w:rPr>
      </w:pPr>
    </w:p>
    <w:p>
      <w:pPr>
        <w:ind w:right="14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August 2013, we entered into a credit facility with Oxford Finance, LLC, or Oxford, and Pacific Western Bank, as successor-in-interest to Square 1 Bank, as co-lenders. The credit facility provides funding for an aggregate principal amount of up to $7.5 million. The Term Loan A portion of the facility, or the Term Loan A, was funded on the facility's closing date in the aggregate principal amount of $3.0 million. The Term Loan A proceeds were used for general corporate purposes. In July 2014, we borrowed the remaining $4.5 million of available capacity under a Term Loan B portion of the facility, or the Term Loan B, which we used for general corporate purposes. The credit facility is secured by substantially all of our personal property other than our intellectual property. The loans under the credit facility bear interest at an annual rate equal to 8%. We were only required to make interest payments on any loans funded under the credit facility through February 28, 2015, or the interest-only period. Following the interest-only period, all outstanding borrowings under the credit facility began amortizing with monthly payments of principal and interest being made over 30 consecutive monthly installments. All loans under the facility mature on August 1, 2017, and include a final payment fee equal to 6% of the total amount borrowed under the credit facility. This final payment has been recorded as a discount to the loan balance and is being amortized into interest expense over the life of the loans.</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Term Loan A and Term Loan B, or collectively the term loans, are prepayable at our option in whole, but not in part, subject to a prepayment fee of 3% if the term loans are prepaid prior to the first anniversary of the Term Loan B borrowing date, 2% if the terms loans are prepaid between the first and second anniversary of the Term Loan B borrowing date and 1% if the term loans are prepaid after the second anniversary of the Term Loan B borrowing date. We are also required to prepay the term loans upon the occurrence of customary events of default set forth in the credit agreement. In addition, the term loans contain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3"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We were also required to issue the lenders warrants for the purchase of preferred stock equal to 4.0% of the Term Loan A and Term Loan B at each closing. In connection with the term loan security and loan agreement, in August 2013, we issued a fully vested warrant to purchase 26,668 shares of our Series D Preferred Stock, and in July 2014, we issued an additional fully vested warrant to purchase 40,000 shares of our Series D Preferred Stock at the draw of the remaining available credit facility balance. The exercise price for both warrants is $4.50 per share, and they have a ten year life from date of issuance. These are recorded at the fair market value and expensed through the income statement.</w:t>
      </w:r>
    </w:p>
    <w:p>
      <w:pPr>
        <w:spacing w:after="0" w:line="148" w:lineRule="exact"/>
        <w:rPr>
          <w:sz w:val="20"/>
          <w:szCs w:val="20"/>
          <w:color w:val="auto"/>
        </w:rPr>
      </w:pPr>
    </w:p>
    <w:p>
      <w:pPr>
        <w:ind w:right="140"/>
        <w:spacing w:after="0" w:line="311" w:lineRule="auto"/>
        <w:rPr>
          <w:sz w:val="20"/>
          <w:szCs w:val="20"/>
          <w:color w:val="auto"/>
        </w:rPr>
      </w:pPr>
      <w:r>
        <w:rPr>
          <w:rFonts w:ascii="Arial" w:cs="Arial" w:eastAsia="Arial" w:hAnsi="Arial"/>
          <w:sz w:val="13"/>
          <w:szCs w:val="13"/>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and maintain insurance coverage.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investing over $1,000 in our wholly owned domestic subsidiary, Selecta Biosciences Securities Corporation and making certain payments or transfers to our Russian subsidiary, Selecta RUS, in each case subject to certain exceptions. Our credit facility requires us to maintain cash in our operating accounts equal to the lesser of 105% of our outstanding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right="180"/>
        <w:spacing w:after="0" w:line="283" w:lineRule="auto"/>
        <w:rPr>
          <w:sz w:val="20"/>
          <w:szCs w:val="20"/>
          <w:color w:val="auto"/>
        </w:rPr>
      </w:pPr>
      <w:r>
        <w:rPr>
          <w:rFonts w:ascii="Arial" w:cs="Arial" w:eastAsia="Arial" w:hAnsi="Arial"/>
          <w:sz w:val="15"/>
          <w:szCs w:val="15"/>
          <w:color w:val="auto"/>
        </w:rPr>
        <w:t>and 100% of our then-current cash balance. The credit facility does not include any other financial covenants. As of September 30, 2015, we were in compliance with the covenants under our credit facility.</w:t>
      </w:r>
    </w:p>
    <w:p>
      <w:pPr>
        <w:spacing w:after="0" w:line="150"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 As of September 30, 2015, there had been no such events of default and the lenders had not exercised their rights with respect to an event of default under the credit facility.</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left="7" w:right="200"/>
        <w:spacing w:after="0" w:line="309" w:lineRule="auto"/>
        <w:rPr>
          <w:sz w:val="20"/>
          <w:szCs w:val="20"/>
          <w:color w:val="auto"/>
        </w:rPr>
      </w:pPr>
      <w:r>
        <w:rPr>
          <w:rFonts w:ascii="Arial" w:cs="Arial" w:eastAsia="Arial" w:hAnsi="Arial"/>
          <w:sz w:val="13"/>
          <w:szCs w:val="13"/>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expect that the net proceeds from this offering, together with our cash and cash equivalents as of September 30, 2015, and research and development funding that we expect to receive</w:t>
      </w:r>
    </w:p>
    <w:p>
      <w:pPr>
        <w:spacing w:after="0" w:line="41"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color w:val="auto"/>
        </w:rPr>
        <w:t>under our existing collaborations, excluding any potential milestone payments, will fund our operating expenses and capital expenditure requirements through . We have based these estimates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9"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7" w:name="page88"/>
    <w:bookmarkEnd w:id="8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4" w:lineRule="exact"/>
        <w:rPr>
          <w:sz w:val="20"/>
          <w:szCs w:val="20"/>
          <w:color w:val="auto"/>
        </w:rPr>
      </w:pPr>
    </w:p>
    <w:p>
      <w:pPr>
        <w:ind w:left="467" w:right="480" w:hanging="467"/>
        <w:spacing w:after="0" w:line="283"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10"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9"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is a summary of cash flows for the years ended December 31, 2013 and 2014 and the nine months ended September 30, 2014 and 2015 (in thousands):</w:t>
      </w:r>
    </w:p>
    <w:p>
      <w:pPr>
        <w:spacing w:after="0" w:line="19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Years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5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60"/>
              <w:spacing w:after="0" w:line="132"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10,344</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6"/>
                <w:szCs w:val="16"/>
                <w:color w:val="auto"/>
              </w:rPr>
            </w:pPr>
          </w:p>
        </w:tc>
      </w:tr>
      <w:tr>
        <w:trPr>
          <w:trHeight w:val="186"/>
        </w:trPr>
        <w:tc>
          <w:tcPr>
            <w:tcW w:w="5660" w:type="dxa"/>
            <w:vAlign w:val="bottom"/>
          </w:tcPr>
          <w:p>
            <w:pPr>
              <w:ind w:left="16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(7,661)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(11,630)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(14,823)</w:t>
            </w:r>
          </w:p>
        </w:tc>
      </w:tr>
      <w:tr>
        <w:trPr>
          <w:trHeight w:val="186"/>
        </w:trPr>
        <w:tc>
          <w:tcPr>
            <w:tcW w:w="5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provided by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(1,770)</w:t>
            </w:r>
          </w:p>
        </w:tc>
      </w:tr>
      <w:tr>
        <w:trPr>
          <w:trHeight w:val="186"/>
        </w:trPr>
        <w:tc>
          <w:tcPr>
            <w:tcW w:w="5660" w:type="dxa"/>
            <w:vAlign w:val="bottom"/>
          </w:tcPr>
          <w:p>
            <w:pPr>
              <w:ind w:left="160"/>
              <w:spacing w:after="0"/>
              <w:rPr>
                <w:sz w:val="20"/>
                <w:szCs w:val="20"/>
                <w:color w:val="auto"/>
              </w:rPr>
            </w:pPr>
            <w:r>
              <w:rPr>
                <w:rFonts w:ascii="Arial" w:cs="Arial" w:eastAsia="Arial" w:hAnsi="Arial"/>
                <w:sz w:val="15"/>
                <w:szCs w:val="15"/>
                <w:color w:val="auto"/>
              </w:rPr>
              <w:t>Net cash provided by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24,751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38,220</w:t>
            </w:r>
          </w:p>
        </w:tc>
        <w:tc>
          <w:tcPr>
            <w:tcW w:w="140" w:type="dxa"/>
            <w:vAlign w:val="bottom"/>
          </w:tcPr>
          <w:p>
            <w:pPr>
              <w:spacing w:after="0"/>
              <w:rPr>
                <w:sz w:val="16"/>
                <w:szCs w:val="16"/>
                <w:color w:val="auto"/>
              </w:rPr>
            </w:pPr>
          </w:p>
        </w:tc>
      </w:tr>
      <w:tr>
        <w:trPr>
          <w:trHeight w:val="186"/>
        </w:trPr>
        <w:tc>
          <w:tcPr>
            <w:tcW w:w="5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(705)</w:t>
            </w:r>
          </w:p>
        </w:tc>
      </w:tr>
      <w:tr>
        <w:trPr>
          <w:trHeight w:val="177"/>
        </w:trPr>
        <w:tc>
          <w:tcPr>
            <w:tcW w:w="5660" w:type="dxa"/>
            <w:vAlign w:val="bottom"/>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20,056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37,514</w:t>
            </w:r>
          </w:p>
        </w:tc>
        <w:tc>
          <w:tcPr>
            <w:tcW w:w="140" w:type="dxa"/>
            <w:vAlign w:val="bottom"/>
          </w:tcPr>
          <w:p>
            <w:pPr>
              <w:spacing w:after="0"/>
              <w:rPr>
                <w:sz w:val="15"/>
                <w:szCs w:val="15"/>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Net cash used in operating activities was $11.6 million during the nine months ended September 30, 2014, as compared to $14.8 million during the nine months ended September 30, 2015. The increase in cash used in operating activities of $3.2 million was primarily related to expenses associated with the initiation of the preclinical GLP toxicology and clinical trials for SEL-212, including the manufacturing costs for the clinical supplies, and a payment against the contingent grants payable for the termination and settlement of the agreement with the Russian Ministry of Industry and Trade,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Minpromtorg. See Note 12 to our consolidated financial statements included elsewhere in this prospectus for a more detailed explanation of the Minpromtorg agreement.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operating activities was $7.7 million for the year ended December 31, 2013, as compared to $12.7 million for the year ended December 31, 2014. The increase of</w:t>
      </w:r>
    </w:p>
    <w:p>
      <w:pPr>
        <w:spacing w:after="0" w:line="29"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$5.0 million in cash used in operating activities during the year ended December 31, 2014, was primarily related to $2.9 million of revenue recognized out of the deferred revenue balance, an increase in restricted cash of $1.8 million related to funds held as security deposit by Selecta RUS as required by the Minpromtorg agreement, and a reduction of receivables of $2.5 million related to a Sanofi milestone that was paid in 2013, offset by a decrease in net loss of $2.3 million.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(used in) investing activities</w:t>
      </w:r>
    </w:p>
    <w:p>
      <w:pPr>
        <w:spacing w:after="0" w:line="195" w:lineRule="exact"/>
        <w:rPr>
          <w:sz w:val="20"/>
          <w:szCs w:val="20"/>
          <w:color w:val="auto"/>
        </w:rPr>
      </w:pPr>
    </w:p>
    <w:p>
      <w:pPr>
        <w:ind w:right="320"/>
        <w:spacing w:after="0" w:line="266" w:lineRule="auto"/>
        <w:rPr>
          <w:sz w:val="20"/>
          <w:szCs w:val="20"/>
          <w:color w:val="auto"/>
        </w:rPr>
      </w:pPr>
      <w:r>
        <w:rPr>
          <w:rFonts w:ascii="Arial" w:cs="Arial" w:eastAsia="Arial" w:hAnsi="Arial"/>
          <w:sz w:val="15"/>
          <w:szCs w:val="15"/>
          <w:color w:val="auto"/>
        </w:rPr>
        <w:t>Net cash used in investing activities was $1.8 million for the nine months ended September 30, 2015, as compared to net cash used in investing activities of $0.2 million during the nine months ended September 30, 2014. The change in the cash used in investing activities during the nine months ended September 30, 2015 was primarily due to our increase in short term investments in Russian banks with the funds received from the issuance of our Series SRN redeemable convertible preferred stock, or Series SRN Preferred Stock, and the purchase of property and equipment.</w:t>
      </w:r>
    </w:p>
    <w:p>
      <w:pPr>
        <w:spacing w:after="0" w:line="16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Net cash provided by investing activities was $2.5 million for the year ended December 31, 2013, as compared to net cash used in investing activities of $0.2 million for the year ended December 31, 2014. The decrease was primarily due to maturities of our marketable securities in 2013 of $3.0 million offset by the purchase of property and equipment of $0.5 million in 2013 and purchases of property and equipment of $0.2 million in 2014.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195" w:lineRule="exact"/>
        <w:rPr>
          <w:sz w:val="20"/>
          <w:szCs w:val="20"/>
          <w:color w:val="auto"/>
        </w:rPr>
      </w:pPr>
    </w:p>
    <w:p>
      <w:pPr>
        <w:jc w:val="both"/>
        <w:ind w:right="260"/>
        <w:spacing w:after="0" w:line="266" w:lineRule="auto"/>
        <w:rPr>
          <w:sz w:val="20"/>
          <w:szCs w:val="20"/>
          <w:color w:val="auto"/>
        </w:rPr>
      </w:pPr>
      <w:r>
        <w:rPr>
          <w:rFonts w:ascii="Arial" w:cs="Arial" w:eastAsia="Arial" w:hAnsi="Arial"/>
          <w:sz w:val="15"/>
          <w:szCs w:val="15"/>
          <w:color w:val="auto"/>
        </w:rPr>
        <w:t>Net cash provided by financing activities was $38.2 million during the nine months ended September 30, 2015, primarily reflecting cash received from the issuance of Series E Preferred Stock for net proceeds of $39.8 million, offset by loan principle payments. The net cash provided from financing activities of $24.8 million during the nine months ended September 30, 2014 primarily reflected the issuance of Series D Preferred Stock and Series SRN Preferred Stock for net proceeds of $20.1 million and additional borrowing under our credit facility of $4.5 million.</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Net cash provided by financing activities during the year ended December 31, 2013 was $3.0 million primarily reflecting borrowings under our credit facility. The net cash provided by financing activities during the year ended December 31, 2014 was $24.8 million primarily reflecting cash from the issuance of Series D Preferred Stock and Series SRN Preferred Stock for net proceeds of $20.1 million and additional borrowings of $4.5 million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220"/>
        <w:spacing w:after="0" w:line="298"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September 30, 2015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r>
      <w:tr>
        <w:trPr>
          <w:trHeight w:val="149"/>
        </w:trPr>
        <w:tc>
          <w:tcPr>
            <w:tcW w:w="498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5 years</w:t>
            </w:r>
          </w:p>
        </w:tc>
      </w:tr>
      <w:tr>
        <w:trPr>
          <w:trHeight w:val="177"/>
        </w:trPr>
        <w:tc>
          <w:tcPr>
            <w:tcW w:w="20" w:type="dxa"/>
            <w:vAlign w:val="bottom"/>
          </w:tcPr>
          <w:p>
            <w:pPr>
              <w:spacing w:after="0"/>
              <w:rPr>
                <w:sz w:val="15"/>
                <w:szCs w:val="15"/>
                <w:color w:val="auto"/>
              </w:rPr>
            </w:pPr>
          </w:p>
        </w:tc>
        <w:tc>
          <w:tcPr>
            <w:tcW w:w="4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1,165</w:t>
            </w:r>
          </w:p>
        </w:tc>
        <w:tc>
          <w:tcPr>
            <w:tcW w:w="4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460" w:type="dxa"/>
            <w:vAlign w:val="bottom"/>
            <w:tcBorders>
              <w:top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License obligations(2)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r>
      <w:tr>
        <w:trPr>
          <w:trHeight w:val="177"/>
        </w:trPr>
        <w:tc>
          <w:tcPr>
            <w:tcW w:w="498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8,871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4,544</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4,207</w:t>
            </w:r>
          </w:p>
        </w:tc>
        <w:tc>
          <w:tcPr>
            <w:tcW w:w="1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580" w:hanging="463"/>
        <w:spacing w:after="0" w:line="334" w:lineRule="auto"/>
        <w:tabs>
          <w:tab w:leader="none" w:pos="16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Represents future minimum lease payments under non-cancellable operating leases in effect as of September 30, 2015, including the remaining lease payments for our current facilities in Watertown, Massachusetts. The minimum lease payments above do not include common area maintenance charges, real estate taxes or any sublease payments we receive.</w:t>
      </w:r>
    </w:p>
    <w:p>
      <w:pPr>
        <w:spacing w:after="0" w:line="51" w:lineRule="exact"/>
        <w:rPr>
          <w:rFonts w:ascii="Arial" w:cs="Arial" w:eastAsia="Arial" w:hAnsi="Arial"/>
          <w:sz w:val="10"/>
          <w:szCs w:val="10"/>
          <w:color w:val="auto"/>
        </w:rPr>
      </w:pPr>
    </w:p>
    <w:p>
      <w:pPr>
        <w:ind w:left="1600" w:hanging="463"/>
        <w:spacing w:after="0" w:line="233" w:lineRule="auto"/>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and royalty payments commence upon our commercialization of a product. For the purposes of presenting our contractual obligations under the MIT agreement, we have assumed license payments are fully offset by milestone and royalty payments in 2020.</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$7.5 million of borrowings, net of principle paydown, and no prepayments.</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See "Business—Licenses and collaborations" for additional information. The table also excludes potential payments we may be required to make under manufacturing and CRO agreements as the timing of when these payments will actually be made is uncertain and the payments are contingent upon the initiation and completion of future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140"/>
        <w:spacing w:after="0" w:line="309"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38"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policies are critical to the process of making significant judgments and estimates in the preparation of our consolidated financial statements and understanding and evaluating our reported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 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7" w:lineRule="exact"/>
        <w:rPr>
          <w:sz w:val="20"/>
          <w:szCs w:val="20"/>
          <w:color w:val="auto"/>
        </w:rPr>
      </w:pPr>
    </w:p>
    <w:p>
      <w:pPr>
        <w:ind w:right="80"/>
        <w:spacing w:after="0" w:line="314" w:lineRule="auto"/>
        <w:rPr>
          <w:sz w:val="20"/>
          <w:szCs w:val="20"/>
          <w:color w:val="auto"/>
        </w:rPr>
      </w:pPr>
      <w:r>
        <w:rPr>
          <w:rFonts w:ascii="Arial" w:cs="Arial" w:eastAsia="Arial" w:hAnsi="Arial"/>
          <w:sz w:val="13"/>
          <w:szCs w:val="13"/>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we record in future periods. We have not experienced any significant adjustments to our estimates to date.</w:t>
      </w:r>
    </w:p>
    <w:p>
      <w:pPr>
        <w:spacing w:after="0" w:line="136"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1" w:name="page92"/>
    <w:bookmarkEnd w:id="9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assured. Grant agreements generally provide for the reimbursement of direct costs, including salaries, benefits and supplies, as well as indirect costs.</w:t>
      </w:r>
    </w:p>
    <w:p>
      <w:pPr>
        <w:spacing w:after="0" w:line="199"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3" w:lineRule="exact"/>
        <w:rPr>
          <w:sz w:val="20"/>
          <w:szCs w:val="20"/>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We have not experienced any significant adjustments to our estimates to date.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or ASC 718. We account for stock-based awards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99"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Nine months</w:t>
            </w:r>
          </w:p>
        </w:tc>
      </w:t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233"/>
              <w:spacing w:after="0"/>
              <w:rPr>
                <w:sz w:val="20"/>
                <w:szCs w:val="20"/>
                <w:color w:val="auto"/>
              </w:rPr>
            </w:pPr>
            <w:r>
              <w:rPr>
                <w:rFonts w:ascii="Arial" w:cs="Arial" w:eastAsia="Arial" w:hAnsi="Arial"/>
                <w:sz w:val="12"/>
                <w:szCs w:val="12"/>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60"/>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2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rPr>
              <w:t>(unaudited)</w:t>
            </w:r>
          </w:p>
        </w:tc>
      </w:tr>
      <w:tr>
        <w:trPr>
          <w:trHeight w:val="131"/>
        </w:trPr>
        <w:tc>
          <w:tcPr>
            <w:tcW w:w="20" w:type="dxa"/>
            <w:vAlign w:val="bottom"/>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4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8"/>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3"/>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w w:val="97"/>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5"/>
                <w:szCs w:val="15"/>
                <w:color w:val="auto"/>
                <w:w w:val="87"/>
              </w:rPr>
              <w:t>165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87"/>
              </w:rPr>
              <w:t>610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5"/>
                <w:szCs w:val="15"/>
                <w:color w:val="auto"/>
                <w:w w:val="87"/>
              </w:rPr>
              <w:t>775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As of September 30, 2015, we had $1.7 million of total unrecognized compensation expense, net of related forfeiture estimates, which is expected to be recognized over a weighted average remaining vesting period of approximately 2.8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3" w:name="page94"/>
    <w:bookmarkEnd w:id="9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
        <w:spacing w:after="0" w:line="283"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140" w:hanging="467"/>
        <w:spacing w:after="0" w:line="320" w:lineRule="auto"/>
        <w:tabs>
          <w:tab w:leader="none" w:pos="467"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150" w:lineRule="exact"/>
        <w:rPr>
          <w:rFonts w:ascii="Arial" w:cs="Arial" w:eastAsia="Arial" w:hAnsi="Arial"/>
          <w:sz w:val="14"/>
          <w:szCs w:val="14"/>
          <w:color w:val="auto"/>
        </w:rPr>
      </w:pPr>
    </w:p>
    <w:p>
      <w:pPr>
        <w:jc w:val="both"/>
        <w:ind w:left="467" w:right="20" w:hanging="467"/>
        <w:spacing w:after="0" w:line="270"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61" w:lineRule="exact"/>
        <w:rPr>
          <w:sz w:val="20"/>
          <w:szCs w:val="20"/>
          <w:color w:val="auto"/>
        </w:rPr>
      </w:pPr>
    </w:p>
    <w:p>
      <w:pPr>
        <w:ind w:left="7"/>
        <w:spacing w:after="0" w:line="291"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120"/>
        <w:spacing w:after="0" w:line="291" w:lineRule="auto"/>
        <w:rPr>
          <w:sz w:val="20"/>
          <w:szCs w:val="20"/>
          <w:color w:val="auto"/>
        </w:rPr>
      </w:pPr>
      <w:r>
        <w:rPr>
          <w:rFonts w:ascii="Arial" w:cs="Arial" w:eastAsia="Arial" w:hAnsi="Arial"/>
          <w:sz w:val="14"/>
          <w:szCs w:val="14"/>
          <w:color w:val="auto"/>
        </w:rPr>
        <w:t>We obtained valuations of our common stock in February 2014, November 2014, and September 2015.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48" w:lineRule="exact"/>
        <w:rPr>
          <w:sz w:val="20"/>
          <w:szCs w:val="20"/>
          <w:color w:val="auto"/>
        </w:rPr>
      </w:pPr>
    </w:p>
    <w:p>
      <w:pPr>
        <w:ind w:left="7" w:right="100"/>
        <w:spacing w:after="0" w:line="262"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 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67"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We performed these valuations, with the assistance of a third-party valuation specialist, in February 2014, November 2014 and September 2015. The resulting estimated fair value of our common stock as of September 2015 was $1.64, November 2014 was $2.40, and February 2014 was $2.30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most recent preferred stock financing.</w:t>
      </w:r>
    </w:p>
    <w:p>
      <w:pPr>
        <w:spacing w:after="0" w:line="165" w:lineRule="exact"/>
        <w:rPr>
          <w:sz w:val="20"/>
          <w:szCs w:val="20"/>
          <w:color w:val="auto"/>
        </w:rPr>
      </w:pPr>
    </w:p>
    <w:p>
      <w:pPr>
        <w:ind w:right="440"/>
        <w:spacing w:after="0" w:line="320"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Exercise price</w:t>
            </w:r>
          </w:p>
        </w:tc>
        <w:tc>
          <w:tcPr>
            <w:tcW w:w="110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60" w:type="dxa"/>
            <w:vAlign w:val="bottom"/>
          </w:tcPr>
          <w:p>
            <w:pPr>
              <w:spacing w:after="0"/>
              <w:rPr>
                <w:sz w:val="12"/>
                <w:szCs w:val="12"/>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per share on</w:t>
            </w: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08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9"/>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60" w:type="dxa"/>
            <w:vAlign w:val="bottom"/>
          </w:tcPr>
          <w:p>
            <w:pPr>
              <w:spacing w:after="0"/>
              <w:rPr>
                <w:sz w:val="14"/>
                <w:szCs w:val="14"/>
                <w:color w:val="auto"/>
              </w:rPr>
            </w:pPr>
          </w:p>
        </w:tc>
        <w:tc>
          <w:tcPr>
            <w:tcW w:w="940" w:type="dxa"/>
            <w:vAlign w:val="bottom"/>
          </w:tcPr>
          <w:p>
            <w:pPr>
              <w:jc w:val="center"/>
              <w:ind w:right="10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80,000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225,000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1.83</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1.64</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0.97</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1,668,000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40" w:hanging="463"/>
        <w:spacing w:after="0" w:line="239"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or November 30, 2014, as applicable.</w:t>
      </w:r>
    </w:p>
    <w:p>
      <w:pPr>
        <w:spacing w:after="0" w:line="96" w:lineRule="exact"/>
        <w:rPr>
          <w:rFonts w:ascii="Arial" w:cs="Arial" w:eastAsia="Arial" w:hAnsi="Arial"/>
          <w:sz w:val="12"/>
          <w:szCs w:val="12"/>
          <w:color w:val="auto"/>
        </w:rPr>
      </w:pPr>
    </w:p>
    <w:p>
      <w:pPr>
        <w:ind w:left="1600" w:right="380" w:hanging="463"/>
        <w:spacing w:after="0" w:line="233"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As described below, the fair value of common stock at the date of these grants was adjusted to recognize the decline in the per share valuation for the period between the November 30, 2014 and the September 30, 2015 contemporaneous valuations. The adjustments are made based on a reassessment of the events occurring between the two valuations, such as the value paid for the most recent venture funding, and the determination of the time in which the pricing of the funding would be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5" w:name="page96"/>
    <w:bookmarkEnd w:id="9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spacing w:after="0" w:line="263" w:lineRule="auto"/>
        <w:rPr>
          <w:sz w:val="20"/>
          <w:szCs w:val="20"/>
          <w:color w:val="auto"/>
        </w:rPr>
      </w:pPr>
      <w:r>
        <w:rPr>
          <w:rFonts w:ascii="Arial" w:cs="Arial" w:eastAsia="Arial" w:hAnsi="Arial"/>
          <w:sz w:val="15"/>
          <w:szCs w:val="15"/>
          <w:color w:val="auto"/>
        </w:rPr>
        <w:t>In the course of preparing for this offering, on September 30, 2015, we performed a fair value assessment and concluded that the fair value of our common stock underlying the stock options we granted between April 2014 and September 2015 was between $1.64 and $2.40 per share for accounting purposes. These reassessed values, which we applied to determine the fair values of the option grants in determining the stock-based compensation expense for accounting purposes, were based in part upon the valuation of our common stock as of September 30, 2015, performed with the assistance of a third-party specialist, taking into account an increased probability of executing a successful IPO during the first half of 2016, the recent IPO valuations for early-stage biotechnology companies and an increased probability of a successful result in our Phase 1/2 clinical trials of SEL-212. These revised common stock valuations were performed using the PWERM method noted above.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consultation with the underwriters for this offering, we determined the estimated price range for this offering, as set forth on the cover page of this prospectus. The midpoint of the price</w:t>
      </w:r>
    </w:p>
    <w:p>
      <w:pPr>
        <w:spacing w:after="0" w:line="41" w:lineRule="exact"/>
        <w:rPr>
          <w:sz w:val="20"/>
          <w:szCs w:val="20"/>
          <w:color w:val="auto"/>
        </w:rPr>
      </w:pPr>
    </w:p>
    <w:p>
      <w:pPr>
        <w:jc w:val="both"/>
        <w:ind w:left="7"/>
        <w:spacing w:after="0" w:line="267" w:lineRule="auto"/>
        <w:rPr>
          <w:sz w:val="20"/>
          <w:szCs w:val="20"/>
          <w:color w:val="auto"/>
        </w:rPr>
      </w:pPr>
      <w:r>
        <w:rPr>
          <w:rFonts w:ascii="Arial" w:cs="Arial" w:eastAsia="Arial" w:hAnsi="Arial"/>
          <w:sz w:val="15"/>
          <w:szCs w:val="15"/>
          <w:color w:val="auto"/>
        </w:rPr>
        <w:t>range is $ per share. In comparison, our estimate of the fair value of our common stock was $ per share as of the valuation. We note that, as is typical with IPOs, the estimated price range for this offering was not derived using a formal determination of fair value, but was determined by negotiation between us and the underwriters. Among the factors that were considered in setting this range were the following:</w:t>
      </w:r>
    </w:p>
    <w:p>
      <w:pPr>
        <w:spacing w:after="0" w:line="174" w:lineRule="exact"/>
        <w:rPr>
          <w:sz w:val="20"/>
          <w:szCs w:val="20"/>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9" w:lineRule="exact"/>
        <w:rPr>
          <w:sz w:val="20"/>
          <w:szCs w:val="20"/>
          <w:color w:val="auto"/>
        </w:rPr>
      </w:pPr>
    </w:p>
    <w:p>
      <w:pPr>
        <w:ind w:left="7" w:right="100"/>
        <w:spacing w:after="0" w:line="280" w:lineRule="auto"/>
        <w:rPr>
          <w:sz w:val="20"/>
          <w:szCs w:val="20"/>
          <w:color w:val="auto"/>
        </w:rPr>
      </w:pPr>
      <w:r>
        <w:rPr>
          <w:rFonts w:ascii="Arial" w:cs="Arial" w:eastAsia="Arial" w:hAnsi="Arial"/>
          <w:sz w:val="14"/>
          <w:szCs w:val="14"/>
          <w:color w:val="auto"/>
        </w:rPr>
        <w:t>We believe that the difference between the fair value of our common stock as of and the midpoint of the price range for this offering is the result of these factors as well as the fact that the estimated IPO price range necessarily assumes that the IPO has occurred, a public market for our common stock has been created and that our preferred stock converted into</w:t>
      </w:r>
    </w:p>
    <w:p>
      <w:pPr>
        <w:ind w:left="7"/>
        <w:spacing w:after="0"/>
        <w:tabs>
          <w:tab w:leader="none" w:pos="10187" w:val="left"/>
        </w:tabs>
        <w:rPr>
          <w:sz w:val="20"/>
          <w:szCs w:val="20"/>
          <w:color w:val="auto"/>
        </w:rPr>
      </w:pPr>
      <w:r>
        <w:rPr>
          <w:rFonts w:ascii="Arial" w:cs="Arial" w:eastAsia="Arial" w:hAnsi="Arial"/>
          <w:sz w:val="15"/>
          <w:szCs w:val="15"/>
          <w:color w:val="auto"/>
        </w:rPr>
        <w:t>common stock in connection with the IPO, and therefore excludes any discount for lack of marketability of our common stock, which was factored into the</w:t>
      </w:r>
      <w:r>
        <w:rPr>
          <w:sz w:val="20"/>
          <w:szCs w:val="20"/>
          <w:color w:val="auto"/>
        </w:rPr>
        <w:tab/>
      </w:r>
      <w:r>
        <w:rPr>
          <w:rFonts w:ascii="Arial" w:cs="Arial" w:eastAsia="Arial" w:hAnsi="Arial"/>
          <w:sz w:val="14"/>
          <w:szCs w:val="14"/>
          <w:color w:val="auto"/>
        </w:rPr>
        <w:t>valuation.</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We granted warrants to purchase shares of our Series D Preferred Stock to the lenders under our loan and security agreement dated August 9, 2013.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65" w:lineRule="exact"/>
        <w:rPr>
          <w:sz w:val="20"/>
          <w:szCs w:val="20"/>
          <w:color w:val="auto"/>
        </w:rPr>
      </w:pPr>
    </w:p>
    <w:p>
      <w:pPr>
        <w:ind w:left="7" w:right="320"/>
        <w:spacing w:after="0" w:line="283" w:lineRule="auto"/>
        <w:rPr>
          <w:sz w:val="20"/>
          <w:szCs w:val="20"/>
          <w:color w:val="auto"/>
        </w:rPr>
      </w:pPr>
      <w:r>
        <w:rPr>
          <w:rFonts w:ascii="Arial" w:cs="Arial" w:eastAsia="Arial" w:hAnsi="Arial"/>
          <w:sz w:val="15"/>
          <w:szCs w:val="15"/>
          <w:color w:val="auto"/>
        </w:rPr>
        <w:t>The fair value of the warrants are estimated using Black-Sholes, which incorporates assumptions and estimates to value these warrants. We assess these assumptions and estimates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based on information available to us on each valuation date. Such assumptions and estimates include: the fair value per share of the underlying Series D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 stock instead of preferred stock and the fair value of the warrant liability will be reclassified to additional paid-in capital at that time.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As of December 31, 2014, we had net operating loss carryforwards, or NOLs, for federal and state income tax purposes of $58.3 million and $52.4 million, respectively, which expire at various times through 2034.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2034. At December 31, 2014, we had available federal and state research and development income tax credits of approximately $1.3 million and $0.9 million respectively, which may be available to reduce future income taxes, if any, at various times through 2034.</w:t>
      </w:r>
    </w:p>
    <w:p>
      <w:pPr>
        <w:spacing w:after="0" w:line="165" w:lineRule="exact"/>
        <w:rPr>
          <w:sz w:val="20"/>
          <w:szCs w:val="20"/>
          <w:color w:val="auto"/>
        </w:rPr>
      </w:pPr>
    </w:p>
    <w:p>
      <w:pPr>
        <w:ind w:right="180"/>
        <w:spacing w:after="0" w:line="309"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 xml:space="preserve">In May 2014, FASB issued Accounting Standards Update, or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52"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September 30, 2015, we had cash equivalents of $37.5 million,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As of September 30, 2015 the exchange rate was 66.2 rubles per U.S. dollar. As of September 30, 2015, we held $4.8 million in Russian banks to support our Russian subsidiary, of which $3.6 million was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w:t>
      </w:r>
    </w:p>
    <w:p>
      <w:pPr>
        <w:spacing w:after="0" w:line="141"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53"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Krystexxa-induced normalization of uric acid levels. Similarly, a 2011 study published in The Journal of the American Medical Association found that 58% of Krystexxa patients were non-responders.</w:t>
      </w:r>
    </w:p>
    <w:p>
      <w:pPr>
        <w:spacing w:after="0" w:line="153"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SEL-212 consists of SVP-Rapamycin co-administered with pegsiticase, our proprietary pegylated uricase, for the treatment of refractory and tophaceous gout. SVP-Rapamycin uses our SVP 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We believe that SEL-212 has the potential to offer a uniquely effective treatment for patients with refractory or tophaceous gout, while also demonstrating the clinical effectiveness of our SVP technology. Approximately 8.3 million patients in the United States suffer from gout, which is caused by elevated levels of serum uric acid. Excessive uric acid levels result in harmful uric acid deposits in joints and tissues, causing joint damage and painful inflammation. Approximately 50,000 patients in the United States have been diagnosed with chronic refractory gout, an orphan indication defined as uric acid levels that cannot be controlled by available oral therapies. In addition, approximately 200,000 patients in the United States suffer from tophaceous gout, in which patients develop nodular masses of uric acid crystals referred to as tophi, typically in the joints of fingers, toes or elbows. Tophi are a source of inflammation and pain and can cause joint and organ damage. There is no approved drug for tophaceous gout.</w:t>
      </w:r>
    </w:p>
    <w:p>
      <w:pPr>
        <w:spacing w:after="0" w:line="153"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We are also applying our SVP technology to antigen-specific immune tolerance to gene therapy. Gene therapy is a promising area that often uses an adeno-associated virus, or AAV, delivery mechanism to insert corrective genetic material into cells to treat genetic diseases. In clinical trials, AAV vectors have been observed to induce undesired immunogenicity, which we believe can limit the durability of the efficacy of the first dose of gene therapy and significantly reduce the efficacy of any subsequent dose of the gene therapy. Based on our preclinical data, we believe that SVP-Rapamycin has the potential to enable repeat dosing of AAV-based gene therapies via system-wide, or systemic, routes of administration and mitigate immune system response to the treated cells. We believe that many gene therapy applications may require multiple doses, especially therapies designed to treat non-localized diseases by intravenous administration. Many of these rare genetic deficiencies are best treated when patients are infants or small children, to prevent developmental defects. However, the need for repeat dosing may be greater in pediatric patients due to higher cell turnover as the patient grows. We believe a solution that enables repeat dosing for gene therapies would significantly expand the number of diseases that could be treated by these therapies. We have a collaboration with Genethon to develop an AAV-based gene therapy to mitigate the formation of ADAs to enable repeated administration. Pursuant to this collaboration, we have obtained preclinical proof-of-concept for the mitigation of inhibitory ADAs to AAV-based gene therapy.</w:t>
      </w:r>
    </w:p>
    <w:p>
      <w:pPr>
        <w:spacing w:after="0" w:line="141"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 out-licensing our SVP technology for antigen-specific immune tolerance for applications that are outside our areas of focus.</w:t>
      </w:r>
    </w:p>
    <w:p>
      <w:pPr>
        <w:spacing w:after="0" w:line="170" w:lineRule="exact"/>
        <w:rPr>
          <w:sz w:val="20"/>
          <w:szCs w:val="20"/>
          <w:color w:val="auto"/>
        </w:rPr>
      </w:pPr>
    </w:p>
    <w:p>
      <w:pPr>
        <w:jc w:val="both"/>
        <w:ind w:right="120"/>
        <w:spacing w:after="0" w:line="298" w:lineRule="auto"/>
        <w:rPr>
          <w:sz w:val="20"/>
          <w:szCs w:val="20"/>
          <w:color w:val="auto"/>
        </w:rPr>
      </w:pPr>
      <w:r>
        <w:rPr>
          <w:rFonts w:ascii="Arial" w:cs="Arial" w:eastAsia="Arial" w:hAnsi="Arial"/>
          <w:sz w:val="14"/>
          <w:szCs w:val="14"/>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stimulate the immune system in response to a specific antigen. To date, these programs have been primarily financed through grants.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chart summarizes our current SVP product pipeline:</w:t>
      </w:r>
    </w:p>
    <w:p>
      <w:pPr>
        <w:spacing w:after="0" w:line="196"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20" w:type="dxa"/>
            <w:vAlign w:val="bottom"/>
            <w:tcBorders>
              <w:bottom w:val="single" w:sz="8" w:color="auto"/>
            </w:tcBorders>
          </w:tcPr>
          <w:p>
            <w:pPr>
              <w:ind w:left="142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Development status</w:t>
            </w: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4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2"/>
                <w:szCs w:val="12"/>
                <w:color w:val="auto"/>
              </w:rPr>
              <w:t>Refractory and tophaceous gout (SEL-212)</w:t>
            </w:r>
          </w:p>
        </w:tc>
        <w:tc>
          <w:tcPr>
            <w:tcW w:w="3120" w:type="dxa"/>
            <w:vAlign w:val="bottom"/>
          </w:tcPr>
          <w:p>
            <w:pPr>
              <w:ind w:left="460"/>
              <w:spacing w:after="0"/>
              <w:rPr>
                <w:sz w:val="20"/>
                <w:szCs w:val="20"/>
                <w:color w:val="auto"/>
              </w:rPr>
            </w:pPr>
            <w:r>
              <w:rPr>
                <w:rFonts w:ascii="Arial" w:cs="Arial" w:eastAsia="Arial" w:hAnsi="Arial"/>
                <w:sz w:val="12"/>
                <w:szCs w:val="12"/>
                <w:color w:val="auto"/>
                <w:w w:val="99"/>
              </w:rPr>
              <w:t>SVP-Rapamycin co-administered with pegsiticase</w:t>
            </w:r>
          </w:p>
        </w:tc>
        <w:tc>
          <w:tcPr>
            <w:tcW w:w="3060" w:type="dxa"/>
            <w:vAlign w:val="bottom"/>
          </w:tcPr>
          <w:p>
            <w:pPr>
              <w:ind w:left="280"/>
              <w:spacing w:after="0"/>
              <w:rPr>
                <w:sz w:val="20"/>
                <w:szCs w:val="20"/>
                <w:color w:val="auto"/>
              </w:rPr>
            </w:pPr>
            <w:r>
              <w:rPr>
                <w:rFonts w:ascii="Arial" w:cs="Arial" w:eastAsia="Arial" w:hAnsi="Arial"/>
                <w:sz w:val="12"/>
                <w:szCs w:val="12"/>
                <w:color w:val="auto"/>
                <w:w w:val="90"/>
              </w:rPr>
              <w:t>Final data from Phase 1a and Phase 1b trials expected in</w:t>
            </w:r>
          </w:p>
        </w:tc>
        <w:tc>
          <w:tcPr>
            <w:tcW w:w="280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47"/>
        </w:trPr>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the first half of 2016</w:t>
            </w:r>
          </w:p>
        </w:tc>
        <w:tc>
          <w:tcPr>
            <w:tcW w:w="2800" w:type="dxa"/>
            <w:vAlign w:val="bottom"/>
          </w:tcPr>
          <w:p>
            <w:pPr>
              <w:spacing w:after="0"/>
              <w:rPr>
                <w:sz w:val="12"/>
                <w:szCs w:val="12"/>
                <w:color w:val="auto"/>
              </w:rPr>
            </w:pPr>
          </w:p>
        </w:tc>
      </w:tr>
      <w:tr>
        <w:trPr>
          <w:trHeight w:val="317"/>
        </w:trPr>
        <w:tc>
          <w:tcPr>
            <w:tcW w:w="2460" w:type="dxa"/>
            <w:vAlign w:val="bottom"/>
          </w:tcPr>
          <w:p>
            <w:pPr>
              <w:spacing w:after="0"/>
              <w:rPr>
                <w:sz w:val="20"/>
                <w:szCs w:val="20"/>
                <w:color w:val="auto"/>
              </w:rPr>
            </w:pPr>
            <w:r>
              <w:rPr>
                <w:rFonts w:ascii="Arial" w:cs="Arial" w:eastAsia="Arial" w:hAnsi="Arial"/>
                <w:sz w:val="12"/>
                <w:szCs w:val="12"/>
                <w:color w:val="auto"/>
              </w:rPr>
              <w:t>Gene therapy</w:t>
            </w:r>
          </w:p>
        </w:tc>
        <w:tc>
          <w:tcPr>
            <w:tcW w:w="3120" w:type="dxa"/>
            <w:vAlign w:val="bottom"/>
          </w:tcPr>
          <w:p>
            <w:pPr>
              <w:ind w:left="460"/>
              <w:spacing w:after="0"/>
              <w:rPr>
                <w:sz w:val="20"/>
                <w:szCs w:val="20"/>
                <w:color w:val="auto"/>
              </w:rPr>
            </w:pPr>
            <w:r>
              <w:rPr>
                <w:rFonts w:ascii="Arial" w:cs="Arial" w:eastAsia="Arial" w:hAnsi="Arial"/>
                <w:sz w:val="12"/>
                <w:szCs w:val="12"/>
                <w:color w:val="auto"/>
                <w:w w:val="99"/>
              </w:rPr>
              <w:t>SVP-Rapamycin co-administered with AAV vector</w:t>
            </w:r>
          </w:p>
        </w:tc>
        <w:tc>
          <w:tcPr>
            <w:tcW w:w="3060" w:type="dxa"/>
            <w:vAlign w:val="bottom"/>
          </w:tcPr>
          <w:p>
            <w:pPr>
              <w:ind w:left="280"/>
              <w:spacing w:after="0"/>
              <w:rPr>
                <w:sz w:val="20"/>
                <w:szCs w:val="20"/>
                <w:color w:val="auto"/>
              </w:rPr>
            </w:pPr>
            <w:r>
              <w:rPr>
                <w:rFonts w:ascii="Arial" w:cs="Arial" w:eastAsia="Arial" w:hAnsi="Arial"/>
                <w:sz w:val="12"/>
                <w:szCs w:val="12"/>
                <w:color w:val="auto"/>
              </w:rPr>
              <w:t>Investigational New Drug Application, or IND, filing</w:t>
            </w:r>
          </w:p>
        </w:tc>
        <w:tc>
          <w:tcPr>
            <w:tcW w:w="2800" w:type="dxa"/>
            <w:vAlign w:val="bottom"/>
          </w:tcPr>
          <w:p>
            <w:pPr>
              <w:ind w:left="180"/>
              <w:spacing w:after="0"/>
              <w:rPr>
                <w:sz w:val="20"/>
                <w:szCs w:val="20"/>
                <w:color w:val="auto"/>
              </w:rPr>
            </w:pPr>
            <w:r>
              <w:rPr>
                <w:rFonts w:ascii="Arial" w:cs="Arial" w:eastAsia="Arial" w:hAnsi="Arial"/>
                <w:sz w:val="12"/>
                <w:szCs w:val="12"/>
                <w:color w:val="auto"/>
              </w:rPr>
              <w:t>Co-development with Genethon</w:t>
            </w:r>
          </w:p>
        </w:tc>
      </w:tr>
      <w:tr>
        <w:trPr>
          <w:trHeight w:val="147"/>
        </w:trPr>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for first indication expected in mid-2017</w:t>
            </w:r>
          </w:p>
        </w:tc>
        <w:tc>
          <w:tcPr>
            <w:tcW w:w="2800" w:type="dxa"/>
            <w:vAlign w:val="bottom"/>
          </w:tcPr>
          <w:p>
            <w:pPr>
              <w:spacing w:after="0"/>
              <w:rPr>
                <w:sz w:val="12"/>
                <w:szCs w:val="12"/>
                <w:color w:val="auto"/>
              </w:rPr>
            </w:pPr>
          </w:p>
        </w:tc>
      </w:tr>
      <w:tr>
        <w:trPr>
          <w:trHeight w:val="337"/>
        </w:trPr>
        <w:tc>
          <w:tcPr>
            <w:tcW w:w="2460" w:type="dxa"/>
            <w:vAlign w:val="bottom"/>
          </w:tcPr>
          <w:p>
            <w:pPr>
              <w:spacing w:after="0"/>
              <w:rPr>
                <w:sz w:val="20"/>
                <w:szCs w:val="20"/>
                <w:color w:val="auto"/>
              </w:rPr>
            </w:pPr>
            <w:r>
              <w:rPr>
                <w:rFonts w:ascii="Arial" w:cs="Arial" w:eastAsia="Arial" w:hAnsi="Arial"/>
                <w:sz w:val="12"/>
                <w:szCs w:val="12"/>
                <w:color w:val="auto"/>
              </w:rPr>
              <w:t>Food allergy</w:t>
            </w:r>
          </w:p>
        </w:tc>
        <w:tc>
          <w:tcPr>
            <w:tcW w:w="3120" w:type="dxa"/>
            <w:vAlign w:val="bottom"/>
          </w:tcPr>
          <w:p>
            <w:pPr>
              <w:ind w:left="460"/>
              <w:spacing w:after="0"/>
              <w:rPr>
                <w:sz w:val="20"/>
                <w:szCs w:val="20"/>
                <w:color w:val="auto"/>
              </w:rPr>
            </w:pPr>
            <w:r>
              <w:rPr>
                <w:rFonts w:ascii="Arial" w:cs="Arial" w:eastAsia="Arial" w:hAnsi="Arial"/>
                <w:sz w:val="12"/>
                <w:szCs w:val="12"/>
                <w:color w:val="auto"/>
              </w:rPr>
              <w:t>SVP-adjuvant and SVP-food allergen</w:t>
            </w:r>
          </w:p>
        </w:tc>
        <w:tc>
          <w:tcPr>
            <w:tcW w:w="3060" w:type="dxa"/>
            <w:vAlign w:val="bottom"/>
          </w:tcPr>
          <w:p>
            <w:pPr>
              <w:ind w:left="280"/>
              <w:spacing w:after="0"/>
              <w:rPr>
                <w:sz w:val="20"/>
                <w:szCs w:val="20"/>
                <w:color w:val="auto"/>
              </w:rPr>
            </w:pPr>
            <w:r>
              <w:rPr>
                <w:rFonts w:ascii="Arial" w:cs="Arial" w:eastAsia="Arial" w:hAnsi="Arial"/>
                <w:sz w:val="12"/>
                <w:szCs w:val="12"/>
                <w:color w:val="auto"/>
              </w:rPr>
              <w:t>Currently in discovery</w:t>
            </w:r>
          </w:p>
        </w:tc>
        <w:tc>
          <w:tcPr>
            <w:tcW w:w="2800" w:type="dxa"/>
            <w:vAlign w:val="bottom"/>
          </w:tcPr>
          <w:p>
            <w:pPr>
              <w:ind w:left="180"/>
              <w:spacing w:after="0"/>
              <w:rPr>
                <w:sz w:val="20"/>
                <w:szCs w:val="20"/>
                <w:color w:val="auto"/>
              </w:rPr>
            </w:pPr>
            <w:r>
              <w:rPr>
                <w:rFonts w:ascii="Arial" w:cs="Arial" w:eastAsia="Arial" w:hAnsi="Arial"/>
                <w:sz w:val="12"/>
                <w:szCs w:val="12"/>
                <w:color w:val="auto"/>
              </w:rPr>
              <w:t>Sanofi worldwide exclusive license</w:t>
            </w:r>
          </w:p>
        </w:tc>
      </w:tr>
      <w:tr>
        <w:trPr>
          <w:trHeight w:val="337"/>
        </w:trPr>
        <w:tc>
          <w:tcPr>
            <w:tcW w:w="2460" w:type="dxa"/>
            <w:vAlign w:val="bottom"/>
          </w:tcPr>
          <w:p>
            <w:pPr>
              <w:spacing w:after="0"/>
              <w:rPr>
                <w:sz w:val="20"/>
                <w:szCs w:val="20"/>
                <w:color w:val="auto"/>
              </w:rPr>
            </w:pPr>
            <w:r>
              <w:rPr>
                <w:rFonts w:ascii="Arial" w:cs="Arial" w:eastAsia="Arial" w:hAnsi="Arial"/>
                <w:sz w:val="12"/>
                <w:szCs w:val="12"/>
                <w:color w:val="auto"/>
              </w:rPr>
              <w:t>Celiac disease</w:t>
            </w:r>
          </w:p>
        </w:tc>
        <w:tc>
          <w:tcPr>
            <w:tcW w:w="3120" w:type="dxa"/>
            <w:vAlign w:val="bottom"/>
          </w:tcPr>
          <w:p>
            <w:pPr>
              <w:ind w:left="460"/>
              <w:spacing w:after="0"/>
              <w:rPr>
                <w:sz w:val="20"/>
                <w:szCs w:val="20"/>
                <w:color w:val="auto"/>
              </w:rPr>
            </w:pPr>
            <w:r>
              <w:rPr>
                <w:rFonts w:ascii="Arial" w:cs="Arial" w:eastAsia="Arial" w:hAnsi="Arial"/>
                <w:sz w:val="12"/>
                <w:szCs w:val="12"/>
                <w:color w:val="auto"/>
              </w:rPr>
              <w:t>SVP-Rapamycin and SVP-gluten</w:t>
            </w:r>
          </w:p>
        </w:tc>
        <w:tc>
          <w:tcPr>
            <w:tcW w:w="3060" w:type="dxa"/>
            <w:vAlign w:val="bottom"/>
          </w:tcPr>
          <w:p>
            <w:pPr>
              <w:ind w:left="280"/>
              <w:spacing w:after="0"/>
              <w:rPr>
                <w:sz w:val="20"/>
                <w:szCs w:val="20"/>
                <w:color w:val="auto"/>
              </w:rPr>
            </w:pPr>
            <w:r>
              <w:rPr>
                <w:rFonts w:ascii="Arial" w:cs="Arial" w:eastAsia="Arial" w:hAnsi="Arial"/>
                <w:sz w:val="12"/>
                <w:szCs w:val="12"/>
                <w:color w:val="auto"/>
              </w:rPr>
              <w:t>Currently in discovery</w:t>
            </w:r>
          </w:p>
        </w:tc>
        <w:tc>
          <w:tcPr>
            <w:tcW w:w="2800" w:type="dxa"/>
            <w:vAlign w:val="bottom"/>
          </w:tcPr>
          <w:p>
            <w:pPr>
              <w:ind w:left="180"/>
              <w:spacing w:after="0"/>
              <w:rPr>
                <w:sz w:val="20"/>
                <w:szCs w:val="20"/>
                <w:color w:val="auto"/>
              </w:rPr>
            </w:pPr>
            <w:r>
              <w:rPr>
                <w:rFonts w:ascii="Arial" w:cs="Arial" w:eastAsia="Arial" w:hAnsi="Arial"/>
                <w:sz w:val="12"/>
                <w:szCs w:val="12"/>
                <w:color w:val="auto"/>
              </w:rPr>
              <w:t>Sanofi worldwide exclusive license</w:t>
            </w:r>
          </w:p>
        </w:tc>
      </w:tr>
      <w:tr>
        <w:trPr>
          <w:trHeight w:val="317"/>
        </w:trPr>
        <w:tc>
          <w:tcPr>
            <w:tcW w:w="2460" w:type="dxa"/>
            <w:vAlign w:val="bottom"/>
          </w:tcPr>
          <w:p>
            <w:pPr>
              <w:spacing w:after="0"/>
              <w:rPr>
                <w:sz w:val="20"/>
                <w:szCs w:val="20"/>
                <w:color w:val="auto"/>
              </w:rPr>
            </w:pPr>
            <w:r>
              <w:rPr>
                <w:rFonts w:ascii="Arial" w:cs="Arial" w:eastAsia="Arial" w:hAnsi="Arial"/>
                <w:sz w:val="12"/>
                <w:szCs w:val="12"/>
                <w:color w:val="auto"/>
              </w:rPr>
              <w:t>Type 1 diabetes</w:t>
            </w:r>
          </w:p>
        </w:tc>
        <w:tc>
          <w:tcPr>
            <w:tcW w:w="3120" w:type="dxa"/>
            <w:vAlign w:val="bottom"/>
          </w:tcPr>
          <w:p>
            <w:pPr>
              <w:ind w:left="460"/>
              <w:spacing w:after="0"/>
              <w:rPr>
                <w:sz w:val="20"/>
                <w:szCs w:val="20"/>
                <w:color w:val="auto"/>
              </w:rPr>
            </w:pPr>
            <w:r>
              <w:rPr>
                <w:rFonts w:ascii="Arial" w:cs="Arial" w:eastAsia="Arial" w:hAnsi="Arial"/>
                <w:sz w:val="12"/>
                <w:szCs w:val="12"/>
                <w:color w:val="auto"/>
              </w:rPr>
              <w:t>SVP-Rapamycin and SVP-insulin</w:t>
            </w:r>
          </w:p>
        </w:tc>
        <w:tc>
          <w:tcPr>
            <w:tcW w:w="3060" w:type="dxa"/>
            <w:vAlign w:val="bottom"/>
          </w:tcPr>
          <w:p>
            <w:pPr>
              <w:ind w:left="280"/>
              <w:spacing w:after="0"/>
              <w:rPr>
                <w:sz w:val="20"/>
                <w:szCs w:val="20"/>
                <w:color w:val="auto"/>
              </w:rPr>
            </w:pPr>
            <w:r>
              <w:rPr>
                <w:rFonts w:ascii="Arial" w:cs="Arial" w:eastAsia="Arial" w:hAnsi="Arial"/>
                <w:sz w:val="12"/>
                <w:szCs w:val="12"/>
                <w:color w:val="auto"/>
              </w:rPr>
              <w:t>Currently in discovery</w:t>
            </w:r>
          </w:p>
        </w:tc>
        <w:tc>
          <w:tcPr>
            <w:tcW w:w="2800" w:type="dxa"/>
            <w:vAlign w:val="bottom"/>
          </w:tcPr>
          <w:p>
            <w:pPr>
              <w:ind w:left="180"/>
              <w:spacing w:after="0"/>
              <w:rPr>
                <w:sz w:val="20"/>
                <w:szCs w:val="20"/>
                <w:color w:val="auto"/>
              </w:rPr>
            </w:pPr>
            <w:r>
              <w:rPr>
                <w:rFonts w:ascii="Arial" w:cs="Arial" w:eastAsia="Arial" w:hAnsi="Arial"/>
                <w:sz w:val="12"/>
                <w:szCs w:val="12"/>
                <w:color w:val="auto"/>
                <w:w w:val="89"/>
              </w:rPr>
              <w:t>Sanofi and Juvenile Diabetes Research Foundation, or</w:t>
            </w:r>
          </w:p>
        </w:tc>
      </w:tr>
      <w:tr>
        <w:trPr>
          <w:trHeight w:val="147"/>
        </w:trPr>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ind w:left="180"/>
              <w:spacing w:after="0"/>
              <w:rPr>
                <w:sz w:val="20"/>
                <w:szCs w:val="20"/>
                <w:color w:val="auto"/>
              </w:rPr>
            </w:pPr>
            <w:r>
              <w:rPr>
                <w:rFonts w:ascii="Arial" w:cs="Arial" w:eastAsia="Arial" w:hAnsi="Arial"/>
                <w:sz w:val="12"/>
                <w:szCs w:val="12"/>
                <w:color w:val="auto"/>
              </w:rPr>
              <w:t>JDRF, sponsored research program</w:t>
            </w:r>
          </w:p>
        </w:tc>
      </w:tr>
      <w:tr>
        <w:trPr>
          <w:trHeight w:val="337"/>
        </w:trPr>
        <w:tc>
          <w:tcPr>
            <w:tcW w:w="24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89" w:lineRule="exact"/>
        <w:rPr>
          <w:sz w:val="20"/>
          <w:szCs w:val="20"/>
          <w:color w:val="auto"/>
        </w:rPr>
      </w:pPr>
    </w:p>
    <w:p>
      <w:pPr>
        <w:sectPr>
          <w:pgSz w:w="11900" w:h="16838" w:orient="portrait"/>
          <w:cols w:equalWidth="0" w:num="1">
            <w:col w:w="11447"/>
          </w:cols>
          <w:pgMar w:left="233" w:top="132" w:right="219" w:bottom="1440" w:gutter="0" w:footer="0" w:header="0"/>
        </w:sectPr>
      </w:pPr>
    </w:p>
    <w:p>
      <w:pPr>
        <w:ind w:left="7"/>
        <w:spacing w:after="0"/>
        <w:tabs>
          <w:tab w:leader="none" w:pos="2907" w:val="left"/>
          <w:tab w:leader="none" w:pos="5847"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Currently in preclinical studies; good laboratory</w:t>
      </w:r>
    </w:p>
    <w:p>
      <w:pPr>
        <w:ind w:left="5867"/>
        <w:spacing w:after="0"/>
        <w:rPr>
          <w:sz w:val="20"/>
          <w:szCs w:val="20"/>
          <w:color w:val="auto"/>
        </w:rPr>
      </w:pPr>
      <w:r>
        <w:rPr>
          <w:rFonts w:ascii="Arial" w:cs="Arial" w:eastAsia="Arial" w:hAnsi="Arial"/>
          <w:sz w:val="10"/>
          <w:szCs w:val="10"/>
          <w:color w:val="auto"/>
        </w:rPr>
        <w:t>practice, or GLP, toxicology studies expected in the first</w:t>
      </w:r>
    </w:p>
    <w:p>
      <w:pPr>
        <w:spacing w:after="0" w:line="12" w:lineRule="exact"/>
        <w:rPr>
          <w:sz w:val="20"/>
          <w:szCs w:val="20"/>
          <w:color w:val="auto"/>
        </w:rPr>
      </w:pPr>
    </w:p>
    <w:p>
      <w:pPr>
        <w:ind w:left="5867"/>
        <w:spacing w:after="0"/>
        <w:rPr>
          <w:sz w:val="20"/>
          <w:szCs w:val="20"/>
          <w:color w:val="auto"/>
        </w:rPr>
      </w:pPr>
      <w:r>
        <w:rPr>
          <w:rFonts w:ascii="Arial" w:cs="Arial" w:eastAsia="Arial" w:hAnsi="Arial"/>
          <w:sz w:val="12"/>
          <w:szCs w:val="12"/>
          <w:color w:val="auto"/>
        </w:rPr>
        <w:t>half of 2016</w:t>
      </w:r>
    </w:p>
    <w:p>
      <w:pPr>
        <w:spacing w:after="0" w:line="189" w:lineRule="exact"/>
        <w:rPr>
          <w:sz w:val="20"/>
          <w:szCs w:val="20"/>
          <w:color w:val="auto"/>
        </w:rPr>
      </w:pPr>
    </w:p>
    <w:p>
      <w:pPr>
        <w:ind w:left="7"/>
        <w:spacing w:after="0"/>
        <w:tabs>
          <w:tab w:leader="none" w:pos="2907" w:val="left"/>
          <w:tab w:leader="none" w:pos="5847"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Currently in discovery</w:t>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317" w:lineRule="exact"/>
        <w:rPr>
          <w:sz w:val="20"/>
          <w:szCs w:val="20"/>
          <w:color w:val="auto"/>
        </w:rPr>
      </w:pPr>
    </w:p>
    <w:p>
      <w:pPr>
        <w:ind w:right="6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190" w:lineRule="exact"/>
        <w:rPr>
          <w:sz w:val="20"/>
          <w:szCs w:val="20"/>
          <w:color w:val="auto"/>
        </w:rPr>
      </w:pPr>
    </w:p>
    <w:p>
      <w:pPr>
        <w:sectPr>
          <w:pgSz w:w="11900" w:h="16838" w:orient="portrait"/>
          <w:cols w:equalWidth="0" w:num="2">
            <w:col w:w="8487" w:space="340"/>
            <w:col w:w="2620"/>
          </w:cols>
          <w:pgMar w:left="233" w:top="132" w:right="219" w:bottom="1440" w:gutter="0" w:footer="0" w:header="0"/>
          <w:type w:val="continuous"/>
        </w:sectPr>
      </w:pPr>
    </w:p>
    <w:p>
      <w:pPr>
        <w:ind w:left="7"/>
        <w:spacing w:after="0"/>
        <w:tabs>
          <w:tab w:leader="none" w:pos="2907" w:val="left"/>
          <w:tab w:leader="none" w:pos="5847" w:val="left"/>
          <w:tab w:leader="none" w:pos="8807" w:val="left"/>
        </w:tabs>
        <w:rPr>
          <w:sz w:val="20"/>
          <w:szCs w:val="20"/>
          <w:color w:val="auto"/>
        </w:rPr>
      </w:pPr>
      <w:r>
        <w:rPr>
          <w:rFonts w:ascii="Arial" w:cs="Arial" w:eastAsia="Arial" w:hAnsi="Arial"/>
          <w:sz w:val="12"/>
          <w:szCs w:val="12"/>
          <w:color w:val="auto"/>
        </w:rPr>
        <w:t>Malaria</w:t>
      </w:r>
      <w:r>
        <w:rPr>
          <w:sz w:val="20"/>
          <w:szCs w:val="20"/>
          <w:color w:val="auto"/>
        </w:rPr>
        <w:tab/>
      </w:r>
      <w:r>
        <w:rPr>
          <w:rFonts w:ascii="Arial" w:cs="Arial" w:eastAsia="Arial" w:hAnsi="Arial"/>
          <w:sz w:val="12"/>
          <w:szCs w:val="12"/>
          <w:color w:val="auto"/>
        </w:rPr>
        <w:t>SVP-adjuvant and SVP-malaria antigen</w:t>
      </w:r>
      <w:r>
        <w:rPr>
          <w:sz w:val="20"/>
          <w:szCs w:val="20"/>
          <w:color w:val="auto"/>
        </w:rPr>
        <w:tab/>
      </w:r>
      <w:r>
        <w:rPr>
          <w:rFonts w:ascii="Arial" w:cs="Arial" w:eastAsia="Arial" w:hAnsi="Arial"/>
          <w:sz w:val="12"/>
          <w:szCs w:val="12"/>
          <w:color w:val="auto"/>
        </w:rPr>
        <w:t>Currently in discovery</w:t>
      </w:r>
      <w:r>
        <w:rPr>
          <w:sz w:val="20"/>
          <w:szCs w:val="20"/>
          <w:color w:val="auto"/>
        </w:rPr>
        <w:tab/>
      </w:r>
      <w:r>
        <w:rPr>
          <w:rFonts w:ascii="Arial" w:cs="Arial" w:eastAsia="Arial" w:hAnsi="Arial"/>
          <w:sz w:val="10"/>
          <w:szCs w:val="10"/>
          <w:color w:val="auto"/>
        </w:rPr>
        <w:t>The Bill and Melinda Gates Foundation sponsored</w:t>
      </w:r>
    </w:p>
    <w:p>
      <w:pPr>
        <w:ind w:left="8827"/>
        <w:spacing w:after="0"/>
        <w:rPr>
          <w:sz w:val="20"/>
          <w:szCs w:val="20"/>
          <w:color w:val="auto"/>
        </w:rPr>
      </w:pPr>
      <w:r>
        <w:rPr>
          <w:rFonts w:ascii="Arial" w:cs="Arial" w:eastAsia="Arial" w:hAnsi="Arial"/>
          <w:sz w:val="12"/>
          <w:szCs w:val="12"/>
          <w:color w:val="auto"/>
        </w:rPr>
        <w:t>research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26567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72" w:lineRule="exact"/>
        <w:rPr>
          <w:sz w:val="20"/>
          <w:szCs w:val="20"/>
          <w:color w:val="auto"/>
        </w:rPr>
      </w:pPr>
    </w:p>
    <w:p>
      <w:pPr>
        <w:ind w:left="467" w:right="220" w:hanging="467"/>
        <w:spacing w:after="0" w:line="283" w:lineRule="auto"/>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advance the development of our lead product candidate, SEL-212, for the treatment of refractory and tophaceous gout. </w:t>
      </w:r>
      <w:r>
        <w:rPr>
          <w:rFonts w:ascii="Arial" w:cs="Arial" w:eastAsia="Arial" w:hAnsi="Arial"/>
          <w:sz w:val="15"/>
          <w:szCs w:val="15"/>
          <w:color w:val="auto"/>
        </w:rPr>
        <w:t>SEL-212 has the potential to be the first non-immunogenic biologic treatment of refractory and tophaceous gout. We are currently conducting a 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01" w:name="page102"/>
    <w:bookmarkEnd w:id="10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467" w:right="40"/>
        <w:spacing w:after="0" w:line="283" w:lineRule="auto"/>
        <w:rPr>
          <w:sz w:val="20"/>
          <w:szCs w:val="20"/>
          <w:color w:val="auto"/>
        </w:rPr>
      </w:pPr>
      <w:r>
        <w:rPr>
          <w:rFonts w:ascii="Arial" w:cs="Arial" w:eastAsia="Arial" w:hAnsi="Arial"/>
          <w:sz w:val="15"/>
          <w:szCs w:val="15"/>
          <w:color w:val="auto"/>
        </w:rPr>
        <w:t>Phase 1/2 clinical program, comprised of two Phase 1 clinical studies, for which we expect to receive final data in the first half of 2016, and a Phase 2 clinical trial, which we expect to initiate in 2016. We plan to advance this program through regulatory approval and commercialization.</w:t>
      </w:r>
    </w:p>
    <w:p>
      <w:pPr>
        <w:spacing w:after="0" w:line="162" w:lineRule="exact"/>
        <w:rPr>
          <w:sz w:val="20"/>
          <w:szCs w:val="20"/>
          <w:color w:val="auto"/>
        </w:rPr>
      </w:pPr>
    </w:p>
    <w:p>
      <w:pPr>
        <w:ind w:left="467" w:right="60" w:hanging="467"/>
        <w:spacing w:after="0" w:line="264"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88" w:lineRule="exact"/>
        <w:rPr>
          <w:rFonts w:ascii="Arial" w:cs="Arial" w:eastAsia="Arial" w:hAnsi="Arial"/>
          <w:sz w:val="15"/>
          <w:szCs w:val="15"/>
          <w:color w:val="auto"/>
        </w:rPr>
      </w:pPr>
    </w:p>
    <w:p>
      <w:pPr>
        <w:ind w:left="467" w:right="160" w:hanging="467"/>
        <w:spacing w:after="0" w:line="319" w:lineRule="auto"/>
        <w:tabs>
          <w:tab w:leader="none" w:pos="467"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 infrastructure and capabilities to commercialize our products in rare and orphan diseases. </w:t>
      </w:r>
      <w:r>
        <w:rPr>
          <w:rFonts w:ascii="Arial" w:cs="Arial" w:eastAsia="Arial" w:hAnsi="Arial"/>
          <w:sz w:val="13"/>
          <w:szCs w:val="13"/>
          <w:color w:val="auto"/>
        </w:rPr>
        <w:t>While we believe our SVP technology may be broadly applicable across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disease areas, we intend to focus our proprietary efforts on developing and commercializing proprietary SVP-enabled products for rare diseases where there is high unmet medical need. Therapies for treating rare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45" w:lineRule="exact"/>
        <w:rPr>
          <w:rFonts w:ascii="Arial" w:cs="Arial" w:eastAsia="Arial" w:hAnsi="Arial"/>
          <w:sz w:val="13"/>
          <w:szCs w:val="13"/>
          <w:color w:val="auto"/>
        </w:rPr>
      </w:pPr>
    </w:p>
    <w:p>
      <w:pPr>
        <w:ind w:left="467" w:right="180" w:hanging="467"/>
        <w:spacing w:after="0" w:line="270"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collaborations and maximize the value of our SVP programs for immune tolerance. </w:t>
      </w:r>
      <w:r>
        <w:rPr>
          <w:rFonts w:ascii="Arial" w:cs="Arial" w:eastAsia="Arial" w:hAnsi="Arial"/>
          <w:sz w:val="15"/>
          <w:szCs w:val="15"/>
          <w:color w:val="auto"/>
        </w:rPr>
        <w:t>In addition to our own proprietary product development efforts, 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collaborating with Genethon to pursue AAV gene therapies and Sanofi on programs for a food allergy, celiac disease and type 1 diabetes. We also intend to selectively pursue additional collaborations with biopharmaceutical companies to further leverage our SVP technology.</w:t>
      </w:r>
    </w:p>
    <w:p>
      <w:pPr>
        <w:spacing w:after="0" w:line="172" w:lineRule="exact"/>
        <w:rPr>
          <w:rFonts w:ascii="Arial" w:cs="Arial" w:eastAsia="Arial" w:hAnsi="Arial"/>
          <w:sz w:val="15"/>
          <w:szCs w:val="15"/>
          <w:color w:val="auto"/>
        </w:rPr>
      </w:pPr>
    </w:p>
    <w:p>
      <w:pPr>
        <w:ind w:left="467" w:right="40" w:hanging="467"/>
        <w:spacing w:after="0" w:line="314" w:lineRule="auto"/>
        <w:tabs>
          <w:tab w:leader="none" w:pos="467"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encountered, the immune system must determine whether to mount a defensive (effector) or regulatory (tolerogenic) immune response.</w:t>
      </w:r>
    </w:p>
    <w:p>
      <w:pPr>
        <w:spacing w:after="0" w:line="19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109855</wp:posOffset>
            </wp:positionV>
            <wp:extent cx="3345815" cy="29921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45815"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3" w:name="page104"/>
    <w:bookmarkEnd w:id="10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80" w:hanging="467"/>
        <w:spacing w:after="0" w:line="266" w:lineRule="auto"/>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Chronic, systemic suppression of the immune system limits the safety of these therapies due to undesired side effects, including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6" w:lineRule="exact"/>
        <w:rPr>
          <w:rFonts w:ascii="Arial" w:cs="Arial" w:eastAsia="Arial" w:hAnsi="Arial"/>
          <w:sz w:val="15"/>
          <w:szCs w:val="15"/>
          <w:color w:val="auto"/>
        </w:rPr>
      </w:pPr>
    </w:p>
    <w:p>
      <w:pPr>
        <w:ind w:left="467" w:hanging="467"/>
        <w:spacing w:after="0" w:line="291" w:lineRule="auto"/>
        <w:tabs>
          <w:tab w:leader="none" w:pos="467"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Our proprietary SVP technology encapsulates an immunomodulator in biodegradable particles to selectively modulate an immune response in an antigen-specific manner. Our SVP technology is based on the pioneering research performed by our co-founders at Harvard University, Massachusetts Institute of Technology and Brigham and Women's Hospital. We license this technology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67"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treatment of chronic and refractory gout;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antigen-specific immune tolerance to gene therapy under a collaboration with Genethon;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infections and other diseases.</w:t>
      </w:r>
    </w:p>
    <w:p>
      <w:pPr>
        <w:spacing w:after="0" w:line="199"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 are processed by dendritic cells and other antigen-presenting cells, where they deliver the antigen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4"/>
          <w:szCs w:val="14"/>
          <w:color w:val="auto"/>
        </w:rPr>
        <w:t>immunomodulator in a coordinated and targeted manner. Depending on the type of immunomodulator encapsulated in the SVP, our technology is designed to induce either a:</w:t>
      </w:r>
    </w:p>
    <w:p>
      <w:pPr>
        <w:spacing w:after="0" w:line="222" w:lineRule="exact"/>
        <w:rPr>
          <w:sz w:val="20"/>
          <w:szCs w:val="20"/>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106680</wp:posOffset>
            </wp:positionV>
            <wp:extent cx="3581400" cy="11055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58140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 Co-Administration of SVP-Rapamycin with a Biologic Drug</w:t>
      </w:r>
    </w:p>
    <w:p>
      <w:pPr>
        <w:spacing w:after="0" w:line="177" w:lineRule="exact"/>
        <w:rPr>
          <w:sz w:val="20"/>
          <w:szCs w:val="20"/>
          <w:color w:val="auto"/>
        </w:rPr>
      </w:pPr>
    </w:p>
    <w:p>
      <w:pPr>
        <w:ind w:left="7" w:right="60"/>
        <w:spacing w:after="0" w:line="264"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165" w:lineRule="exact"/>
        <w:rPr>
          <w:sz w:val="20"/>
          <w:szCs w:val="20"/>
          <w:color w:val="auto"/>
        </w:rPr>
      </w:pPr>
    </w:p>
    <w:p>
      <w:pPr>
        <w:ind w:left="7" w:right="80"/>
        <w:spacing w:after="0" w:line="264"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 that SVP-Rapamycin labeled with a fluorescent dye selectively accumulated in lymphoid organs where it was processed by antigen-presenting cells. Figure 3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33750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0910" cy="337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SVP-Rapamycin and Antigen/Biologic Drug Presentation and Related Immune Tolerance Induction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diseases have a particularly high rate of immunogenicity because patients are genetically deficient in the target protein and, as a result, the therapeutic protein can be recognized as foreign.</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carrying warnings against immune responses in their labels. We believe that immunogenicity is a leading cause of treatment failure for patients and product failure for biopharmaceutical companies. Even therapeutics with fully human protein sequences, such as Humira, a human TNF-alpha antibody, can cause an undesired immune response, resulting in the need to switch patients to other therapies. Many other promising biologics, such as recombinant thrombopoeitin and long-acting coagulation Factor VII, were abandoned during clinical development due to immunogenicity issues. Treatment and product failure resulting from undesired immunogenicity has not gone unnoticed by regulators and industry organizations. Recently, the FDA and the National Organization for Rare Diseases, or NORD, co-sponsored a workshop on undesired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06" w:name="page107"/>
    <w:bookmarkEnd w:id="10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to enzyme replacement therapies and called on the biopharmaceutical industry to take a more proactive approach to addressing immunogenicity to biologics.</w:t>
      </w:r>
    </w:p>
    <w:p>
      <w:pPr>
        <w:spacing w:after="0" w:line="19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jc w:val="both"/>
        <w:ind w:left="7" w:right="240"/>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4 below, we injected donor mice with two injections of either:</w:t>
      </w:r>
    </w:p>
    <w:p>
      <w:pPr>
        <w:spacing w:after="0" w:line="172" w:lineRule="exact"/>
        <w:rPr>
          <w:sz w:val="20"/>
          <w:szCs w:val="20"/>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SVP-Rapamycin encapsulating a peptide sequence from proteolipoprotein, or PLP, a myelin antigen associated with multiple sclerosis, or SVP-Rapamycin.PLP, as indicated in green.</w:t>
      </w:r>
    </w:p>
    <w:p>
      <w:pPr>
        <w:spacing w:after="0" w:line="150" w:lineRule="exact"/>
        <w:rPr>
          <w:sz w:val="20"/>
          <w:szCs w:val="20"/>
          <w:color w:val="auto"/>
        </w:rPr>
      </w:pPr>
    </w:p>
    <w:p>
      <w:pPr>
        <w:ind w:left="7" w:right="80"/>
        <w:spacing w:after="0" w:line="307" w:lineRule="auto"/>
        <w:rPr>
          <w:sz w:val="20"/>
          <w:szCs w:val="20"/>
          <w:color w:val="auto"/>
        </w:rPr>
      </w:pPr>
      <w:r>
        <w:rPr>
          <w:rFonts w:ascii="Arial" w:cs="Arial" w:eastAsia="Arial" w:hAnsi="Arial"/>
          <w:sz w:val="13"/>
          <w:szCs w:val="13"/>
          <w:color w:val="auto"/>
        </w:rPr>
        <w:t xml:space="preserve">Two weeks after the second injection, spleen cells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4 below, the untreated control mice that were immunized but received no transferred cells developed EAE approximately ten days after immunization with PLP and CFA, as reflected in black in Figure 4 below. The mice receiving immune cells transferred from donor mice treated with either Empty Nanoparticle or NP-Rapamycin, as indicated in blue and red in Figure 4 below, respectively, also developed EAE approximately ten days after immunization. In contrast, mice that received immune cells transferred from donor mice treated with SVP-Rapamycin.PLP did not develop EAE during the course of the trial, as indicated in green in Figure 4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6567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7" w:name="page108"/>
    <w:bookmarkEnd w:id="10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3227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322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4. Preclinical Study: Transfer of Immune Tolerance from Mice Treated with SVP-Rapamycin to Naive Mice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5 below, study mice were separated into three groups during the course of a 21-day treatment period:</w:t>
      </w:r>
    </w:p>
    <w:p>
      <w:pPr>
        <w:spacing w:after="0" w:line="138" w:lineRule="exact"/>
        <w:rPr>
          <w:sz w:val="20"/>
          <w:szCs w:val="20"/>
          <w:color w:val="auto"/>
        </w:rPr>
      </w:pPr>
    </w:p>
    <w:p>
      <w:pPr>
        <w:ind w:left="467" w:hanging="467"/>
        <w:spacing w:after="0"/>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2" w:lineRule="exact"/>
        <w:rPr>
          <w:rFonts w:ascii="Arial" w:cs="Arial" w:eastAsia="Arial" w:hAnsi="Arial"/>
          <w:sz w:val="15"/>
          <w:szCs w:val="15"/>
          <w:color w:val="auto"/>
        </w:rPr>
      </w:pPr>
    </w:p>
    <w:p>
      <w:pPr>
        <w:ind w:left="467" w:right="60" w:hanging="467"/>
        <w:spacing w:after="0" w:line="283" w:lineRule="auto"/>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9" w:lineRule="exact"/>
        <w:rPr>
          <w:sz w:val="20"/>
          <w:szCs w:val="20"/>
          <w:color w:val="auto"/>
        </w:rPr>
      </w:pPr>
    </w:p>
    <w:p>
      <w:pPr>
        <w:ind w:left="7" w:right="40"/>
        <w:spacing w:after="0" w:line="291"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5 below, the mice in both the SVP-Rapamycin Group and Daily Free Rapamycin Group showed inhibition of the anti-KLH antibody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6567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8" w:name="page109"/>
    <w:bookmarkEnd w:id="10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0"/>
        <w:spacing w:after="0" w:line="319" w:lineRule="auto"/>
        <w:rPr>
          <w:sz w:val="20"/>
          <w:szCs w:val="20"/>
          <w:color w:val="auto"/>
        </w:rPr>
      </w:pPr>
      <w:r>
        <w:rPr>
          <w:rFonts w:ascii="Arial" w:cs="Arial" w:eastAsia="Arial" w:hAnsi="Arial"/>
          <w:sz w:val="13"/>
          <w:szCs w:val="13"/>
          <w:color w:val="auto"/>
        </w:rPr>
        <w:t>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transient immunosuppression observed in the Daily Free Rapamycin Group as compared to the durable immune tolerance observed in the SVP-Rapamycin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89535</wp:posOffset>
            </wp:positionV>
            <wp:extent cx="5040630" cy="24168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40630"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Preclinical Study: Immune Tolerance Induction with SVP-Rapamycin</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Anti-KLH antibody response by SVP-Rapamycin in nonhuman primates</w:t>
      </w:r>
    </w:p>
    <w:p>
      <w:pPr>
        <w:spacing w:after="0" w:line="195"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In a preclinical study, we also observed that our SVP technology was effective at inhibiting antibody responses to KLH in nonhuman primates. As depicted in Figure 6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6 below, the animals in the SVP-Rapamycin Group, which were injected with KLH combined with SVP-Rapamycin, mounted no or a much lower immune response as indicated by the lack of anti-KLH antibodies. In comparison, we observed high levels of anti-KLH antibodies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27781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277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Inhibition of Anti-KLH Antibody Response by SVP-Rapamycin in Nonhuman Primates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180"/>
        <w:spacing w:after="0" w:line="283"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hanging="467"/>
        <w:spacing w:after="0" w:line="285" w:lineRule="auto"/>
        <w:tabs>
          <w:tab w:leader="none" w:pos="467"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exogenous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5" w:lineRule="exact"/>
        <w:rPr>
          <w:rFonts w:ascii="Arial" w:cs="Arial" w:eastAsia="Arial" w:hAnsi="Arial"/>
          <w:sz w:val="14"/>
          <w:szCs w:val="14"/>
          <w:color w:val="auto"/>
        </w:rPr>
      </w:pPr>
    </w:p>
    <w:p>
      <w:pPr>
        <w:ind w:left="467" w:right="80" w:hanging="467"/>
        <w:spacing w:after="0" w:line="263" w:lineRule="auto"/>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Gene therapies</w:t>
      </w:r>
      <w:r>
        <w:rPr>
          <w:rFonts w:ascii="Arial" w:cs="Arial" w:eastAsia="Arial" w:hAnsi="Arial"/>
          <w:sz w:val="15"/>
          <w:szCs w:val="15"/>
          <w:color w:val="auto"/>
        </w:rPr>
        <w:t>. We believe gene therapies have the potential to address key unmet needs for many rare genetic diseases, but undesired immune responses may be restricting</w:t>
      </w:r>
      <w:r>
        <w:rPr>
          <w:rFonts w:ascii="Arial" w:cs="Arial" w:eastAsia="Arial" w:hAnsi="Arial"/>
          <w:sz w:val="15"/>
          <w:szCs w:val="15"/>
          <w:i w:val="1"/>
          <w:iCs w:val="1"/>
          <w:color w:val="auto"/>
        </w:rPr>
        <w:t xml:space="preserve"> </w:t>
      </w:r>
      <w:r>
        <w:rPr>
          <w:rFonts w:ascii="Arial" w:cs="Arial" w:eastAsia="Arial" w:hAnsi="Arial"/>
          <w:sz w:val="15"/>
          <w:szCs w:val="15"/>
          <w:color w:val="auto"/>
        </w:rPr>
        <w:t>broader use. Through our analysis of genetic diseases, we have identified applications and patient segments which we believe would benefit from our SVP technology. We intend to develop SVP-Rapamycin-enabled non-immunogenic therapies by preventing the induction of immune responses to the AAV vector and the transgene that can occur with the first dose of gene therapy. Our targeted diseases include lysosomal storage diseases, genetic muscular diseases, genetic metabolic diseases and hematologic diseases. Our gene therapy program is focused on obtaining licenses to gene therapies and entering into co-development collaborations to build proprietary AAV-based gene therapies that we can use together with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10" w:name="page111"/>
    <w:bookmarkEnd w:id="11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40" w:hanging="467"/>
        <w:spacing w:after="0" w:line="314" w:lineRule="auto"/>
        <w:tabs>
          <w:tab w:leader="none" w:pos="467"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anti-TNF-alpha antibodies for the treatment of rheumatoid arthritis and blood factor replacement therapies for the treatment of hemophilia. We intend to out-license SVP-Rapamycin technology for use with other products that are outside our focus on therapeutic enzymes and gene therapies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59" w:lineRule="exact"/>
        <w:rPr>
          <w:rFonts w:ascii="Arial" w:cs="Arial" w:eastAsia="Arial" w:hAnsi="Arial"/>
          <w:sz w:val="13"/>
          <w:szCs w:val="13"/>
          <w:color w:val="auto"/>
        </w:rPr>
      </w:pPr>
    </w:p>
    <w:p>
      <w:pPr>
        <w:ind w:left="467" w:right="120" w:hanging="467"/>
        <w:spacing w:after="0" w:line="287" w:lineRule="auto"/>
        <w:tabs>
          <w:tab w:leader="none" w:pos="467"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Allergies and autoimmune diseases</w:t>
      </w:r>
      <w:r>
        <w:rPr>
          <w:rFonts w:ascii="Arial" w:cs="Arial" w:eastAsia="Arial" w:hAnsi="Arial"/>
          <w:sz w:val="14"/>
          <w:szCs w:val="14"/>
          <w:color w:val="auto"/>
        </w:rPr>
        <w:t>. In addition to the formation of ADAs, undesired immunogenicity can take the form of allergies when the immune system reacts to allergens</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120"/>
        <w:spacing w:after="0" w:line="262" w:lineRule="auto"/>
        <w:rPr>
          <w:sz w:val="20"/>
          <w:szCs w:val="20"/>
          <w:color w:val="auto"/>
        </w:rPr>
      </w:pPr>
      <w:r>
        <w:rPr>
          <w:rFonts w:ascii="Arial" w:cs="Arial" w:eastAsia="Arial" w:hAnsi="Arial"/>
          <w:sz w:val="15"/>
          <w:szCs w:val="15"/>
          <w:color w:val="auto"/>
        </w:rPr>
        <w:t>SEL-212 is our proprietary product candidate for the treatment of refractory and tophaceous gout. SEL-212 consists of SVP-Rapamycin co-administered with pegsiticase, a pegylated uricase. We believe that our SEL-212 has the potential to offer a uniquely effective treatment for patients with refractory or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eliminating related uric acid deposits.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uric acid in the blood lead to formation of insoluble uric acid crystals in joints and tissues, causing pain, inflammation and joint damage. In addition, untreated chronic gout has been associated with kidney and heart disease.</w:t>
      </w:r>
    </w:p>
    <w:p>
      <w:pPr>
        <w:spacing w:after="0" w:line="165"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oral drugs, including allopurinol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and febuxostat. Both drugs work to reduce the synthesis of uric acid but do not effectively reduce existing uric acid deposits in joints and tissues. Lesinurad is an oral gout drug in late-stage clinical development that is designed to increase the rate of excretion of uric acid through the kidneys. Neither the first line treatments nor Lesinurad are indicated for chronic refractory or tophaceous gout.</w:t>
      </w:r>
    </w:p>
    <w:p>
      <w:pPr>
        <w:spacing w:after="0" w:line="161"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antibodies, 26% experience infusion site reactions and 6.5% experience anaphylaxis, a life-threatening allergic reaction typically involving itchy rash, throat swelling and low blood pressure. The package insert information also indicates that during the drug's clinical trials, high anti-Krystexxa antibody titer in patients was associated with a failure to maintain normalization of uric acid levels. Similarly, a 2011 study published in The Journal of the American Medical Association found that 58% of Krystexxa patients were non-responders.</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Tophaceous gout patients have uric acid crystal deposits in soft tissues, joints or kidneys, referred to as tophi. Tophi are a source of inflammation and pain and can cause joint damage and organ failure. Approximately 200,000 patients in the United States suffer from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64" w:lineRule="exact"/>
        <w:rPr>
          <w:sz w:val="20"/>
          <w:szCs w:val="20"/>
          <w:color w:val="auto"/>
        </w:rPr>
      </w:pPr>
    </w:p>
    <w:p>
      <w:pPr>
        <w:ind w:right="120"/>
        <w:spacing w:after="0" w:line="320" w:lineRule="auto"/>
        <w:rPr>
          <w:sz w:val="20"/>
          <w:szCs w:val="20"/>
          <w:color w:val="auto"/>
        </w:rPr>
      </w:pPr>
      <w:r>
        <w:rPr>
          <w:rFonts w:ascii="Arial" w:cs="Arial" w:eastAsia="Arial" w:hAnsi="Arial"/>
          <w:sz w:val="14"/>
          <w:szCs w:val="14"/>
          <w:color w:val="auto"/>
        </w:rPr>
        <w:t>Based on our preclinical studies, we believe that SEL-212 may potentially deliver non-immunogenic pegsiticase that can address two key unmet needs in the treatment of gout, the durable control of serum uric acid levels in patients with chronic refractory gout and removal of painful and damaging uric acid deposits for patients with tophaceous gout.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106680</wp:posOffset>
            </wp:positionV>
            <wp:extent cx="5025390" cy="1422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25390" cy="142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7. Components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2" w:name="page113"/>
    <w:bookmarkEnd w:id="11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16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6" w:lineRule="exact"/>
        <w:rPr>
          <w:sz w:val="20"/>
          <w:szCs w:val="20"/>
          <w:color w:val="auto"/>
        </w:rPr>
      </w:pPr>
    </w:p>
    <w:p>
      <w:pPr>
        <w:ind w:left="7" w:right="680"/>
        <w:spacing w:after="0" w:line="283" w:lineRule="auto"/>
        <w:rPr>
          <w:sz w:val="20"/>
          <w:szCs w:val="20"/>
          <w:color w:val="auto"/>
        </w:rPr>
      </w:pPr>
      <w:r>
        <w:rPr>
          <w:rFonts w:ascii="Arial" w:cs="Arial" w:eastAsia="Arial" w:hAnsi="Arial"/>
          <w:sz w:val="15"/>
          <w:szCs w:val="15"/>
          <w:color w:val="auto"/>
        </w:rPr>
        <w:t>As depicted in Figure 8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99695</wp:posOffset>
            </wp:positionV>
            <wp:extent cx="4517390" cy="906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517390"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8. SEL-212 Treatment Course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9"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9 below, during the treatment period:</w:t>
      </w:r>
    </w:p>
    <w:p>
      <w:pPr>
        <w:spacing w:after="0" w:line="172"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6" w:lineRule="exact"/>
        <w:rPr>
          <w:sz w:val="20"/>
          <w:szCs w:val="20"/>
          <w:color w:val="auto"/>
        </w:rPr>
      </w:pPr>
    </w:p>
    <w:p>
      <w:pPr>
        <w:ind w:left="11267"/>
        <w:spacing w:after="0"/>
        <w:rPr>
          <w:sz w:val="20"/>
          <w:szCs w:val="20"/>
          <w:color w:val="auto"/>
        </w:rPr>
      </w:pPr>
      <w:r>
        <w:rPr>
          <w:rFonts w:ascii="Arial" w:cs="Arial" w:eastAsia="Arial" w:hAnsi="Arial"/>
          <w:sz w:val="10"/>
          <w:szCs w:val="10"/>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27138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3" w:name="page114"/>
    <w:bookmarkEnd w:id="11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9" w:lineRule="exact"/>
        <w:rPr>
          <w:sz w:val="20"/>
          <w:szCs w:val="20"/>
          <w:color w:val="auto"/>
        </w:rPr>
      </w:pPr>
    </w:p>
    <w:p>
      <w:pPr>
        <w:ind w:left="7" w:right="120"/>
        <w:spacing w:after="0" w:line="330" w:lineRule="auto"/>
        <w:rPr>
          <w:sz w:val="20"/>
          <w:szCs w:val="20"/>
          <w:color w:val="auto"/>
        </w:rPr>
      </w:pPr>
      <w:r>
        <w:rPr>
          <w:rFonts w:ascii="Arial" w:cs="Arial" w:eastAsia="Arial" w:hAnsi="Arial"/>
          <w:sz w:val="13"/>
          <w:szCs w:val="13"/>
          <w:color w:val="auto"/>
        </w:rPr>
        <w:t>The Pegsiticase Group and SVP-Rapaymcin + Pegsiticase Group were treated on days zero, seven and fourteen of the treatment period. Each group was then treated with pegsiticase alone on days 35 and 42 of the study, or the challenge period. Anti-uricase antibody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84455</wp:posOffset>
            </wp:positionV>
            <wp:extent cx="4996180" cy="24980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96180" cy="249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9. Preclinical Study: Proof-of-Concept in Uricase-Deficient Mice</w:t>
      </w:r>
    </w:p>
    <w:p>
      <w:pPr>
        <w:spacing w:after="0" w:line="177" w:lineRule="exact"/>
        <w:rPr>
          <w:sz w:val="20"/>
          <w:szCs w:val="20"/>
          <w:color w:val="auto"/>
        </w:rPr>
      </w:pPr>
    </w:p>
    <w:p>
      <w:pPr>
        <w:jc w:val="both"/>
        <w:ind w:left="7" w:right="120"/>
        <w:spacing w:after="0" w:line="270"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anti-uricase antibodies when exposed to pegsiticase during the treatment period. The Untreated Group also developed anti-uricase</w:t>
      </w:r>
      <w:r>
        <w:rPr>
          <w:rFonts w:ascii="Arial" w:cs="Arial" w:eastAsia="Arial" w:hAnsi="Arial"/>
          <w:sz w:val="15"/>
          <w:szCs w:val="15"/>
          <w:i w:val="1"/>
          <w:iCs w:val="1"/>
          <w:color w:val="auto"/>
        </w:rPr>
        <w:t xml:space="preserve"> </w:t>
      </w:r>
      <w:r>
        <w:rPr>
          <w:rFonts w:ascii="Arial" w:cs="Arial" w:eastAsia="Arial" w:hAnsi="Arial"/>
          <w:sz w:val="15"/>
          <w:szCs w:val="15"/>
          <w:color w:val="auto"/>
        </w:rPr>
        <w:t>antibodies as soon as they were challenged with pegsiticase. Despite exposure to pegsiticase during both the treatment and challenge periods, the SVP-Rapamycin + Pegsiticase Group did not develop anti-uricase antibodies during either period.</w:t>
      </w:r>
    </w:p>
    <w:p>
      <w:pPr>
        <w:spacing w:after="0" w:line="161" w:lineRule="exact"/>
        <w:rPr>
          <w:sz w:val="20"/>
          <w:szCs w:val="20"/>
          <w:color w:val="auto"/>
        </w:rPr>
      </w:pPr>
    </w:p>
    <w:p>
      <w:pPr>
        <w:ind w:left="7"/>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14" w:name="page115"/>
    <w:bookmarkEnd w:id="11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9"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anti-uricase antibodies in nonhuman primates. As depicted in Figure 10 below, during the study we either:</w:t>
      </w:r>
    </w:p>
    <w:p>
      <w:pPr>
        <w:spacing w:after="0" w:line="162" w:lineRule="exact"/>
        <w:rPr>
          <w:sz w:val="20"/>
          <w:szCs w:val="20"/>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2" w:lineRule="exact"/>
        <w:rPr>
          <w:rFonts w:ascii="Arial" w:cs="Arial" w:eastAsia="Arial" w:hAnsi="Arial"/>
          <w:sz w:val="15"/>
          <w:szCs w:val="15"/>
          <w:color w:val="auto"/>
        </w:rPr>
      </w:pPr>
    </w:p>
    <w:p>
      <w:pPr>
        <w:ind w:left="467" w:right="240" w:hanging="467"/>
        <w:spacing w:after="0" w:line="283"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w:t>
      </w:r>
    </w:p>
    <w:p>
      <w:pPr>
        <w:spacing w:after="0" w:line="150"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 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106680</wp:posOffset>
            </wp:positionV>
            <wp:extent cx="3979545" cy="29698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79545" cy="296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10. Preclinical Study: Proof-of-Concept in Nonhuman Primates</w:t>
      </w:r>
    </w:p>
    <w:p>
      <w:pPr>
        <w:spacing w:after="0" w:line="177" w:lineRule="exact"/>
        <w:rPr>
          <w:sz w:val="20"/>
          <w:szCs w:val="20"/>
          <w:color w:val="auto"/>
        </w:rPr>
      </w:pPr>
    </w:p>
    <w:p>
      <w:pPr>
        <w:jc w:val="both"/>
        <w:ind w:left="7" w:right="140"/>
        <w:spacing w:after="0" w:line="298"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anti-uricase antibodies by the end of the study. The SVP-Rapamycin 0.1X Group and SVP-Rapamycin 1X Group were able to reduce the levels of anti-uricase antibodies significantly compared to the Empty Nanoparticle Group and, in the case of the SVP-Rapamycin 1X Group, inhibited the formation of antibodies. Our observations in this study confirmed in non-human primates the mitigation of anti-uricase antibodies we observed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0"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as confirmed by the FDA, which indicated that our Phase 1b clinical trial for SEL-212 is safe to proceed.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blood uric acid levels. The patient treatment portion of our Phase 1a trial was completed in November 2015 and we plan to initiate a Phase 1b trial in December 2015, with final data from both Phase 1 clinical trials expected in the first half of 2016. We plan to follow this Phase 1b clinical trial with an open label multi-dose Phase 2 clinical trial of SEL-212 in subjects with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tophaceous gout.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SEL-212 is currently being evaluated in a comprehensive Phase 1/2 clinical program that includes two Phase 1 clinical trials in subjects with high uric acid levels and a Phase 2 clinical trial. The Phase 1a clinical trial is designed to evaluate the safety and tolerability of pegsiticase and, as a secondary objective, to identify a pegsiticase dose capable of lowering uric acid levels. The Phase 1b clinical trial is designed to demonstrate that pegsiticase co-administered with SVP-Rapamycin reduces uric acid levels and mitigates the formation of anti-uricase antibodies in humans compared to pegsiticase alone.</w:t>
      </w:r>
    </w:p>
    <w:p>
      <w:pPr>
        <w:spacing w:after="0" w:line="164"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The Phase 1a clinical trial for SEL-212 is an ascending single dose trial of pegsiticase alone. In this trial, 22 subjects with elevated blood uric acid levels of greater than 6mg/dl were followed for 30 days after a single intravenous infusion of pegsiticase. We commenced enrollment in this clinical trial in the second quarter of 2015 and completed the patient treatment portion of the trial in November 2015. In this trial, pegsiticase was safe, demonstrated no serious adverse effects and was well tolerated at the five dose levels tested. Additionally, pegsiticase rapidly reduced and sustained blood uric acid levels below 6 mg/dl over a period of 14 to 30 days. Consistent with our preclinical studies in animals and Krystexxa's clinical experience, pegsiticase induced anti-uricase antibodies in all subjects with varying levels of this Phase 1a trial.</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In December 2015, we plan to initiate the Phase 1b clinical trial in approximately 53 subjects with uric acid levels greater than 6 mg/dl. We plan to co-administer one group of subjects a single dose of SVP-Rapamycin at increasing dose levels with a fixed dose of pegsiticase. In a second group of subjects, we plan to administer a fixed amount of pegsiticase. A third group of subjects will receive increasing single doses of SVP-Rapamycin alone. The primary objective of the Phase 1b clinical trial will be to evaluate the safety and tolerability of SVP-Rapamycin alone and in combination with a fixed dose of pegsiticase. A secondary clinical objective will be to evaluate the ability of SVP-Rapamycin co-administered with pegsiticase to reduce uric acid levels and mitigate the formation of ADAs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compared to pegsiticase alone. We expect that data from the Phase 1b clinical trial will be available in the first half of 2016.</w:t>
      </w:r>
    </w:p>
    <w:p>
      <w:pPr>
        <w:spacing w:after="0" w:line="199"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Subject to the outcome of the Phase 1b clinical trial, we are planning an open-label Phase 2 clinical trial in approximately 50 subjects with elevated uric acid levels. We plan to have three dose groups, two of which will receive SEL-212 and the other pegsiticase alone. We expect that the primary endpoint for this trial will be the reduction of uric acid levels. We expect that secondary endpoints for this trial will include a reduction in levels of anti-uricase antibodies and number of flares.</w:t>
      </w:r>
    </w:p>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addition to the foregoing clinical trials, we also plan to initiate development of SEL-212 for tophaceous gout. For tophaceous gout, we could pursue an intravenous administration or a subcutaneous injection. If we pursue an intravenous administration, we believe that we could proceed directly to a Phase 3 clinical program, leveraging the preclinical and early clinical data generated for refractory gout. If we pursue a subcutaneous administration, we may be required to conduct a more extensive preclinical and clinical development program. We expect that a subcutaneous administration of SEL-212 would enable dosing every other week.</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 xml:space="preserve">We believe gene therapy has the potential to fundamentally change the treatment of genetic diseases. Gene therapy modifies the genetic content of the patient's own cells by inserting corrective genetic material, or a transgene, within the nuclei of a patient's cells. In the case of insertion-based gene therapies, the genetic material enables the affected cells to become producers of an encoded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gene therapy because they do not usually integrate into the host DNA, cannot reproduce on their own, do not cause pathogenic infections and can be produced using manufacturing practices that conform to cGMP.</w:t>
      </w:r>
    </w:p>
    <w:p>
      <w:pPr>
        <w:spacing w:after="0" w:line="15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immune responses to either the AAV vector or the encoded transgene, which frequently occurs after the first dose. Once an antibody response to the AAV vector develops, it is likely to interfere with the efficacy of subsequent administration. For these reasons, we believe gene therapy companies have focused on the single dose treatment of localized diseases of the eye and the central nervous system, for which immunogenicity is perceived to be less of an issue. We believe that many gene therapy applications may require multiple doses, especially therapies designed to treat non-localized diseases by intravenous administration. Many of these rare genetic deficiencies are best treated when patients are infants or small children, to prevent developmental defects. However, pediatric patients may have a higher need for repeat dosing due to higher cell turnover as the subject grows. We believe that a solution that enables repeat dosing for gene therapies would significantly expand the number of diseases that could be treated with these therapies.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In collaboration with Genethon,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11 below, in addition to an injection of AAV8 encoding either the luciferase gene or Factor IX, the mice also received received either:</w:t>
      </w:r>
    </w:p>
    <w:p>
      <w:pPr>
        <w:spacing w:after="0" w:line="177" w:lineRule="exact"/>
        <w:rPr>
          <w:sz w:val="20"/>
          <w:szCs w:val="20"/>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9"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We assessed anti-AAV8 antibody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anti-AAV8 antibodies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109855</wp:posOffset>
            </wp:positionV>
            <wp:extent cx="4671695" cy="31394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671695" cy="313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11. Preclinical Study: SVP-Rapamycin Co-Administered with AAV-Based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18" w:name="page119"/>
    <w:bookmarkEnd w:id="11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In 2014, we entered into a research collaboration with Genethon with the goal of enabling effective repeat dosing of gene therapies. In collaboration with Genethon, we plan to co-develop up to three gene therapy indications that would benefit from combining Genethon's gene therapy technology with SVP-Rapamycin to mitigate undesired immune responses and enable repeat dosing of gene therapies.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6"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12c below, were left untreated;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12a through 12d below, were treated weekly with Humira alone from weeks 5 through 20; and</w:t>
      </w:r>
    </w:p>
    <w:p>
      <w:pPr>
        <w:spacing w:after="0" w:line="233" w:lineRule="exact"/>
        <w:rPr>
          <w:rFonts w:ascii="Arial" w:cs="Arial" w:eastAsia="Arial" w:hAnsi="Arial"/>
          <w:sz w:val="13"/>
          <w:szCs w:val="13"/>
          <w:color w:val="auto"/>
        </w:rPr>
      </w:pPr>
    </w:p>
    <w:p>
      <w:pPr>
        <w:ind w:left="467" w:right="440" w:hanging="467"/>
        <w:spacing w:after="0" w:line="283"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12a through 12d below, were treated weekly with SVP-Rapamycin together with Humira from weeks five through 11 and then weekly with Humira alone from weeks 12 to 20.</w:t>
      </w:r>
    </w:p>
    <w:p>
      <w:pPr>
        <w:spacing w:after="0" w:line="15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We evaluated anti-Humira antibody levels to determine the formation of ADAs to Humira. Levels of Humira in the blood, or in serum, were measured to determine whether the formation of ADAs increased the clearance of Humira from the blood. In addition, we measured the arthritis score, based on the level of severity of the disease, each week from weeks 10 through 20, for each of the three groups.</w:t>
      </w:r>
    </w:p>
    <w:p>
      <w:pPr>
        <w:spacing w:after="0" w:line="161"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As depicted in Figure 12a below, we observed a reduction in the formation of ADAs to Humira in the SVP-Rapamycin Group as compared to the Humira Group at week 20. Consistent with the observation of the formation of ADAs, as depicted in Figure 12b below, we observed a higher level of Humira in the blood in the SVP-Rapamycin Group as compared to the Humira Group at week 19. As expected, mice in the Untreated Group did not show any anti-Humira antibodies or the presence of Humira in the blood. As depicted in Figure 12c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51" w:lineRule="exact"/>
        <w:rPr>
          <w:sz w:val="20"/>
          <w:szCs w:val="20"/>
          <w:color w:val="auto"/>
        </w:rPr>
      </w:pPr>
    </w:p>
    <w:p>
      <w:pPr>
        <w:ind w:left="7" w:right="640"/>
        <w:spacing w:after="0" w:line="283" w:lineRule="auto"/>
        <w:rPr>
          <w:sz w:val="20"/>
          <w:szCs w:val="20"/>
          <w:color w:val="auto"/>
        </w:rPr>
      </w:pPr>
      <w:r>
        <w:rPr>
          <w:rFonts w:ascii="Arial" w:cs="Arial" w:eastAsia="Arial" w:hAnsi="Arial"/>
          <w:sz w:val="15"/>
          <w:szCs w:val="15"/>
          <w:color w:val="auto"/>
        </w:rPr>
        <w:t>Figure 12d below depicts an x-ray of a severely eroded ankle joint in an arthritic mouse in the Humira Group compared to the normal ankle joint of a mouse in the Humira + SVP-Rapamycin Group.</w:t>
      </w:r>
    </w:p>
    <w:p>
      <w:pPr>
        <w:spacing w:after="0" w:line="150"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the blood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9" w:name="page120"/>
    <w:bookmarkEnd w:id="11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41122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0910" cy="411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12a through 12d. Preclinical Study: SVP-Rapamycin Co-Administered with Humira</w:t>
      </w:r>
    </w:p>
    <w:p>
      <w:pPr>
        <w:spacing w:after="0" w:line="177" w:lineRule="exact"/>
        <w:rPr>
          <w:sz w:val="20"/>
          <w:szCs w:val="20"/>
          <w:color w:val="auto"/>
        </w:rPr>
      </w:pPr>
    </w:p>
    <w:p>
      <w:pPr>
        <w:ind w:left="7" w:right="520"/>
        <w:spacing w:after="0" w:line="283"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13a through 13c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9" w:lineRule="exact"/>
        <w:rPr>
          <w:sz w:val="20"/>
          <w:szCs w:val="20"/>
          <w:color w:val="auto"/>
        </w:rPr>
      </w:pPr>
    </w:p>
    <w:p>
      <w:pPr>
        <w:ind w:left="7"/>
        <w:spacing w:after="0" w:line="298" w:lineRule="auto"/>
        <w:rPr>
          <w:sz w:val="20"/>
          <w:szCs w:val="20"/>
          <w:color w:val="auto"/>
        </w:rPr>
      </w:pPr>
      <w:r>
        <w:rPr>
          <w:rFonts w:ascii="Arial" w:cs="Arial" w:eastAsia="Arial" w:hAnsi="Arial"/>
          <w:sz w:val="14"/>
          <w:szCs w:val="14"/>
          <w:color w:val="auto"/>
        </w:rPr>
        <w:t>All groups were then challenged with five injections of Advate on days 57, 81, 123, 143 and 187 of the study, referred to as the challenge period. We also administered an unrelated antigen, bacteriophage PhiX174 on days 95, 143 and 158, into all mice to evaluate whether SVP-Rapamycin caused global immunosuppression. We evaluated anti-Advate antibody levels to determine the formation of ADAs to Advate. We also evaluated anti-PhiX174 antibody levels to determine the specificity of the SVP-Rapamycin and Advate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As depicted in Figure 13a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anti-PhiX174 antibody levels, suggesting that the SVP-Rapamycin treatment does not induce global immunosuppression, as depicted in Figure 13b below.</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13c below. A higher percentage of normalized hemoglobin levels indicate an increased ability of the mice to control bleeding. As depicted in Figure 13c below, we observed that mice in the SVP-Rapamycin Group were able to control bleeding at a higher rate than mice in the Empty Nanoparticle Group.</w:t>
      </w:r>
    </w:p>
    <w:p>
      <w:pPr>
        <w:spacing w:after="0" w:line="14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59690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0910" cy="596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Figures 13a through 13c.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567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5" w:lineRule="exact"/>
        <w:rPr>
          <w:sz w:val="20"/>
          <w:szCs w:val="20"/>
          <w:color w:val="auto"/>
        </w:rPr>
      </w:pPr>
    </w:p>
    <w:p>
      <w:pPr>
        <w:ind w:left="467" w:right="320" w:hanging="467"/>
        <w:spacing w:after="0" w:line="270"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3" w:lineRule="exact"/>
        <w:rPr>
          <w:rFonts w:ascii="Arial" w:cs="Arial" w:eastAsia="Arial" w:hAnsi="Arial"/>
          <w:sz w:val="15"/>
          <w:szCs w:val="15"/>
          <w:color w:val="auto"/>
        </w:rPr>
      </w:pPr>
    </w:p>
    <w:p>
      <w:pPr>
        <w:ind w:left="467" w:right="240" w:hanging="467"/>
        <w:spacing w:after="0" w:line="270"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2" w:lineRule="exact"/>
        <w:rPr>
          <w:rFonts w:ascii="Arial" w:cs="Arial" w:eastAsia="Arial" w:hAnsi="Arial"/>
          <w:sz w:val="15"/>
          <w:szCs w:val="15"/>
          <w:color w:val="auto"/>
        </w:rPr>
      </w:pPr>
    </w:p>
    <w:p>
      <w:pPr>
        <w:ind w:left="467" w:right="180" w:hanging="467"/>
        <w:spacing w:after="0" w:line="283"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believe our SVP technology, by encapsulating other antigens and adjuvants, has the potential to be used for therapies that stimulate the immune system to treat cancer, infections and other diseases. We have early-stage programs for therapeutic treatment of HPV-associated cancers and antibody-based vaccine programs for nicotine addiction and malaria. These programs are primarily funded by grants.</w:t>
      </w:r>
    </w:p>
    <w:p>
      <w:pPr>
        <w:spacing w:after="0" w:line="16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4" w:lineRule="exact"/>
        <w:rPr>
          <w:sz w:val="20"/>
          <w:szCs w:val="20"/>
          <w:color w:val="auto"/>
        </w:rPr>
      </w:pPr>
    </w:p>
    <w:p>
      <w:pPr>
        <w:ind w:left="7" w:right="180"/>
        <w:spacing w:after="0" w:line="291"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We conducted a preclinical study in mice to evaluate the ability of a SVP-TLR agonist containing an antigen to minimize the production of systemic cytokines, which are responsible for an undesired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3" w:name="page124"/>
    <w:bookmarkEnd w:id="12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4"/>
          <w:szCs w:val="14"/>
          <w:color w:val="auto"/>
        </w:rPr>
        <w:t>systemic immune-stimulatory response, while increasing the production of local cytokines, which are responsible for a strong and antigen-specific immune-stimulatory response.</w:t>
      </w:r>
    </w:p>
    <w:p>
      <w:pPr>
        <w:spacing w:after="0" w:line="210" w:lineRule="exact"/>
        <w:rPr>
          <w:sz w:val="20"/>
          <w:szCs w:val="20"/>
          <w:color w:val="auto"/>
        </w:rPr>
      </w:pPr>
    </w:p>
    <w:p>
      <w:pPr>
        <w:ind w:left="7" w:right="500"/>
        <w:spacing w:after="0" w:line="283"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14a through 14d below:</w:t>
      </w:r>
    </w:p>
    <w:p>
      <w:pPr>
        <w:spacing w:after="0" w:line="210" w:lineRule="exact"/>
        <w:rPr>
          <w:sz w:val="20"/>
          <w:szCs w:val="20"/>
          <w:color w:val="auto"/>
        </w:rPr>
      </w:pPr>
    </w:p>
    <w:p>
      <w:pPr>
        <w:ind w:left="467" w:right="120" w:hanging="467"/>
        <w:spacing w:after="0" w:line="283" w:lineRule="auto"/>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0"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14a and 14b below. We also evaluated the levels of interleukin-12, or IL-12, and interferon-gamma, or IFN, in the draining lymph node to determine the levels of local cytokine production involved in desired T helper cell type 1 immune responses, as depicted in Figures 14c and 14d below.</w:t>
      </w:r>
    </w:p>
    <w:p>
      <w:pPr>
        <w:spacing w:after="0" w:line="164"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As depicted in Figures 14a and 14b below, we observed increased levels of systemic cytokine production in the Free TLR 7/8 Agonist Group in comparison to the Encapsulated TLR 7/8 Agonist Group. As depicted in Figures 14c and 14d below, we observed increased levels of local cytokine production in the draining lymph node in the Encapsulated TLR 7/8 Agonist Group as compared to the Free TLR 7/8 Agonist Group.</w:t>
      </w:r>
    </w:p>
    <w:p>
      <w:pPr>
        <w:spacing w:after="0" w:line="161"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40601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0910" cy="406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14a through 14d. Preclinical Study: Minimization of Production of Systemic Cytokines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3"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5" w:name="page126"/>
    <w:bookmarkEnd w:id="12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0"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51"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0" w:lineRule="exact"/>
        <w:rPr>
          <w:sz w:val="20"/>
          <w:szCs w:val="20"/>
          <w:color w:val="auto"/>
        </w:rPr>
      </w:pPr>
    </w:p>
    <w:p>
      <w:pPr>
        <w:ind w:left="7" w:right="240"/>
        <w:spacing w:after="0" w:line="298"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4"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jc w:val="both"/>
        <w:ind w:left="7" w:right="160"/>
        <w:spacing w:after="0" w:line="274"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13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15a and 15c below, four doses of empty nanoparticles;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by in green in Figures 15b and 15c below, four doses of SVP-HPV.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20"/>
        <w:spacing w:after="0" w:line="283" w:lineRule="auto"/>
        <w:rPr>
          <w:sz w:val="20"/>
          <w:szCs w:val="20"/>
          <w:color w:val="auto"/>
        </w:rPr>
      </w:pPr>
      <w:r>
        <w:rPr>
          <w:rFonts w:ascii="Arial" w:cs="Arial" w:eastAsia="Arial" w:hAnsi="Arial"/>
          <w:sz w:val="15"/>
          <w:szCs w:val="15"/>
          <w:color w:val="auto"/>
        </w:rPr>
        <w:t>As depicted in Figures 15a and 15b below, we recorded the volumes of the tumors in both the Empty Nanoparticle Group and the SVP-HPV Group to determine the efficacy of the treatment.</w:t>
      </w:r>
    </w:p>
    <w:p>
      <w:pPr>
        <w:spacing w:after="0" w:line="150"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As depicted in Figures 15a and 15b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61"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15c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5003800" cy="39128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03800" cy="391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15a through 15c.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spacing w:after="0" w:line="283" w:lineRule="auto"/>
        <w:rPr>
          <w:sz w:val="20"/>
          <w:szCs w:val="20"/>
          <w:color w:val="auto"/>
        </w:rPr>
      </w:pPr>
      <w:r>
        <w:rPr>
          <w:rFonts w:ascii="Arial" w:cs="Arial" w:eastAsia="Arial" w:hAnsi="Arial"/>
          <w:sz w:val="15"/>
          <w:szCs w:val="15"/>
          <w:color w:val="auto"/>
        </w:rPr>
        <w:t>We conducted a preclinical study to evaluate the synergistic effects our SVP technology may have with certain checkpoint inhibitors called anti-PD-L1 antibodies (Ab). In this study, mice were separated into three groups and implanted with TC-1 tumor cells.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16 below, the:</w:t>
      </w:r>
    </w:p>
    <w:p>
      <w:pPr>
        <w:spacing w:after="0" w:line="210"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first group of mice, referred to as the Empty Nanoparticle Group and indicated in blue, received empty nanoparticles;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second group of mice, referred to as the SVP-HPV Group and indicated in green, received SVP encapsulating the E7 peptide antigen and a TLR agonist; and</w:t>
      </w:r>
    </w:p>
    <w:p>
      <w:pPr>
        <w:spacing w:after="0" w:line="210"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third group of mice, referred to as the SVP-HPV + anti-PD-L1 Group and indicated in red, received SVP encapsulating the E7 protein antigen and a TLR agonist with an anti-PD-L1 antibody.</w:t>
      </w:r>
    </w:p>
    <w:p>
      <w:pPr>
        <w:spacing w:after="0" w:line="150" w:lineRule="exact"/>
        <w:rPr>
          <w:sz w:val="20"/>
          <w:szCs w:val="20"/>
          <w:color w:val="auto"/>
        </w:rPr>
      </w:pPr>
    </w:p>
    <w:p>
      <w:pPr>
        <w:ind w:left="7" w:right="280"/>
        <w:spacing w:after="0" w:line="283" w:lineRule="auto"/>
        <w:rPr>
          <w:sz w:val="20"/>
          <w:szCs w:val="20"/>
          <w:color w:val="auto"/>
        </w:rPr>
      </w:pPr>
      <w:r>
        <w:rPr>
          <w:rFonts w:ascii="Arial" w:cs="Arial" w:eastAsia="Arial" w:hAnsi="Arial"/>
          <w:sz w:val="15"/>
          <w:szCs w:val="15"/>
          <w:color w:val="auto"/>
        </w:rPr>
        <w:t>We evaluated the volumes of the tumors in the mice to determine the efficacy of treatment. We observed that the volume of the tumors in the mice in the SVP-HPV + anti-PD-L1 Group declined more significantly than that of the SVP-HPV Group and the Empty Nanoparticles Group.</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HPV-SPV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130810</wp:posOffset>
            </wp:positionV>
            <wp:extent cx="4671695" cy="30289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7169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16. Preclinical Study: Administration of SVP Encapsulating the E7 Protein Antigen and TLR Agonist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anti-nicotine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anti-nicotine antibodies were induced, but at sub-therapeutic levels. On the basis of the data from this Phase 1 trial, we obtained a new grant from NIDA to further optimize our SVP-nicotine product candidate. We are currently in preclinical studies for our optimized smoking cessation candidate with GLP toxicology studies expected in the first half of 2016.</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in compliance with cGMP.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developmental milestones up to an aggregate of $1,450,000, a mid-single digit percentage of income received in consideration of practice of patent rights or development of the products or processes in collaboration with or on behalf of a non-sublicensee corporate partner, a specified double-digit percentage of income received from sublicensees, and certain fees and costs.</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We may terminate the MIT License at any time upon 6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 Pursuant to the Sanofi Agreement, Sanofi paid us an initial payment of $2,000,000 for the initial indication and an additional $2,000,000 for a second indication. Sanofi is obligated to make additional payments to us during preclinical research totaling up to $3,000,000 for each indication, which has been achieved for the food allergy indication. For both indications, we are also eligible for (i) a $5,000,000 development candidate milestone payable to us at the start of preclinical development, (ii) further development milestones up to an aggregate of $127,000,000,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 on our own, and if we choose to do so, we will be required to pay Sanofi low-single digit royalties on net sales and a percentage of licensing revenue ranging from mid-single to low-double digits.</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 Agreement in the event of Sanofi's uncured material breach or Sanofi's challenge or assistance of others in challenging our or MIT's licensed patents.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3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Pursuant to the 3SBio License, we are required to use our commercially reasonable efforts to develop and commercialize a product containing pegsiticase or a related compound. If we do not commercialize any such product in a particular country in Asia, Africa or South America within 48 months after approval of any such product in the U.S. or a major European country, then 3SBio will have the right to do so, but only until we commercialize a product combining our SVP technology with any such compound in such country. In addition to upfront and milestone payments made to 3SBio to date,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will be required to make future payments to 3SBio contingent upon the occurrence of specified milestone-based events. We are also required to pay 3SBio tiered royalties on annual worldwide net sales (on a country-by-country and product-by-product basis) related to the pegsiticase component of products at percentages ranging from the low-to-mid single digits for products containing our SVP technology, and the mid-single digit to low double-digits for products without our SVP technology. We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3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32" w:name="page133"/>
    <w:bookmarkEnd w:id="1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66"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five issued and one allowed patent in the United States and four foreign issued patents, in all cases, owned solely by us. We also have 56 pending patent applications in the United States as well as 239 foreign pending patent applications, in all cases, owned solely by us. These patents and patent applications include claims directed to:</w:t>
      </w:r>
    </w:p>
    <w:p>
      <w:pPr>
        <w:spacing w:after="0" w:line="175"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396"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22"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6" w:lineRule="exact"/>
        <w:rPr>
          <w:rFonts w:ascii="Arial" w:cs="Arial" w:eastAsia="Arial" w:hAnsi="Arial"/>
          <w:sz w:val="15"/>
          <w:szCs w:val="15"/>
          <w:color w:val="auto"/>
        </w:rPr>
      </w:pPr>
    </w:p>
    <w:p>
      <w:pPr>
        <w:ind w:left="467" w:right="440" w:hanging="467"/>
        <w:spacing w:after="0" w:line="283"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10"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9" w:lineRule="exact"/>
        <w:rPr>
          <w:sz w:val="20"/>
          <w:szCs w:val="20"/>
          <w:color w:val="auto"/>
        </w:rPr>
      </w:pPr>
    </w:p>
    <w:p>
      <w:pPr>
        <w:ind w:left="7" w:right="20"/>
        <w:spacing w:after="0" w:line="283" w:lineRule="auto"/>
        <w:rPr>
          <w:sz w:val="20"/>
          <w:szCs w:val="20"/>
          <w:color w:val="auto"/>
        </w:rPr>
      </w:pPr>
      <w:r>
        <w:rPr>
          <w:rFonts w:ascii="Arial" w:cs="Arial" w:eastAsia="Arial" w:hAnsi="Arial"/>
          <w:sz w:val="15"/>
          <w:szCs w:val="15"/>
          <w:color w:val="auto"/>
        </w:rPr>
        <w:t>In addition, we have exclusively or non-exclusively licensed intellectual property from MIT, Brigham, Harvard Medical School and the University of Toronto, including the following patent portfolio: 16 U.S. issued patents; 11 foreign issued patents; 11 U.S. pending patent applications; and 67 foreign pending applications.</w:t>
      </w:r>
    </w:p>
    <w:p>
      <w:pPr>
        <w:spacing w:after="0" w:line="150"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limited to Australia, Brazil, China, Eurasia, including the Russian Federation, Europe, South Korea, Mexico, India, Israel and Japan.</w:t>
      </w:r>
    </w:p>
    <w:p>
      <w:pPr>
        <w:spacing w:after="0" w:line="199"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have issued patents that will expire on dates ranging from 2018 to 2032. If patents are issued on our pending patent applications, the resulting patents are expected to expire on dates ranging from 2025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567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65"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We currently have two trademark registrations, one in the United States and one in Russia. We intend to file applications for trademark registrations in connection with our product candidates in various jurisdictions, including the United States.</w:t>
      </w:r>
    </w:p>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5"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4"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Crealta Pharmaceuticals LLC, the maker of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 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70" w:lineRule="exact"/>
        <w:rPr>
          <w:sz w:val="20"/>
          <w:szCs w:val="20"/>
          <w:color w:val="auto"/>
        </w:rPr>
      </w:pPr>
    </w:p>
    <w:p>
      <w:pPr>
        <w:ind w:right="540"/>
        <w:spacing w:after="0" w:line="283"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and AstraZeneca and smaller biopharmaceutical companies such as Genocea Biosciences, Inc. and Novavax Inc.</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0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7"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right="120" w:hanging="467"/>
        <w:spacing w:after="0" w:line="283"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completion of extensive nonclinical, sometimes referred to as preclinical laboratory tests, and preclinical animal trials and applicable requirements for the humane use of laboratory animals and formulation studies in accordance with applicable regulations, including good laboratory practices, or GLPs;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10" w:lineRule="exact"/>
        <w:rPr>
          <w:rFonts w:ascii="Arial" w:cs="Arial" w:eastAsia="Arial" w:hAnsi="Arial"/>
          <w:sz w:val="15"/>
          <w:szCs w:val="15"/>
          <w:color w:val="auto"/>
        </w:rPr>
      </w:pPr>
    </w:p>
    <w:p>
      <w:pPr>
        <w:ind w:left="467" w:right="240" w:hanging="467"/>
        <w:spacing w:after="0" w:line="270"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and efficacy of the proposed biological product for its intended use;</w:t>
      </w:r>
    </w:p>
    <w:p>
      <w:pPr>
        <w:spacing w:after="0" w:line="172" w:lineRule="exact"/>
        <w:rPr>
          <w:rFonts w:ascii="Arial" w:cs="Arial" w:eastAsia="Arial" w:hAnsi="Arial"/>
          <w:sz w:val="15"/>
          <w:szCs w:val="15"/>
          <w:color w:val="auto"/>
        </w:rPr>
      </w:pPr>
    </w:p>
    <w:p>
      <w:pPr>
        <w:ind w:left="467" w:hanging="467"/>
        <w:spacing w:after="0"/>
        <w:tabs>
          <w:tab w:leader="none" w:pos="467" w:val="left"/>
        </w:tabs>
        <w:numPr>
          <w:ilvl w:val="0"/>
          <w:numId w:val="84"/>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33" w:lineRule="exact"/>
        <w:rPr>
          <w:rFonts w:ascii="Arial" w:cs="Arial" w:eastAsia="Arial" w:hAnsi="Arial"/>
          <w:sz w:val="14"/>
          <w:szCs w:val="14"/>
          <w:color w:val="auto"/>
        </w:rPr>
      </w:pPr>
    </w:p>
    <w:p>
      <w:pPr>
        <w:ind w:left="467" w:right="840" w:hanging="467"/>
        <w:spacing w:after="0" w:line="283"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7" w:name="page138"/>
    <w:bookmarkEnd w:id="13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7"/>
        <w:spacing w:after="0"/>
        <w:rPr>
          <w:sz w:val="20"/>
          <w:szCs w:val="20"/>
          <w:color w:val="auto"/>
        </w:rPr>
      </w:pPr>
      <w:r>
        <w:rPr>
          <w:rFonts w:ascii="Arial" w:cs="Arial" w:eastAsia="Arial" w:hAnsi="Arial"/>
          <w:sz w:val="15"/>
          <w:szCs w:val="15"/>
          <w:color w:val="auto"/>
        </w:rPr>
        <w:t>cGMP, requirements to assure that the facilities, methods and controls are adequate to preserve the biological product's identity, strength, quality and purity;</w:t>
      </w:r>
    </w:p>
    <w:p>
      <w:pPr>
        <w:spacing w:after="0" w:line="210" w:lineRule="exact"/>
        <w:rPr>
          <w:sz w:val="20"/>
          <w:szCs w:val="20"/>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9" w:lineRule="exact"/>
        <w:rPr>
          <w:sz w:val="20"/>
          <w:szCs w:val="20"/>
          <w:color w:val="auto"/>
        </w:rPr>
      </w:pPr>
    </w:p>
    <w:p>
      <w:pPr>
        <w:ind w:left="7" w:right="40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61"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51"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380" w:hanging="467"/>
        <w:spacing w:after="0" w:line="363" w:lineRule="auto"/>
        <w:tabs>
          <w:tab w:leader="none" w:pos="467"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16" w:lineRule="exact"/>
        <w:rPr>
          <w:rFonts w:ascii="Arial" w:cs="Arial" w:eastAsia="Arial" w:hAnsi="Arial"/>
          <w:sz w:val="13"/>
          <w:szCs w:val="13"/>
          <w:color w:val="auto"/>
        </w:rPr>
      </w:pPr>
    </w:p>
    <w:p>
      <w:pPr>
        <w:ind w:left="467" w:right="20" w:hanging="467"/>
        <w:spacing w:after="0" w:line="283" w:lineRule="auto"/>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7"/>
          </w:cols>
          <w:pgMar w:left="233" w:top="132" w:right="319" w:bottom="1440" w:gutter="0" w:footer="0" w:header="0"/>
        </w:sectPr>
      </w:pPr>
    </w:p>
    <w:bookmarkStart w:id="138" w:name="page139"/>
    <w:bookmarkEnd w:id="13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line="320" w:lineRule="auto"/>
        <w:tabs>
          <w:tab w:leader="none" w:pos="467"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0"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the NIH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69" w:lineRule="exact"/>
        <w:rPr>
          <w:sz w:val="20"/>
          <w:szCs w:val="20"/>
          <w:color w:val="auto"/>
        </w:rPr>
      </w:pPr>
    </w:p>
    <w:p>
      <w:pPr>
        <w:ind w:left="7" w:right="2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4" w:lineRule="exact"/>
        <w:rPr>
          <w:sz w:val="20"/>
          <w:szCs w:val="20"/>
          <w:color w:val="auto"/>
        </w:rPr>
      </w:pPr>
    </w:p>
    <w:p>
      <w:pPr>
        <w:ind w:left="7" w:right="100"/>
        <w:spacing w:after="0" w:line="285" w:lineRule="auto"/>
        <w:rPr>
          <w:sz w:val="20"/>
          <w:szCs w:val="20"/>
          <w:color w:val="auto"/>
        </w:rPr>
      </w:pPr>
      <w:r>
        <w:rPr>
          <w:rFonts w:ascii="Arial" w:cs="Arial" w:eastAsia="Arial" w:hAnsi="Arial"/>
          <w:sz w:val="14"/>
          <w:szCs w:val="14"/>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157" w:lineRule="exact"/>
        <w:rPr>
          <w:sz w:val="20"/>
          <w:szCs w:val="20"/>
          <w:color w:val="auto"/>
        </w:rPr>
      </w:pPr>
    </w:p>
    <w:p>
      <w:pPr>
        <w:ind w:right="4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6"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5"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4" w:lineRule="exact"/>
        <w:rPr>
          <w:sz w:val="20"/>
          <w:szCs w:val="20"/>
          <w:color w:val="auto"/>
        </w:rPr>
      </w:pPr>
    </w:p>
    <w:p>
      <w:pPr>
        <w:ind w:right="80"/>
        <w:spacing w:after="0" w:line="307" w:lineRule="auto"/>
        <w:rPr>
          <w:sz w:val="20"/>
          <w:szCs w:val="20"/>
          <w:color w:val="auto"/>
        </w:rPr>
      </w:pPr>
      <w:r>
        <w:rPr>
          <w:rFonts w:ascii="Arial" w:cs="Arial" w:eastAsia="Arial" w:hAnsi="Arial"/>
          <w:sz w:val="13"/>
          <w:szCs w:val="13"/>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26567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7"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5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50"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With respect to any gene therapy products we may develop, the FDA works closely with the National Institutes of Health, or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52"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3" w:lineRule="exact"/>
        <w:rPr>
          <w:sz w:val="20"/>
          <w:szCs w:val="20"/>
          <w:color w:val="auto"/>
        </w:rPr>
      </w:pPr>
    </w:p>
    <w:p>
      <w:pPr>
        <w:ind w:right="400"/>
        <w:spacing w:after="0" w:line="283"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jc w:val="both"/>
        <w:ind w:right="100"/>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53"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4" w:name="page145"/>
    <w:bookmarkEnd w:id="14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4"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1"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left="7" w:right="200"/>
        <w:spacing w:after="0" w:line="320"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left="7" w:right="80"/>
        <w:spacing w:after="0" w:line="264"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5" w:lineRule="exact"/>
        <w:rPr>
          <w:sz w:val="20"/>
          <w:szCs w:val="20"/>
          <w:color w:val="auto"/>
        </w:rPr>
      </w:pPr>
    </w:p>
    <w:p>
      <w:pPr>
        <w:ind w:left="7" w:right="380"/>
        <w:spacing w:after="0" w:line="320"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28"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60" w:hanging="467"/>
        <w:spacing w:after="0" w:line="291" w:lineRule="auto"/>
        <w:tabs>
          <w:tab w:leader="none" w:pos="467"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6567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5" w:name="page146"/>
    <w:bookmarkEnd w:id="14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7" w:right="40"/>
        <w:spacing w:after="0" w:line="264" w:lineRule="auto"/>
        <w:rPr>
          <w:sz w:val="20"/>
          <w:szCs w:val="20"/>
          <w:color w:val="auto"/>
        </w:rPr>
      </w:pPr>
      <w:r>
        <w:rPr>
          <w:rFonts w:ascii="Arial" w:cs="Arial" w:eastAsia="Arial" w:hAnsi="Arial"/>
          <w:sz w:val="15"/>
          <w:szCs w:val="15"/>
          <w:color w:val="auto"/>
        </w:rPr>
        <w:t>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77" w:lineRule="exact"/>
        <w:rPr>
          <w:sz w:val="20"/>
          <w:szCs w:val="20"/>
          <w:color w:val="auto"/>
        </w:rPr>
      </w:pPr>
    </w:p>
    <w:p>
      <w:pPr>
        <w:ind w:left="467" w:right="20" w:hanging="467"/>
        <w:spacing w:after="0" w:line="266" w:lineRule="auto"/>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4"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69" w:lineRule="exact"/>
        <w:rPr>
          <w:sz w:val="20"/>
          <w:szCs w:val="20"/>
          <w:color w:val="auto"/>
        </w:rPr>
      </w:pPr>
    </w:p>
    <w:p>
      <w:pPr>
        <w:ind w:left="7" w:right="180"/>
        <w:spacing w:after="0" w:line="307" w:lineRule="auto"/>
        <w:rPr>
          <w:sz w:val="20"/>
          <w:szCs w:val="20"/>
          <w:color w:val="auto"/>
        </w:rPr>
      </w:pPr>
      <w:r>
        <w:rPr>
          <w:rFonts w:ascii="Arial" w:cs="Arial" w:eastAsia="Arial" w:hAnsi="Arial"/>
          <w:sz w:val="13"/>
          <w:szCs w:val="13"/>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6567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46" w:name="page147"/>
    <w:bookmarkEnd w:id="14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submitted. Orphan drug designation does not convey any advantage in, or shorten the duration of, the regulatory review and approval process.</w:t>
      </w:r>
    </w:p>
    <w:p>
      <w:pPr>
        <w:spacing w:after="0" w:line="199"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2"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9"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61" w:lineRule="exact"/>
        <w:rPr>
          <w:sz w:val="20"/>
          <w:szCs w:val="20"/>
          <w:color w:val="auto"/>
        </w:rPr>
      </w:pPr>
    </w:p>
    <w:p>
      <w:pPr>
        <w:ind w:left="7" w:right="300"/>
        <w:spacing w:after="0" w:line="283"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20"/>
        <w:spacing w:after="0" w:line="363"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180"/>
        <w:spacing w:after="0" w:line="281" w:lineRule="auto"/>
        <w:rPr>
          <w:sz w:val="20"/>
          <w:szCs w:val="20"/>
          <w:color w:val="auto"/>
        </w:rPr>
      </w:pPr>
      <w:r>
        <w:rPr>
          <w:rFonts w:ascii="Arial" w:cs="Arial" w:eastAsia="Arial" w:hAnsi="Arial"/>
          <w:sz w:val="14"/>
          <w:szCs w:val="14"/>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right="100"/>
        <w:spacing w:after="0" w:line="291"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5"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53" w:lineRule="exact"/>
        <w:rPr>
          <w:sz w:val="20"/>
          <w:szCs w:val="20"/>
          <w:color w:val="auto"/>
        </w:rPr>
      </w:pPr>
    </w:p>
    <w:p>
      <w:pPr>
        <w:ind w:right="20"/>
        <w:spacing w:after="0" w:line="314" w:lineRule="auto"/>
        <w:rPr>
          <w:sz w:val="20"/>
          <w:szCs w:val="20"/>
          <w:color w:val="auto"/>
        </w:rPr>
      </w:pPr>
      <w:r>
        <w:rPr>
          <w:rFonts w:ascii="Arial" w:cs="Arial" w:eastAsia="Arial" w:hAnsi="Arial"/>
          <w:sz w:val="13"/>
          <w:szCs w:val="13"/>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26567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w:t>
      </w:r>
    </w:p>
    <w:p>
      <w:pPr>
        <w:spacing w:after="0" w:line="15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healthcare reforms may prevent us from being able to generate revenue, attain profitability or commercialize our drugs.</w:t>
      </w:r>
    </w:p>
    <w:p>
      <w:pPr>
        <w:spacing w:after="0" w:line="19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2015, we had 52 full-time employees, 43 of whom were primarily engaged in research and development activities. A total of 24 employees have an M.D. or Ph.D.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degree. 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employees and directors as of October 31, 2015.</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5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9"/>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3"/>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55</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44</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49</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Counsel and Corporate Secretary</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57</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Siewers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Omid Farokhzad,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46</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Peter Barton Hutt, J.D., L.L.B., L.L.M</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Robert Langer, Sc.D.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90"/>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Leysan Shaydullina,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22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3"/>
          <w:szCs w:val="13"/>
          <w:i w:val="1"/>
          <w:iCs w:val="1"/>
          <w:color w:val="auto"/>
        </w:rPr>
        <w:t xml:space="preserve">Werner Cautreels, Ph.D. </w:t>
      </w:r>
      <w:r>
        <w:rPr>
          <w:rFonts w:ascii="Arial" w:cs="Arial" w:eastAsia="Arial" w:hAnsi="Arial"/>
          <w:sz w:val="13"/>
          <w:szCs w:val="13"/>
          <w:color w:val="auto"/>
        </w:rPr>
        <w:t>has served as our President, Chief Executive Officer and member of our board of directors since July 2010. Prior to joining Selecta, Dr. Cautreels was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Ph.D. in Chemistry, specializing in Mass Spectrometry, from the University of Antwerp (Antwerp, Belgium), and his financial and business training from the Advanced Management Program at Harvard Business School.</w:t>
      </w:r>
    </w:p>
    <w:p>
      <w:pPr>
        <w:spacing w:after="0" w:line="150"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6"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28"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1"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3"/>
          <w:szCs w:val="13"/>
          <w:i w:val="1"/>
          <w:iCs w:val="1"/>
          <w:color w:val="auto"/>
        </w:rPr>
        <w:t xml:space="preserve">Dmitry Ovchinnikov, Ph.D. </w:t>
      </w:r>
      <w:r>
        <w:rPr>
          <w:rFonts w:ascii="Arial" w:cs="Arial" w:eastAsia="Arial" w:hAnsi="Arial"/>
          <w:sz w:val="13"/>
          <w:szCs w:val="13"/>
          <w:color w:val="auto"/>
        </w:rPr>
        <w:t>has served as the General Director of our Russian operations since August 2013, and served as General Deputy Director from May 2012 to August 2013.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 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2"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i w:val="1"/>
          <w:iCs w:val="1"/>
          <w:color w:val="auto"/>
        </w:rPr>
        <w:t xml:space="preserve">Carl Gordon, Ph.D. </w:t>
      </w:r>
      <w:r>
        <w:rPr>
          <w:rFonts w:ascii="Arial" w:cs="Arial" w:eastAsia="Arial" w:hAnsi="Arial"/>
          <w:sz w:val="13"/>
          <w:szCs w:val="13"/>
          <w:color w:val="auto"/>
        </w:rPr>
        <w:t>has served as a member of our board of directors since 2010. Dr. Gordon serves as General Partner and Co-Head of Private Equity of OrbiMed Advisors LLC, which he</w:t>
      </w:r>
      <w:r>
        <w:rPr>
          <w:rFonts w:ascii="Arial" w:cs="Arial" w:eastAsia="Arial" w:hAnsi="Arial"/>
          <w:sz w:val="13"/>
          <w:szCs w:val="13"/>
          <w:i w:val="1"/>
          <w:iCs w:val="1"/>
          <w:color w:val="auto"/>
        </w:rPr>
        <w:t xml:space="preserve"> </w:t>
      </w:r>
      <w:r>
        <w:rPr>
          <w:rFonts w:ascii="Arial" w:cs="Arial" w:eastAsia="Arial" w:hAnsi="Arial"/>
          <w:sz w:val="13"/>
          <w:szCs w:val="13"/>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36"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i w:val="1"/>
          <w:iCs w:val="1"/>
          <w:color w:val="auto"/>
        </w:rPr>
        <w:t xml:space="preserve">Peter Barton Hutt, J.D.,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2"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i w:val="1"/>
          <w:iCs w:val="1"/>
          <w:color w:val="auto"/>
        </w:rPr>
        <w:t xml:space="preserve">Edwin M. Kania </w:t>
      </w:r>
      <w:r>
        <w:rPr>
          <w:rFonts w:ascii="Arial" w:cs="Arial" w:eastAsia="Arial" w:hAnsi="Arial"/>
          <w:sz w:val="14"/>
          <w:szCs w:val="14"/>
          <w:color w:val="auto"/>
        </w:rPr>
        <w:t>has served as a member of our board of directors since 2013. Mr. Kania is Co-Founder of Flagship Ventures, a Boston-based venture capital firm, and serves as a Managing</w:t>
      </w:r>
      <w:r>
        <w:rPr>
          <w:rFonts w:ascii="Arial" w:cs="Arial" w:eastAsia="Arial" w:hAnsi="Arial"/>
          <w:sz w:val="14"/>
          <w:szCs w:val="14"/>
          <w:i w:val="1"/>
          <w:iCs w:val="1"/>
          <w:color w:val="auto"/>
        </w:rPr>
        <w:t xml:space="preserve"> </w:t>
      </w: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Harvard Business School. Mr. Kania's extensive investment experience in the biotechnology sector contributed to our board of directors' conclusion that he should serve as a director of our company.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w:t>
      </w:r>
    </w:p>
    <w:p>
      <w:pPr>
        <w:spacing w:after="0" w:line="156" w:lineRule="exact"/>
        <w:rPr>
          <w:sz w:val="20"/>
          <w:szCs w:val="20"/>
          <w:color w:val="auto"/>
        </w:rPr>
      </w:pPr>
    </w:p>
    <w:p>
      <w:pPr>
        <w:spacing w:after="0" w:line="285"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3" w:lineRule="exact"/>
        <w:rPr>
          <w:sz w:val="20"/>
          <w:szCs w:val="20"/>
          <w:color w:val="auto"/>
        </w:rPr>
      </w:pPr>
    </w:p>
    <w:p>
      <w:pPr>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spacing w:after="0" w:line="1" w:lineRule="exact"/>
        <w:rPr>
          <w:sz w:val="20"/>
          <w:szCs w:val="20"/>
          <w:color w:val="auto"/>
        </w:rPr>
      </w:pPr>
    </w:p>
    <w:p>
      <w:pPr>
        <w:jc w:val="both"/>
        <w:ind w:right="100"/>
        <w:spacing w:after="0" w:line="295" w:lineRule="auto"/>
        <w:rPr>
          <w:sz w:val="20"/>
          <w:szCs w:val="20"/>
          <w:color w:val="auto"/>
        </w:rPr>
      </w:pPr>
      <w:r>
        <w:rPr>
          <w:rFonts w:ascii="Arial" w:cs="Arial" w:eastAsia="Arial" w:hAnsi="Arial"/>
          <w:sz w:val="14"/>
          <w:szCs w:val="14"/>
          <w:color w:val="auto"/>
        </w:rPr>
        <w:t>Mr. Sallin has worked to generate and close investments of hundreds of millions of dollars into several of NanoDimension's portfolio companies. He currently serves as a board member of View, Inc., CROCUS Technology and Blend Therapeutics.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44"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i w:val="1"/>
          <w:iCs w:val="1"/>
          <w:color w:val="auto"/>
        </w:rPr>
        <w:t xml:space="preserve">George Siber, M.D. </w:t>
      </w:r>
      <w:r>
        <w:rPr>
          <w:rFonts w:ascii="Arial" w:cs="Arial" w:eastAsia="Arial" w:hAnsi="Arial"/>
          <w:sz w:val="15"/>
          <w:szCs w:val="15"/>
          <w:color w:val="auto"/>
        </w:rPr>
        <w:t>has served as a member of our board of directors since 2009. Since 2008, Dr. Siber has served as an Adjunct Professor at John Hopkins University in the School of</w:t>
      </w:r>
      <w:r>
        <w:rPr>
          <w:rFonts w:ascii="Arial" w:cs="Arial" w:eastAsia="Arial" w:hAnsi="Arial"/>
          <w:sz w:val="15"/>
          <w:szCs w:val="15"/>
          <w:i w:val="1"/>
          <w:iCs w:val="1"/>
          <w:color w:val="auto"/>
        </w:rPr>
        <w:t xml:space="preserve"> </w:t>
      </w:r>
      <w:r>
        <w:rPr>
          <w:rFonts w:ascii="Arial" w:cs="Arial" w:eastAsia="Arial" w:hAnsi="Arial"/>
          <w:sz w:val="15"/>
          <w:szCs w:val="15"/>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chairmain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qualifies him to serve as a member of our board of directors.</w:t>
      </w:r>
    </w:p>
    <w:p>
      <w:pPr>
        <w:spacing w:after="0" w:line="16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 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jc w:val="both"/>
        <w:ind w:left="1020" w:right="140" w:hanging="1017"/>
        <w:spacing w:after="0" w:line="261" w:lineRule="auto"/>
        <w:rPr>
          <w:sz w:val="20"/>
          <w:szCs w:val="20"/>
          <w:color w:val="auto"/>
        </w:rPr>
      </w:pPr>
      <w:r>
        <w:rPr>
          <w:rFonts w:ascii="Arial" w:cs="Arial" w:eastAsia="Arial" w:hAnsi="Arial"/>
          <w:sz w:val="15"/>
          <w:szCs w:val="15"/>
          <w:color w:val="auto"/>
        </w:rPr>
        <w:t>Our board of directors currently consists of ten members. Our board of directors has determined that, of our ten directors,</w:t>
      </w:r>
      <w:r>
        <w:rPr>
          <w:sz w:val="20"/>
          <w:szCs w:val="20"/>
          <w:color w:val="auto"/>
        </w:rPr>
        <w:t xml:space="preserve"> </w:t>
      </w:r>
      <w:r>
        <w:rPr>
          <w:rFonts w:ascii="Arial" w:cs="Arial" w:eastAsia="Arial" w:hAnsi="Arial"/>
          <w:sz w:val="15"/>
          <w:szCs w:val="15"/>
          <w:color w:val="auto"/>
        </w:rPr>
        <w:t>, , , and do not have a relationship that would interfere with the exercise of independent judgment in carrying out the responsibilities of a director and</w:t>
      </w:r>
    </w:p>
    <w:p>
      <w:pPr>
        <w:spacing w:after="0" w:line="186"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that each of these directors is "independent" as that term is defined under the rules of The NASDAQ Stock Market LLC, or NASDAQ. There are no family relationships among any of our directors or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43" w:lineRule="exact"/>
        <w:rPr>
          <w:sz w:val="20"/>
          <w:szCs w:val="20"/>
          <w:color w:val="auto"/>
        </w:rPr>
      </w:pPr>
    </w:p>
    <w:p>
      <w:pPr>
        <w:spacing w:after="0"/>
        <w:tabs>
          <w:tab w:leader="none" w:pos="440" w:val="left"/>
          <w:tab w:leader="none" w:pos="2580" w:val="left"/>
          <w:tab w:leader="none" w:pos="3120" w:val="left"/>
          <w:tab w:leader="none" w:pos="3680" w:val="left"/>
          <w:tab w:leader="none" w:pos="4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Class I directors will be</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4"/>
          <w:szCs w:val="14"/>
          <w:color w:val="auto"/>
        </w:rPr>
        <w:t>, and their terms will expire at our first annual meeting of stockholders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6567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7" w:name="page158"/>
    <w:bookmarkEnd w:id="157"/>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Class II directors will be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our second annual meeting of stockholders following this offering; and</w:t>
      </w:r>
    </w:p>
    <w:p>
      <w:pPr>
        <w:spacing w:after="0" w:line="211" w:lineRule="exact"/>
        <w:rPr>
          <w:sz w:val="20"/>
          <w:szCs w:val="20"/>
          <w:color w:val="auto"/>
        </w:rPr>
      </w:pPr>
    </w:p>
    <w:p>
      <w:pPr>
        <w:sectPr>
          <w:pgSz w:w="11900" w:h="16838" w:orient="portrait"/>
          <w:cols w:equalWidth="0" w:num="5">
            <w:col w:w="40" w:space="420"/>
            <w:col w:w="2000" w:space="720"/>
            <w:col w:w="40" w:space="520"/>
            <w:col w:w="220" w:space="500"/>
            <w:col w:w="6960"/>
          </w:cols>
          <w:pgMar w:left="240" w:top="133"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Class III directors will be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the third annual meeting of stockholders following this offering.</w:t>
      </w:r>
    </w:p>
    <w:p>
      <w:pPr>
        <w:spacing w:after="0" w:line="211" w:lineRule="exact"/>
        <w:rPr>
          <w:sz w:val="20"/>
          <w:szCs w:val="20"/>
          <w:color w:val="auto"/>
        </w:rPr>
      </w:pPr>
    </w:p>
    <w:p>
      <w:pPr>
        <w:sectPr>
          <w:pgSz w:w="11900" w:h="16838" w:orient="portrait"/>
          <w:cols w:equalWidth="0" w:num="5">
            <w:col w:w="40" w:space="420"/>
            <w:col w:w="1760" w:space="480"/>
            <w:col w:w="380" w:space="720"/>
            <w:col w:w="220" w:space="480"/>
            <w:col w:w="6920"/>
          </w:cols>
          <w:pgMar w:left="240" w:top="133" w:right="239" w:bottom="1440" w:gutter="0" w:footer="0" w:header="0"/>
          <w:type w:val="continuous"/>
        </w:sectPr>
      </w:pPr>
    </w:p>
    <w:p>
      <w:pPr>
        <w:spacing w:after="0" w:line="1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 member of management or does not otherwise qualify as independent, the independent directors of the board may or may not elect a lead director.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type w:val="continuous"/>
        </w:sectPr>
      </w:pPr>
    </w:p>
    <w:bookmarkStart w:id="158" w:name="page159"/>
    <w:bookmarkEnd w:id="15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460"/>
        <w:spacing w:after="0" w:line="283" w:lineRule="auto"/>
        <w:rPr>
          <w:sz w:val="20"/>
          <w:szCs w:val="20"/>
          <w:color w:val="auto"/>
        </w:rPr>
      </w:pPr>
      <w:r>
        <w:rPr>
          <w:rFonts w:ascii="Arial" w:cs="Arial" w:eastAsia="Arial" w:hAnsi="Arial"/>
          <w:sz w:val="15"/>
          <w:szCs w:val="15"/>
          <w:color w:val="auto"/>
        </w:rPr>
        <w:t xml:space="preserve">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 consider it to be a part of this prospectus.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10" w:lineRule="exact"/>
        <w:rPr>
          <w:rFonts w:ascii="Arial" w:cs="Arial" w:eastAsia="Arial" w:hAnsi="Arial"/>
          <w:sz w:val="15"/>
          <w:szCs w:val="15"/>
          <w:color w:val="auto"/>
        </w:rPr>
      </w:pPr>
    </w:p>
    <w:p>
      <w:pPr>
        <w:ind w:left="467" w:right="520" w:hanging="467"/>
        <w:spacing w:after="0" w:line="283"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9"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The members of our audit committee are , and . serves as the chairperson of the committee. All members of our audit committee meet the requirements for financial literacy under the applicable rules and regulations of the SEC and . Our board of directors has determined that and meet the independence requirements of Rule 10A-3 under the Exchange Act and the applicable listing standards of NASDAQ. Our board of directors has determined that is an "audit committee financial expert" as defined by applicable SEC rules and has the requisite financial sophistication as defined under the applicable NASDAQ rules and regulations.</w:t>
      </w:r>
    </w:p>
    <w:p>
      <w:pPr>
        <w:spacing w:after="0" w:line="3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9" w:name="page160"/>
    <w:bookmarkEnd w:id="15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9" w:lineRule="exact"/>
        <w:rPr>
          <w:sz w:val="20"/>
          <w:szCs w:val="20"/>
          <w:color w:val="auto"/>
        </w:rPr>
      </w:pPr>
    </w:p>
    <w:p>
      <w:pPr>
        <w:jc w:val="both"/>
        <w:ind w:left="7"/>
        <w:spacing w:after="0" w:line="261" w:lineRule="auto"/>
        <w:rPr>
          <w:sz w:val="20"/>
          <w:szCs w:val="20"/>
          <w:color w:val="auto"/>
        </w:rPr>
      </w:pPr>
      <w:r>
        <w:rPr>
          <w:rFonts w:ascii="Arial" w:cs="Arial" w:eastAsia="Arial" w:hAnsi="Arial"/>
          <w:sz w:val="15"/>
          <w:szCs w:val="15"/>
          <w:color w:val="auto"/>
        </w:rPr>
        <w:t>The members of our compensation committee are , and . serves as the chairperson of the committee. Our board of directors has determined that each of , and is independent under the applicable NASDAQ rules and regulations, is a "non-employee</w:t>
      </w:r>
    </w:p>
    <w:p>
      <w:pPr>
        <w:spacing w:after="0" w:line="1" w:lineRule="exact"/>
        <w:rPr>
          <w:sz w:val="20"/>
          <w:szCs w:val="20"/>
          <w:color w:val="auto"/>
        </w:rPr>
      </w:pPr>
    </w:p>
    <w:p>
      <w:pPr>
        <w:ind w:left="7" w:right="620"/>
        <w:spacing w:after="0" w:line="276" w:lineRule="auto"/>
        <w:rPr>
          <w:sz w:val="20"/>
          <w:szCs w:val="20"/>
          <w:color w:val="auto"/>
        </w:rPr>
      </w:pPr>
      <w:r>
        <w:rPr>
          <w:rFonts w:ascii="Arial" w:cs="Arial" w:eastAsia="Arial" w:hAnsi="Arial"/>
          <w:sz w:val="15"/>
          <w:szCs w:val="15"/>
          <w:color w:val="auto"/>
        </w:rPr>
        <w:t>director" as defined in Rule 16b-3 promulgated under the Securities Exchange Act of 1934, as amended, or the Exchange Act, and is an "outside director" as that term is defined in Section 162(m) of the Code.</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ectPr>
          <w:pgSz w:w="11900" w:h="16838" w:orient="portrait"/>
          <w:cols w:equalWidth="0" w:num="1">
            <w:col w:w="11427"/>
          </w:cols>
          <w:pgMar w:left="233" w:top="132" w:right="239" w:bottom="1440" w:gutter="0" w:footer="0" w:header="0"/>
        </w:sectPr>
      </w:pPr>
    </w:p>
    <w:p>
      <w:pPr>
        <w:spacing w:after="0" w:line="199" w:lineRule="exact"/>
        <w:rPr>
          <w:sz w:val="20"/>
          <w:szCs w:val="20"/>
          <w:color w:val="auto"/>
        </w:rPr>
      </w:pPr>
    </w:p>
    <w:p>
      <w:pPr>
        <w:ind w:left="7" w:right="220"/>
        <w:spacing w:after="0" w:line="320" w:lineRule="auto"/>
        <w:rPr>
          <w:sz w:val="20"/>
          <w:szCs w:val="20"/>
          <w:color w:val="auto"/>
        </w:rPr>
      </w:pPr>
      <w:r>
        <w:rPr>
          <w:rFonts w:ascii="Arial" w:cs="Arial" w:eastAsia="Arial" w:hAnsi="Arial"/>
          <w:sz w:val="14"/>
          <w:szCs w:val="14"/>
          <w:color w:val="auto"/>
        </w:rPr>
        <w:t>The members of our nominating and corporate governance committee are committee. Our board of directors has determined that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540" w:hanging="104"/>
        <w:spacing w:after="0" w:line="283" w:lineRule="auto"/>
        <w:rPr>
          <w:sz w:val="20"/>
          <w:szCs w:val="20"/>
          <w:color w:val="auto"/>
        </w:rPr>
      </w:pPr>
      <w:r>
        <w:rPr>
          <w:rFonts w:ascii="Arial" w:cs="Arial" w:eastAsia="Arial" w:hAnsi="Arial"/>
          <w:sz w:val="15"/>
          <w:szCs w:val="15"/>
          <w:color w:val="auto"/>
        </w:rPr>
        <w:t>and</w:t>
      </w:r>
      <w:r>
        <w:rPr>
          <w:sz w:val="20"/>
          <w:szCs w:val="20"/>
          <w:color w:val="auto"/>
        </w:rPr>
        <w:t xml:space="preserve"> </w:t>
      </w:r>
      <w:r>
        <w:rPr>
          <w:rFonts w:ascii="Arial" w:cs="Arial" w:eastAsia="Arial" w:hAnsi="Arial"/>
          <w:sz w:val="15"/>
          <w:szCs w:val="15"/>
          <w:color w:val="auto"/>
        </w:rPr>
        <w:t>. serves as the chairperson of the are independent under the applicable NASDAQ rules and regulations.</w:t>
      </w:r>
    </w:p>
    <w:p>
      <w:pPr>
        <w:spacing w:after="0" w:line="142" w:lineRule="exact"/>
        <w:rPr>
          <w:sz w:val="20"/>
          <w:szCs w:val="20"/>
          <w:color w:val="auto"/>
        </w:rPr>
      </w:pPr>
    </w:p>
    <w:p>
      <w:pPr>
        <w:sectPr>
          <w:pgSz w:w="11900" w:h="16838" w:orient="portrait"/>
          <w:cols w:equalWidth="0" w:num="3">
            <w:col w:w="4667" w:space="720"/>
            <w:col w:w="560" w:space="720"/>
            <w:col w:w="4760"/>
          </w:cols>
          <w:pgMar w:left="233" w:top="132" w:right="23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2014.</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type w:val="continuous"/>
        </w:sectPr>
      </w:pPr>
    </w:p>
    <w:bookmarkStart w:id="160" w:name="page161"/>
    <w:bookmarkEnd w:id="16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280"/>
        <w:spacing w:after="0" w:line="283"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2014, our named executive officers were:</w:t>
      </w:r>
    </w:p>
    <w:p>
      <w:pPr>
        <w:spacing w:after="0" w:line="162" w:lineRule="exact"/>
        <w:rPr>
          <w:sz w:val="20"/>
          <w:szCs w:val="20"/>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Lloyd Johnston, Ph.D., Chief Operating Officer and Senior Vice President, Research and Development;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9" w:lineRule="exact"/>
        <w:rPr>
          <w:sz w:val="20"/>
          <w:szCs w:val="20"/>
          <w:color w:val="auto"/>
        </w:rPr>
      </w:pPr>
    </w:p>
    <w:p>
      <w:pPr>
        <w:ind w:left="7" w:right="340"/>
        <w:spacing w:after="0" w:line="283"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2014 SUMMARY COMPENSATION TABLE</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jc w:val="right"/>
              <w:ind w:right="320"/>
              <w:spacing w:after="0"/>
              <w:rPr>
                <w:sz w:val="20"/>
                <w:szCs w:val="20"/>
                <w:color w:val="auto"/>
              </w:rPr>
            </w:pPr>
            <w:r>
              <w:rPr>
                <w:rFonts w:ascii="Arial" w:cs="Arial" w:eastAsia="Arial" w:hAnsi="Arial"/>
                <w:sz w:val="12"/>
                <w:szCs w:val="12"/>
                <w:b w:val="1"/>
                <w:bCs w:val="1"/>
                <w:color w:val="auto"/>
              </w:rPr>
              <w:t>Non-equity</w:t>
            </w:r>
          </w:p>
        </w:tc>
        <w:tc>
          <w:tcPr>
            <w:tcW w:w="1180" w:type="dxa"/>
            <w:vAlign w:val="bottom"/>
          </w:tcPr>
          <w:p>
            <w:pPr>
              <w:jc w:val="right"/>
              <w:ind w:right="360"/>
              <w:spacing w:after="0"/>
              <w:rPr>
                <w:sz w:val="20"/>
                <w:szCs w:val="20"/>
                <w:color w:val="auto"/>
              </w:rPr>
            </w:pPr>
            <w:r>
              <w:rPr>
                <w:rFonts w:ascii="Arial" w:cs="Arial" w:eastAsia="Arial" w:hAnsi="Arial"/>
                <w:sz w:val="12"/>
                <w:szCs w:val="12"/>
                <w:b w:val="1"/>
                <w:bCs w:val="1"/>
                <w:color w:val="auto"/>
              </w:rPr>
              <w:t>All other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rPr>
              <w:t>incentive plan</w:t>
            </w:r>
          </w:p>
        </w:tc>
        <w:tc>
          <w:tcPr>
            <w:tcW w:w="1180" w:type="dxa"/>
            <w:vAlign w:val="bottom"/>
          </w:tcPr>
          <w:p>
            <w:pPr>
              <w:jc w:val="right"/>
              <w:ind w:right="200"/>
              <w:spacing w:after="0"/>
              <w:rPr>
                <w:sz w:val="20"/>
                <w:szCs w:val="20"/>
                <w:color w:val="auto"/>
              </w:rPr>
            </w:pPr>
            <w:r>
              <w:rPr>
                <w:rFonts w:ascii="Arial" w:cs="Arial" w:eastAsia="Arial" w:hAnsi="Arial"/>
                <w:sz w:val="12"/>
                <w:szCs w:val="12"/>
                <w:b w:val="1"/>
                <w:bCs w:val="1"/>
                <w:color w:val="auto"/>
              </w:rPr>
              <w:t>compensation</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6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600" w:type="dxa"/>
            <w:vAlign w:val="bottom"/>
          </w:tcPr>
          <w:p>
            <w:pPr>
              <w:jc w:val="right"/>
              <w:ind w:right="101"/>
              <w:spacing w:after="0"/>
              <w:rPr>
                <w:sz w:val="20"/>
                <w:szCs w:val="20"/>
                <w:color w:val="auto"/>
              </w:rPr>
            </w:pPr>
            <w:r>
              <w:rPr>
                <w:rFonts w:ascii="Arial" w:cs="Arial" w:eastAsia="Arial" w:hAnsi="Arial"/>
                <w:sz w:val="12"/>
                <w:szCs w:val="12"/>
                <w:b w:val="1"/>
                <w:bCs w:val="1"/>
                <w:color w:val="auto"/>
              </w:rPr>
              <w:t>Year</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20" w:type="dxa"/>
            <w:vAlign w:val="bottom"/>
          </w:tcPr>
          <w:p>
            <w:pPr>
              <w:jc w:val="right"/>
              <w:ind w:right="61"/>
              <w:spacing w:after="0"/>
              <w:rPr>
                <w:sz w:val="20"/>
                <w:szCs w:val="20"/>
                <w:color w:val="auto"/>
              </w:rPr>
            </w:pPr>
            <w:r>
              <w:rPr>
                <w:rFonts w:ascii="Arial" w:cs="Arial" w:eastAsia="Arial" w:hAnsi="Arial"/>
                <w:sz w:val="12"/>
                <w:szCs w:val="12"/>
                <w:b w:val="1"/>
                <w:bCs w:val="1"/>
                <w:color w:val="auto"/>
              </w:rPr>
              <w:t>Option awards ($)(1)</w:t>
            </w:r>
          </w:p>
        </w:tc>
        <w:tc>
          <w:tcPr>
            <w:tcW w:w="1380" w:type="dxa"/>
            <w:vAlign w:val="bottom"/>
          </w:tcPr>
          <w:p>
            <w:pPr>
              <w:jc w:val="right"/>
              <w:ind w:right="80"/>
              <w:spacing w:after="0"/>
              <w:rPr>
                <w:sz w:val="20"/>
                <w:szCs w:val="20"/>
                <w:color w:val="auto"/>
              </w:rPr>
            </w:pPr>
            <w:r>
              <w:rPr>
                <w:rFonts w:ascii="Arial" w:cs="Arial" w:eastAsia="Arial" w:hAnsi="Arial"/>
                <w:sz w:val="12"/>
                <w:szCs w:val="12"/>
                <w:b w:val="1"/>
                <w:bCs w:val="1"/>
                <w:color w:val="auto"/>
              </w:rPr>
              <w:t>compensation ($)(2)</w:t>
            </w:r>
          </w:p>
        </w:tc>
        <w:tc>
          <w:tcPr>
            <w:tcW w:w="1180" w:type="dxa"/>
            <w:vAlign w:val="bottom"/>
          </w:tcPr>
          <w:p>
            <w:pPr>
              <w:jc w:val="right"/>
              <w:ind w:right="5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40" w:type="dxa"/>
            <w:vAlign w:val="bottom"/>
            <w:tcBorders>
              <w:top w:val="single" w:sz="8" w:color="auto"/>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Werner Cautreels, Ph.D.</w:t>
            </w:r>
          </w:p>
        </w:tc>
        <w:tc>
          <w:tcPr>
            <w:tcW w:w="600" w:type="dxa"/>
            <w:vAlign w:val="bottom"/>
            <w:tcBorders>
              <w:top w:val="single" w:sz="8" w:color="auto"/>
            </w:tcBorders>
            <w:shd w:val="clear" w:color="auto" w:fill="CCEEFF"/>
          </w:tcPr>
          <w:p>
            <w:pPr>
              <w:jc w:val="right"/>
              <w:ind w:right="41"/>
              <w:spacing w:after="0" w:line="120" w:lineRule="exact"/>
              <w:rPr>
                <w:sz w:val="20"/>
                <w:szCs w:val="20"/>
                <w:color w:val="auto"/>
              </w:rPr>
            </w:pPr>
            <w:r>
              <w:rPr>
                <w:rFonts w:ascii="Arial" w:cs="Arial" w:eastAsia="Arial" w:hAnsi="Arial"/>
                <w:sz w:val="12"/>
                <w:szCs w:val="12"/>
                <w:color w:val="auto"/>
              </w:rPr>
              <w:t>2014</w:t>
            </w:r>
          </w:p>
        </w:tc>
        <w:tc>
          <w:tcPr>
            <w:tcW w:w="820" w:type="dxa"/>
            <w:vAlign w:val="bottom"/>
            <w:tcBorders>
              <w:top w:val="single" w:sz="8" w:color="auto"/>
            </w:tcBorders>
            <w:shd w:val="clear" w:color="auto" w:fill="CCEEFF"/>
          </w:tcPr>
          <w:p>
            <w:pPr>
              <w:ind w:left="300"/>
              <w:spacing w:after="0" w:line="120" w:lineRule="exact"/>
              <w:rPr>
                <w:sz w:val="20"/>
                <w:szCs w:val="20"/>
                <w:color w:val="auto"/>
              </w:rPr>
            </w:pPr>
            <w:r>
              <w:rPr>
                <w:rFonts w:ascii="Arial" w:cs="Arial" w:eastAsia="Arial" w:hAnsi="Arial"/>
                <w:sz w:val="12"/>
                <w:szCs w:val="12"/>
                <w:color w:val="auto"/>
                <w:w w:val="86"/>
              </w:rPr>
              <w:t>447,545(3)</w:t>
            </w:r>
          </w:p>
        </w:tc>
        <w:tc>
          <w:tcPr>
            <w:tcW w:w="1320" w:type="dxa"/>
            <w:vAlign w:val="bottom"/>
            <w:tcBorders>
              <w:top w:val="single" w:sz="8" w:color="auto"/>
            </w:tcBorders>
            <w:shd w:val="clear" w:color="auto" w:fill="CCEEFF"/>
          </w:tcPr>
          <w:p>
            <w:pPr>
              <w:jc w:val="right"/>
              <w:ind w:right="21"/>
              <w:spacing w:after="0" w:line="120" w:lineRule="exact"/>
              <w:rPr>
                <w:sz w:val="20"/>
                <w:szCs w:val="20"/>
                <w:color w:val="auto"/>
              </w:rPr>
            </w:pPr>
            <w:r>
              <w:rPr>
                <w:rFonts w:ascii="Arial" w:cs="Arial" w:eastAsia="Arial" w:hAnsi="Arial"/>
                <w:sz w:val="12"/>
                <w:szCs w:val="12"/>
                <w:color w:val="auto"/>
              </w:rPr>
              <w:t>374,504</w:t>
            </w:r>
          </w:p>
        </w:tc>
        <w:tc>
          <w:tcPr>
            <w:tcW w:w="1380" w:type="dxa"/>
            <w:vAlign w:val="bottom"/>
            <w:tcBorders>
              <w:top w:val="single" w:sz="8" w:color="auto"/>
            </w:tcBorders>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140,000</w:t>
            </w:r>
          </w:p>
        </w:tc>
        <w:tc>
          <w:tcPr>
            <w:tcW w:w="1180" w:type="dxa"/>
            <w:vAlign w:val="bottom"/>
            <w:tcBorders>
              <w:top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38,130(4)</w:t>
            </w:r>
          </w:p>
        </w:tc>
        <w:tc>
          <w:tcPr>
            <w:tcW w:w="5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324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 Officer</w:t>
            </w: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70"/>
        </w:trPr>
        <w:tc>
          <w:tcPr>
            <w:tcW w:w="3260" w:type="dxa"/>
            <w:vAlign w:val="bottom"/>
            <w:gridSpan w:val="3"/>
          </w:tcPr>
          <w:p>
            <w:pPr>
              <w:spacing w:after="0"/>
              <w:rPr>
                <w:sz w:val="20"/>
                <w:szCs w:val="20"/>
                <w:color w:val="auto"/>
              </w:rPr>
            </w:pPr>
            <w:r>
              <w:rPr>
                <w:rFonts w:ascii="Arial" w:cs="Arial" w:eastAsia="Arial" w:hAnsi="Arial"/>
                <w:sz w:val="12"/>
                <w:szCs w:val="12"/>
                <w:color w:val="auto"/>
              </w:rPr>
              <w:t>Takashi Kishimoto, Ph.D.</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2014</w:t>
            </w:r>
          </w:p>
        </w:tc>
        <w:tc>
          <w:tcPr>
            <w:tcW w:w="820" w:type="dxa"/>
            <w:vAlign w:val="bottom"/>
          </w:tcPr>
          <w:p>
            <w:pPr>
              <w:ind w:left="300"/>
              <w:spacing w:after="0"/>
              <w:rPr>
                <w:sz w:val="20"/>
                <w:szCs w:val="20"/>
                <w:color w:val="auto"/>
              </w:rPr>
            </w:pPr>
            <w:r>
              <w:rPr>
                <w:rFonts w:ascii="Arial" w:cs="Arial" w:eastAsia="Arial" w:hAnsi="Arial"/>
                <w:sz w:val="12"/>
                <w:szCs w:val="12"/>
                <w:color w:val="auto"/>
              </w:rPr>
              <w:t>275,000</w:t>
            </w:r>
          </w:p>
        </w:tc>
        <w:tc>
          <w:tcPr>
            <w:tcW w:w="1320" w:type="dxa"/>
            <w:vAlign w:val="bottom"/>
          </w:tcPr>
          <w:p>
            <w:pPr>
              <w:jc w:val="right"/>
              <w:ind w:right="21"/>
              <w:spacing w:after="0"/>
              <w:rPr>
                <w:sz w:val="20"/>
                <w:szCs w:val="20"/>
                <w:color w:val="auto"/>
              </w:rPr>
            </w:pPr>
            <w:r>
              <w:rPr>
                <w:rFonts w:ascii="Arial" w:cs="Arial" w:eastAsia="Arial" w:hAnsi="Arial"/>
                <w:sz w:val="12"/>
                <w:szCs w:val="12"/>
                <w:color w:val="auto"/>
              </w:rPr>
              <w:t>90,101</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80,000</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3,400(5)</w:t>
            </w:r>
          </w:p>
        </w:tc>
        <w:tc>
          <w:tcPr>
            <w:tcW w:w="560" w:type="dxa"/>
            <w:vAlign w:val="bottom"/>
          </w:tcPr>
          <w:p>
            <w:pPr>
              <w:jc w:val="right"/>
              <w:spacing w:after="0"/>
              <w:rPr>
                <w:sz w:val="20"/>
                <w:szCs w:val="20"/>
                <w:color w:val="auto"/>
              </w:rPr>
            </w:pPr>
            <w:r>
              <w:rPr>
                <w:rFonts w:ascii="Arial" w:cs="Arial" w:eastAsia="Arial" w:hAnsi="Arial"/>
                <w:sz w:val="12"/>
                <w:szCs w:val="12"/>
                <w:color w:val="auto"/>
              </w:rPr>
              <w:t>448,501</w:t>
            </w:r>
          </w:p>
        </w:tc>
        <w:tc>
          <w:tcPr>
            <w:tcW w:w="140" w:type="dxa"/>
            <w:vAlign w:val="bottom"/>
          </w:tcPr>
          <w:p>
            <w:pPr>
              <w:spacing w:after="0"/>
              <w:rPr>
                <w:sz w:val="23"/>
                <w:szCs w:val="23"/>
                <w:color w:val="auto"/>
              </w:rPr>
            </w:pPr>
          </w:p>
        </w:tc>
      </w:tr>
      <w:tr>
        <w:trPr>
          <w:trHeight w:val="137"/>
        </w:trPr>
        <w:tc>
          <w:tcPr>
            <w:tcW w:w="20" w:type="dxa"/>
            <w:vAlign w:val="bottom"/>
          </w:tcPr>
          <w:p>
            <w:pPr>
              <w:spacing w:after="0"/>
              <w:rPr>
                <w:sz w:val="11"/>
                <w:szCs w:val="11"/>
                <w:color w:val="auto"/>
              </w:rPr>
            </w:pPr>
          </w:p>
        </w:tc>
        <w:tc>
          <w:tcPr>
            <w:tcW w:w="32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Scientific Officer</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9"/>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Lloyd Johnston, Ph.D.</w:t>
            </w: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2014</w:t>
            </w:r>
          </w:p>
        </w:tc>
        <w:tc>
          <w:tcPr>
            <w:tcW w:w="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290,000</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54,918</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3,700(6)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418,618</w:t>
            </w:r>
          </w:p>
        </w:tc>
        <w:tc>
          <w:tcPr>
            <w:tcW w:w="140" w:type="dxa"/>
            <w:vAlign w:val="bottom"/>
            <w:shd w:val="clear" w:color="auto" w:fill="CCEEFF"/>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240" w:type="dxa"/>
            <w:vAlign w:val="bottom"/>
            <w:gridSpan w:val="2"/>
            <w:shd w:val="clear" w:color="auto" w:fill="CCEEFF"/>
          </w:tcPr>
          <w:p>
            <w:pPr>
              <w:ind w:left="100"/>
              <w:spacing w:after="0" w:line="119" w:lineRule="exact"/>
              <w:rPr>
                <w:sz w:val="20"/>
                <w:szCs w:val="20"/>
                <w:color w:val="auto"/>
              </w:rPr>
            </w:pPr>
            <w:r>
              <w:rPr>
                <w:rFonts w:ascii="Arial" w:cs="Arial" w:eastAsia="Arial" w:hAnsi="Arial"/>
                <w:sz w:val="12"/>
                <w:szCs w:val="12"/>
                <w:color w:val="auto"/>
                <w:w w:val="90"/>
              </w:rPr>
              <w:t>Chief Operating Officer and Senior Vice President, Research and</w:t>
            </w: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324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Development</w:t>
            </w: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600" w:hanging="463"/>
        <w:spacing w:after="0" w:line="239" w:lineRule="auto"/>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granted during 2014 computed in accordance with ASC Topic 718, excluding the effect of estimated forfeitures. For a description of the assumptions used in valuing these awards, see Note 10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amounts earned for 2014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right="180" w:hanging="463"/>
        <w:spacing w:after="0" w:line="239" w:lineRule="auto"/>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Amount includes $168,350 for base salary and cash in lieu of vacation paid to Dr. Cautreels in Russian rubles and converted to U.S. dollars based on an average exchange rate for 2014 of 0.0254 dollars to one ruble.</w:t>
      </w:r>
    </w:p>
    <w:p>
      <w:pPr>
        <w:spacing w:after="0" w:line="96" w:lineRule="exact"/>
        <w:rPr>
          <w:rFonts w:ascii="Arial" w:cs="Arial" w:eastAsia="Arial" w:hAnsi="Arial"/>
          <w:sz w:val="12"/>
          <w:szCs w:val="12"/>
          <w:color w:val="auto"/>
        </w:rPr>
      </w:pPr>
    </w:p>
    <w:p>
      <w:pPr>
        <w:ind w:left="1607" w:right="100" w:hanging="463"/>
        <w:spacing w:after="0" w:line="239" w:lineRule="auto"/>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payments on behalf of Dr. Cautreels for an apartment in Moscow, Russia from January through October 2014 made in Russian rubles and converted to U.S. dollars based on an average exchange rate for 2014 of 0.0254 dollars to one ruble.</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company matching contributions to Dr. Kishimoto's 401(k) plan account.</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company matching contributions to Dr. Johnston's 401(k) plan account and $300 in company-paid life insurance premiums.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 or offer letter. Our named executive officers' base salaries for 2014 were $400,000 for Dr. Cautreels, $290,000 for Dr. Johnston and $275,000 for Dr. Kishimoto. From January 2014 through August 21, 2014, Dr. Cautreels received 50% of his base salary payments from Selecta RUS. None of our named executive officers received a base salary increase in 2014.</w:t>
      </w:r>
    </w:p>
    <w:p>
      <w:pPr>
        <w:spacing w:after="0" w:line="166" w:lineRule="exact"/>
        <w:rPr>
          <w:sz w:val="20"/>
          <w:szCs w:val="20"/>
          <w:color w:val="auto"/>
        </w:rPr>
      </w:pPr>
    </w:p>
    <w:p>
      <w:pPr>
        <w:ind w:right="560"/>
        <w:spacing w:after="0" w:line="283" w:lineRule="auto"/>
        <w:rPr>
          <w:sz w:val="20"/>
          <w:szCs w:val="20"/>
          <w:color w:val="auto"/>
        </w:rPr>
      </w:pPr>
      <w:r>
        <w:rPr>
          <w:rFonts w:ascii="Arial" w:cs="Arial" w:eastAsia="Arial" w:hAnsi="Arial"/>
          <w:sz w:val="15"/>
          <w:szCs w:val="15"/>
          <w:color w:val="auto"/>
        </w:rPr>
        <w:t>In early 2015, the compensation committee of our board of directors, or the Compensation Committee, approved an increase in Dr. Kishimoto's annual base salary from $275,000 to $290,000, effective January 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2014 target bonus percentages for our named executive officers were 25% for Dr. Cautreels, 25% for Dr. Kishimoto and 25% for Dr. Johnston.</w:t>
      </w:r>
    </w:p>
    <w:p>
      <w:pPr>
        <w:spacing w:after="0" w:line="161"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2014 company performance goals were based on attaining financing and business development milestones and the expansion of our business portfolio.</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The actual cash bonuses earned by our named executive officers for 2014 are reported under the "Non-equity incentive award" column of the 2014 Summary compensation table above.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the Code and generally permit "early exercise" of any unvested portion in exchange for shares of restricted stock subject to the same vesting schedule as the stock option.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2014:</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2014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tcPr>
          <w:p>
            <w:pPr>
              <w:jc w:val="right"/>
              <w:spacing w:after="0"/>
              <w:rPr>
                <w:sz w:val="20"/>
                <w:szCs w:val="20"/>
                <w:color w:val="auto"/>
              </w:rPr>
            </w:pPr>
            <w:r>
              <w:rPr>
                <w:rFonts w:ascii="Arial" w:cs="Arial" w:eastAsia="Arial" w:hAnsi="Arial"/>
                <w:sz w:val="15"/>
                <w:szCs w:val="15"/>
                <w:color w:val="auto"/>
              </w:rPr>
              <w:t>50,000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4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connection with this offering, we intend to adopt a 2015 Incentive Award Plan, or the 2015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2015 Plan, we will not make any further grants under our 2008 Plan. However, the 2008 Plan will continue to govern the terms and conditions of the outstanding awards granted under it. For additional information about the 2015 Plan, please see the section titled "2015 Incentive Award Plan" below.</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 We also provide Dr. Johnston with a term life insurance policy under the terms of his offer letter, as described below.</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2014 FISCAL YEAR-END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ind w:left="340"/>
              <w:spacing w:after="0"/>
              <w:rPr>
                <w:sz w:val="20"/>
                <w:szCs w:val="20"/>
                <w:color w:val="auto"/>
              </w:rPr>
            </w:pPr>
            <w:r>
              <w:rPr>
                <w:rFonts w:ascii="Arial" w:cs="Arial" w:eastAsia="Arial" w:hAnsi="Arial"/>
                <w:sz w:val="12"/>
                <w:szCs w:val="12"/>
                <w:b w:val="1"/>
                <w:bCs w:val="1"/>
                <w:color w:val="auto"/>
              </w:rPr>
              <w:t>Stock awards</w:t>
            </w: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Market</w:t>
            </w:r>
          </w:p>
        </w:tc>
        <w:tc>
          <w:tcPr>
            <w:tcW w:w="1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unexercised</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options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exercise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r>
      <w:tr>
        <w:trPr>
          <w:trHeight w:val="149"/>
        </w:trPr>
        <w:tc>
          <w:tcPr>
            <w:tcW w:w="27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date</w:t>
            </w:r>
          </w:p>
        </w:tc>
        <w:tc>
          <w:tcPr>
            <w:tcW w:w="1160" w:type="dxa"/>
            <w:vAlign w:val="bottom"/>
          </w:tcPr>
          <w:p>
            <w:pPr>
              <w:jc w:val="center"/>
              <w:ind w:right="1"/>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rPr>
              <w:t>unexercisable</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jc w:val="center"/>
              <w:ind w:right="21"/>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760" w:type="dxa"/>
            <w:vAlign w:val="bottom"/>
            <w:tcBorders>
              <w:top w:val="single" w:sz="8" w:color="auto"/>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Werner Cautreels, Ph.D.</w:t>
            </w:r>
          </w:p>
        </w:tc>
        <w:tc>
          <w:tcPr>
            <w:tcW w:w="1140" w:type="dxa"/>
            <w:vAlign w:val="bottom"/>
            <w:tcBorders>
              <w:top w:val="single" w:sz="8" w:color="auto"/>
            </w:tcBorders>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1/1/2014</w:t>
            </w:r>
          </w:p>
        </w:tc>
        <w:tc>
          <w:tcPr>
            <w:tcW w:w="11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225,000(2)</w:t>
            </w:r>
          </w:p>
        </w:tc>
        <w:tc>
          <w:tcPr>
            <w:tcW w:w="960" w:type="dxa"/>
            <w:vAlign w:val="bottom"/>
            <w:tcBorders>
              <w:top w:val="single" w:sz="8" w:color="auto"/>
            </w:tcBorders>
            <w:shd w:val="clear" w:color="auto" w:fill="CCEEFF"/>
          </w:tcPr>
          <w:p>
            <w:pPr>
              <w:ind w:left="760"/>
              <w:spacing w:after="0" w:line="120"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ind w:right="41"/>
              <w:spacing w:after="0" w:line="120" w:lineRule="exact"/>
              <w:rPr>
                <w:sz w:val="20"/>
                <w:szCs w:val="20"/>
                <w:color w:val="auto"/>
              </w:rPr>
            </w:pPr>
            <w:r>
              <w:rPr>
                <w:rFonts w:ascii="Arial" w:cs="Arial" w:eastAsia="Arial" w:hAnsi="Arial"/>
                <w:sz w:val="12"/>
                <w:szCs w:val="12"/>
                <w:color w:val="auto"/>
              </w:rPr>
              <w:t>2.30</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4/7/2024</w:t>
            </w: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ind w:right="101"/>
              <w:spacing w:after="0" w:line="120"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64,791(2)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45,987(7)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110,369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160,000(4)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0.88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278"/>
        </w:trPr>
        <w:tc>
          <w:tcPr>
            <w:tcW w:w="2780" w:type="dxa"/>
            <w:vAlign w:val="bottom"/>
            <w:gridSpan w:val="3"/>
          </w:tcPr>
          <w:p>
            <w:pPr>
              <w:spacing w:after="0"/>
              <w:rPr>
                <w:sz w:val="20"/>
                <w:szCs w:val="20"/>
                <w:color w:val="auto"/>
              </w:rPr>
            </w:pPr>
            <w:r>
              <w:rPr>
                <w:rFonts w:ascii="Arial" w:cs="Arial" w:eastAsia="Arial" w:hAnsi="Arial"/>
                <w:sz w:val="12"/>
                <w:szCs w:val="12"/>
                <w:color w:val="auto"/>
              </w:rPr>
              <w:t>Takashi Kishimoto, Ph.D.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1/1/2014</w:t>
            </w:r>
          </w:p>
        </w:tc>
        <w:tc>
          <w:tcPr>
            <w:tcW w:w="1160" w:type="dxa"/>
            <w:vAlign w:val="bottom"/>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tcPr>
          <w:p>
            <w:pPr>
              <w:spacing w:after="0"/>
              <w:rPr>
                <w:sz w:val="24"/>
                <w:szCs w:val="24"/>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tcPr>
          <w:p>
            <w:pPr>
              <w:jc w:val="right"/>
              <w:spacing w:after="0"/>
              <w:rPr>
                <w:sz w:val="20"/>
                <w:szCs w:val="20"/>
                <w:color w:val="auto"/>
              </w:rPr>
            </w:pPr>
            <w:r>
              <w:rPr>
                <w:rFonts w:ascii="Arial" w:cs="Arial" w:eastAsia="Arial" w:hAnsi="Arial"/>
                <w:sz w:val="12"/>
                <w:szCs w:val="12"/>
                <w:color w:val="auto"/>
              </w:rPr>
              <w:t>25,000(2)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75"/>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7/11/2011</w:t>
            </w:r>
          </w:p>
        </w:tc>
        <w:tc>
          <w:tcPr>
            <w:tcW w:w="1160" w:type="dxa"/>
            <w:vAlign w:val="bottom"/>
          </w:tcPr>
          <w:p>
            <w:pPr>
              <w:jc w:val="right"/>
              <w:spacing w:after="0"/>
              <w:rPr>
                <w:sz w:val="20"/>
                <w:szCs w:val="20"/>
                <w:color w:val="auto"/>
              </w:rPr>
            </w:pPr>
            <w:r>
              <w:rPr>
                <w:rFonts w:ascii="Arial" w:cs="Arial" w:eastAsia="Arial" w:hAnsi="Arial"/>
                <w:sz w:val="12"/>
                <w:szCs w:val="12"/>
                <w:color w:val="auto"/>
              </w:rPr>
              <w:t>350,000(2)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67"/>
        </w:trPr>
        <w:tc>
          <w:tcPr>
            <w:tcW w:w="20" w:type="dxa"/>
            <w:vAlign w:val="bottom"/>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Lloyd Johnston,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3,133(7)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23,735(3)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2/17/2011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175,000(6)</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1/20/2010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1/19/2020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2/9/2009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7/24/2019</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7/14/2008</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7/15/2018</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0" w:right="240" w:hanging="463"/>
        <w:spacing w:after="0" w:line="334" w:lineRule="auto"/>
        <w:tabs>
          <w:tab w:leader="none" w:pos="1600" w:val="left"/>
        </w:tabs>
        <w:numPr>
          <w:ilvl w:val="0"/>
          <w:numId w:val="98"/>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40" w:hanging="463"/>
        <w:spacing w:after="0" w:line="283" w:lineRule="auto"/>
        <w:tabs>
          <w:tab w:leader="none" w:pos="1600" w:val="left"/>
        </w:tabs>
        <w:numPr>
          <w:ilvl w:val="0"/>
          <w:numId w:val="98"/>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2014, (i) for Dr. Cautreels, all shares underlying the option with a January 1, 2014 vesting commencement date were unvested and 32,396 shares underlying the option with a January 1, 2013 vesting commencement date were unvested and (ii) for Dr. Kishimoto, all shares underlying the option with a January 1, 2014 vesting commencement date were unvested, 13,021 shares underlying the option with a January 1, 2013 vesting commencement date were unvested and 51,042 shares underlying the option with a July 11, 2011 vesting commencement date were unvested.</w:t>
      </w:r>
    </w:p>
    <w:p>
      <w:pPr>
        <w:spacing w:after="0" w:line="76" w:lineRule="exact"/>
        <w:rPr>
          <w:rFonts w:ascii="Arial" w:cs="Arial" w:eastAsia="Arial" w:hAnsi="Arial"/>
          <w:sz w:val="10"/>
          <w:szCs w:val="10"/>
          <w:color w:val="auto"/>
        </w:rPr>
      </w:pPr>
    </w:p>
    <w:p>
      <w:pPr>
        <w:ind w:left="1600" w:right="240" w:hanging="463"/>
        <w:spacing w:after="0" w:line="233" w:lineRule="auto"/>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As of December 31, 2014, all shares underlying the option with a January 1, 2014 vesting commencement date were unvested and 12,362 shares underlying the option with a January 1, 2013 vesting commencement date were unvested.</w:t>
      </w:r>
    </w:p>
    <w:p>
      <w:pPr>
        <w:spacing w:after="0" w:line="97" w:lineRule="exact"/>
        <w:rPr>
          <w:rFonts w:ascii="Arial" w:cs="Arial" w:eastAsia="Arial" w:hAnsi="Arial"/>
          <w:sz w:val="12"/>
          <w:szCs w:val="12"/>
          <w:color w:val="auto"/>
        </w:rPr>
      </w:pPr>
    </w:p>
    <w:p>
      <w:pPr>
        <w:jc w:val="both"/>
        <w:ind w:left="1600" w:right="320" w:hanging="463"/>
        <w:spacing w:after="0" w:line="233" w:lineRule="auto"/>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option vests as to 2.0833% of the total shares underlying the option on the last day of each month following the vesting commencement date for a period of 48 months, subject to the holder's continued employment with us through the applicable vesting date and potential accelerated vesting in the event of a termination without cause or resignation for good reason within 12 months following a change in control. As of December 31, 2014, 40,003 shares underlying the option were unvested.</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hanging="463"/>
        <w:spacing w:after="0" w:line="233" w:lineRule="auto"/>
        <w:tabs>
          <w:tab w:leader="none" w:pos="16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6 months following a change in control. As of December 31, 2014, 7,292 shares underlying the option were unvested.</w:t>
      </w:r>
    </w:p>
    <w:p>
      <w:pPr>
        <w:spacing w:after="0" w:line="97" w:lineRule="exact"/>
        <w:rPr>
          <w:rFonts w:ascii="Arial" w:cs="Arial" w:eastAsia="Arial" w:hAnsi="Arial"/>
          <w:sz w:val="12"/>
          <w:szCs w:val="12"/>
          <w:color w:val="auto"/>
        </w:rPr>
      </w:pPr>
    </w:p>
    <w:p>
      <w:pPr>
        <w:ind w:left="1600" w:right="20" w:hanging="463"/>
        <w:spacing w:after="0" w:line="300" w:lineRule="auto"/>
        <w:tabs>
          <w:tab w:leader="none" w:pos="1600" w:val="left"/>
        </w:tabs>
        <w:numPr>
          <w:ilvl w:val="0"/>
          <w:numId w:val="98"/>
        </w:numPr>
        <w:rPr>
          <w:rFonts w:ascii="Arial" w:cs="Arial" w:eastAsia="Arial" w:hAnsi="Arial"/>
          <w:sz w:val="10"/>
          <w:szCs w:val="10"/>
          <w:color w:val="auto"/>
        </w:rPr>
      </w:pPr>
      <w:r>
        <w:rPr>
          <w:rFonts w:ascii="Arial" w:cs="Arial" w:eastAsia="Arial" w:hAnsi="Arial"/>
          <w:sz w:val="10"/>
          <w:szCs w:val="10"/>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with respect to Dr. Cautreels only, potential accelerated vesting in the event of a termination without cause or resignation for good reason within 12 months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567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have entered into employment agreements or offer letters with each of our named executive officers. Certain key terms of these agreements and letters are described below.</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and Dr. Kishimoto</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entered into an employment agreement with Dr. Cautreels in July 2010 and with Dr. Kishimoto in June 2011. The employment agreements are for unspecified terms and entitle</w:t>
      </w:r>
    </w:p>
    <w:p>
      <w:pPr>
        <w:spacing w:after="0" w:line="29" w:lineRule="exact"/>
        <w:rPr>
          <w:sz w:val="20"/>
          <w:szCs w:val="20"/>
          <w:color w:val="auto"/>
        </w:rPr>
      </w:pPr>
    </w:p>
    <w:p>
      <w:pPr>
        <w:ind w:right="280"/>
        <w:spacing w:after="0" w:line="313" w:lineRule="auto"/>
        <w:rPr>
          <w:sz w:val="20"/>
          <w:szCs w:val="20"/>
          <w:color w:val="auto"/>
        </w:rPr>
      </w:pPr>
      <w:r>
        <w:rPr>
          <w:rFonts w:ascii="Arial" w:cs="Arial" w:eastAsia="Arial" w:hAnsi="Arial"/>
          <w:sz w:val="14"/>
          <w:szCs w:val="14"/>
          <w:color w:val="auto"/>
        </w:rPr>
        <w:t>Dr. Cautreels and Dr. Kishimoto to initial annual base salaries of $385,000 and $275,000, respectively, subject to annual review and adjustment, and annual target bonus opportunities of 25% and 20%, respectively, of their annual base salaries. Their current base salaries are discussed in more detail above in the section titled "Base salaries."</w:t>
      </w:r>
    </w:p>
    <w:p>
      <w:pPr>
        <w:spacing w:after="0" w:line="13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the event either of Dr. Cautreels or Dr. Kishimoto is terminated by us without "cause" or he resigns for "good reason," subject to his timely executing a release of claims in our favor, he is entitled to receive base salary continuation for a period of 9 months for Dr. Cautreels or 6 months for Dr. Kishimoto, payment of all bonuses earned but unpaid as of the date of termination and continued health coverage for a period of 9 months for Dr. Cautreels or 6 months for Dr. Kishimoto. If, however, either of Dr. Cautreels or Dr. Kishimoto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6"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and Dr. Kishimoto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For purposes of the employment agreements, "cause" generally means Dr. Cautreels' or Dr. Kishimoto's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For purposes of the employment agreements, "good reason" generally means Dr. Cautreels' or Dr. Kishimoto's termination of his employment due to the company's breach of any one or more of the material provisions of the employment agreement, which breach continues for more than 10 days after having provided written notice of such breach, a material reduction by the company of his responsibilities or base salary, or a relocation by the company of his place of employment by more than 40 miles.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Johnston</w:t>
      </w:r>
    </w:p>
    <w:p>
      <w:pPr>
        <w:spacing w:after="0" w:line="195"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We entered into an offer letter with Dr. Johnston in June 2008. The offer letter entitles Dr. Johnston to an initial annual base salary of $230,000 and a company-paid life insurance policy providing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5" w:name="page166"/>
    <w:bookmarkEnd w:id="16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$230,000 in death benefits. Dr. Johnston's current base salary is discussed in more detail above in the section titled "Base salaries."</w:t>
      </w:r>
    </w:p>
    <w:p>
      <w:pPr>
        <w:spacing w:after="0" w:line="19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Dr. Johnston has also entered into a non-disclosure, non-competition and assignment of intellectual property agreement with the company containing restrictive covenants pursuant to which he has agreed to refrain from competing with us for a period of 12 months following his termination of employment or soliciting our employees for a period of 18 months following his termination of employment.</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jc w:val="both"/>
        <w:ind w:left="7" w:right="60"/>
        <w:spacing w:after="0" w:line="270" w:lineRule="auto"/>
        <w:rPr>
          <w:sz w:val="20"/>
          <w:szCs w:val="20"/>
          <w:color w:val="auto"/>
        </w:rPr>
      </w:pPr>
      <w:r>
        <w:rPr>
          <w:rFonts w:ascii="Arial" w:cs="Arial" w:eastAsia="Arial" w:hAnsi="Arial"/>
          <w:sz w:val="15"/>
          <w:szCs w:val="15"/>
          <w:color w:val="auto"/>
        </w:rPr>
        <w:t>The agreements governing certain of the named executive officers' unvested stock options provide for full accelerated vesting if the named executive officers' employment is terminated by us without cause or if they resign for good reason, in either case, within 6 or 12 months following a change in control. Refer to the footnotes of the Outstanding equity awards at 2014 fiscal year-end table for additional information.</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LONG-TERM INCENTIVE PLANS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summarizes the material terms of the long-term incentive plans in which our employees, including the named executive officers, participate.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Incentive Award Plan</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intend to adopt and ask our stockholders to approve the 2015 Incentive Award Plan, or the 2015 Plan, under which we may grant cash and equity-based incentive awards to eligible service providers in order to attract, retain and motivate the persons who make important contributions to our company. The material terms of the 2015 Plan are summarized below.</w:t>
      </w:r>
    </w:p>
    <w:p>
      <w:pPr>
        <w:spacing w:after="0" w:line="161" w:lineRule="exact"/>
        <w:rPr>
          <w:sz w:val="20"/>
          <w:szCs w:val="20"/>
          <w:color w:val="auto"/>
        </w:rPr>
      </w:pPr>
    </w:p>
    <w:p>
      <w:pPr>
        <w:ind w:left="7" w:right="160"/>
        <w:spacing w:after="0" w:line="262"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2015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2015 Plan will be administered by our board of directors, which may delegate its duties and responsibilities to one or more committees of our directors and/or officers (referred to collectively as the plan administrator below), subject to the limitations imposed under the 2015 Plan, Section 16 of the Exchange Act, stock exchange rules and other applicable laws. The plan administrator will have the authority to take all actions and make all determinations under the 2015 Plan, to interpret the 2015 Plan and award agreements and to adopt, amend and repeal rules for the administration of the 2015 Plan as it deems advisable. The plan administrator will also have the authority to determine which eligible service providers receive awards, grant awards and set the terms and conditions of all awards under the 2015 Plan, including any vesting and vesting acceleration provisions, subject to the conditions and limitations in the 2015 Plan.</w:t>
      </w:r>
    </w:p>
    <w:p>
      <w:pPr>
        <w:spacing w:after="0" w:line="167" w:lineRule="exact"/>
        <w:rPr>
          <w:sz w:val="20"/>
          <w:szCs w:val="20"/>
          <w:color w:val="auto"/>
        </w:rPr>
      </w:pPr>
    </w:p>
    <w:p>
      <w:pPr>
        <w:ind w:left="7" w:right="100"/>
        <w:spacing w:after="0" w:line="261"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shares of our common stock will initially be available for issuance under the 2015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and ending in and including , equal to the least of</w:t>
      </w:r>
    </w:p>
    <w:p>
      <w:pPr>
        <w:spacing w:after="0" w:line="1" w:lineRule="exact"/>
        <w:rPr>
          <w:sz w:val="20"/>
          <w:szCs w:val="20"/>
          <w:color w:val="auto"/>
        </w:rPr>
      </w:pPr>
    </w:p>
    <w:p>
      <w:pPr>
        <w:ind w:left="1007" w:hanging="1007"/>
        <w:spacing w:after="0"/>
        <w:tabs>
          <w:tab w:leader="none" w:pos="1007" w:val="left"/>
        </w:tabs>
        <w:numPr>
          <w:ilvl w:val="0"/>
          <w:numId w:val="99"/>
        </w:numPr>
        <w:rPr>
          <w:rFonts w:ascii="Arial" w:cs="Arial" w:eastAsia="Arial" w:hAnsi="Arial"/>
          <w:sz w:val="15"/>
          <w:szCs w:val="15"/>
          <w:color w:val="auto"/>
        </w:rPr>
      </w:pPr>
      <w:r>
        <w:rPr>
          <w:rFonts w:ascii="Arial" w:cs="Arial" w:eastAsia="Arial" w:hAnsi="Arial"/>
          <w:sz w:val="15"/>
          <w:szCs w:val="15"/>
          <w:color w:val="auto"/>
        </w:rPr>
        <w:t>, (B)</w:t>
      </w:r>
      <w:r>
        <w:rPr>
          <w:rFonts w:ascii="Arial" w:cs="Arial" w:eastAsia="Arial" w:hAnsi="Arial"/>
          <w:sz w:val="13"/>
          <w:szCs w:val="13"/>
          <w:color w:val="auto"/>
        </w:rPr>
        <w:t>% of the shares of common stock outstanding on the final day of the immediately preceding calendar year and (C) a smaller number of shares determined by our</w:t>
      </w:r>
    </w:p>
    <w:p>
      <w:pPr>
        <w:spacing w:after="0" w:line="13" w:lineRule="exact"/>
        <w:rPr>
          <w:sz w:val="20"/>
          <w:szCs w:val="20"/>
          <w:color w:val="auto"/>
        </w:rPr>
      </w:pPr>
    </w:p>
    <w:p>
      <w:pPr>
        <w:ind w:left="7"/>
        <w:spacing w:after="0" w:line="276" w:lineRule="auto"/>
        <w:rPr>
          <w:sz w:val="20"/>
          <w:szCs w:val="20"/>
          <w:color w:val="auto"/>
        </w:rPr>
      </w:pPr>
      <w:r>
        <w:rPr>
          <w:rFonts w:ascii="Arial" w:cs="Arial" w:eastAsia="Arial" w:hAnsi="Arial"/>
          <w:sz w:val="15"/>
          <w:szCs w:val="15"/>
          <w:color w:val="auto"/>
        </w:rPr>
        <w:t>board of directors. No more than shares of common stock may be issued under the 2015 Plan upon the exercise of incentive stock options. Shares issued under the 2015 Plan may be authorized but unissued shares, shares purchased on the open market or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567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66" w:name="page167"/>
    <w:bookmarkEnd w:id="16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80"/>
        <w:spacing w:after="0" w:line="319" w:lineRule="auto"/>
        <w:rPr>
          <w:sz w:val="20"/>
          <w:szCs w:val="20"/>
          <w:color w:val="auto"/>
        </w:rPr>
      </w:pPr>
      <w:r>
        <w:rPr>
          <w:rFonts w:ascii="Arial" w:cs="Arial" w:eastAsia="Arial" w:hAnsi="Arial"/>
          <w:sz w:val="13"/>
          <w:szCs w:val="13"/>
          <w:color w:val="auto"/>
        </w:rPr>
        <w:t>If an award under the 2015 Plan or the 2008 Plan expires, lapses or is terminated, exchanged for cash, surrendered, repurchased, canceled without having been fully exercised or forfeited, any unused shares subject to the award will, as applicable, become or again be available for new grants under the 2015 Plan. Awards granted under the 2015 Plan in substitution for any options or other stock or stock-based awards granted by an entity before the entity's merger or consolidation with us or our acquisition of the entity's property or stock will not reduce the shares available for grant under the 2015 Plan, but will count against the maximum number of shares that may be issued upon the exercise of incentive stock options.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addition, the maximum aggregate grant date fair value as determined in accordance with FASB ASC Topic 718 (or any successor thereto), of awards granted to any non-employee director</w:t>
      </w:r>
    </w:p>
    <w:p>
      <w:pPr>
        <w:spacing w:after="0" w:line="41" w:lineRule="exact"/>
        <w:rPr>
          <w:sz w:val="20"/>
          <w:szCs w:val="20"/>
          <w:color w:val="auto"/>
        </w:rPr>
      </w:pPr>
    </w:p>
    <w:p>
      <w:pPr>
        <w:ind w:left="7" w:right="200"/>
        <w:spacing w:after="0" w:line="276" w:lineRule="auto"/>
        <w:rPr>
          <w:sz w:val="20"/>
          <w:szCs w:val="20"/>
          <w:color w:val="auto"/>
        </w:rPr>
      </w:pPr>
      <w:r>
        <w:rPr>
          <w:rFonts w:ascii="Arial" w:cs="Arial" w:eastAsia="Arial" w:hAnsi="Arial"/>
          <w:sz w:val="15"/>
          <w:szCs w:val="15"/>
          <w:color w:val="auto"/>
        </w:rPr>
        <w:t>for services as a director pursuant to the 2015 Plan during any fiscal year may not exceed $ (or, in the fiscal year of any director's initial service, $ ). The plan administrator may, however, make exceptions to such limit on director compensation in extraordinary circumstances, subject to the limitations in the 2015 Plan.</w:t>
      </w:r>
    </w:p>
    <w:p>
      <w:pPr>
        <w:spacing w:after="0" w:line="156" w:lineRule="exact"/>
        <w:rPr>
          <w:sz w:val="20"/>
          <w:szCs w:val="20"/>
          <w:color w:val="auto"/>
        </w:rPr>
      </w:pPr>
    </w:p>
    <w:p>
      <w:pPr>
        <w:ind w:left="7" w:right="140"/>
        <w:spacing w:after="0" w:line="291" w:lineRule="auto"/>
        <w:rPr>
          <w:sz w:val="20"/>
          <w:szCs w:val="20"/>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The 2015 Plan provides for the grant of stock options, including incentive stock options, or ISOs, and nonqualified stock options, or NSOs, stock appreciation rights, or SARs,</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dividend equivalents, restricted stock units, or RSUs, and other stock or cash based awards. Certain awards under the 2015 Plan may constitute or provide for payment of "nonqualified deferred compensation" under Section 409A of the Code. All awards under the 2015 Plan will be set forth in award agreements, which will detail the terms and conditions of awards, including any applicable vesting and payment terms and post-termination exercise limitations. A brief description of each award type follows.</w:t>
      </w:r>
    </w:p>
    <w:p>
      <w:pPr>
        <w:spacing w:after="0" w:line="159" w:lineRule="exact"/>
        <w:rPr>
          <w:sz w:val="20"/>
          <w:szCs w:val="20"/>
          <w:color w:val="auto"/>
        </w:rPr>
      </w:pPr>
    </w:p>
    <w:p>
      <w:pPr>
        <w:ind w:left="467" w:right="40" w:hanging="467"/>
        <w:spacing w:after="0" w:line="299" w:lineRule="auto"/>
        <w:tabs>
          <w:tab w:leader="none" w:pos="467"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2" w:lineRule="exact"/>
        <w:rPr>
          <w:sz w:val="20"/>
          <w:szCs w:val="20"/>
          <w:color w:val="auto"/>
        </w:rPr>
      </w:pPr>
    </w:p>
    <w:p>
      <w:pPr>
        <w:ind w:left="467" w:right="120"/>
        <w:spacing w:after="0" w:line="298"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w:t>
      </w:r>
    </w:p>
    <w:p>
      <w:pPr>
        <w:ind w:left="467"/>
        <w:spacing w:after="0"/>
        <w:tabs>
          <w:tab w:leader="none" w:pos="10187" w:val="left"/>
        </w:tabs>
        <w:rPr>
          <w:sz w:val="20"/>
          <w:szCs w:val="20"/>
          <w:color w:val="auto"/>
        </w:rPr>
      </w:pPr>
      <w:r>
        <w:rPr>
          <w:rFonts w:ascii="Arial" w:cs="Arial" w:eastAsia="Arial" w:hAnsi="Arial"/>
          <w:sz w:val="15"/>
          <w:szCs w:val="15"/>
          <w:color w:val="auto"/>
        </w:rPr>
        <w:t>common 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7" w:lineRule="exact"/>
        <w:rPr>
          <w:sz w:val="20"/>
          <w:szCs w:val="20"/>
          <w:color w:val="auto"/>
        </w:rPr>
      </w:pPr>
    </w:p>
    <w:p>
      <w:pPr>
        <w:ind w:left="467" w:right="40" w:hanging="467"/>
        <w:spacing w:after="0" w:line="314" w:lineRule="auto"/>
        <w:tabs>
          <w:tab w:leader="none" w:pos="467" w:val="left"/>
        </w:tabs>
        <w:numPr>
          <w:ilvl w:val="0"/>
          <w:numId w:val="101"/>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567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7" w:name="page168"/>
    <w:bookmarkEnd w:id="16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120" w:hanging="467"/>
        <w:spacing w:after="0" w:line="319" w:lineRule="auto"/>
        <w:tabs>
          <w:tab w:leader="none" w:pos="467"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4" w:lineRule="exact"/>
        <w:rPr>
          <w:sz w:val="20"/>
          <w:szCs w:val="20"/>
          <w:color w:val="auto"/>
        </w:rPr>
      </w:pPr>
    </w:p>
    <w:p>
      <w:pPr>
        <w:ind w:left="7"/>
        <w:spacing w:after="0" w:line="279"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The plan administrator may select performance criteria for an award to establish performance goals for a performance period. Performance criteria under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1"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2015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2015 Plan and replacing or terminating awards under the 2015 Plan. In addition, in the event of certain non-reciprocal transactions with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stockholders, the plan administrator will make equitable adjustments to the 2015 Plan and outstanding awards as it deems appropriate to reflect the transaction.</w:t>
      </w:r>
    </w:p>
    <w:p>
      <w:pPr>
        <w:spacing w:after="0" w:line="19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i w:val="1"/>
          <w:iCs w:val="1"/>
          <w:color w:val="auto"/>
        </w:rPr>
        <w:t xml:space="preserve">Plan amendment and termination. </w:t>
      </w:r>
      <w:r>
        <w:rPr>
          <w:rFonts w:ascii="Arial" w:cs="Arial" w:eastAsia="Arial" w:hAnsi="Arial"/>
          <w:sz w:val="15"/>
          <w:szCs w:val="15"/>
          <w:color w:val="auto"/>
        </w:rPr>
        <w:t>Our board of directors may amend or terminate the 2015 Plan at any time; however, no amendment, other than an amendment that increases the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available under the 2015 Plan, may materially and adversely affect an award outstanding under the 2015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2015 Plan will remain in effect until the tenth anniversary of its effective date, unless earlier terminated by our board of directors. No awards may be granted under the 2015 Plan after its termination.</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i w:val="1"/>
          <w:iCs w:val="1"/>
          <w:color w:val="auto"/>
        </w:rPr>
        <w:t xml:space="preserve">Foreign participants, claw-back provisions, transferability and participant payments. </w:t>
      </w:r>
      <w:r>
        <w:rPr>
          <w:rFonts w:ascii="Arial" w:cs="Arial" w:eastAsia="Arial" w:hAnsi="Arial"/>
          <w:sz w:val="15"/>
          <w:szCs w:val="15"/>
          <w:color w:val="auto"/>
        </w:rPr>
        <w:t>The plan administrator may modify awards granted to participants who are foreign nationals or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2015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2015 Plan, and exercise price obligations arising in connection with the exercise of stock options under the 2015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right="480"/>
        <w:spacing w:after="0" w:line="363" w:lineRule="auto"/>
        <w:rPr>
          <w:sz w:val="20"/>
          <w:szCs w:val="20"/>
          <w:color w:val="auto"/>
        </w:rPr>
      </w:pPr>
      <w:r>
        <w:rPr>
          <w:rFonts w:ascii="Arial" w:cs="Arial" w:eastAsia="Arial" w:hAnsi="Arial"/>
          <w:sz w:val="13"/>
          <w:szCs w:val="13"/>
          <w:color w:val="auto"/>
        </w:rPr>
        <w:t>Our board of directors and stockholders have approved the 2008 Plan, under which we may grant stock options and restricted stock awards to employees, directors and consultants or advisors of our company or its affiliates. We had reserved a total of 6,983,559 shares of our common stock for issuance under the 2008 Plan as of September 30, 2015.</w:t>
      </w:r>
    </w:p>
    <w:p>
      <w:pPr>
        <w:spacing w:after="0" w:line="105" w:lineRule="exact"/>
        <w:rPr>
          <w:sz w:val="20"/>
          <w:szCs w:val="20"/>
          <w:color w:val="auto"/>
        </w:rPr>
      </w:pPr>
    </w:p>
    <w:p>
      <w:pPr>
        <w:ind w:right="400"/>
        <w:spacing w:after="0" w:line="298" w:lineRule="auto"/>
        <w:rPr>
          <w:sz w:val="20"/>
          <w:szCs w:val="20"/>
          <w:color w:val="auto"/>
        </w:rPr>
      </w:pPr>
      <w:r>
        <w:rPr>
          <w:rFonts w:ascii="Arial" w:cs="Arial" w:eastAsia="Arial" w:hAnsi="Arial"/>
          <w:sz w:val="14"/>
          <w:szCs w:val="14"/>
          <w:color w:val="auto"/>
        </w:rPr>
        <w:t>Following the effectiveness of the 2015 Plan, 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2015 Plan are not issued under the 2008 Plan will be available for issuance under the 2015 Plan.</w:t>
      </w:r>
    </w:p>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administers the 2008 Plan and has the authority to issue awards under the 2008 Plan, to interpret the 2008 Plan and awards outstanding thereunder,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4"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right="300"/>
        <w:spacing w:after="0" w:line="298" w:lineRule="auto"/>
        <w:rPr>
          <w:sz w:val="20"/>
          <w:szCs w:val="20"/>
          <w:color w:val="auto"/>
        </w:rPr>
      </w:pPr>
      <w:r>
        <w:rPr>
          <w:rFonts w:ascii="Arial" w:cs="Arial" w:eastAsia="Arial" w:hAnsi="Arial"/>
          <w:sz w:val="14"/>
          <w:szCs w:val="14"/>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43"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In 2014, we granted Mr. Hutt an option to purchase 80,000 shares of our common stock as compensation for his board services. The option vests as to 2.0833% of the total shares subject to the option on the ninth day of each month beginning on March 9, 2014, subject to Mr. Hutt's continued service and potential accelerated vesting in connection with a change in control. No other non-employee director received stock options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0" w:name="page171"/>
    <w:bookmarkEnd w:id="17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2014 DIRECTOR COMPENSATION TABLE</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ind w:left="1440"/>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jc w:val="right"/>
              <w:ind w:right="67"/>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ind w:left="1400"/>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jc w:val="right"/>
              <w:ind w:right="367"/>
              <w:spacing w:after="0"/>
              <w:rPr>
                <w:sz w:val="20"/>
                <w:szCs w:val="20"/>
                <w:color w:val="auto"/>
              </w:rPr>
            </w:pPr>
            <w:r>
              <w:rPr>
                <w:rFonts w:ascii="Arial" w:cs="Arial" w:eastAsia="Arial" w:hAnsi="Arial"/>
                <w:sz w:val="12"/>
                <w:szCs w:val="12"/>
                <w:b w:val="1"/>
                <w:bCs w:val="1"/>
                <w:color w:val="auto"/>
              </w:rPr>
              <w:t>($)(1)</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130,448</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130,448</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George Siber, M.D.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36,000</w:t>
            </w:r>
          </w:p>
        </w:tc>
        <w:tc>
          <w:tcPr>
            <w:tcW w:w="680" w:type="dxa"/>
            <w:vAlign w:val="bottom"/>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Yurii Udaltsov, Cand. Sc(3)</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160" w:hanging="463"/>
        <w:spacing w:after="0" w:line="300" w:lineRule="auto"/>
        <w:tabs>
          <w:tab w:leader="none" w:pos="1607" w:val="left"/>
        </w:tabs>
        <w:numPr>
          <w:ilvl w:val="0"/>
          <w:numId w:val="103"/>
        </w:numPr>
        <w:rPr>
          <w:rFonts w:ascii="Arial" w:cs="Arial" w:eastAsia="Arial" w:hAnsi="Arial"/>
          <w:sz w:val="10"/>
          <w:szCs w:val="10"/>
          <w:color w:val="auto"/>
        </w:rPr>
      </w:pPr>
      <w:r>
        <w:rPr>
          <w:rFonts w:ascii="Arial" w:cs="Arial" w:eastAsia="Arial" w:hAnsi="Arial"/>
          <w:sz w:val="10"/>
          <w:szCs w:val="10"/>
          <w:color w:val="auto"/>
        </w:rPr>
        <w:t>Represents the aggregate grant date fair value of stock options granted during 2014 computed in accordance with ASC Topic 718, excluding the effect of estimated forfeitures. For a description of the assumptions used in valuing these awards, see Note 10 to our audited financial statements included elsewhere in this prospectus. The table below shows the aggregate number of option awards (exercisable and unexercisable) held by each non-employee director as of December 31, 2014. None of our non-employee directors held stock awards in our company as of that date.</w:t>
      </w:r>
    </w:p>
    <w:p>
      <w:pPr>
        <w:spacing w:after="0" w:line="136" w:lineRule="exact"/>
        <w:rPr>
          <w:sz w:val="20"/>
          <w:szCs w:val="20"/>
          <w:color w:val="auto"/>
        </w:rPr>
      </w:pPr>
    </w:p>
    <w:tbl>
      <w:tblPr>
        <w:tblLayout w:type="fixed"/>
        <w:tblInd w:w="172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560" w:type="dxa"/>
            <w:vAlign w:val="bottom"/>
            <w:gridSpan w:val="2"/>
          </w:tcPr>
          <w:p>
            <w:pPr>
              <w:jc w:val="center"/>
              <w:ind w:left="1927"/>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560" w:type="dxa"/>
            <w:vAlign w:val="bottom"/>
            <w:gridSpan w:val="2"/>
          </w:tcPr>
          <w:p>
            <w:pPr>
              <w:jc w:val="center"/>
              <w:ind w:left="1887"/>
              <w:spacing w:after="0"/>
              <w:rPr>
                <w:sz w:val="20"/>
                <w:szCs w:val="20"/>
                <w:color w:val="auto"/>
              </w:rPr>
            </w:pPr>
            <w:r>
              <w:rPr>
                <w:rFonts w:ascii="Arial" w:cs="Arial" w:eastAsia="Arial" w:hAnsi="Arial"/>
                <w:sz w:val="12"/>
                <w:szCs w:val="12"/>
                <w:b w:val="1"/>
                <w:bCs w:val="1"/>
                <w:color w:val="auto"/>
              </w:rPr>
              <w:t>at fiscal year end</w:t>
            </w:r>
          </w:p>
        </w:tc>
      </w:tr>
      <w:tr>
        <w:trPr>
          <w:trHeight w:val="177"/>
        </w:trPr>
        <w:tc>
          <w:tcPr>
            <w:tcW w:w="20" w:type="dxa"/>
            <w:vAlign w:val="bottom"/>
          </w:tcPr>
          <w:p>
            <w:pPr>
              <w:spacing w:after="0"/>
              <w:rPr>
                <w:sz w:val="15"/>
                <w:szCs w:val="15"/>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3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274,869</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Carl Gordon, Ph.D.</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3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175,000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Edwin M. Kania</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3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303,506</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Amir Nashat, Sc.D.</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George Siber, M.D.</w:t>
            </w:r>
          </w:p>
        </w:tc>
        <w:tc>
          <w:tcPr>
            <w:tcW w:w="3420" w:type="dxa"/>
            <w:vAlign w:val="bottom"/>
          </w:tcPr>
          <w:p>
            <w:pPr>
              <w:jc w:val="right"/>
              <w:spacing w:after="0"/>
              <w:rPr>
                <w:sz w:val="20"/>
                <w:szCs w:val="20"/>
                <w:color w:val="auto"/>
              </w:rPr>
            </w:pPr>
            <w:r>
              <w:rPr>
                <w:rFonts w:ascii="Arial" w:cs="Arial" w:eastAsia="Arial" w:hAnsi="Arial"/>
                <w:sz w:val="15"/>
                <w:szCs w:val="15"/>
                <w:color w:val="auto"/>
              </w:rPr>
              <w:t>123,140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Yurii Udaltsov, Cand. Sc.</w:t>
            </w: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467" w:hanging="467"/>
        <w:spacing w:after="0"/>
        <w:tabs>
          <w:tab w:leader="none" w:pos="467" w:val="left"/>
        </w:tabs>
        <w:numPr>
          <w:ilvl w:val="0"/>
          <w:numId w:val="104"/>
        </w:numPr>
        <w:rPr>
          <w:rFonts w:ascii="Arial" w:cs="Arial" w:eastAsia="Arial" w:hAnsi="Arial"/>
          <w:sz w:val="10"/>
          <w:szCs w:val="10"/>
          <w:color w:val="auto"/>
        </w:rPr>
      </w:pPr>
      <w:r>
        <w:rPr>
          <w:rFonts w:ascii="Arial" w:cs="Arial" w:eastAsia="Arial" w:hAnsi="Arial"/>
          <w:sz w:val="10"/>
          <w:szCs w:val="10"/>
          <w:color w:val="auto"/>
        </w:rPr>
        <w:t>Represents compensation earned in 2014 under the consulting agreements with the company. For additional information regarding these agreements, see "Certain relationships and related party transactions."</w:t>
      </w:r>
    </w:p>
    <w:p>
      <w:pPr>
        <w:spacing w:after="0" w:line="128" w:lineRule="exact"/>
        <w:rPr>
          <w:rFonts w:ascii="Arial" w:cs="Arial" w:eastAsia="Arial" w:hAnsi="Arial"/>
          <w:sz w:val="10"/>
          <w:szCs w:val="10"/>
          <w:color w:val="auto"/>
        </w:rPr>
      </w:pPr>
    </w:p>
    <w:p>
      <w:pPr>
        <w:ind w:left="467" w:hanging="467"/>
        <w:spacing w:after="0"/>
        <w:tabs>
          <w:tab w:leader="none" w:pos="46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77" w:lineRule="exact"/>
        <w:rPr>
          <w:sz w:val="20"/>
          <w:szCs w:val="20"/>
          <w:color w:val="auto"/>
        </w:rPr>
      </w:pPr>
    </w:p>
    <w:p>
      <w:pPr>
        <w:ind w:left="7" w:right="460"/>
        <w:spacing w:after="0" w:line="283" w:lineRule="auto"/>
        <w:rPr>
          <w:sz w:val="20"/>
          <w:szCs w:val="20"/>
          <w:color w:val="auto"/>
        </w:rPr>
      </w:pPr>
      <w:r>
        <w:rPr>
          <w:rFonts w:ascii="Arial" w:cs="Arial" w:eastAsia="Arial" w:hAnsi="Arial"/>
          <w:sz w:val="15"/>
          <w:szCs w:val="15"/>
          <w:color w:val="auto"/>
        </w:rPr>
        <w:t>In connection with this offering, we expect to implement a compensation program for our non-employee directors under which each non-employee director will receive the following amounts for their services on our board of directors:</w:t>
      </w:r>
    </w:p>
    <w:p>
      <w:pPr>
        <w:sectPr>
          <w:pgSz w:w="11900" w:h="16838" w:orient="portrait"/>
          <w:cols w:equalWidth="0" w:num="1">
            <w:col w:w="11447"/>
          </w:cols>
          <w:pgMar w:left="233" w:top="132" w:right="219" w:bottom="1440" w:gutter="0" w:footer="0" w:header="0"/>
        </w:sectPr>
      </w:pPr>
    </w:p>
    <w:p>
      <w:pPr>
        <w:spacing w:after="0" w:line="15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an option to purchase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offering,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upon the director's initial election or appointment to our board of directors that occurs after our initial public</w:t>
      </w:r>
    </w:p>
    <w:p>
      <w:pPr>
        <w:spacing w:after="0" w:line="407" w:lineRule="exact"/>
        <w:rPr>
          <w:sz w:val="20"/>
          <w:szCs w:val="20"/>
          <w:color w:val="auto"/>
        </w:rPr>
      </w:pPr>
    </w:p>
    <w:p>
      <w:pPr>
        <w:sectPr>
          <w:pgSz w:w="11900" w:h="16838" w:orient="portrait"/>
          <w:cols w:equalWidth="0" w:num="3">
            <w:col w:w="47" w:space="420"/>
            <w:col w:w="1600" w:space="720"/>
            <w:col w:w="8660"/>
          </w:cols>
          <w:pgMar w:left="233" w:top="132" w:right="21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common stock on the date of the annual meeting;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shares of our</w:t>
      </w:r>
    </w:p>
    <w:p>
      <w:pPr>
        <w:spacing w:after="0" w:line="407" w:lineRule="exact"/>
        <w:rPr>
          <w:sz w:val="20"/>
          <w:szCs w:val="20"/>
          <w:color w:val="auto"/>
        </w:rPr>
      </w:pPr>
    </w:p>
    <w:p>
      <w:pPr>
        <w:sectPr>
          <w:pgSz w:w="11900" w:h="16838" w:orient="portrait"/>
          <w:cols w:equalWidth="0" w:num="3">
            <w:col w:w="47" w:space="420"/>
            <w:col w:w="9180" w:space="720"/>
            <w:col w:w="1080"/>
          </w:cols>
          <w:pgMar w:left="233" w:top="132" w:right="21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 annual director fee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and</w:t>
      </w:r>
    </w:p>
    <w:p>
      <w:pPr>
        <w:spacing w:after="0" w:line="211" w:lineRule="exact"/>
        <w:rPr>
          <w:sz w:val="20"/>
          <w:szCs w:val="20"/>
          <w:color w:val="auto"/>
        </w:rPr>
      </w:pPr>
    </w:p>
    <w:p>
      <w:pPr>
        <w:sectPr>
          <w:pgSz w:w="11900" w:h="16838" w:orient="portrait"/>
          <w:cols w:equalWidth="0" w:num="3">
            <w:col w:w="47" w:space="420"/>
            <w:col w:w="1580" w:space="500"/>
            <w:col w:w="8900"/>
          </w:cols>
          <w:pgMar w:left="233" w:top="132" w:right="219" w:bottom="1440" w:gutter="0" w:footer="0" w:header="0"/>
          <w:type w:val="continuous"/>
        </w:sectPr>
      </w:pPr>
    </w:p>
    <w:p>
      <w:pPr>
        <w:spacing w:after="0" w:line="33" w:lineRule="exact"/>
        <w:rPr>
          <w:sz w:val="20"/>
          <w:szCs w:val="20"/>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385" w:lineRule="exact"/>
        <w:rPr>
          <w:sz w:val="20"/>
          <w:szCs w:val="20"/>
          <w:color w:val="auto"/>
        </w:rPr>
      </w:pPr>
    </w:p>
    <w:p>
      <w:pPr>
        <w:ind w:left="927"/>
        <w:spacing w:after="0"/>
        <w:tabs>
          <w:tab w:leader="none" w:pos="1367" w:val="left"/>
          <w:tab w:leader="none" w:pos="3967"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chairman of the audit committee,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26567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71" w:name="page172"/>
    <w:bookmarkEnd w:id="17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tbl>
      <w:tblPr>
        <w:tblLayout w:type="fixed"/>
        <w:tblInd w:w="920" w:type="dxa"/>
        <w:tblCellMar>
          <w:top w:w="0" w:type="dxa"/>
          <w:left w:w="0" w:type="dxa"/>
          <w:bottom w:w="0" w:type="dxa"/>
          <w:right w:w="0" w:type="dxa"/>
        </w:tblCellMar>
      </w:tblPr>
      <w:tr>
        <w:trPr>
          <w:trHeight w:val="20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40" w:type="dxa"/>
            <w:vAlign w:val="bottom"/>
          </w:tcPr>
          <w:p>
            <w:pPr>
              <w:ind w:left="200"/>
              <w:spacing w:after="0"/>
              <w:rPr>
                <w:sz w:val="20"/>
                <w:szCs w:val="20"/>
                <w:color w:val="auto"/>
              </w:rPr>
            </w:pPr>
            <w:r>
              <w:rPr>
                <w:rFonts w:ascii="Arial" w:cs="Arial" w:eastAsia="Arial" w:hAnsi="Arial"/>
                <w:sz w:val="15"/>
                <w:szCs w:val="15"/>
                <w:color w:val="auto"/>
                <w:w w:val="90"/>
              </w:rPr>
              <w:t>audit committee member other than the chairman, $</w:t>
            </w:r>
          </w:p>
        </w:tc>
        <w:tc>
          <w:tcPr>
            <w:tcW w:w="980" w:type="dxa"/>
            <w:vAlign w:val="bottom"/>
          </w:tcPr>
          <w:p>
            <w:pPr>
              <w:jc w:val="right"/>
              <w:ind w:right="398"/>
              <w:spacing w:after="0"/>
              <w:rPr>
                <w:sz w:val="20"/>
                <w:szCs w:val="20"/>
                <w:color w:val="auto"/>
              </w:rPr>
            </w:pPr>
            <w:r>
              <w:rPr>
                <w:rFonts w:ascii="Arial" w:cs="Arial" w:eastAsia="Arial" w:hAnsi="Arial"/>
                <w:sz w:val="15"/>
                <w:szCs w:val="15"/>
                <w:color w:val="auto"/>
              </w:rPr>
              <w:t>,</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95"/>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40" w:type="dxa"/>
            <w:vAlign w:val="bottom"/>
          </w:tcPr>
          <w:p>
            <w:pPr>
              <w:ind w:left="200"/>
              <w:spacing w:after="0"/>
              <w:rPr>
                <w:sz w:val="20"/>
                <w:szCs w:val="20"/>
                <w:color w:val="auto"/>
              </w:rPr>
            </w:pPr>
            <w:r>
              <w:rPr>
                <w:rFonts w:ascii="Arial" w:cs="Arial" w:eastAsia="Arial" w:hAnsi="Arial"/>
                <w:sz w:val="15"/>
                <w:szCs w:val="15"/>
                <w:color w:val="auto"/>
              </w:rPr>
              <w:t>chairman of the compensation committee, $</w:t>
            </w:r>
          </w:p>
        </w:tc>
        <w:tc>
          <w:tcPr>
            <w:tcW w:w="980" w:type="dxa"/>
            <w:vAlign w:val="bottom"/>
          </w:tcPr>
          <w:p>
            <w:pPr>
              <w:jc w:val="right"/>
              <w:ind w:right="878"/>
              <w:spacing w:after="0"/>
              <w:rPr>
                <w:sz w:val="20"/>
                <w:szCs w:val="20"/>
                <w:color w:val="auto"/>
              </w:rPr>
            </w:pPr>
            <w:r>
              <w:rPr>
                <w:rFonts w:ascii="Arial" w:cs="Arial" w:eastAsia="Arial" w:hAnsi="Arial"/>
                <w:sz w:val="10"/>
                <w:szCs w:val="10"/>
                <w:color w:val="auto"/>
                <w:w w:val="70"/>
              </w:rPr>
              <w:t>,</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rPr>
              <w:t>compensation committee member other than the chairman, $</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w w:val="91"/>
              </w:rPr>
              <w:t>chairman of the nominating and corporate governance committee, $</w:t>
            </w:r>
          </w:p>
        </w:tc>
        <w:tc>
          <w:tcPr>
            <w:tcW w:w="1240" w:type="dxa"/>
            <w:vAlign w:val="bottom"/>
          </w:tcPr>
          <w:p>
            <w:pPr>
              <w:jc w:val="right"/>
              <w:ind w:right="405"/>
              <w:spacing w:after="0"/>
              <w:rPr>
                <w:sz w:val="20"/>
                <w:szCs w:val="20"/>
                <w:color w:val="auto"/>
              </w:rPr>
            </w:pPr>
            <w:r>
              <w:rPr>
                <w:rFonts w:ascii="Arial" w:cs="Arial" w:eastAsia="Arial" w:hAnsi="Arial"/>
                <w:sz w:val="15"/>
                <w:szCs w:val="15"/>
                <w:color w:val="auto"/>
              </w:rPr>
              <w:t>, and</w:t>
            </w:r>
          </w:p>
        </w:tc>
        <w:tc>
          <w:tcPr>
            <w:tcW w:w="280" w:type="dxa"/>
            <w:vAlign w:val="bottom"/>
          </w:tcPr>
          <w:p>
            <w:pPr>
              <w:spacing w:after="0"/>
              <w:rPr>
                <w:sz w:val="24"/>
                <w:szCs w:val="24"/>
                <w:color w:val="auto"/>
              </w:rPr>
            </w:pPr>
          </w:p>
        </w:tc>
      </w:tr>
      <w:tr>
        <w:trPr>
          <w:trHeight w:val="395"/>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5560" w:type="dxa"/>
            <w:vAlign w:val="bottom"/>
            <w:gridSpan w:val="3"/>
          </w:tcPr>
          <w:p>
            <w:pPr>
              <w:ind w:left="200"/>
              <w:spacing w:after="0"/>
              <w:rPr>
                <w:sz w:val="20"/>
                <w:szCs w:val="20"/>
                <w:color w:val="auto"/>
              </w:rPr>
            </w:pPr>
            <w:r>
              <w:rPr>
                <w:rFonts w:ascii="Arial" w:cs="Arial" w:eastAsia="Arial" w:hAnsi="Arial"/>
                <w:sz w:val="15"/>
                <w:szCs w:val="15"/>
                <w:color w:val="auto"/>
                <w:w w:val="94"/>
              </w:rPr>
              <w:t>nominating and corporate governance committee member other than the chairman, $</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annual installments over four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4"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on the final day of each fiscal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following includes a summary of transactions since January 1, 2012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at a purchase price of $4.50 per share, for net aggregate consideration of approximately $14.4 million.</w:t>
      </w:r>
    </w:p>
    <w:p>
      <w:pPr>
        <w:spacing w:after="0" w:line="150"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$7.0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3"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61" w:lineRule="exact"/>
        <w:rPr>
          <w:sz w:val="20"/>
          <w:szCs w:val="20"/>
          <w:color w:val="auto"/>
        </w:rPr>
      </w:pPr>
    </w:p>
    <w:p>
      <w:pPr>
        <w:jc w:val="both"/>
        <w:ind w:right="80"/>
        <w:spacing w:after="0" w:line="298" w:lineRule="auto"/>
        <w:rPr>
          <w:sz w:val="20"/>
          <w:szCs w:val="20"/>
          <w:color w:val="auto"/>
        </w:rPr>
      </w:pPr>
      <w:r>
        <w:rPr>
          <w:rFonts w:ascii="Arial" w:cs="Arial" w:eastAsia="Arial" w:hAnsi="Arial"/>
          <w:sz w:val="14"/>
          <w:szCs w:val="14"/>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1.04651 shares of common stock immediately prior to the closing of this offering. Each share of our Series E Preferred Stock identified in the following table will convert into 1.15 shares of common stock immediately prior to the closing of this offering.</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4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148,550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105" w:lineRule="exact"/>
        <w:rPr>
          <w:rFonts w:ascii="Arial" w:cs="Arial" w:eastAsia="Arial" w:hAnsi="Arial"/>
          <w:sz w:val="12"/>
          <w:szCs w:val="12"/>
          <w:color w:val="auto"/>
        </w:rPr>
      </w:pPr>
    </w:p>
    <w:p>
      <w:pPr>
        <w:ind w:left="1600" w:right="340" w:hanging="463"/>
        <w:spacing w:after="0" w:line="239" w:lineRule="auto"/>
        <w:tabs>
          <w:tab w:leader="none" w:pos="16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$1.7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are associated with our principal stockholders as indicated in the table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60" w:type="dxa"/>
            <w:vAlign w:val="bottom"/>
            <w:gridSpan w:val="2"/>
          </w:tcPr>
          <w:p>
            <w:pPr>
              <w:spacing w:after="0"/>
              <w:rPr>
                <w:sz w:val="20"/>
                <w:szCs w:val="20"/>
                <w:color w:val="auto"/>
              </w:rPr>
            </w:pPr>
            <w:r>
              <w:rPr>
                <w:rFonts w:ascii="Arial" w:cs="Arial" w:eastAsia="Arial" w:hAnsi="Arial"/>
                <w:sz w:val="12"/>
                <w:szCs w:val="12"/>
                <w:b w:val="1"/>
                <w:bCs w:val="1"/>
                <w:color w:val="auto"/>
              </w:rPr>
              <w:t>Director</w:t>
            </w:r>
          </w:p>
        </w:tc>
        <w:tc>
          <w:tcPr>
            <w:tcW w:w="7180" w:type="dxa"/>
            <w:vAlign w:val="bottom"/>
          </w:tcPr>
          <w:p>
            <w:pPr>
              <w:ind w:left="312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1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Entities affiliated with Polaris Venture Partners</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Edwin M. Kania</w:t>
            </w:r>
          </w:p>
        </w:tc>
        <w:tc>
          <w:tcPr>
            <w:tcW w:w="7180" w:type="dxa"/>
            <w:vAlign w:val="bottom"/>
          </w:tcPr>
          <w:p>
            <w:pPr>
              <w:ind w:left="360"/>
              <w:spacing w:after="0"/>
              <w:rPr>
                <w:sz w:val="20"/>
                <w:szCs w:val="20"/>
                <w:color w:val="auto"/>
              </w:rPr>
            </w:pPr>
            <w:r>
              <w:rPr>
                <w:rFonts w:ascii="Arial" w:cs="Arial" w:eastAsia="Arial" w:hAnsi="Arial"/>
                <w:sz w:val="15"/>
                <w:szCs w:val="15"/>
                <w:color w:val="auto"/>
              </w:rPr>
              <w:t>Flagship Ventures Fund 2007, L.P.</w:t>
            </w:r>
          </w:p>
        </w:tc>
      </w:tr>
      <w:tr>
        <w:trPr>
          <w:trHeight w:val="186"/>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Leysan Shaydullina, M.D.</w:t>
            </w:r>
          </w:p>
        </w:tc>
        <w:tc>
          <w:tcPr>
            <w:tcW w:w="7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RUSNANO</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Carl Gordon, Ph.D.</w:t>
            </w:r>
          </w:p>
        </w:tc>
        <w:tc>
          <w:tcPr>
            <w:tcW w:w="7180" w:type="dxa"/>
            <w:vAlign w:val="bottom"/>
          </w:tcPr>
          <w:p>
            <w:pPr>
              <w:ind w:left="360"/>
              <w:spacing w:after="0"/>
              <w:rPr>
                <w:sz w:val="20"/>
                <w:szCs w:val="20"/>
                <w:color w:val="auto"/>
              </w:rPr>
            </w:pPr>
            <w:r>
              <w:rPr>
                <w:rFonts w:ascii="Arial" w:cs="Arial" w:eastAsia="Arial" w:hAnsi="Arial"/>
                <w:sz w:val="15"/>
                <w:szCs w:val="15"/>
                <w:color w:val="auto"/>
              </w:rPr>
              <w:t>Entities affiliated with OrbiMed Advisors LLC</w:t>
            </w:r>
          </w:p>
        </w:tc>
      </w:tr>
      <w:tr>
        <w:trPr>
          <w:trHeight w:val="186"/>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NanoDimensions L.P.</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AGREEMENTS</w:t>
      </w:r>
    </w:p>
    <w:p>
      <w:pPr>
        <w:spacing w:after="0" w:line="195"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and August 2015 with our directors Omid Farokhzad and Robert S. Langer, the holders of our preferred stock, including entities in which certain other of our directors are related, Ulrich von Andrian, one of our principal stockholders, and certain other stockholder.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George Siber, M.D. Pursuant to the voting agreement, Drs. Farokhzad, and Langer were initially 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567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The above provision of the voting agreement will terminate upon the closing of this offering, and members previously elected to our board of directors pursuant to this agreement will continue to serve as directors until they resign, are removed or their successors are duly elected by the holders of our common stock. The composition of our board of directors after this offering is described in more detail under "Management—Board composition and election of directors."</w:t>
      </w:r>
    </w:p>
    <w:p>
      <w:pPr>
        <w:spacing w:after="0" w:line="161" w:lineRule="exact"/>
        <w:rPr>
          <w:sz w:val="20"/>
          <w:szCs w:val="20"/>
          <w:color w:val="auto"/>
        </w:rPr>
      </w:pPr>
    </w:p>
    <w:p>
      <w:pPr>
        <w:jc w:val="both"/>
        <w:ind w:right="20"/>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spacing w:after="0" w:line="1" w:lineRule="exact"/>
        <w:rPr>
          <w:sz w:val="20"/>
          <w:szCs w:val="20"/>
          <w:color w:val="auto"/>
        </w:rPr>
      </w:pPr>
    </w:p>
    <w:p>
      <w:pPr>
        <w:ind w:right="260"/>
        <w:spacing w:after="0" w:line="313"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above provision of the voting agreement related to the Selecta RUS board of directors will terminate as of the date all shares of Series SRN Preferred Stock purchased by RUSNANO and I2BF convert into our common stock, and members previously elected to the Selecta RUS board of directors pursuant to this agreement will continue to serve as directors until they resign, are removed or their successors are duly elected by us, as the sole equity holder of Selecta RUS.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one of our principal shareholders.</w:t>
      </w:r>
    </w:p>
    <w:p>
      <w:pPr>
        <w:spacing w:after="0" w:line="199"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6567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76" w:name="page177"/>
    <w:bookmarkEnd w:id="176"/>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0910" cy="6985"/>
                    </a:xfrm>
                    <a:prstGeom prst="rect">
                      <a:avLst/>
                    </a:prstGeom>
                    <a:noFill/>
                  </pic:spPr>
                </pic:pic>
              </a:graphicData>
            </a:graphic>
          </wp:anchor>
        </w:drawing>
        <w:t>Principal stockholders</w:t>
      </w:r>
    </w:p>
    <w:p>
      <w:pPr>
        <w:spacing w:after="0" w:line="184" w:lineRule="exact"/>
        <w:rPr>
          <w:sz w:val="20"/>
          <w:szCs w:val="20"/>
          <w:color w:val="auto"/>
        </w:rPr>
      </w:pPr>
    </w:p>
    <w:p>
      <w:pPr>
        <w:ind w:left="7" w:right="320"/>
        <w:spacing w:after="0" w:line="283"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October 31, 2015,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of our directors;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99"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46,632,987 shares of common stock outstanding as of October 31, 2015, including 34,469 shares of unvested restricted common stock subject to repurchase by us and after giving effect to the conversion of our outstanding preferred stock into 35,935,400 shares of common stock upon the closing of this offering and the issuance of 2,208,651 shares of common stock in connection with the automatic cashless exercise of the Series E Warrants upon the filing of the registration statement of which this prospectus forms a part with the SEC.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October 31, 2015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6567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stockholders listed has sole voting and investment power with respect to the shares beneficially owned by the stockholder unless noted otherwise, subject to community property laws where applicable.</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w w:val="99"/>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gridSpan w:val="2"/>
          </w:tcPr>
          <w:p>
            <w:pPr>
              <w:jc w:val="center"/>
              <w:ind w:left="207"/>
              <w:spacing w:after="0"/>
              <w:rPr>
                <w:sz w:val="20"/>
                <w:szCs w:val="20"/>
                <w:color w:val="auto"/>
              </w:rPr>
            </w:pPr>
            <w:r>
              <w:rPr>
                <w:rFonts w:ascii="Arial" w:cs="Arial" w:eastAsia="Arial" w:hAnsi="Arial"/>
                <w:sz w:val="12"/>
                <w:szCs w:val="12"/>
                <w:b w:val="1"/>
                <w:bCs w:val="1"/>
                <w:color w:val="auto"/>
              </w:rPr>
              <w:t>beneficially owned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46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prior to offering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380" w:type="dxa"/>
            <w:vAlign w:val="bottom"/>
            <w:gridSpan w:val="3"/>
            <w:vMerge w:val="continue"/>
          </w:tcPr>
          <w:p>
            <w:pPr>
              <w:spacing w:after="0"/>
              <w:rPr>
                <w:sz w:val="11"/>
                <w:szCs w:val="11"/>
                <w:color w:val="auto"/>
              </w:rPr>
            </w:pPr>
          </w:p>
        </w:tc>
        <w:tc>
          <w:tcPr>
            <w:tcW w:w="960" w:type="dxa"/>
            <w:vAlign w:val="bottom"/>
            <w:tcBorders>
              <w:top w:val="single" w:sz="8" w:color="auto"/>
            </w:tcBorders>
          </w:tcPr>
          <w:p>
            <w:pPr>
              <w:jc w:val="right"/>
              <w:ind w:right="22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660" w:type="dxa"/>
            <w:vAlign w:val="bottom"/>
            <w:tcBorders>
              <w:top w:val="single" w:sz="8" w:color="auto"/>
            </w:tcBorders>
          </w:tcPr>
          <w:p>
            <w:pPr>
              <w:ind w:left="200"/>
              <w:spacing w:after="0" w:line="131" w:lineRule="exact"/>
              <w:rPr>
                <w:sz w:val="20"/>
                <w:szCs w:val="20"/>
                <w:color w:val="auto"/>
              </w:rPr>
            </w:pPr>
            <w:r>
              <w:rPr>
                <w:rFonts w:ascii="Arial" w:cs="Arial" w:eastAsia="Arial" w:hAnsi="Arial"/>
                <w:sz w:val="12"/>
                <w:szCs w:val="12"/>
                <w:b w:val="1"/>
                <w:bCs w:val="1"/>
                <w:color w:val="auto"/>
                <w:w w:val="96"/>
              </w:rPr>
              <w:t>Number</w:t>
            </w:r>
          </w:p>
        </w:tc>
        <w:tc>
          <w:tcPr>
            <w:tcW w:w="1080" w:type="dxa"/>
            <w:vAlign w:val="bottom"/>
            <w:tcBorders>
              <w:top w:val="single" w:sz="8" w:color="auto"/>
            </w:tcBorders>
          </w:tcPr>
          <w:p>
            <w:pPr>
              <w:ind w:left="380"/>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6,663,516</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3"/>
              </w:rPr>
              <w:t>14.3%</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6,326,019</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13.5%</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5,077,377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3"/>
              </w:rPr>
              <w:t>10.9%</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4,347,068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NanoDimension L.P.(5)</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2,459,671</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Investments LP(6)</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3,575,210</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53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and Directors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1,506,158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392,187</w:t>
            </w:r>
          </w:p>
        </w:tc>
        <w:tc>
          <w:tcPr>
            <w:tcW w:w="5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Ph.D.(9)</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424,456</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Omid Farokhzad, M.D.(10)</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1,606,457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4,347,068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Peter Barton Hutt(11)</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131,666</w:t>
            </w:r>
          </w:p>
        </w:tc>
        <w:tc>
          <w:tcPr>
            <w:tcW w:w="5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6,326,019</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13.5%</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Robert Langer, Sc. D.(12)</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2,296,117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6,663,516</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14.3%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M.D.(13)</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123,140</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Leysan Shaydullina</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executive officers and directors as a group (16 persons)(14)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24,622,893</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52.8%</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6" w:lineRule="exact"/>
        <w:rPr>
          <w:sz w:val="20"/>
          <w:szCs w:val="20"/>
          <w:color w:val="auto"/>
        </w:rPr>
      </w:pPr>
    </w:p>
    <w:p>
      <w:pPr>
        <w:ind w:left="1600" w:right="80" w:hanging="463"/>
        <w:spacing w:after="0" w:line="273" w:lineRule="auto"/>
        <w:tabs>
          <w:tab w:leader="none" w:pos="160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Consists of (i) 6,351,906 shares of common stock held by Polaris Venture Partners V, L.P., or Polaris V, (ii) 77,962 shares of common stock underlying warrants exercisable within 60 days of October 31, 2015 held by Polaris V, (iii) 123,792 shares of common stock held by Polaris Venture Partners Entrepreneurs' Fund V, L.P., or Polaris EFund V, (iv) 1,519 shares of common stock underlying warrants exercisable within 60 days of October 31, 2015 held by Polaris EFund V, (v) 43,509 shares of common stock held by Polaris Venture Partners Founders' Fund V, L.P., or Polaris FFund V, (vi) 534 shares of common stock underlying warrants exercisable within 60 days of October 31, 2015 held by Polaris FFund V, (vii) 63,515 shares of common stock held by Polaris Venture Partners Special Founders' Fund V, L.P., or Polaris SFFund V, and (viii) 779 shares of common stock underlying warrants exercisable within 60 days of October 31, 2015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1" w:lineRule="exact"/>
        <w:rPr>
          <w:rFonts w:ascii="Arial" w:cs="Arial" w:eastAsia="Arial" w:hAnsi="Arial"/>
          <w:sz w:val="10"/>
          <w:szCs w:val="10"/>
          <w:color w:val="auto"/>
        </w:rPr>
      </w:pPr>
    </w:p>
    <w:p>
      <w:pPr>
        <w:jc w:val="both"/>
        <w:ind w:left="1600" w:right="20" w:hanging="463"/>
        <w:spacing w:after="0" w:line="233" w:lineRule="auto"/>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Consists of (i) 6,246,995 shares of common stock held of record by Flagship Ventures Fund 2007, L.P., or Flagship Ventures 2007, and (ii) 79,024 shares of common stock underlying warrants exercisable within 60 days of October 31, 2015 held of record by Flagship Ventures 2007. Flagship Ventures 2007 General Partner, LLC, or Flagship 2007 LLC, is the general partner of Flagship 2007 and Noubar B. Afeyan Ph.D. and Edwin M. Kania, Jr. are the managers of Flagship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8" w:lineRule="exact"/>
        <w:rPr>
          <w:sz w:val="20"/>
          <w:szCs w:val="20"/>
          <w:color w:val="auto"/>
        </w:rPr>
      </w:pPr>
    </w:p>
    <w:p>
      <w:pPr>
        <w:ind w:left="1600" w:right="120"/>
        <w:spacing w:after="0" w:line="233" w:lineRule="auto"/>
        <w:rPr>
          <w:sz w:val="20"/>
          <w:szCs w:val="20"/>
          <w:color w:val="auto"/>
        </w:rPr>
      </w:pPr>
      <w:r>
        <w:rPr>
          <w:rFonts w:ascii="Arial" w:cs="Arial" w:eastAsia="Arial" w:hAnsi="Arial"/>
          <w:sz w:val="12"/>
          <w:szCs w:val="12"/>
          <w:color w:val="auto"/>
        </w:rPr>
        <w:t>2007 LLC. Flagship 2007 LLC, Dr. Afeyan and Mr. Kania may be deemed to share voting and investment power with respect to all shares held by Flagship 2007. Flagship 2007 LLC, Dr. Afeyan and Mr. Kania expressly disclaim beneficial ownership of the securities listed above except to the extent of any pecuniary interest therein. The address for Flagship 2007 is One Memorial Drive, 7th Floor, Cambridge, MA 02142.</w:t>
      </w:r>
    </w:p>
    <w:p>
      <w:pPr>
        <w:spacing w:after="0" w:line="155" w:lineRule="exact"/>
        <w:rPr>
          <w:sz w:val="20"/>
          <w:szCs w:val="20"/>
          <w:color w:val="auto"/>
        </w:rPr>
      </w:pPr>
    </w:p>
    <w:p>
      <w:pPr>
        <w:ind w:left="1600" w:right="320" w:hanging="463"/>
        <w:spacing w:after="0" w:line="239" w:lineRule="auto"/>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Consists of (i) 5,026,274 shares of common stock held by RUSNANO and (ii) 51,103 shares of common stock underlying warrants exercisable within 60 days of October 31, 2015 held by RUSNANO. The address of the beneficial owner is 10A prospect 60-letiya Oktyabrya, Moscow, Russia 117036.</w:t>
      </w:r>
    </w:p>
    <w:p>
      <w:pPr>
        <w:spacing w:after="0" w:line="96" w:lineRule="exact"/>
        <w:rPr>
          <w:rFonts w:ascii="Arial" w:cs="Arial" w:eastAsia="Arial" w:hAnsi="Arial"/>
          <w:sz w:val="12"/>
          <w:szCs w:val="12"/>
          <w:color w:val="auto"/>
        </w:rPr>
      </w:pPr>
    </w:p>
    <w:p>
      <w:pPr>
        <w:ind w:left="1600" w:right="20" w:hanging="463"/>
        <w:spacing w:after="0" w:line="276" w:lineRule="auto"/>
        <w:tabs>
          <w:tab w:leader="none" w:pos="16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Consists of (i) 4,294,875 shares of common stock held by OrbiMed Private Investments III LP, or OrbiMed Private, (ii) 25,401 shares of common stock underlying warrants exercisable within 60 days of October 31, 2015 held by OrbiMed Private, (iii) 25,551 shares of common stock held by OrbiMed Associates III, LP, or OrbiMed Associates and, together with OrbiMed Private, the OrbiMed Funds, and (iv) 241 shares of common stock underlying warrants exercisable within 60 days of October 31, 2015 held by OrbiMed Associates. OrbiMed Capital GP III LLC, or GP III, is the sole general partner of OrbiMed Private and OrbiMed Advisors LLC, or OrbiMed Advisors, is the managing member of OrbiMed Private and the sole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211" w:lineRule="exact"/>
        <w:rPr>
          <w:rFonts w:ascii="Arial" w:cs="Arial" w:eastAsia="Arial" w:hAnsi="Arial"/>
          <w:sz w:val="10"/>
          <w:szCs w:val="10"/>
          <w:color w:val="auto"/>
        </w:rPr>
      </w:pPr>
    </w:p>
    <w:p>
      <w:pPr>
        <w:ind w:left="1600" w:right="60" w:hanging="463"/>
        <w:spacing w:after="0" w:line="279" w:lineRule="auto"/>
        <w:tabs>
          <w:tab w:leader="none" w:pos="16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Consists of (i) 2,432,341 shares of common stock held by NanoDimension L.P., or ND LP, and (ii) 27,330 shares of common stock underlying warrants exercisable within 60 days of October 31, 2015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9" w:lineRule="exact"/>
        <w:rPr>
          <w:rFonts w:ascii="Arial" w:cs="Arial" w:eastAsia="Arial" w:hAnsi="Arial"/>
          <w:sz w:val="10"/>
          <w:szCs w:val="10"/>
          <w:color w:val="auto"/>
        </w:rPr>
      </w:pPr>
    </w:p>
    <w:p>
      <w:pPr>
        <w:ind w:left="1600" w:hanging="463"/>
        <w:spacing w:after="0"/>
        <w:tabs>
          <w:tab w:leader="none" w:pos="16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Consists of (i) 1,614,101 shares of common stock held by TAS Partners, LLC, or TAS, (ii) 16,789 shares of common stock underlying warrants exercisable within 60 days of October 31, 2015 held by TAS,</w:t>
      </w:r>
    </w:p>
    <w:p>
      <w:pPr>
        <w:spacing w:after="0" w:line="22" w:lineRule="exact"/>
        <w:rPr>
          <w:rFonts w:ascii="Arial" w:cs="Arial" w:eastAsia="Arial" w:hAnsi="Arial"/>
          <w:sz w:val="10"/>
          <w:szCs w:val="10"/>
          <w:color w:val="auto"/>
        </w:rPr>
      </w:pPr>
    </w:p>
    <w:p>
      <w:pPr>
        <w:ind w:left="1600" w:right="20"/>
        <w:spacing w:after="0" w:line="226" w:lineRule="auto"/>
        <w:rPr>
          <w:rFonts w:ascii="Arial" w:cs="Arial" w:eastAsia="Arial" w:hAnsi="Arial"/>
          <w:sz w:val="10"/>
          <w:szCs w:val="10"/>
          <w:color w:val="auto"/>
        </w:rPr>
      </w:pPr>
      <w:r>
        <w:rPr>
          <w:rFonts w:ascii="Arial" w:cs="Arial" w:eastAsia="Arial" w:hAnsi="Arial"/>
          <w:sz w:val="12"/>
          <w:szCs w:val="12"/>
          <w:color w:val="auto"/>
        </w:rPr>
        <w:t>(iii) 1,923,545 shares of common stock held by Leukon Investments LP, or Leukon, and (iv) 20,775 shares of common stock underlying warrants exercisable within 60 days of October 31, 2015. LKST, Inc. is the general partner of Leukon. Timothy Springer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331,523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393,750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418,191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right="160" w:hanging="463"/>
        <w:spacing w:after="0" w:line="239" w:lineRule="auto"/>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249,813 shares of common stock underlying outstanding stock options exercisable within 60 days of October 31, 2015. Also includes 788,000 shares of common stock held by a family trust for which Dr. Farokhzad's wife serves as trustee.</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131,666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290,723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123,140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Includes (i) 2,911,292 shares of common stock underlying outstanding stock options and (ii) 185,460 shares of common stock underlying warrants exercisable within 60 days of 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567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ectPr>
          <w:pgSz w:w="11900" w:h="16838" w:orient="portrait"/>
          <w:cols w:equalWidth="0" w:num="1">
            <w:col w:w="11420"/>
          </w:cols>
          <w:pgMar w:left="240" w:top="132"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Following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par value $0.0001 per share, 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shares</w:t>
      </w:r>
    </w:p>
    <w:p>
      <w:pPr>
        <w:spacing w:after="0" w:line="52" w:lineRule="exact"/>
        <w:rPr>
          <w:sz w:val="20"/>
          <w:szCs w:val="20"/>
          <w:color w:val="auto"/>
        </w:rPr>
      </w:pPr>
    </w:p>
    <w:p>
      <w:pPr>
        <w:sectPr>
          <w:pgSz w:w="11900" w:h="16838" w:orient="portrait"/>
          <w:cols w:equalWidth="0" w:num="3">
            <w:col w:w="5180" w:space="720"/>
            <w:col w:w="4300" w:space="720"/>
            <w:col w:w="500"/>
          </w:cols>
          <w:pgMar w:left="240" w:top="132" w:right="239" w:bottom="1440" w:gutter="0" w:footer="0" w:header="0"/>
          <w:type w:val="continuous"/>
        </w:sectPr>
      </w:pPr>
    </w:p>
    <w:p>
      <w:pPr>
        <w:spacing w:after="0"/>
        <w:rPr>
          <w:sz w:val="20"/>
          <w:szCs w:val="20"/>
          <w:color w:val="auto"/>
        </w:rPr>
      </w:pPr>
      <w:r>
        <w:rPr>
          <w:rFonts w:ascii="Arial" w:cs="Arial" w:eastAsia="Arial" w:hAnsi="Arial"/>
          <w:sz w:val="13"/>
          <w:szCs w:val="13"/>
          <w:color w:val="auto"/>
        </w:rPr>
        <w:t>of preferred stock, par value $0.0001 per share.</w:t>
      </w:r>
    </w:p>
    <w:p>
      <w:pPr>
        <w:sectPr>
          <w:pgSz w:w="11900" w:h="16838" w:orient="portrait"/>
          <w:cols w:equalWidth="0" w:num="1">
            <w:col w:w="11420"/>
          </w:cols>
          <w:pgMar w:left="240" w:top="132" w:right="239" w:bottom="1440" w:gutter="0" w:footer="0" w:header="0"/>
          <w:type w:val="continuous"/>
        </w:sectPr>
      </w:pPr>
    </w:p>
    <w:p>
      <w:pPr>
        <w:spacing w:after="0" w:line="217" w:lineRule="exact"/>
        <w:rPr>
          <w:sz w:val="20"/>
          <w:szCs w:val="20"/>
          <w:color w:val="auto"/>
        </w:rPr>
      </w:pPr>
    </w:p>
    <w:p>
      <w:pPr>
        <w:spacing w:after="0" w:line="299" w:lineRule="auto"/>
        <w:rPr>
          <w:sz w:val="20"/>
          <w:szCs w:val="20"/>
          <w:color w:val="auto"/>
        </w:rPr>
      </w:pPr>
      <w:r>
        <w:rPr>
          <w:rFonts w:ascii="Arial" w:cs="Arial" w:eastAsia="Arial" w:hAnsi="Arial"/>
          <w:sz w:val="13"/>
          <w:szCs w:val="13"/>
          <w:color w:val="auto"/>
        </w:rPr>
        <w:t>On October 31, 2015, there were 8,488,936 shares of common stock outstanding, including 34,469 shares of unvested restricted common stock subject to repurchase by us, held of record by 92 stockholders. This amount excludes our outstanding shares of preferred stock, which will convert into 35,935,400 shares of common stock upon the closing of this offering, and 2,208,651 shares of common stock issuable in connection with the automatic cashless exercise of the Series E Warrants upon the filing of the registration statement of which this prospectus forms a part with the SEC. Based on the number of shares of common stock outstanding as of October 31, 2015, and assuming (i) the conversion of all outstanding shares of our preferred</w:t>
      </w:r>
    </w:p>
    <w:p>
      <w:pPr>
        <w:spacing w:after="0" w:line="2"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stock, (ii) the automatic cashless exercise of the Series E Warrants and (iii) the issuance by us of shares in this offering, there will be shares of common stock outstanding upon the closing of this offering.</w:t>
      </w:r>
    </w:p>
    <w:p>
      <w:pPr>
        <w:spacing w:after="0" w:line="156"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In addition, as of October 31, 2015, there were (i) 5,208,869 shares of common stock subject to outstanding options, (ii) 69,768 shares of common stock issuable upon outstanding warrants to purchase shares of our Series D Preferred Stock that will become warrants to purchase shares of common stock upon the closing of this offering and (ii) 315,198 shares of common stock issuable upon the exercise of warrants, not including the warrants described in (ii) or the Series E Warrants.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80" w:name="page181"/>
    <w:bookmarkEnd w:id="1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of directors, subject to any preferential dividend rights of any series of preferred stock that we may designate and issue in the future.</w:t>
      </w:r>
    </w:p>
    <w:p>
      <w:pPr>
        <w:spacing w:after="0" w:line="19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61"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As of October 31, 2015, options to purchase 5,208,869 shares of our common stock were outstanding under our 2008 plan, of which 1,457,910 had not vested and 3,750,959 had vested as of that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Square One Bank exercisable for an aggregate of 66,668 shares of the Company's Series D Preferred Stock. Upon conversion of the Series D Preferred Stock into common stock in connection with this offering, the warrants will become exercisable for 69,768 shares of common stock at a weighted average exercise price of $4.50. If unexercised, the warrants will expire on August 9, 2023 and July 25, 2025.</w:t>
      </w:r>
    </w:p>
    <w:p>
      <w:pPr>
        <w:spacing w:after="0" w:line="143"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315,198 shares of common stock at an exercise price of $4.50 per share. If unexercised, the warrants will expire on July 24, 2018.</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On August 27, 2015, September 3, 2015 and September 17, 2015, we issued Series E Warrants to the investors in our Series E Preferred Stock financing exercisable for an aggregate of 2,222,213 shares of common stock at an exercise price of $0.01 per share. Upon the filing of a Form S-1 registration statement for a public offering, the warrants are automatically exercised on a cashless basis, provided the fair market value of a share of common stock as determined by our board of directors is greater than the exercise price and the holder does not provide us with notice that the holder desires for the warrant to expire unexercised. If unexercised, the warrants will expire four years from their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tabs>
          <w:tab w:leader="none" w:pos="5100" w:val="left"/>
        </w:tabs>
        <w:rPr>
          <w:sz w:val="20"/>
          <w:szCs w:val="20"/>
          <w:color w:val="auto"/>
        </w:rPr>
      </w:pPr>
      <w:r>
        <w:rPr>
          <w:rFonts w:ascii="Arial" w:cs="Arial" w:eastAsia="Arial" w:hAnsi="Arial"/>
          <w:sz w:val="15"/>
          <w:szCs w:val="15"/>
          <w:color w:val="auto"/>
        </w:rPr>
        <w:t>As of October 31, 2015, upon the closing of this offering, holders of</w:t>
      </w:r>
      <w:r>
        <w:rPr>
          <w:sz w:val="20"/>
          <w:szCs w:val="20"/>
          <w:color w:val="auto"/>
        </w:rPr>
        <w:tab/>
      </w:r>
      <w:r>
        <w:rPr>
          <w:rFonts w:ascii="Arial" w:cs="Arial" w:eastAsia="Arial" w:hAnsi="Arial"/>
          <w:sz w:val="13"/>
          <w:szCs w:val="13"/>
          <w:color w:val="auto"/>
        </w:rPr>
        <w:t>shares of our common stock, including shares issuable upon the exercise of warrants, or their transferees</w:t>
      </w:r>
    </w:p>
    <w:p>
      <w:pPr>
        <w:spacing w:after="0" w:line="1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00"/>
        <w:spacing w:after="0" w:line="320"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jc w:val="both"/>
        <w:ind w:right="100"/>
        <w:spacing w:after="0" w:line="283"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jc w:val="both"/>
        <w:ind w:right="100"/>
        <w:spacing w:after="0" w:line="298"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00"/>
        <w:spacing w:after="0" w:line="320"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380"/>
        <w:spacing w:after="0" w:line="283"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0"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The transfer agent and registrar for our common stock will be</w:t>
      </w:r>
      <w:r>
        <w:rPr>
          <w:sz w:val="20"/>
          <w:szCs w:val="20"/>
          <w:color w:val="auto"/>
        </w:rPr>
        <w:tab/>
      </w:r>
      <w:r>
        <w:rPr>
          <w:rFonts w:ascii="Arial" w:cs="Arial" w:eastAsia="Arial" w:hAnsi="Arial"/>
          <w:sz w:val="6"/>
          <w:szCs w:val="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intend to apply to have our common stock listed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Upon the closing of this offering, we will have outstanding an aggregate of shares of common stock, assuming the issuance of shares of common stock offered by us in this offering, after giving effect to the assumptions described under "Prospectus summary—The offering," and assuming no exercise of options or warrants other than the Series E Warrants after October 31, 2015.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remaining sh 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w:t>
      </w:r>
    </w:p>
    <w:p>
      <w:pPr>
        <w:ind w:right="420"/>
        <w:spacing w:after="0" w:line="276" w:lineRule="auto"/>
        <w:rPr>
          <w:sz w:val="20"/>
          <w:szCs w:val="20"/>
          <w:color w:val="auto"/>
        </w:rPr>
      </w:pPr>
      <w:r>
        <w:rPr>
          <w:rFonts w:ascii="Arial" w:cs="Arial" w:eastAsia="Arial" w:hAnsi="Arial"/>
          <w:sz w:val="15"/>
          <w:szCs w:val="15"/>
          <w:color w:val="auto"/>
        </w:rPr>
        <w:t>up period, we estimate that approximately shares will be available for sale in the public market, subject in some cases to applicable volume limitations under Rule 144.</w:t>
      </w:r>
    </w:p>
    <w:p>
      <w:pPr>
        <w:spacing w:after="0" w:line="156" w:lineRule="exact"/>
        <w:rPr>
          <w:sz w:val="20"/>
          <w:szCs w:val="20"/>
          <w:color w:val="auto"/>
        </w:rPr>
      </w:pPr>
    </w:p>
    <w:p>
      <w:pPr>
        <w:spacing w:after="0" w:line="363" w:lineRule="auto"/>
        <w:rPr>
          <w:sz w:val="20"/>
          <w:szCs w:val="20"/>
          <w:color w:val="auto"/>
        </w:rPr>
      </w:pPr>
      <w:r>
        <w:rPr>
          <w:rFonts w:ascii="Arial" w:cs="Arial" w:eastAsia="Arial" w:hAnsi="Arial"/>
          <w:sz w:val="13"/>
          <w:szCs w:val="13"/>
          <w:color w:val="auto"/>
        </w:rPr>
        <w:t>In addition, of the 5,208,869 shares of our common stock that were subject to stock options outstanding as of October 31, 2015, options to purchase 3,750,959 shares of common stock were vested as of October 31, 2015 and, upon exercise, these shares will be eligible for sale subject to the lock-up agreements described below and Rules 144 and 701 under the Securities Act.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40" w:hanging="459"/>
        <w:spacing w:after="0" w:line="270" w:lineRule="auto"/>
        <w:tabs>
          <w:tab w:leader="none" w:pos="13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3" w:lineRule="exact"/>
        <w:rPr>
          <w:rFonts w:ascii="Arial" w:cs="Arial" w:eastAsia="Arial" w:hAnsi="Arial"/>
          <w:sz w:val="15"/>
          <w:szCs w:val="15"/>
          <w:color w:val="auto"/>
        </w:rPr>
      </w:pPr>
    </w:p>
    <w:p>
      <w:pPr>
        <w:ind w:right="500" w:firstLine="921"/>
        <w:spacing w:after="0" w:line="516" w:lineRule="auto"/>
        <w:tabs>
          <w:tab w:leader="none" w:pos="1393"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440"/>
          </w:cols>
          <w:pgMar w:left="240" w:top="132" w:right="219" w:bottom="1440" w:gutter="0" w:footer="0" w:header="0"/>
        </w:sectPr>
      </w:pPr>
    </w:p>
    <w:p>
      <w:pPr>
        <w:spacing w:after="0" w:line="16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1% of the number of shares of our common stock then outstanding, which will equal approximately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shares immediately after this offering; or</w:t>
      </w:r>
    </w:p>
    <w:p>
      <w:pPr>
        <w:spacing w:after="0" w:line="211" w:lineRule="exact"/>
        <w:rPr>
          <w:sz w:val="20"/>
          <w:szCs w:val="20"/>
          <w:color w:val="auto"/>
        </w:rPr>
      </w:pPr>
    </w:p>
    <w:p>
      <w:pPr>
        <w:sectPr>
          <w:pgSz w:w="11900" w:h="16838" w:orient="portrait"/>
          <w:cols w:equalWidth="0" w:num="3">
            <w:col w:w="980" w:space="400"/>
            <w:col w:w="6320" w:space="720"/>
            <w:col w:w="3020"/>
          </w:cols>
          <w:pgMar w:left="240" w:top="132" w:right="219" w:bottom="1440" w:gutter="0" w:footer="0" w:header="0"/>
          <w:type w:val="continuous"/>
        </w:sectPr>
      </w:pPr>
    </w:p>
    <w:p>
      <w:pPr>
        <w:spacing w:after="0" w:line="1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800"/>
        <w:spacing w:after="0" w:line="283" w:lineRule="auto"/>
        <w:rPr>
          <w:sz w:val="20"/>
          <w:szCs w:val="20"/>
          <w:color w:val="auto"/>
        </w:rPr>
      </w:pPr>
      <w:r>
        <w:rPr>
          <w:rFonts w:ascii="Arial" w:cs="Arial" w:eastAsia="Arial" w:hAnsi="Arial"/>
          <w:sz w:val="15"/>
          <w:szCs w:val="15"/>
          <w:color w:val="auto"/>
        </w:rPr>
        <w:t>the average weekly trading volume in our common stock on respect to such sale.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during the four calendar weeks preceding the filing of a notice on Form 144 with</w:t>
      </w:r>
    </w:p>
    <w:p>
      <w:pPr>
        <w:spacing w:after="0" w:line="407" w:lineRule="exact"/>
        <w:rPr>
          <w:sz w:val="20"/>
          <w:szCs w:val="20"/>
          <w:color w:val="auto"/>
        </w:rPr>
      </w:pPr>
    </w:p>
    <w:p>
      <w:pPr>
        <w:sectPr>
          <w:pgSz w:w="11900" w:h="16838" w:orient="portrait"/>
          <w:cols w:equalWidth="0" w:num="3">
            <w:col w:w="980" w:space="400"/>
            <w:col w:w="4420" w:space="720"/>
            <w:col w:w="4920"/>
          </w:cols>
          <w:pgMar w:left="240" w:top="132" w:right="219" w:bottom="1440" w:gutter="0" w:footer="0" w:header="0"/>
          <w:type w:val="continuous"/>
        </w:sectPr>
      </w:pPr>
    </w:p>
    <w:p>
      <w:pPr>
        <w:ind w:right="420"/>
        <w:spacing w:after="0" w:line="280" w:lineRule="auto"/>
        <w:rPr>
          <w:sz w:val="20"/>
          <w:szCs w:val="20"/>
          <w:color w:val="auto"/>
        </w:rPr>
      </w:pPr>
      <w:r>
        <w:rPr>
          <w:rFonts w:ascii="Arial" w:cs="Arial" w:eastAsia="Arial" w:hAnsi="Arial"/>
          <w:sz w:val="14"/>
          <w:szCs w:val="14"/>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w:t>
      </w:r>
    </w:p>
    <w:p>
      <w:pPr>
        <w:ind w:left="1500"/>
        <w:spacing w:after="0"/>
        <w:rPr>
          <w:sz w:val="20"/>
          <w:szCs w:val="20"/>
          <w:color w:val="auto"/>
        </w:rPr>
      </w:pPr>
      <w:r>
        <w:rPr>
          <w:rFonts w:ascii="Arial" w:cs="Arial" w:eastAsia="Arial" w:hAnsi="Arial"/>
          <w:sz w:val="15"/>
          <w:szCs w:val="15"/>
          <w:color w:val="auto"/>
        </w:rPr>
        <w:t>concurrentl y with either the placing of a sale order with the broker or the execution directly with a market maker.</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48" w:lineRule="exact"/>
        <w:rPr>
          <w:sz w:val="20"/>
          <w:szCs w:val="20"/>
          <w:color w:val="auto"/>
        </w:rPr>
      </w:pPr>
    </w:p>
    <w:p>
      <w:pPr>
        <w:ind w:right="300"/>
        <w:spacing w:after="0" w:line="320"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87" w:name="page188"/>
    <w:bookmarkEnd w:id="1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Upon the closing of this offering, the holders of shares of common stock, which includes all of the shares of common stock issuable upon the automatic conversion of our preferred stock upon the closing of this offering and all of the shares of common stock issuable upon the automatic net exercise of our Series E Investor Warrants upon the filing of a registration statement for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8" w:name="page189"/>
    <w:bookmarkEnd w:id="18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0910" cy="6985"/>
                    </a:xfrm>
                    <a:prstGeom prst="rect">
                      <a:avLst/>
                    </a:prstGeom>
                    <a:noFill/>
                  </pic:spPr>
                </pic:pic>
              </a:graphicData>
            </a:graphic>
          </wp:anchor>
        </w:drawing>
        <w:t>Material U.S. federal income tax consequences to non-U.S. holders</w:t>
      </w:r>
    </w:p>
    <w:p>
      <w:pPr>
        <w:spacing w:after="0" w:line="184" w:lineRule="exact"/>
        <w:rPr>
          <w:sz w:val="20"/>
          <w:szCs w:val="20"/>
          <w:color w:val="auto"/>
        </w:rPr>
      </w:pPr>
    </w:p>
    <w:p>
      <w:pPr>
        <w:ind w:right="80"/>
        <w:spacing w:after="0" w:line="309"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5" w:lineRule="exact"/>
        <w:rPr>
          <w:sz w:val="20"/>
          <w:szCs w:val="20"/>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3" w:lineRule="exact"/>
        <w:rPr>
          <w:rFonts w:ascii="Arial" w:cs="Arial" w:eastAsia="Arial" w:hAnsi="Arial"/>
          <w:sz w:val="13"/>
          <w:szCs w:val="13"/>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9"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40"/>
        <w:spacing w:after="0" w:line="320"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60"/>
        <w:spacing w:after="0" w:line="320"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39" w:lineRule="exact"/>
        <w:rPr>
          <w:sz w:val="20"/>
          <w:szCs w:val="20"/>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2" w:lineRule="exact"/>
        <w:rPr>
          <w:rFonts w:ascii="Arial" w:cs="Arial" w:eastAsia="Arial" w:hAnsi="Arial"/>
          <w:sz w:val="15"/>
          <w:szCs w:val="15"/>
          <w:color w:val="auto"/>
        </w:rPr>
      </w:pPr>
    </w:p>
    <w:p>
      <w:pPr>
        <w:ind w:left="1380" w:hanging="459"/>
        <w:spacing w:after="0" w:line="283" w:lineRule="auto"/>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10" w:lineRule="exact"/>
        <w:rPr>
          <w:rFonts w:ascii="Arial" w:cs="Arial" w:eastAsia="Arial" w:hAnsi="Arial"/>
          <w:sz w:val="15"/>
          <w:szCs w:val="15"/>
          <w:color w:val="auto"/>
        </w:rPr>
      </w:pPr>
    </w:p>
    <w:p>
      <w:pPr>
        <w:ind w:left="1380" w:right="320" w:hanging="459"/>
        <w:spacing w:after="0" w:line="283" w:lineRule="auto"/>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0" w:name="page191"/>
    <w:bookmarkEnd w:id="19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4"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59"/>
        <w:spacing w:after="0" w:line="283" w:lineRule="auto"/>
        <w:tabs>
          <w:tab w:leader="none" w:pos="138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59"/>
        <w:spacing w:after="0" w:line="283" w:lineRule="auto"/>
        <w:tabs>
          <w:tab w:leader="none" w:pos="138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Arial" w:cs="Arial" w:eastAsia="Arial" w:hAnsi="Arial"/>
          <w:sz w:val="15"/>
          <w:szCs w:val="15"/>
          <w:color w:val="auto"/>
        </w:rPr>
      </w:pPr>
    </w:p>
    <w:p>
      <w:pPr>
        <w:ind w:left="1387" w:right="320" w:hanging="459"/>
        <w:spacing w:after="0" w:line="283" w:lineRule="auto"/>
        <w:tabs>
          <w:tab w:leader="none" w:pos="138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6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61"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2" w:lineRule="exact"/>
        <w:rPr>
          <w:sz w:val="20"/>
          <w:szCs w:val="20"/>
          <w:color w:val="auto"/>
        </w:rPr>
      </w:pPr>
    </w:p>
    <w:p>
      <w:pPr>
        <w:ind w:left="7" w:right="540" w:hanging="7"/>
        <w:spacing w:after="0" w:line="313" w:lineRule="auto"/>
        <w:tabs>
          <w:tab w:leader="none" w:pos="229"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567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0" w:lineRule="exact"/>
        <w:rPr>
          <w:sz w:val="20"/>
          <w:szCs w:val="20"/>
          <w:color w:val="auto"/>
        </w:rPr>
      </w:pPr>
    </w:p>
    <w:p>
      <w:pPr>
        <w:ind w:right="400"/>
        <w:spacing w:after="0" w:line="283"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4" w:lineRule="exact"/>
        <w:rPr>
          <w:sz w:val="20"/>
          <w:szCs w:val="20"/>
          <w:color w:val="auto"/>
        </w:rPr>
      </w:pPr>
    </w:p>
    <w:p>
      <w:pPr>
        <w:ind w:right="34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2" w:name="page193"/>
    <w:bookmarkEnd w:id="19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4"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11447"/>
          </w:cols>
          <w:pgMar w:left="233" w:top="132" w:right="219" w:bottom="1440" w:gutter="0" w:footer="0" w:header="0"/>
        </w:sectPr>
      </w:pPr>
    </w:p>
    <w:p>
      <w:pPr>
        <w:spacing w:after="0" w:line="300" w:lineRule="exact"/>
        <w:rPr>
          <w:sz w:val="20"/>
          <w:szCs w:val="20"/>
          <w:color w:val="auto"/>
        </w:rPr>
      </w:pPr>
    </w:p>
    <w:p>
      <w:pPr>
        <w:ind w:left="1147"/>
        <w:spacing w:after="0"/>
        <w:rPr>
          <w:sz w:val="20"/>
          <w:szCs w:val="20"/>
          <w:color w:val="auto"/>
        </w:rPr>
      </w:pPr>
      <w:r>
        <w:rPr>
          <w:rFonts w:ascii="Arial" w:cs="Arial" w:eastAsia="Arial" w:hAnsi="Arial"/>
          <w:sz w:val="12"/>
          <w:szCs w:val="12"/>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6985</wp:posOffset>
            </wp:positionV>
            <wp:extent cx="571817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181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5715</wp:posOffset>
            </wp:positionV>
            <wp:extent cx="5807075" cy="1181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807075" cy="1181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8747" w:space="720"/>
            <w:col w:w="1980"/>
          </w:cols>
          <w:pgMar w:left="233" w:top="132" w:right="219" w:bottom="1440" w:gutter="0" w:footer="0" w:header="0"/>
          <w:type w:val="continuous"/>
        </w:sectPr>
      </w:pPr>
    </w:p>
    <w:p>
      <w:pPr>
        <w:ind w:left="1147"/>
        <w:spacing w:after="0"/>
        <w:rPr>
          <w:sz w:val="20"/>
          <w:szCs w:val="20"/>
          <w:color w:val="auto"/>
        </w:rPr>
      </w:pPr>
      <w:r>
        <w:rPr>
          <w:rFonts w:ascii="Arial" w:cs="Arial" w:eastAsia="Arial" w:hAnsi="Arial"/>
          <w:sz w:val="15"/>
          <w:szCs w:val="15"/>
          <w:color w:val="auto"/>
        </w:rPr>
        <w:t>UBS Securities LLC</w:t>
      </w:r>
    </w:p>
    <w:p>
      <w:pPr>
        <w:spacing w:after="0" w:line="10"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Stifel, Nicolaus &amp; Company, Incorporated</w:t>
      </w:r>
    </w:p>
    <w:p>
      <w:pPr>
        <w:spacing w:after="0" w:line="13"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-107315</wp:posOffset>
            </wp:positionV>
            <wp:extent cx="5807075" cy="1181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807075" cy="118110"/>
                    </a:xfrm>
                    <a:prstGeom prst="rect">
                      <a:avLst/>
                    </a:prstGeom>
                    <a:noFill/>
                  </pic:spPr>
                </pic:pic>
              </a:graphicData>
            </a:graphic>
          </wp:anchor>
        </w:drawing>
      </w:r>
    </w:p>
    <w:p>
      <w:pPr>
        <w:ind w:left="1147"/>
        <w:spacing w:after="0"/>
        <w:rPr>
          <w:sz w:val="20"/>
          <w:szCs w:val="20"/>
          <w:color w:val="auto"/>
        </w:rPr>
      </w:pPr>
      <w:r>
        <w:rPr>
          <w:rFonts w:ascii="Arial" w:cs="Arial" w:eastAsia="Arial" w:hAnsi="Arial"/>
          <w:sz w:val="15"/>
          <w:szCs w:val="15"/>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10160</wp:posOffset>
            </wp:positionV>
            <wp:extent cx="49403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94030" cy="7620"/>
                    </a:xfrm>
                    <a:prstGeom prst="rect">
                      <a:avLst/>
                    </a:prstGeom>
                    <a:noFill/>
                  </pic:spPr>
                </pic:pic>
              </a:graphicData>
            </a:graphic>
          </wp:anchor>
        </w:drawing>
      </w:r>
    </w:p>
    <w:p>
      <w:pPr>
        <w:ind w:left="1307"/>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-104140</wp:posOffset>
            </wp:positionV>
            <wp:extent cx="5807075" cy="1397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807075" cy="139700"/>
                    </a:xfrm>
                    <a:prstGeom prst="rect">
                      <a:avLst/>
                    </a:prstGeom>
                    <a:noFill/>
                  </pic:spPr>
                </pic:pic>
              </a:graphicData>
            </a:graphic>
          </wp:anchor>
        </w:drawing>
      </w:r>
    </w:p>
    <w:p>
      <w:pPr>
        <w:spacing w:after="0" w:line="214"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9"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w:t>
      </w:r>
    </w:p>
    <w:p>
      <w:pPr>
        <w:spacing w:after="0" w:line="29" w:lineRule="exact"/>
        <w:rPr>
          <w:sz w:val="20"/>
          <w:szCs w:val="20"/>
          <w:color w:val="auto"/>
        </w:rPr>
      </w:pPr>
    </w:p>
    <w:p>
      <w:pPr>
        <w:ind w:left="7" w:right="560"/>
        <w:spacing w:after="0" w:line="267"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567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93" w:name="page194"/>
    <w:bookmarkEnd w:id="19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following table shows the per share and total underwriting discount we will pay to the underwriters assuming both no exercise and full exercise of the underwriters' option to purchase</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Arial" w:cs="Arial" w:eastAsia="Arial" w:hAnsi="Arial"/>
                <w:sz w:val="15"/>
                <w:szCs w:val="15"/>
                <w:color w:val="auto"/>
              </w:rPr>
              <w:t>up to</w:t>
            </w:r>
          </w:p>
        </w:tc>
        <w:tc>
          <w:tcPr>
            <w:tcW w:w="420" w:type="dxa"/>
            <w:vAlign w:val="bottom"/>
          </w:tcPr>
          <w:p>
            <w:pPr>
              <w:spacing w:after="0"/>
              <w:rPr>
                <w:sz w:val="16"/>
                <w:szCs w:val="16"/>
                <w:color w:val="auto"/>
              </w:rPr>
            </w:pPr>
          </w:p>
        </w:tc>
        <w:tc>
          <w:tcPr>
            <w:tcW w:w="6920" w:type="dxa"/>
            <w:vAlign w:val="bottom"/>
          </w:tcPr>
          <w:p>
            <w:pPr>
              <w:ind w:left="220"/>
              <w:spacing w:after="0"/>
              <w:rPr>
                <w:sz w:val="20"/>
                <w:szCs w:val="20"/>
                <w:color w:val="auto"/>
              </w:rPr>
            </w:pPr>
            <w:r>
              <w:rPr>
                <w:rFonts w:ascii="Arial" w:cs="Arial" w:eastAsia="Arial" w:hAnsi="Arial"/>
                <w:sz w:val="15"/>
                <w:szCs w:val="15"/>
                <w:color w:val="auto"/>
              </w:rPr>
              <w:t>additional shares.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23"/>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24"/>
                <w:szCs w:val="24"/>
                <w:color w:val="auto"/>
              </w:rPr>
            </w:pP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1080" w:type="dxa"/>
            <w:vAlign w:val="bottom"/>
            <w:tcBorders>
              <w:top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tcPr>
          <w:p>
            <w:pPr>
              <w:spacing w:after="0"/>
              <w:rPr>
                <w:sz w:val="16"/>
                <w:szCs w:val="16"/>
                <w:color w:val="auto"/>
              </w:rPr>
            </w:pPr>
          </w:p>
        </w:tc>
        <w:tc>
          <w:tcPr>
            <w:tcW w:w="880" w:type="dxa"/>
            <w:vAlign w:val="bottom"/>
          </w:tcPr>
          <w:p>
            <w:pPr>
              <w:jc w:val="right"/>
              <w:ind w:right="729"/>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8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344"/>
        </w:trPr>
        <w:tc>
          <w:tcPr>
            <w:tcW w:w="8060" w:type="dxa"/>
            <w:vAlign w:val="bottom"/>
            <w:gridSpan w:val="3"/>
          </w:tcPr>
          <w:p>
            <w:pPr>
              <w:spacing w:after="0"/>
              <w:rPr>
                <w:sz w:val="20"/>
                <w:szCs w:val="20"/>
                <w:color w:val="auto"/>
              </w:rPr>
            </w:pPr>
            <w:r>
              <w:rPr>
                <w:rFonts w:ascii="Arial" w:cs="Arial" w:eastAsia="Arial" w:hAnsi="Arial"/>
                <w:sz w:val="15"/>
                <w:szCs w:val="15"/>
                <w:color w:val="auto"/>
                <w:w w:val="94"/>
              </w:rPr>
              <w:t>We estimate that the total expenses of the offering payable by us, not including the underwriting discount, will be approximately $</w:t>
            </w:r>
          </w:p>
        </w:tc>
        <w:tc>
          <w:tcPr>
            <w:tcW w:w="200" w:type="dxa"/>
            <w:vAlign w:val="bottom"/>
          </w:tcPr>
          <w:p>
            <w:pPr>
              <w:spacing w:after="0"/>
              <w:rPr>
                <w:sz w:val="24"/>
                <w:szCs w:val="24"/>
                <w:color w:val="auto"/>
              </w:rPr>
            </w:pPr>
          </w:p>
        </w:tc>
        <w:tc>
          <w:tcPr>
            <w:tcW w:w="3080" w:type="dxa"/>
            <w:vAlign w:val="bottom"/>
            <w:gridSpan w:val="5"/>
          </w:tcPr>
          <w:p>
            <w:pPr>
              <w:ind w:left="120"/>
              <w:spacing w:after="0"/>
              <w:rPr>
                <w:sz w:val="20"/>
                <w:szCs w:val="20"/>
                <w:color w:val="auto"/>
              </w:rPr>
            </w:pPr>
            <w:r>
              <w:rPr>
                <w:rFonts w:ascii="Arial" w:cs="Arial" w:eastAsia="Arial" w:hAnsi="Arial"/>
                <w:sz w:val="15"/>
                <w:szCs w:val="15"/>
                <w:color w:val="auto"/>
                <w:w w:val="91"/>
              </w:rPr>
              <w:t>million. We have agreed with the underwriters to</w:t>
            </w:r>
          </w:p>
        </w:tc>
      </w:tr>
    </w:tbl>
    <w:p>
      <w:pPr>
        <w:ind w:left="7"/>
        <w:spacing w:after="0"/>
        <w:rPr>
          <w:sz w:val="20"/>
          <w:szCs w:val="20"/>
          <w:color w:val="auto"/>
        </w:rPr>
      </w:pPr>
      <w:r>
        <w:rPr>
          <w:rFonts w:ascii="Arial" w:cs="Arial" w:eastAsia="Arial" w:hAnsi="Arial"/>
          <w:sz w:val="15"/>
          <w:szCs w:val="15"/>
          <w:color w:val="auto"/>
        </w:rPr>
        <w:t>pay certain fees and expenses related to the review and qualification of this offering by the Financial Industry Regulatory Authority, Inc. and "blue sky" expenses.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20"/>
        <w:spacing w:after="0" w:line="291"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intend to apply to have our common stock approved for listing on the The NASDAQ Global Market under the symbol "SELB."</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94" w:name="page195"/>
    <w:bookmarkEnd w:id="19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spacing w:after="0" w:line="314" w:lineRule="auto"/>
        <w:rPr>
          <w:sz w:val="20"/>
          <w:szCs w:val="20"/>
          <w:color w:val="auto"/>
        </w:rPr>
      </w:pPr>
      <w:r>
        <w:rPr>
          <w:rFonts w:ascii="Arial" w:cs="Arial" w:eastAsia="Arial" w:hAnsi="Arial"/>
          <w:sz w:val="13"/>
          <w:szCs w:val="13"/>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36"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6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61" w:lineRule="exact"/>
        <w:rPr>
          <w:sz w:val="20"/>
          <w:szCs w:val="20"/>
          <w:color w:val="auto"/>
        </w:rPr>
      </w:pPr>
    </w:p>
    <w:p>
      <w:pPr>
        <w:ind w:left="7" w:right="400"/>
        <w:spacing w:after="0" w:line="283"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0"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60"/>
        <w:spacing w:after="0" w:line="283"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spacing w:after="0" w:line="309"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5" w:lineRule="exact"/>
        <w:rPr>
          <w:sz w:val="20"/>
          <w:szCs w:val="20"/>
          <w:color w:val="auto"/>
        </w:rPr>
      </w:pPr>
    </w:p>
    <w:p>
      <w:pPr>
        <w:ind w:left="467" w:hanging="467"/>
        <w:spacing w:after="0"/>
        <w:tabs>
          <w:tab w:leader="none" w:pos="46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96" w:name="page197"/>
    <w:bookmarkEnd w:id="19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180" w:hanging="467"/>
        <w:spacing w:after="0" w:line="363" w:lineRule="auto"/>
        <w:tabs>
          <w:tab w:leader="none" w:pos="467"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28" w:lineRule="exact"/>
        <w:rPr>
          <w:rFonts w:ascii="Arial" w:cs="Arial" w:eastAsia="Arial" w:hAnsi="Arial"/>
          <w:sz w:val="13"/>
          <w:szCs w:val="13"/>
          <w:color w:val="auto"/>
        </w:rPr>
      </w:pPr>
    </w:p>
    <w:p>
      <w:pPr>
        <w:ind w:left="467" w:right="100" w:hanging="467"/>
        <w:spacing w:after="0" w:line="283" w:lineRule="auto"/>
        <w:tabs>
          <w:tab w:leader="none" w:pos="467"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0"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4"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1"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8" w:name="page199"/>
    <w:bookmarkEnd w:id="19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00" w:hanging="467"/>
        <w:spacing w:after="0" w:line="283" w:lineRule="auto"/>
        <w:tabs>
          <w:tab w:leader="none" w:pos="4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7" w:lineRule="exact"/>
        <w:rPr>
          <w:rFonts w:ascii="Arial" w:cs="Arial" w:eastAsia="Arial" w:hAnsi="Arial"/>
          <w:sz w:val="15"/>
          <w:szCs w:val="15"/>
          <w:color w:val="auto"/>
        </w:rPr>
      </w:pPr>
    </w:p>
    <w:p>
      <w:pPr>
        <w:ind w:left="927" w:right="920" w:hanging="463"/>
        <w:spacing w:after="0" w:line="283" w:lineRule="auto"/>
        <w:tabs>
          <w:tab w:leader="none" w:pos="92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Arial" w:cs="Arial" w:eastAsia="Arial" w:hAnsi="Arial"/>
          <w:sz w:val="15"/>
          <w:szCs w:val="15"/>
          <w:color w:val="auto"/>
        </w:rPr>
      </w:pPr>
    </w:p>
    <w:p>
      <w:pPr>
        <w:ind w:left="927" w:hanging="463"/>
        <w:spacing w:after="0"/>
        <w:tabs>
          <w:tab w:leader="none" w:pos="92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2" w:lineRule="exact"/>
        <w:rPr>
          <w:rFonts w:ascii="Arial" w:cs="Arial" w:eastAsia="Arial" w:hAnsi="Arial"/>
          <w:sz w:val="15"/>
          <w:szCs w:val="15"/>
          <w:color w:val="auto"/>
        </w:rPr>
      </w:pPr>
    </w:p>
    <w:p>
      <w:pPr>
        <w:ind w:left="927" w:hanging="463"/>
        <w:spacing w:after="0"/>
        <w:tabs>
          <w:tab w:leader="none" w:pos="92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10" w:lineRule="exact"/>
        <w:rPr>
          <w:rFonts w:ascii="Arial" w:cs="Arial" w:eastAsia="Arial" w:hAnsi="Arial"/>
          <w:sz w:val="15"/>
          <w:szCs w:val="15"/>
          <w:color w:val="auto"/>
        </w:rPr>
      </w:pPr>
    </w:p>
    <w:p>
      <w:pPr>
        <w:ind w:left="927" w:hanging="463"/>
        <w:spacing w:after="0"/>
        <w:tabs>
          <w:tab w:leader="none" w:pos="92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left="7" w:right="16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ind w:left="7" w:right="80"/>
        <w:spacing w:after="0" w:line="314" w:lineRule="auto"/>
        <w:rPr>
          <w:sz w:val="20"/>
          <w:szCs w:val="20"/>
          <w:color w:val="auto"/>
        </w:rPr>
      </w:pPr>
      <w:r>
        <w:rPr>
          <w:rFonts w:ascii="Arial" w:cs="Arial" w:eastAsia="Arial" w:hAnsi="Arial"/>
          <w:sz w:val="13"/>
          <w:szCs w:val="13"/>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567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0910" cy="7620"/>
                    </a:xfrm>
                    <a:prstGeom prst="rect">
                      <a:avLst/>
                    </a:prstGeom>
                    <a:noFill/>
                  </pic:spPr>
                </pic:pic>
              </a:graphicData>
            </a:graphic>
          </wp:anchor>
        </w:drawing>
        <w:t>Legal matters</w:t>
      </w:r>
    </w:p>
    <w:p>
      <w:pPr>
        <w:spacing w:after="0" w:line="184"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consolidated financial statements as of December 31, 2013 and December 31, 2014, and for the years then ended, appearing in this prospectus and the related registration statement have been audited by Ernst &amp; Young LLP, independent registered public accounting firm, as set forth in their report thereon appearing elsewhere herein, and are included in reliance on such report given on the authority of such firm as experts in accounting and auditing.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28091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4" w:lineRule="exact"/>
        <w:rPr>
          <w:sz w:val="20"/>
          <w:szCs w:val="20"/>
          <w:color w:val="auto"/>
        </w:rPr>
      </w:pPr>
    </w:p>
    <w:p>
      <w:pPr>
        <w:ind w:left="1140"/>
        <w:spacing w:after="0"/>
        <w:rPr>
          <w:rFonts w:ascii="Arial" w:cs="Arial" w:eastAsia="Arial" w:hAnsi="Arial"/>
          <w:sz w:val="15"/>
          <w:szCs w:val="15"/>
          <w:u w:val="single" w:color="auto"/>
          <w:color w:val="0000EE"/>
        </w:rPr>
      </w:pPr>
      <w:hyperlink w:anchor="page202">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300" w:right="360" w:hanging="154"/>
        <w:spacing w:after="0" w:line="258" w:lineRule="auto"/>
        <w:rPr>
          <w:rFonts w:ascii="Arial" w:cs="Arial" w:eastAsia="Arial" w:hAnsi="Arial"/>
          <w:sz w:val="15"/>
          <w:szCs w:val="15"/>
          <w:u w:val="single" w:color="auto"/>
          <w:color w:val="0000EE"/>
        </w:rPr>
      </w:pPr>
      <w:hyperlink w:anchor="page203">
        <w:r>
          <w:rPr>
            <w:rFonts w:ascii="Arial" w:cs="Arial" w:eastAsia="Arial" w:hAnsi="Arial"/>
            <w:sz w:val="15"/>
            <w:szCs w:val="15"/>
            <w:u w:val="single" w:color="auto"/>
            <w:color w:val="0000EE"/>
          </w:rPr>
          <w:t>Consolidated Balance Sheets as of December 31, 2013 and December 31, 2014, and as of September 30, 2015 Actual and Pro Forma</w:t>
        </w:r>
      </w:hyperlink>
      <w:r>
        <w:rPr>
          <w:rFonts w:ascii="Arial" w:cs="Arial" w:eastAsia="Arial" w:hAnsi="Arial"/>
          <w:sz w:val="15"/>
          <w:szCs w:val="15"/>
          <w:u w:val="single" w:color="auto"/>
          <w:color w:val="0000EE"/>
        </w:rPr>
        <w:t xml:space="preserve"> </w:t>
      </w:r>
      <w:hyperlink w:anchor="page203">
        <w:r>
          <w:rPr>
            <w:rFonts w:ascii="Arial" w:cs="Arial" w:eastAsia="Arial" w:hAnsi="Arial"/>
            <w:sz w:val="15"/>
            <w:szCs w:val="15"/>
            <w:u w:val="single" w:color="auto"/>
            <w:color w:val="0000EE"/>
          </w:rPr>
          <w:t>(unaudited)</w:t>
        </w:r>
      </w:hyperlink>
    </w:p>
    <w:p>
      <w:pPr>
        <w:spacing w:after="0" w:line="1" w:lineRule="exact"/>
        <w:rPr>
          <w:sz w:val="20"/>
          <w:szCs w:val="20"/>
          <w:color w:val="auto"/>
        </w:rPr>
      </w:pPr>
    </w:p>
    <w:p>
      <w:pPr>
        <w:ind w:left="1300" w:right="480" w:hanging="154"/>
        <w:spacing w:after="0" w:line="258" w:lineRule="auto"/>
        <w:rPr>
          <w:rFonts w:ascii="Arial" w:cs="Arial" w:eastAsia="Arial" w:hAnsi="Arial"/>
          <w:sz w:val="15"/>
          <w:szCs w:val="15"/>
          <w:u w:val="single" w:color="auto"/>
          <w:color w:val="0000EE"/>
        </w:rPr>
      </w:pPr>
      <w:hyperlink w:anchor="page204">
        <w:r>
          <w:rPr>
            <w:rFonts w:ascii="Arial" w:cs="Arial" w:eastAsia="Arial" w:hAnsi="Arial"/>
            <w:sz w:val="15"/>
            <w:szCs w:val="15"/>
            <w:u w:val="single" w:color="auto"/>
            <w:color w:val="0000EE"/>
          </w:rPr>
          <w:t>Consolidated Statements of Operations for the years ended December 31, 2013 and December 31, 2014 and the nine months ended</w:t>
        </w:r>
      </w:hyperlink>
      <w:r>
        <w:rPr>
          <w:rFonts w:ascii="Arial" w:cs="Arial" w:eastAsia="Arial" w:hAnsi="Arial"/>
          <w:sz w:val="15"/>
          <w:szCs w:val="15"/>
          <w:u w:val="single" w:color="auto"/>
          <w:color w:val="0000EE"/>
        </w:rPr>
        <w:t xml:space="preserve"> </w:t>
      </w:r>
      <w:hyperlink w:anchor="page204">
        <w:r>
          <w:rPr>
            <w:rFonts w:ascii="Arial" w:cs="Arial" w:eastAsia="Arial" w:hAnsi="Arial"/>
            <w:sz w:val="15"/>
            <w:szCs w:val="15"/>
            <w:u w:val="single" w:color="auto"/>
            <w:color w:val="0000EE"/>
          </w:rPr>
          <w:t>September 30, 2014 and September 30, 2015 (unaudited)</w:t>
        </w:r>
      </w:hyperlink>
    </w:p>
    <w:p>
      <w:pPr>
        <w:spacing w:after="0" w:line="1" w:lineRule="exact"/>
        <w:rPr>
          <w:sz w:val="20"/>
          <w:szCs w:val="20"/>
          <w:color w:val="auto"/>
        </w:rPr>
      </w:pPr>
    </w:p>
    <w:p>
      <w:pPr>
        <w:ind w:left="1300" w:right="260" w:hanging="154"/>
        <w:spacing w:after="0" w:line="258" w:lineRule="auto"/>
        <w:rPr>
          <w:rFonts w:ascii="Arial" w:cs="Arial" w:eastAsia="Arial" w:hAnsi="Arial"/>
          <w:sz w:val="15"/>
          <w:szCs w:val="15"/>
          <w:u w:val="single" w:color="auto"/>
          <w:color w:val="0000EE"/>
        </w:rPr>
      </w:pPr>
      <w:hyperlink w:anchor="page204">
        <w:r>
          <w:rPr>
            <w:rFonts w:ascii="Arial" w:cs="Arial" w:eastAsia="Arial" w:hAnsi="Arial"/>
            <w:sz w:val="15"/>
            <w:szCs w:val="15"/>
            <w:u w:val="single" w:color="auto"/>
            <w:color w:val="0000EE"/>
          </w:rPr>
          <w:t>Consolidated Statements of Comprehensive Loss for the years ended December 31, 2013 and December 31, 2014 and the nine months</w:t>
        </w:r>
      </w:hyperlink>
      <w:r>
        <w:rPr>
          <w:rFonts w:ascii="Arial" w:cs="Arial" w:eastAsia="Arial" w:hAnsi="Arial"/>
          <w:sz w:val="15"/>
          <w:szCs w:val="15"/>
          <w:u w:val="single" w:color="auto"/>
          <w:color w:val="0000EE"/>
        </w:rPr>
        <w:t xml:space="preserve"> </w:t>
      </w:r>
      <w:hyperlink w:anchor="page204">
        <w:r>
          <w:rPr>
            <w:rFonts w:ascii="Arial" w:cs="Arial" w:eastAsia="Arial" w:hAnsi="Arial"/>
            <w:sz w:val="15"/>
            <w:szCs w:val="15"/>
            <w:u w:val="single" w:color="auto"/>
            <w:color w:val="0000EE"/>
          </w:rPr>
          <w:t>ended September 30, 2014 and September 30, 2015 (unaudited)</w:t>
        </w:r>
      </w:hyperlink>
    </w:p>
    <w:p>
      <w:pPr>
        <w:spacing w:after="0" w:line="1" w:lineRule="exact"/>
        <w:rPr>
          <w:sz w:val="20"/>
          <w:szCs w:val="20"/>
          <w:color w:val="auto"/>
        </w:rPr>
      </w:pPr>
    </w:p>
    <w:p>
      <w:pPr>
        <w:ind w:left="1300" w:hanging="154"/>
        <w:spacing w:after="0" w:line="258" w:lineRule="auto"/>
        <w:rPr>
          <w:rFonts w:ascii="Arial" w:cs="Arial" w:eastAsia="Arial" w:hAnsi="Arial"/>
          <w:sz w:val="15"/>
          <w:szCs w:val="15"/>
          <w:u w:val="single" w:color="auto"/>
          <w:color w:val="0000EE"/>
        </w:rPr>
      </w:pPr>
      <w:hyperlink w:anchor="page205">
        <w:r>
          <w:rPr>
            <w:rFonts w:ascii="Arial" w:cs="Arial" w:eastAsia="Arial" w:hAnsi="Arial"/>
            <w:sz w:val="15"/>
            <w:szCs w:val="15"/>
            <w:u w:val="single" w:color="auto"/>
            <w:color w:val="0000EE"/>
          </w:rPr>
          <w:t>Consolidated Statements of Redeemable Convertible Preferred Stock and Stockholders' deficit for the years ended December 31, 2013 and</w:t>
        </w:r>
      </w:hyperlink>
      <w:r>
        <w:rPr>
          <w:rFonts w:ascii="Arial" w:cs="Arial" w:eastAsia="Arial" w:hAnsi="Arial"/>
          <w:sz w:val="15"/>
          <w:szCs w:val="15"/>
          <w:u w:val="single" w:color="auto"/>
          <w:color w:val="0000EE"/>
        </w:rPr>
        <w:t xml:space="preserve"> </w:t>
      </w:r>
      <w:hyperlink w:anchor="page205">
        <w:r>
          <w:rPr>
            <w:rFonts w:ascii="Arial" w:cs="Arial" w:eastAsia="Arial" w:hAnsi="Arial"/>
            <w:sz w:val="15"/>
            <w:szCs w:val="15"/>
            <w:u w:val="single" w:color="auto"/>
            <w:color w:val="0000EE"/>
          </w:rPr>
          <w:t>December 31, 2014 and the nine months ended September 30, 2015 (unaudited)</w:t>
        </w:r>
      </w:hyperlink>
    </w:p>
    <w:p>
      <w:pPr>
        <w:spacing w:after="0" w:line="1" w:lineRule="exact"/>
        <w:rPr>
          <w:sz w:val="20"/>
          <w:szCs w:val="20"/>
          <w:color w:val="auto"/>
        </w:rPr>
      </w:pPr>
    </w:p>
    <w:p>
      <w:pPr>
        <w:ind w:left="1300" w:right="420" w:hanging="154"/>
        <w:spacing w:after="0" w:line="258" w:lineRule="auto"/>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Consolidated Statements of Cash Flows for the years ended December 31, 2013 and December 31, 2014 and the nine months ended</w:t>
        </w:r>
      </w:hyperlink>
      <w:r>
        <w:rPr>
          <w:rFonts w:ascii="Arial" w:cs="Arial" w:eastAsia="Arial" w:hAnsi="Arial"/>
          <w:sz w:val="15"/>
          <w:szCs w:val="15"/>
          <w:u w:val="single" w:color="auto"/>
          <w:color w:val="0000EE"/>
        </w:rPr>
        <w:t xml:space="preserve"> </w:t>
      </w:r>
      <w:hyperlink w:anchor="page207">
        <w:r>
          <w:rPr>
            <w:rFonts w:ascii="Arial" w:cs="Arial" w:eastAsia="Arial" w:hAnsi="Arial"/>
            <w:sz w:val="15"/>
            <w:szCs w:val="15"/>
            <w:u w:val="single" w:color="auto"/>
            <w:color w:val="0000EE"/>
          </w:rPr>
          <w:t>September 30, 2014 and September 30, 2015 (unaudited)</w:t>
        </w:r>
      </w:hyperlink>
    </w:p>
    <w:p>
      <w:pPr>
        <w:spacing w:after="0" w:line="1" w:lineRule="exact"/>
        <w:rPr>
          <w:sz w:val="20"/>
          <w:szCs w:val="20"/>
          <w:color w:val="auto"/>
        </w:rPr>
      </w:pPr>
    </w:p>
    <w:p>
      <w:pPr>
        <w:ind w:left="1140"/>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2">
        <w:r>
          <w:rPr>
            <w:rFonts w:ascii="Arial" w:cs="Arial" w:eastAsia="Arial" w:hAnsi="Arial"/>
            <w:sz w:val="14"/>
            <w:szCs w:val="14"/>
            <w:b w:val="1"/>
            <w:bCs w:val="1"/>
            <w:u w:val="single" w:color="auto"/>
            <w:color w:val="0000EE"/>
          </w:rPr>
          <w:t>F-2</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3">
        <w:r>
          <w:rPr>
            <w:rFonts w:ascii="Arial" w:cs="Arial" w:eastAsia="Arial" w:hAnsi="Arial"/>
            <w:sz w:val="14"/>
            <w:szCs w:val="14"/>
            <w:b w:val="1"/>
            <w:bCs w:val="1"/>
            <w:u w:val="single" w:color="auto"/>
            <w:color w:val="0000EE"/>
          </w:rPr>
          <w:t>F-3</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4">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4">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5">
        <w:r>
          <w:rPr>
            <w:rFonts w:ascii="Arial" w:cs="Arial" w:eastAsia="Arial" w:hAnsi="Arial"/>
            <w:sz w:val="14"/>
            <w:szCs w:val="14"/>
            <w:b w:val="1"/>
            <w:bCs w:val="1"/>
            <w:u w:val="single" w:color="auto"/>
            <w:color w:val="0000EE"/>
          </w:rPr>
          <w:t>F-5</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7">
        <w:r>
          <w:rPr>
            <w:rFonts w:ascii="Arial" w:cs="Arial" w:eastAsia="Arial" w:hAnsi="Arial"/>
            <w:sz w:val="14"/>
            <w:szCs w:val="14"/>
            <w:b w:val="1"/>
            <w:bCs w:val="1"/>
            <w:u w:val="single" w:color="auto"/>
            <w:color w:val="0000EE"/>
          </w:rPr>
          <w:t>F-6</w:t>
        </w:r>
      </w:hyperlink>
    </w:p>
    <w:p>
      <w:pPr>
        <w:spacing w:after="0" w:line="38"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8">
        <w:r>
          <w:rPr>
            <w:rFonts w:ascii="Arial" w:cs="Arial" w:eastAsia="Arial" w:hAnsi="Arial"/>
            <w:sz w:val="14"/>
            <w:szCs w:val="14"/>
            <w:b w:val="1"/>
            <w:bCs w:val="1"/>
            <w:u w:val="single" w:color="auto"/>
            <w:color w:val="0000EE"/>
          </w:rPr>
          <w:t>F-7</w:t>
        </w:r>
      </w:hyperlink>
    </w:p>
    <w:p>
      <w:pPr>
        <w:spacing w:after="0" w:line="200"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60"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01" w:name="page202"/>
    <w:bookmarkEnd w:id="20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have audited the accompanying consolidated balance sheets of Selecta Biosciences, Inc. and subsidiaries as of December 31, 2013 and 2014, and the related consolidated statements of operations and comprehensive loss, redeemable convertible preferred stock and stockholders' deficit, and cash flows for the years then ended.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3" w:lineRule="exact"/>
        <w:rPr>
          <w:sz w:val="20"/>
          <w:szCs w:val="20"/>
          <w:color w:val="auto"/>
        </w:rPr>
      </w:pPr>
    </w:p>
    <w:p>
      <w:pPr>
        <w:ind w:right="120"/>
        <w:spacing w:after="0" w:line="363"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Selecta Biosciences, Inc. and subsidiaries at December 31, 2013 and 2014, and the consolidated results of its operations and its cash flows for the years then ended, in conformity with U.S. generally accepted accounting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Boston, MA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November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vMerge w:val="restart"/>
          </w:tcPr>
          <w:p>
            <w:pPr>
              <w:jc w:val="right"/>
              <w:ind w:right="82"/>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14"/>
        </w:trPr>
        <w:tc>
          <w:tcPr>
            <w:tcW w:w="5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jc w:val="right"/>
              <w:ind w:right="80"/>
              <w:spacing w:after="0" w:line="106" w:lineRule="exact"/>
              <w:rPr>
                <w:sz w:val="20"/>
                <w:szCs w:val="20"/>
                <w:color w:val="auto"/>
              </w:rPr>
            </w:pPr>
            <w:r>
              <w:rPr>
                <w:rFonts w:ascii="Arial" w:cs="Arial" w:eastAsia="Arial" w:hAnsi="Arial"/>
                <w:sz w:val="12"/>
                <w:szCs w:val="12"/>
                <w:b w:val="1"/>
                <w:bCs w:val="1"/>
                <w:color w:val="auto"/>
                <w:w w:val="99"/>
              </w:rPr>
              <w:t>September 30,</w:t>
            </w:r>
          </w:p>
        </w:tc>
        <w:tc>
          <w:tcPr>
            <w:tcW w:w="60" w:type="dxa"/>
            <w:vAlign w:val="bottom"/>
          </w:tcPr>
          <w:p>
            <w:pPr>
              <w:spacing w:after="0"/>
              <w:rPr>
                <w:sz w:val="9"/>
                <w:szCs w:val="9"/>
                <w:color w:val="auto"/>
              </w:rPr>
            </w:pPr>
          </w:p>
        </w:tc>
        <w:tc>
          <w:tcPr>
            <w:tcW w:w="9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72"/>
        </w:trPr>
        <w:tc>
          <w:tcPr>
            <w:tcW w:w="5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7"/>
              </w:rPr>
              <w:t>2013</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42"/>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14"/>
          </w:tcPr>
          <w:p>
            <w:pPr>
              <w:jc w:val="right"/>
              <w:ind w:right="280"/>
              <w:spacing w:after="0"/>
              <w:rPr>
                <w:sz w:val="20"/>
                <w:szCs w:val="20"/>
                <w:color w:val="auto"/>
              </w:rPr>
            </w:pPr>
            <w:r>
              <w:rPr>
                <w:rFonts w:ascii="Arial" w:cs="Arial" w:eastAsia="Arial" w:hAnsi="Arial"/>
                <w:sz w:val="12"/>
                <w:szCs w:val="12"/>
                <w:b w:val="1"/>
                <w:bCs w:val="1"/>
                <w:color w:val="auto"/>
              </w:rPr>
              <w:t>(in thousands, except share and per share data)</w:t>
            </w: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8,057</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16,592</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37,514</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37,514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1,244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469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469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560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560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602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1,157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1,157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9,860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19,112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40,370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40,370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2,938</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1,983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2,072</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315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1,106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13,157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 equity</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477</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351</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716</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716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1,234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1,853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2,756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2,936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2,936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2,561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1,688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1,688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current portion</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2,168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561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561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7,116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9,231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8,657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8,657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485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254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net of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2,035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4,824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2,985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2,985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1,364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12,218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15,950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14,874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14,655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Commitments and contingencies (Notes 7 and 12)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9"/>
              </w:rPr>
              <w:t>Series A redeemable convertible preferred stock, $0.0001 par value; 2,589,868 shares authorized, issued, and outstanding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8"/>
              </w:rPr>
              <w:t>(liquidation preference of $3,350 at December 31, 2013, $3,500 at December 31, 2014 and $3,613 at September 30, 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3,493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3,607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(unaudited); none issued and 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3,350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89"/>
              </w:rPr>
              <w:t>Series B redeemable convertible preferred stock, $0.0001 par value; 7,437,325 shares authorized, issued, and outstanding</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(liquidation preference of $19,662 at December 31, 2013, $20,568 at December 31, 2014 and $21,247 at September 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20,533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21,219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19,662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9"/>
              </w:rPr>
              <w:t>Series C redeemable convertible preferred stock, $0.0001 par value; 5,000,002 shares authorized, issued, and outstanding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9"/>
              </w:rPr>
              <w:t>(liquidation preference of $18,400 at December 31, 2013, $19,300 at December 31, 2014) and $19,975 at September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19,270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19,951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18,381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88"/>
              </w:rPr>
              <w:t>Series D redeemable convertible preferred stock, $0.0001 par value; 4,955,557, 8,166,662 and 8,166,662 shares authorized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at December 31, 2013 and 2014 and September 30, 2015 (unaudited), respectively; 4,888,889, 8,099,994 and 8,099,994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4"/>
              </w:rPr>
              <w:t>shares issued and outstanding at December 31, 2013 and 2014 and September 30, 2015 (unaudited), respectively</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(liquidation preference of $24,879 at December 31, 2013, $41,126 at December 31, 2014 and $42,766 at September 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40,570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42,329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24,366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8"/>
              </w:rPr>
              <w:t>Series SRN redeemable convertible preferred stock, $0.0001 par value; 5,611,112 shares authorized at December 31, 2013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2"/>
              </w:rPr>
              <w:t>and 2014 and September 30, 2015 (unaudited); 777,777, 2,111,109 and 2,111,109 shares issued and outstanding 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3"/>
              </w:rPr>
              <w:t>December 31, 2013 and 2014 and September 30, 2015 (unaudited), respectively (liquidation preference of $3,500 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2"/>
              </w:rPr>
              <w:t>December 31, 2013, $9,500 at December 31, 2014 and $9,500 at September 30, 2015 (unaudited); none issued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10,167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11,605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4,643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90"/>
              </w:rPr>
              <w:t>Series E redeemable convertible preferred stock, $0.0001 par value; 9,030,654 shares authorized at September 30, 2015;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4"/>
              </w:rPr>
              <w:t>8,888,888 shares issued and outstanding at September 30, 2015 (unaudited), (liquidation preference of $40,203 at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36,395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September 30, 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redeemable convertible preferred stock</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70,402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94,033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135,106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Stockholders' (deficit) equity: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7"/>
              </w:rPr>
              <w:t>Common stock, $0.0001 par value; 40,000,000, 46,000,000, 100,000,000 shares authorized at December 31, 2013 and 2014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6"/>
              </w:rPr>
              <w:t>and September 30, 2015 (unaudited) respectively; 8,182,428, 8,343,123 and 8,481,163 shares issued, 7,906,292, 8,283,596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8"/>
              </w:rPr>
              <w:t>and 8,444,230 shares outstanding as of December 31, 2013 and 2014 and September 30, 2015 (unaudited), respectively.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46,625,214 issued and outstanding proforma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 in capital</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135,321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93"/>
              </w:rPr>
              <w:t>(68,869)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w w:val="98"/>
              </w:rPr>
              <w:t>(83,880)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(102,570)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(102,570)</w:t>
            </w: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(595)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b w:val="1"/>
                <w:bCs w:val="1"/>
                <w:color w:val="auto"/>
              </w:rPr>
              <w:t>(3,876)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b w:val="1"/>
                <w:bCs w:val="1"/>
                <w:color w:val="auto"/>
              </w:rPr>
              <w:t>(4,639)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b w:val="1"/>
                <w:bCs w:val="1"/>
                <w:color w:val="auto"/>
              </w:rPr>
              <w:t>(4,639)</w:t>
            </w: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stockholders' (deficit) equity</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w w:val="84"/>
              </w:rPr>
              <w:t>(69,463)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9"/>
              </w:rPr>
              <w:t>(87,755)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(107,208)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28,117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Total liabilities, redeemable convertible preferred stock and stockholders' (deficit) equity</w:t>
            </w:r>
          </w:p>
        </w:tc>
        <w:tc>
          <w:tcPr>
            <w:tcW w:w="1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13,157</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22,228</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94"/>
        </w:trPr>
        <w:tc>
          <w:tcPr>
            <w:tcW w:w="4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2013</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(unaudited)</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14"/>
          </w:tcPr>
          <w:p>
            <w:pPr>
              <w:jc w:val="right"/>
              <w:ind w:right="860"/>
              <w:spacing w:after="0"/>
              <w:rPr>
                <w:sz w:val="20"/>
                <w:szCs w:val="20"/>
                <w:color w:val="auto"/>
              </w:rPr>
            </w:pPr>
            <w:r>
              <w:rPr>
                <w:rFonts w:ascii="Arial" w:cs="Arial" w:eastAsia="Arial" w:hAnsi="Arial"/>
                <w:sz w:val="12"/>
                <w:szCs w:val="12"/>
                <w:b w:val="1"/>
                <w:bCs w:val="1"/>
                <w:color w:val="auto"/>
              </w:rPr>
              <w:t>(in thousands, except share and per share data)</w:t>
            </w: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16,772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22,074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(15,293)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(18,197)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Foreign currency transaction gains, net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3,004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(843)</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Other expenses, net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(15,177)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translation adjustments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(3,281)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(763)</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Comprehensive loss</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(15,177)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4920" w:type="dxa"/>
            <w:vAlign w:val="bottom"/>
          </w:tcPr>
          <w:p>
            <w:pPr>
              <w:ind w:left="300"/>
              <w:spacing w:after="0"/>
              <w:rPr>
                <w:sz w:val="20"/>
                <w:szCs w:val="20"/>
                <w:color w:val="auto"/>
              </w:rPr>
            </w:pPr>
            <w:r>
              <w:rPr>
                <w:rFonts w:ascii="Arial" w:cs="Arial" w:eastAsia="Arial" w:hAnsi="Arial"/>
                <w:sz w:val="15"/>
                <w:szCs w:val="15"/>
                <w:color w:val="auto"/>
                <w:w w:val="92"/>
              </w:rPr>
              <w:t>Accrued dividends and accretion of redeemable convertible preferred stock</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(4,102)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(3,401)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(4,959)</w:t>
            </w: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(23,284)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2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(2.50)</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(1.62)</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(2.78)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Weighted average common shares outstanding</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7,706,653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8,117,213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8,364,450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Pro forma net loss per share attributable to common stockholders (unaudited)</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(0.37)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(0.52)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 forma weighted average common shares outstanding (unaudited)</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31,250,048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35,165,602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04" w:name="page205"/>
    <w:bookmarkEnd w:id="204"/>
    <w:p>
      <w:pPr>
        <w:spacing w:after="0" w:line="62"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ind w:right="660"/>
        <w:spacing w:after="0" w:line="251"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A</w:t>
            </w: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B</w:t>
            </w:r>
          </w:p>
        </w:tc>
        <w:tc>
          <w:tcPr>
            <w:tcW w:w="4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C</w:t>
            </w:r>
          </w:p>
        </w:tc>
        <w:tc>
          <w:tcPr>
            <w:tcW w:w="4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D</w:t>
            </w:r>
          </w:p>
        </w:tc>
        <w:tc>
          <w:tcPr>
            <w:tcW w:w="20" w:type="dxa"/>
            <w:vAlign w:val="bottom"/>
          </w:tcPr>
          <w:p>
            <w:pPr>
              <w:spacing w:after="0"/>
              <w:rPr>
                <w:sz w:val="12"/>
                <w:szCs w:val="12"/>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Series 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6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1060" w:type="dxa"/>
            <w:vAlign w:val="bottom"/>
            <w:gridSpan w:val="4"/>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ind w:right="2"/>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convertible</w:t>
            </w: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20" w:type="dxa"/>
            <w:vAlign w:val="bottom"/>
          </w:tcPr>
          <w:p>
            <w:pPr>
              <w:spacing w:after="0"/>
              <w:rPr>
                <w:sz w:val="12"/>
                <w:szCs w:val="12"/>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1020" w:type="dxa"/>
            <w:vAlign w:val="bottom"/>
            <w:gridSpan w:val="4"/>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0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0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20" w:type="dxa"/>
            <w:vAlign w:val="bottom"/>
            <w:gridSpan w:val="4"/>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20" w:type="dxa"/>
            <w:vAlign w:val="bottom"/>
          </w:tcPr>
          <w:p>
            <w:pPr>
              <w:spacing w:after="0"/>
              <w:rPr>
                <w:sz w:val="6"/>
                <w:szCs w:val="6"/>
                <w:color w:val="auto"/>
              </w:rPr>
            </w:pPr>
          </w:p>
        </w:tc>
        <w:tc>
          <w:tcPr>
            <w:tcW w:w="102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80" w:type="dxa"/>
            <w:vAlign w:val="bottom"/>
            <w:gridSpan w:val="4"/>
            <w:vMerge w:val="restart"/>
          </w:tcPr>
          <w:p>
            <w:pPr>
              <w:jc w:val="center"/>
              <w:ind w:right="2"/>
              <w:spacing w:after="0" w:line="129" w:lineRule="exact"/>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6"/>
                <w:szCs w:val="6"/>
                <w:color w:val="auto"/>
              </w:rPr>
            </w:pPr>
          </w:p>
        </w:tc>
        <w:tc>
          <w:tcPr>
            <w:tcW w:w="1040" w:type="dxa"/>
            <w:vAlign w:val="bottom"/>
            <w:gridSpan w:val="5"/>
            <w:vMerge w:val="restart"/>
          </w:tcPr>
          <w:p>
            <w:pPr>
              <w:jc w:val="right"/>
              <w:ind w:right="2"/>
              <w:spacing w:after="0" w:line="129" w:lineRule="exact"/>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20" w:type="dxa"/>
            <w:vAlign w:val="bottom"/>
          </w:tcPr>
          <w:p>
            <w:pPr>
              <w:spacing w:after="0"/>
              <w:rPr>
                <w:sz w:val="6"/>
                <w:szCs w:val="6"/>
                <w:color w:val="auto"/>
              </w:rPr>
            </w:pPr>
          </w:p>
        </w:tc>
        <w:tc>
          <w:tcPr>
            <w:tcW w:w="1020" w:type="dxa"/>
            <w:vAlign w:val="bottom"/>
            <w:tcBorders>
              <w:bottom w:val="single" w:sz="8" w:color="auto"/>
            </w:tcBorders>
            <w:gridSpan w:val="4"/>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20" w:type="dxa"/>
            <w:vAlign w:val="bottom"/>
            <w:tcBorders>
              <w:bottom w:val="single" w:sz="8" w:color="auto"/>
            </w:tcBorders>
            <w:gridSpan w:val="4"/>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102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8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restart"/>
            <w:shd w:val="clear" w:color="auto" w:fill="000000"/>
          </w:tcPr>
          <w:p>
            <w:pPr>
              <w:spacing w:after="0"/>
              <w:rPr>
                <w:sz w:val="6"/>
                <w:szCs w:val="6"/>
                <w:color w:val="auto"/>
              </w:rPr>
            </w:pPr>
          </w:p>
        </w:tc>
        <w:tc>
          <w:tcPr>
            <w:tcW w:w="1040" w:type="dxa"/>
            <w:vAlign w:val="bottom"/>
            <w:tcBorders>
              <w:bottom w:val="single" w:sz="8" w:color="auto"/>
            </w:tcBorders>
            <w:gridSpan w:val="5"/>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6"/>
                <w:szCs w:val="6"/>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2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20" w:type="dxa"/>
            <w:vAlign w:val="bottom"/>
            <w:vMerge w:val="continue"/>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11"/>
          </w:tcPr>
          <w:p>
            <w:pPr>
              <w:ind w:left="40"/>
              <w:spacing w:after="0"/>
              <w:rPr>
                <w:sz w:val="20"/>
                <w:szCs w:val="20"/>
                <w:color w:val="auto"/>
              </w:rPr>
            </w:pPr>
            <w:r>
              <w:rPr>
                <w:rFonts w:ascii="Arial" w:cs="Arial" w:eastAsia="Arial" w:hAnsi="Arial"/>
                <w:sz w:val="12"/>
                <w:szCs w:val="12"/>
                <w:b w:val="1"/>
                <w:bCs w:val="1"/>
                <w:color w:val="auto"/>
              </w:rPr>
              <w:t>paid-in  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2"/>
                <w:szCs w:val="12"/>
                <w:color w:val="auto"/>
              </w:rPr>
            </w:pPr>
          </w:p>
        </w:tc>
        <w:tc>
          <w:tcPr>
            <w:tcW w:w="102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Amount Shares</w:t>
            </w:r>
          </w:p>
        </w:tc>
        <w:tc>
          <w:tcPr>
            <w:tcW w:w="20" w:type="dxa"/>
            <w:vAlign w:val="bottom"/>
          </w:tcPr>
          <w:p>
            <w:pPr>
              <w:spacing w:after="0"/>
              <w:rPr>
                <w:sz w:val="12"/>
                <w:szCs w:val="12"/>
                <w:color w:val="auto"/>
              </w:rPr>
            </w:pPr>
          </w:p>
        </w:tc>
        <w:tc>
          <w:tcPr>
            <w:tcW w:w="102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Amount Shares</w:t>
            </w:r>
          </w:p>
        </w:tc>
        <w:tc>
          <w:tcPr>
            <w:tcW w:w="20" w:type="dxa"/>
            <w:vAlign w:val="bottom"/>
          </w:tcPr>
          <w:p>
            <w:pPr>
              <w:spacing w:after="0"/>
              <w:rPr>
                <w:sz w:val="12"/>
                <w:szCs w:val="12"/>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Shares  Amount</w:t>
            </w:r>
          </w:p>
        </w:tc>
        <w:tc>
          <w:tcPr>
            <w:tcW w:w="20" w:type="dxa"/>
            <w:vAlign w:val="bottom"/>
            <w:shd w:val="clear" w:color="auto" w:fill="000000"/>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capital</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140" w:type="dxa"/>
            <w:vAlign w:val="bottom"/>
            <w:tcBorders>
              <w:top w:val="single" w:sz="8" w:color="auto"/>
              <w:right w:val="single" w:sz="8" w:color="CCEEFF"/>
            </w:tcBorders>
            <w:gridSpan w:val="8"/>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2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January 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   3,199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18,735</w:t>
            </w:r>
          </w:p>
        </w:tc>
        <w:tc>
          <w:tcPr>
            <w:tcW w:w="54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7"/>
              </w:rPr>
              <w:t>5,000,002</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17,465</w:t>
            </w:r>
          </w:p>
        </w:tc>
        <w:tc>
          <w:tcPr>
            <w:tcW w:w="54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7"/>
              </w:rPr>
              <w:t>4,888,889</w:t>
            </w:r>
          </w:p>
        </w:tc>
        <w:tc>
          <w:tcPr>
            <w:tcW w:w="20" w:type="dxa"/>
            <w:vAlign w:val="bottom"/>
          </w:tcPr>
          <w:p>
            <w:pPr>
              <w:spacing w:after="0"/>
              <w:rPr>
                <w:sz w:val="11"/>
                <w:szCs w:val="11"/>
                <w:color w:val="auto"/>
              </w:rPr>
            </w:pP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22,864</w:t>
            </w:r>
          </w:p>
        </w:tc>
        <w:tc>
          <w:tcPr>
            <w:tcW w:w="5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777,777</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8"/>
              </w:rPr>
              <w:t>$   4,037</w:t>
            </w:r>
          </w:p>
        </w:tc>
        <w:tc>
          <w:tcPr>
            <w:tcW w:w="640" w:type="dxa"/>
            <w:vAlign w:val="bottom"/>
            <w:gridSpan w:val="3"/>
          </w:tcPr>
          <w:p>
            <w:pPr>
              <w:jc w:val="center"/>
              <w:ind w:left="281"/>
              <w:spacing w:after="0" w:line="137" w:lineRule="exact"/>
              <w:rPr>
                <w:sz w:val="20"/>
                <w:szCs w:val="20"/>
                <w:color w:val="auto"/>
              </w:rPr>
            </w:pPr>
            <w:r>
              <w:rPr>
                <w:rFonts w:ascii="Arial" w:cs="Arial" w:eastAsia="Arial" w:hAnsi="Arial"/>
                <w:sz w:val="12"/>
                <w:szCs w:val="12"/>
                <w:color w:val="auto"/>
                <w:w w:val="99"/>
              </w:rPr>
              <w:t>— $</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w w:val="93"/>
              </w:rPr>
              <w:t>7,523,876</w:t>
            </w:r>
          </w:p>
        </w:tc>
        <w:tc>
          <w:tcPr>
            <w:tcW w:w="20" w:type="dxa"/>
            <w:vAlign w:val="bottom"/>
          </w:tcPr>
          <w:p>
            <w:pPr>
              <w:spacing w:after="0"/>
              <w:rPr>
                <w:sz w:val="11"/>
                <w:szCs w:val="11"/>
                <w:color w:val="auto"/>
              </w:rPr>
            </w:pP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(50,490)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(50,669)</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w w:val="93"/>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270,680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44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775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775</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4"/>
              </w:rPr>
              <w:t>of options (net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0"/>
              </w:rPr>
              <w:t>stock issued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118,239)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111,736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Accrued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8"/>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151</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927</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916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1,502</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606</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(900)</w:t>
            </w:r>
          </w:p>
        </w:tc>
        <w:tc>
          <w:tcPr>
            <w:tcW w:w="12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(3,202)</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(4,102)</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(415)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28"/>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(15,177)</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(15,177)</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2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5"/>
              </w:rPr>
              <w:t>December 31,</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3,350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19,662</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5,000,002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18,381</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4,888,889</w:t>
            </w:r>
          </w:p>
        </w:tc>
        <w:tc>
          <w:tcPr>
            <w:tcW w:w="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24,366</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777,777</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4,643</w:t>
            </w: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7,906,292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ind w:left="4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(68,869)</w:t>
            </w:r>
          </w:p>
        </w:tc>
        <w:tc>
          <w:tcPr>
            <w:tcW w:w="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(595)</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(69,463)</w:t>
            </w: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vMerge w:val="continue"/>
            <w:shd w:val="clear" w:color="auto" w:fill="CCEEFF"/>
          </w:tcPr>
          <w:p>
            <w:pPr>
              <w:spacing w:after="0"/>
              <w:rPr>
                <w:sz w:val="11"/>
                <w:szCs w:val="11"/>
                <w:color w:val="auto"/>
              </w:rPr>
            </w:pPr>
          </w:p>
        </w:tc>
        <w:tc>
          <w:tcPr>
            <w:tcW w:w="540" w:type="dxa"/>
            <w:vAlign w:val="bottom"/>
            <w:gridSpan w:val="3"/>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20" w:type="dxa"/>
            <w:vAlign w:val="bottom"/>
            <w:gridSpan w:val="4"/>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14,349</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Net effect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extinguishment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4"/>
              </w:rPr>
              <w:t>of 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(see Note 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(1,459)</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1,459</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40" w:type="dxa"/>
            <w:vAlign w:val="bottom"/>
            <w:gridSpan w:val="4"/>
          </w:tcPr>
          <w:p>
            <w:pPr>
              <w:jc w:val="right"/>
              <w:ind w:right="40"/>
              <w:spacing w:after="0" w:line="137" w:lineRule="exact"/>
              <w:rPr>
                <w:sz w:val="20"/>
                <w:szCs w:val="20"/>
                <w:color w:val="auto"/>
              </w:rPr>
            </w:pPr>
            <w:r>
              <w:rPr>
                <w:rFonts w:ascii="Arial" w:cs="Arial" w:eastAsia="Arial" w:hAnsi="Arial"/>
                <w:sz w:val="12"/>
                <w:szCs w:val="12"/>
                <w:color w:val="auto"/>
              </w:rPr>
              <w:t>— 1,333,332</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w w:val="93"/>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226,609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150,695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1,224</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Accrued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8"/>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143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1,855</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(2,820)</w:t>
            </w:r>
          </w:p>
        </w:tc>
        <w:tc>
          <w:tcPr>
            <w:tcW w:w="12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(2,131)</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8"/>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(12,880)</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2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5"/>
              </w:rPr>
              <w:t>December 31,</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3,493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20,533</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5,000,002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19,270</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8,099,994</w:t>
            </w:r>
          </w:p>
        </w:tc>
        <w:tc>
          <w:tcPr>
            <w:tcW w:w="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40,570</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3"/>
              </w:rPr>
              <w:t>2,111,109</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10,167</w:t>
            </w: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8,283,596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ind w:left="4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(83,880)</w:t>
            </w:r>
          </w:p>
        </w:tc>
        <w:tc>
          <w:tcPr>
            <w:tcW w:w="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(3,876)</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(87,755)</w:t>
            </w: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vMerge w:val="continue"/>
            <w:shd w:val="clear" w:color="auto" w:fill="CCEEFF"/>
          </w:tcPr>
          <w:p>
            <w:pPr>
              <w:spacing w:after="0"/>
              <w:rPr>
                <w:sz w:val="11"/>
                <w:szCs w:val="11"/>
                <w:color w:val="auto"/>
              </w:rPr>
            </w:pPr>
          </w:p>
        </w:tc>
        <w:tc>
          <w:tcPr>
            <w:tcW w:w="540" w:type="dxa"/>
            <w:vAlign w:val="bottom"/>
            <w:gridSpan w:val="3"/>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of $217,140</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160" w:type="dxa"/>
            <w:vAlign w:val="bottom"/>
            <w:gridSpan w:val="5"/>
          </w:tcPr>
          <w:p>
            <w:pPr>
              <w:jc w:val="right"/>
              <w:ind w:right="140"/>
              <w:spacing w:after="0" w:line="137" w:lineRule="exact"/>
              <w:rPr>
                <w:sz w:val="20"/>
                <w:szCs w:val="20"/>
                <w:color w:val="auto"/>
              </w:rPr>
            </w:pPr>
            <w:r>
              <w:rPr>
                <w:rFonts w:ascii="Arial" w:cs="Arial" w:eastAsia="Arial" w:hAnsi="Arial"/>
                <w:sz w:val="12"/>
                <w:szCs w:val="12"/>
                <w:color w:val="auto"/>
              </w:rPr>
              <w:t>—  8,888,888</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warrants, net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issuance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costs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$21,767</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3,647</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22,594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15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options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138,040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expense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869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Accrued</w:t>
            </w:r>
          </w:p>
        </w:tc>
        <w:tc>
          <w:tcPr>
            <w:tcW w:w="52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114</w:t>
            </w: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686</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681</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1,759</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1,438</w:t>
            </w:r>
          </w:p>
        </w:tc>
        <w:tc>
          <w:tcPr>
            <w:tcW w:w="640" w:type="dxa"/>
            <w:vAlign w:val="bottom"/>
            <w:gridSpan w:val="3"/>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19" w:lineRule="exact"/>
              <w:rPr>
                <w:sz w:val="20"/>
                <w:szCs w:val="20"/>
                <w:color w:val="auto"/>
              </w:rPr>
            </w:pPr>
            <w:r>
              <w:rPr>
                <w:rFonts w:ascii="Arial" w:cs="Arial" w:eastAsia="Arial" w:hAnsi="Arial"/>
                <w:sz w:val="12"/>
                <w:szCs w:val="12"/>
                <w:color w:val="auto"/>
              </w:rPr>
              <w:t>281</w:t>
            </w: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(4,594)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(365)</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(4,959)</w:t>
            </w: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8"/>
              </w:rPr>
              <w:t>to redemption</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2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520"/>
          </w:cols>
          <w:pgMar w:left="240" w:top="132" w:right="139" w:bottom="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value</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adjustment</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60" w:type="dxa"/>
            <w:vAlign w:val="bottom"/>
            <w:tcBorders>
              <w:right w:val="single" w:sz="8" w:color="auto"/>
            </w:tcBorders>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ind w:left="22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(763)</w:t>
            </w:r>
          </w:p>
        </w:tc>
        <w:tc>
          <w:tcPr>
            <w:tcW w:w="220" w:type="dxa"/>
            <w:vAlign w:val="bottom"/>
          </w:tcPr>
          <w:p>
            <w:pPr>
              <w:spacing w:after="0"/>
              <w:rPr>
                <w:sz w:val="11"/>
                <w:szCs w:val="11"/>
                <w:color w:val="auto"/>
              </w:rPr>
            </w:pP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Net loss</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gridSpan w:val="3"/>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(18,325)</w:t>
            </w: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(18,325)</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September 30,</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2015</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2,589,868</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3,607</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21,219</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5,000,002</w:t>
            </w: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19,951</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8,099,994</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42,329</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3"/>
              </w:rPr>
              <w:t>2,111,109</w:t>
            </w: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11,605</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89"/>
              </w:rPr>
              <w:t>8,888,888</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2"/>
                <w:szCs w:val="12"/>
                <w:b w:val="1"/>
                <w:bCs w:val="1"/>
                <w:color w:val="auto"/>
                <w:w w:val="97"/>
              </w:rPr>
              <w:t>36,395</w:t>
            </w:r>
          </w:p>
        </w:tc>
        <w:tc>
          <w:tcPr>
            <w:tcW w:w="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8,444,230</w:t>
            </w: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3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 $</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(102,570)</w:t>
            </w:r>
          </w:p>
        </w:tc>
        <w:tc>
          <w:tcPr>
            <w:tcW w:w="340" w:type="dxa"/>
            <w:vAlign w:val="bottom"/>
            <w:vMerge w:val="restart"/>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(4,639)</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(107,208)</w:t>
            </w: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11260"/>
        <w:spacing w:after="0"/>
        <w:rPr>
          <w:sz w:val="20"/>
          <w:szCs w:val="20"/>
          <w:color w:val="auto"/>
        </w:rPr>
      </w:pPr>
      <w:r>
        <w:rPr>
          <w:rFonts w:ascii="Arial" w:cs="Arial" w:eastAsia="Arial" w:hAnsi="Arial"/>
          <w:sz w:val="12"/>
          <w:szCs w:val="12"/>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06" w:name="page207"/>
    <w:bookmarkEnd w:id="2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Net loss</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(15,177)</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(11,243)</w:t>
            </w: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914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866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Foreign currency translation gain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Non-cash interest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Change in fair value of redeemable convertible preferred stock warrant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Accounts receivable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2,028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(514)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Prepaid expenses and other assets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(608)</w:t>
            </w: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Restricted cash and other deposits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(1,779)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1,388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363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2,846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(3,393)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Contingently repayable grant funding</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(446)</w:t>
            </w: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Accrued expenses and other liabilities</w:t>
            </w:r>
          </w:p>
        </w:tc>
        <w:tc>
          <w:tcPr>
            <w:tcW w:w="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(7,661)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(12,686)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(11,630)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(14,823)</w:t>
            </w:r>
          </w:p>
        </w:tc>
        <w:tc>
          <w:tcPr>
            <w:tcW w:w="0" w:type="dxa"/>
            <w:vAlign w:val="bottom"/>
          </w:tcPr>
          <w:p>
            <w:pPr>
              <w:spacing w:after="0"/>
              <w:rPr>
                <w:sz w:val="1"/>
                <w:szCs w:val="1"/>
                <w:color w:val="auto"/>
              </w:rPr>
            </w:pPr>
          </w:p>
        </w:tc>
      </w:tr>
      <w:tr>
        <w:trPr>
          <w:trHeight w:val="361"/>
        </w:trPr>
        <w:tc>
          <w:tcPr>
            <w:tcW w:w="506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Maturities of marketable securities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Purchase of short term investments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(739)</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(1,031)</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6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Net proceeds from issuance of preferred stock and warrants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32,669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Principle payments on loans payable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(1,619)</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Proceeds from loans payable, net of issuance costs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2,858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7,092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w:t>
            </w: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38,220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(705)</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(decrease) increase in cash and cash equivalents</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8,535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11,999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20,922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6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16,592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660" w:type="dxa"/>
            <w:vAlign w:val="bottom"/>
          </w:tcPr>
          <w:p>
            <w:pPr>
              <w:spacing w:after="0"/>
              <w:rPr>
                <w:sz w:val="15"/>
                <w:szCs w:val="15"/>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37,514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Cash paid during the period for:</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Interest</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Supplemental Noncash Financing Activities:</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Issuance of preferred warrants in connection with venture loans</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Purchase of property and equipment not yet paid</w:t>
            </w:r>
          </w:p>
        </w:tc>
        <w:tc>
          <w:tcPr>
            <w:tcW w:w="780" w:type="dxa"/>
            <w:vAlign w:val="bottom"/>
            <w:gridSpan w:val="2"/>
            <w:shd w:val="clear" w:color="auto" w:fill="CCEEFF"/>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5"/>
                <w:szCs w:val="15"/>
                <w:color w:val="auto"/>
              </w:rPr>
              <w:t>Conversion of bridge loans into Series E Preferred</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61"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7,288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Accrued dividends and accretion of preferred stock to redemption value</w:t>
            </w:r>
          </w:p>
        </w:tc>
        <w:tc>
          <w:tcPr>
            <w:tcW w:w="780" w:type="dxa"/>
            <w:vAlign w:val="bottom"/>
            <w:gridSpan w:val="2"/>
            <w:shd w:val="clear" w:color="auto" w:fill="CCEEFF"/>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4,102</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4,951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3,401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4,959</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3"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80"/>
        <w:spacing w:after="0" w:line="298"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43"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accompanying unaudited consolidated financial statements and the related notes as of September 30, 2015 and for the nine months ended September 30, 2014 and 2015 are condensed and are prepared pursuant to the rules and regulations of the U.S. Securities and Exchange Commission regarding interim financial reporting. Accordingly, they do not include all of the information and disclosures required by U.S. GAAP for complete financial statements and should be read in conjunction with the Company's audited financial statements for the years ended December 31, 2013 and 2014. In the opinion of management, the Company has prepared the accompanying unaudited condensed consolidated financial statements as of September 30, 2015 and for the nine months ended September 30, 2014 and 2015 on the same basis as its audited financial statements, and these condensed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2015 or any future years or periods.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Company has incurred losses since inception and negative cash flows from operating activities. As of December 31, 2014 and September 30, 2015, the Company had an accumulated deficit of $83.9 million and $102.6 million, respectively. The Company has financed its operations to date through issuances of redeemable convertible preferred stock (collectively, "Preferred Stock"), common stock, debt, research grants and a research collaboration. Subsequent to December 31, 2014, the Company raised an additional $39.8 million, net of issuance costs, through the issuance of convertible notes (Note 8) and Series E redeemable convertible preferred stock ("Series E Preferred") (Note 9). The Company's cash and cash equivalents as of December 31, 2014 and September 30, 2015, includes $5.3 million and $3.6 million of unrestricted cash held by its Russia subsidiary. The future success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The unaudited pro forma consolidated balance sheet information at September 30, 2015 has been prepared to reflect the automatic conversion of all shares of Preferred Stock outstanding at September 30, 2015 into 35,935,400 shares of common stock and cashless exercise of warrants for the purchase of 2,208,651 shares of common stock as if a proposed initial public offering had occurred on September 30, 2015. For purposes of pro forma basic and diluted net loss per share attributable to common stockholders, all shares of Preferred Stock and those warrants which will automatically be converted upon the filing of a registration statement on Form S-1, and the preferred stock warrants which will convert into common stock warrants upon the closing of an initial public offering, have been treated as if they have been converted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59" w:lineRule="exact"/>
        <w:rPr>
          <w:sz w:val="20"/>
          <w:szCs w:val="20"/>
          <w:color w:val="auto"/>
        </w:rPr>
      </w:pPr>
    </w:p>
    <w:p>
      <w:pPr>
        <w:ind w:left="7" w:right="8080" w:hanging="7"/>
        <w:spacing w:after="0" w:line="506" w:lineRule="auto"/>
        <w:tabs>
          <w:tab w:leader="none" w:pos="175"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spacing w:after="0" w:line="320"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Cash equivalents consist of certificates of deposits and bank money market deposit accounts. The Company considers all highly liquid investment instruments with a remaining maturity when purchased of three months or less to be cash equivalents. Short term investments include timed cash deposits in Russian banks with maturities in January 2016. Short term investments are valued at cost, which approximates their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therefore, bear minimal interest rate risk. As an integral part of operating our Russia subsidiary, we also maintain cash in Russian bank accounts in denominations of both rubles and U.S. dollars. As of September 30, 2015, we maintained approximately $4.8 million in Russian bank accounts, of which $3.6 million was held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0" w:name="page211"/>
    <w:bookmarkEnd w:id="21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The Company has minimal credit risk as the majority of accounts receivable relates to amounts due under a government sponsored grant, collaboration with large pharmaceutical companies or grants from well-known and supported non-profit organizations. Thes Company does not have any off-balance sheet arrangements as of December 31, 2013 and 2014 and September 30, 2015.</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left="7" w:right="160"/>
        <w:spacing w:after="0" w:line="330"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has not recognized any impairment charges through September 30, 2015.</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280"/>
        <w:spacing w:after="0" w:line="320"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39" w:lineRule="exact"/>
        <w:rPr>
          <w:sz w:val="20"/>
          <w:szCs w:val="20"/>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5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2"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3"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ind w:right="200"/>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be paid upon redemption or liquidation according to the preferred stock terms on each balance sheet date.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51"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The Company's financial instruments consist mainly of cash equivalents, accounts receivable, accounts payable, loans payable, common stock warrants, and redeemable convertible preferred stock warrants. The carrying amounts of cash equivalents, short-term investments, accounts receivable, and accounts payable approximate their estimated fair value due to their short-term maturities. The carrying amount of loans payable approximates their estimated fair value due to the consistency between the prevailing market rates in effect and the effective interest rate of the debt arrangement. The effective rate of the debt instrument is 12.38%.</w:t>
      </w:r>
    </w:p>
    <w:p>
      <w:pPr>
        <w:spacing w:after="0" w:line="164" w:lineRule="exact"/>
        <w:rPr>
          <w:sz w:val="20"/>
          <w:szCs w:val="20"/>
          <w:color w:val="auto"/>
        </w:rPr>
      </w:pPr>
    </w:p>
    <w:p>
      <w:pPr>
        <w:ind w:right="720"/>
        <w:spacing w:after="0" w:line="283"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4" w:name="page215"/>
    <w:bookmarkEnd w:id="21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40"/>
        <w:spacing w:after="0" w:line="283" w:lineRule="auto"/>
        <w:rPr>
          <w:sz w:val="20"/>
          <w:szCs w:val="20"/>
          <w:color w:val="auto"/>
        </w:rPr>
      </w:pPr>
      <w:r>
        <w:rPr>
          <w:rFonts w:ascii="Arial" w:cs="Arial" w:eastAsia="Arial" w:hAnsi="Arial"/>
          <w:sz w:val="15"/>
          <w:szCs w:val="15"/>
          <w:color w:val="auto"/>
        </w:rPr>
        <w:t>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9" w:lineRule="exact"/>
        <w:rPr>
          <w:sz w:val="20"/>
          <w:szCs w:val="20"/>
          <w:color w:val="auto"/>
        </w:rPr>
      </w:pPr>
    </w:p>
    <w:p>
      <w:pPr>
        <w:ind w:left="467"/>
        <w:spacing w:after="0" w:line="283"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9"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2013 and 2014, and at September 30, 2015, the Company's preferred stock warrants were the only financial instruments that required fair value measurement on a recurrent basis.</w:t>
      </w:r>
    </w:p>
    <w:p>
      <w:pPr>
        <w:spacing w:after="0" w:line="164" w:lineRule="exact"/>
        <w:rPr>
          <w:sz w:val="20"/>
          <w:szCs w:val="20"/>
          <w:color w:val="auto"/>
        </w:rPr>
      </w:pPr>
    </w:p>
    <w:p>
      <w:pPr>
        <w:ind w:left="7" w:right="300"/>
        <w:spacing w:after="0" w:line="287"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2013 and 2014, and the nine months ended September 30, 2014 and 2015.</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left="7" w:right="120"/>
        <w:spacing w:after="0" w:line="301" w:lineRule="auto"/>
        <w:rPr>
          <w:sz w:val="20"/>
          <w:szCs w:val="20"/>
          <w:color w:val="auto"/>
        </w:rPr>
      </w:pPr>
      <w:r>
        <w:rPr>
          <w:rFonts w:ascii="Arial" w:cs="Arial" w:eastAsia="Arial" w:hAnsi="Arial"/>
          <w:sz w:val="13"/>
          <w:szCs w:val="13"/>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both: (i) all components of net loss and</w:t>
      </w:r>
    </w:p>
    <w:p>
      <w:pPr>
        <w:spacing w:after="0" w:line="1" w:lineRule="exact"/>
        <w:rPr>
          <w:sz w:val="20"/>
          <w:szCs w:val="20"/>
          <w:color w:val="auto"/>
        </w:rPr>
      </w:pPr>
    </w:p>
    <w:p>
      <w:pPr>
        <w:ind w:left="7" w:right="320" w:hanging="7"/>
        <w:spacing w:after="0" w:line="276" w:lineRule="auto"/>
        <w:tabs>
          <w:tab w:leader="none" w:pos="22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all components of comprehensive loss other than net loss, referred to as other comprehensive loss. For all periods presented, other comprehensive loss is comprised solely of foreign currency translation adjustments.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In periods in which the Company reports a loss from continuing operations, because the preferred stock does not share in those losses, such loss would be reduced by any dividends directly attributable to the preferred stock and the remainder would then be allocated to the common stock.</w:t>
      </w:r>
    </w:p>
    <w:p>
      <w:pPr>
        <w:spacing w:after="0" w:line="164"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 xml:space="preserve">The Company accounts for its contingent liabilities in accordance with ASC No. 450, </w:t>
      </w:r>
      <w:r>
        <w:rPr>
          <w:rFonts w:ascii="Arial" w:cs="Arial" w:eastAsia="Arial" w:hAnsi="Arial"/>
          <w:sz w:val="14"/>
          <w:szCs w:val="14"/>
          <w:i w:val="1"/>
          <w:iCs w:val="1"/>
          <w:color w:val="auto"/>
        </w:rPr>
        <w:t>Contingencies</w:t>
      </w:r>
      <w:r>
        <w:rPr>
          <w:rFonts w:ascii="Arial" w:cs="Arial" w:eastAsia="Arial" w:hAnsi="Arial"/>
          <w:sz w:val="14"/>
          <w:szCs w:val="14"/>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2013 and 2014, and at September 30, 2015, the Company is not a party to any ligation that could have a material adverse effect on the Company's business,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11200"/>
        <w:spacing w:after="0"/>
        <w:rPr>
          <w:sz w:val="20"/>
          <w:szCs w:val="20"/>
          <w:color w:val="auto"/>
        </w:rPr>
      </w:pPr>
      <w:r>
        <w:rPr>
          <w:rFonts w:ascii="Arial" w:cs="Arial" w:eastAsia="Arial" w:hAnsi="Arial"/>
          <w:sz w:val="10"/>
          <w:szCs w:val="10"/>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were not material through September 30, 2015. As the proposed initial public offering progresses, such costs will be deferred and offset against the proceeds received in the offering. If the proposed initial public offering were no longer probable of occurring, the deferred costs would be expensed at that time.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September 30, 2015,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 currently in the process of evaluating the effect the adoption of ASU 2014-09 may have on its financial statements.</w:t>
      </w:r>
    </w:p>
    <w:p>
      <w:pPr>
        <w:spacing w:after="0" w:line="152"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options have been excluded from the computation of diluted weighted average shares outstanding because such securities would have an antidilutive impact.</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loss per share (in thousands, except share and per-share data):</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right"/>
              <w:spacing w:after="0"/>
              <w:rPr>
                <w:sz w:val="20"/>
                <w:szCs w:val="20"/>
                <w:color w:val="auto"/>
              </w:rPr>
            </w:pPr>
            <w:r>
              <w:rPr>
                <w:rFonts w:ascii="Arial" w:cs="Arial" w:eastAsia="Arial" w:hAnsi="Arial"/>
                <w:sz w:val="12"/>
                <w:szCs w:val="12"/>
                <w:b w:val="1"/>
                <w:bCs w:val="1"/>
                <w:color w:val="auto"/>
              </w:rPr>
              <w:t>Year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54"/>
        </w:trPr>
        <w:tc>
          <w:tcPr>
            <w:tcW w:w="5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left="330"/>
              <w:spacing w:after="0" w:line="132" w:lineRule="exact"/>
              <w:rPr>
                <w:sz w:val="20"/>
                <w:szCs w:val="20"/>
                <w:color w:val="auto"/>
              </w:rPr>
            </w:pPr>
            <w:r>
              <w:rPr>
                <w:rFonts w:ascii="Arial" w:cs="Arial" w:eastAsia="Arial" w:hAnsi="Arial"/>
                <w:sz w:val="12"/>
                <w:szCs w:val="12"/>
                <w:b w:val="1"/>
                <w:bCs w:val="1"/>
                <w:color w:val="auto"/>
              </w:rPr>
              <w:t>(unaudited)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Net loss</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(15,177)</w:t>
            </w:r>
          </w:p>
        </w:tc>
        <w:tc>
          <w:tcPr>
            <w:tcW w:w="30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(11,243)</w:t>
            </w:r>
          </w:p>
        </w:tc>
        <w:tc>
          <w:tcPr>
            <w:tcW w:w="30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(18,325)</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9"/>
              </w:rPr>
              <w:t>Less: accrued dividends and accretion of redeemable convertible preferred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(4,102)</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(3,401)</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(4,959)</w:t>
            </w:r>
          </w:p>
        </w:tc>
        <w:tc>
          <w:tcPr>
            <w:tcW w:w="0" w:type="dxa"/>
            <w:vAlign w:val="bottom"/>
          </w:tcPr>
          <w:p>
            <w:pPr>
              <w:spacing w:after="0"/>
              <w:rPr>
                <w:sz w:val="1"/>
                <w:szCs w:val="1"/>
                <w:color w:val="auto"/>
              </w:rPr>
            </w:pPr>
          </w:p>
        </w:tc>
      </w:tr>
      <w:tr>
        <w:trPr>
          <w:trHeight w:val="186"/>
        </w:trPr>
        <w:tc>
          <w:tcPr>
            <w:tcW w:w="5100" w:type="dxa"/>
            <w:vAlign w:val="bottom"/>
          </w:tcPr>
          <w:p>
            <w:pPr>
              <w:ind w:left="16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(19,279)</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(13,185)</w:t>
            </w: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(23,284)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7,706,653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8,117,213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8,364,450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0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(2.50)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5"/>
              <w:spacing w:after="0" w:line="161"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1"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5"/>
              <w:spacing w:after="0" w:line="161"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1880" w:type="dxa"/>
            <w:vAlign w:val="bottom"/>
            <w:gridSpan w:val="3"/>
          </w:tcPr>
          <w:p>
            <w:pPr>
              <w:jc w:val="right"/>
              <w:ind w:right="525"/>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20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100" w:type="dxa"/>
            <w:vAlign w:val="bottom"/>
          </w:tcPr>
          <w:p>
            <w:pPr>
              <w:spacing w:after="0"/>
              <w:rPr>
                <w:sz w:val="12"/>
                <w:szCs w:val="12"/>
                <w:color w:val="auto"/>
              </w:rPr>
            </w:pPr>
          </w:p>
        </w:tc>
        <w:tc>
          <w:tcPr>
            <w:tcW w:w="1880" w:type="dxa"/>
            <w:vAlign w:val="bottom"/>
            <w:gridSpan w:val="3"/>
          </w:tcPr>
          <w:p>
            <w:pPr>
              <w:jc w:val="right"/>
              <w:ind w:right="465"/>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510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2013</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31"/>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5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55"/>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c>
          <w:tcPr>
            <w:tcW w:w="860" w:type="dxa"/>
            <w:vAlign w:val="bottom"/>
          </w:tcPr>
          <w:p>
            <w:pPr>
              <w:jc w:val="right"/>
              <w:ind w:right="31"/>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20,693,861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35,935,400</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880" w:type="dxa"/>
            <w:vAlign w:val="bottom"/>
          </w:tcPr>
          <w:p>
            <w:pPr>
              <w:jc w:val="right"/>
              <w:spacing w:after="0"/>
              <w:rPr>
                <w:sz w:val="20"/>
                <w:szCs w:val="20"/>
                <w:color w:val="auto"/>
              </w:rPr>
            </w:pPr>
            <w:r>
              <w:rPr>
                <w:rFonts w:ascii="Arial" w:cs="Arial" w:eastAsia="Arial" w:hAnsi="Arial"/>
                <w:sz w:val="15"/>
                <w:szCs w:val="15"/>
                <w:color w:val="auto"/>
              </w:rPr>
              <w:t>3,916,323</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4,458,628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4,475,502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5,224,117</w:t>
            </w:r>
          </w:p>
        </w:tc>
        <w:tc>
          <w:tcPr>
            <w:tcW w:w="140" w:type="dxa"/>
            <w:vAlign w:val="bottom"/>
          </w:tcPr>
          <w:p>
            <w:pPr>
              <w:spacing w:after="0"/>
              <w:rPr>
                <w:sz w:val="16"/>
                <w:szCs w:val="16"/>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Warrants to purchase Series D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69,678</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Warrants to purchase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tcPr>
          <w:p>
            <w:pPr>
              <w:spacing w:after="0"/>
              <w:rPr>
                <w:sz w:val="16"/>
                <w:szCs w:val="16"/>
                <w:color w:val="auto"/>
              </w:rPr>
            </w:pPr>
          </w:p>
        </w:tc>
      </w:tr>
      <w:tr>
        <w:trPr>
          <w:trHeight w:val="177"/>
        </w:trPr>
        <w:tc>
          <w:tcPr>
            <w:tcW w:w="5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24,636,852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29,763,594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29,780,468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43,766,606</w:t>
            </w:r>
          </w:p>
        </w:tc>
        <w:tc>
          <w:tcPr>
            <w:tcW w:w="140" w:type="dxa"/>
            <w:vAlign w:val="bottom"/>
            <w:shd w:val="clear" w:color="auto" w:fill="CCEEFF"/>
          </w:tcPr>
          <w:p>
            <w:pPr>
              <w:spacing w:after="0"/>
              <w:rPr>
                <w:sz w:val="15"/>
                <w:szCs w:val="15"/>
                <w:color w:val="auto"/>
              </w:rPr>
            </w:pPr>
          </w:p>
        </w:tc>
      </w:tr>
      <w:tr>
        <w:trPr>
          <w:trHeight w:val="20"/>
        </w:trPr>
        <w:tc>
          <w:tcPr>
            <w:tcW w:w="5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The unaudited pro forma basic and diluted net loss per share attributable to common stockholders for the year ended December 31, 2014 and the nine months ended September 30, 2015 has been computed using the weighted average common shares outstanding after giving pro forma effect to the automatic conversion of all shares of Preferred Stock into shares of common stock, the automatic conversion of all redeemable convertible preferred stock warrants into common stock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automatic net exercise of all Series E Investor Warrants as if such conversions or exercises had occurred at the beginning of 2015 or the date of original issuance, if later. The following table sets forth the computation of the pro forma net loss per share (in thousands, except share and per-share data):</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September 30,</w:t>
            </w:r>
          </w:p>
        </w:tc>
      </w:tr>
      <w:tr>
        <w:trPr>
          <w:trHeight w:val="121"/>
        </w:trPr>
        <w:tc>
          <w:tcPr>
            <w:tcW w:w="5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48"/>
              <w:spacing w:after="0" w:line="121" w:lineRule="exact"/>
              <w:rPr>
                <w:sz w:val="20"/>
                <w:szCs w:val="20"/>
                <w:color w:val="auto"/>
              </w:rPr>
            </w:pPr>
            <w:r>
              <w:rPr>
                <w:rFonts w:ascii="Arial" w:cs="Arial" w:eastAsia="Arial" w:hAnsi="Arial"/>
                <w:sz w:val="12"/>
                <w:szCs w:val="12"/>
                <w:b w:val="1"/>
                <w:bCs w:val="1"/>
                <w:color w:val="auto"/>
              </w:rPr>
              <w:t>2014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88"/>
              <w:spacing w:after="0" w:line="12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0"/>
                <w:szCs w:val="10"/>
                <w:color w:val="auto"/>
              </w:rPr>
            </w:pPr>
          </w:p>
        </w:tc>
      </w:tr>
      <w:tr>
        <w:trPr>
          <w:trHeight w:val="149"/>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(unaudited)</w:t>
            </w:r>
          </w:p>
        </w:tc>
      </w:tr>
      <w:tr>
        <w:trPr>
          <w:trHeight w:val="186"/>
        </w:trPr>
        <w:tc>
          <w:tcPr>
            <w:tcW w:w="5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(16,372)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(23,284)</w:t>
            </w:r>
          </w:p>
        </w:tc>
      </w:tr>
      <w:tr>
        <w:trPr>
          <w:trHeight w:val="186"/>
        </w:trPr>
        <w:tc>
          <w:tcPr>
            <w:tcW w:w="5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accrued dividends and accretion on preferred stock</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4,959</w:t>
            </w: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ind w:left="160"/>
              <w:spacing w:after="0"/>
              <w:rPr>
                <w:sz w:val="20"/>
                <w:szCs w:val="20"/>
                <w:color w:val="auto"/>
              </w:rPr>
            </w:pPr>
            <w:r>
              <w:rPr>
                <w:rFonts w:ascii="Arial" w:cs="Arial" w:eastAsia="Arial" w:hAnsi="Arial"/>
                <w:sz w:val="15"/>
                <w:szCs w:val="15"/>
                <w:color w:val="auto"/>
              </w:rPr>
              <w:t>Change in fair value of preferred stock warrants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Pro forma net loss attributable to common stockholders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(18,308)</w:t>
            </w:r>
          </w:p>
        </w:tc>
      </w:tr>
      <w:tr>
        <w:trPr>
          <w:trHeight w:val="175"/>
        </w:trPr>
        <w:tc>
          <w:tcPr>
            <w:tcW w:w="5900" w:type="dxa"/>
            <w:vAlign w:val="bottom"/>
          </w:tcPr>
          <w:p>
            <w:pPr>
              <w:spacing w:after="0"/>
              <w:rPr>
                <w:sz w:val="20"/>
                <w:szCs w:val="20"/>
                <w:color w:val="auto"/>
              </w:rPr>
            </w:pPr>
            <w:r>
              <w:rPr>
                <w:rFonts w:ascii="Arial" w:cs="Arial" w:eastAsia="Arial" w:hAnsi="Arial"/>
                <w:sz w:val="15"/>
                <w:szCs w:val="15"/>
                <w:b w:val="1"/>
                <w:bCs w:val="1"/>
                <w:color w:val="auto"/>
              </w:rPr>
              <w:t>Denominator:</w:t>
            </w:r>
          </w:p>
        </w:tc>
        <w:tc>
          <w:tcPr>
            <w:tcW w:w="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stock outstanding</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8,364,450</w:t>
            </w: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5"/>
                <w:szCs w:val="15"/>
                <w:color w:val="auto"/>
              </w:rPr>
              <w:t>Adjustment for assumed conversion of preferred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23,096,408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26,615,444</w:t>
            </w:r>
          </w:p>
        </w:tc>
        <w:tc>
          <w:tcPr>
            <w:tcW w:w="140" w:type="dxa"/>
            <w:vAlign w:val="bottom"/>
          </w:tcPr>
          <w:p>
            <w:pPr>
              <w:spacing w:after="0"/>
              <w:rPr>
                <w:sz w:val="16"/>
                <w:szCs w:val="16"/>
                <w:color w:val="auto"/>
              </w:rPr>
            </w:pPr>
          </w:p>
        </w:tc>
      </w:tr>
      <w:tr>
        <w:trPr>
          <w:trHeight w:val="186"/>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Adjustment for assumed conversion of common stock warrants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185,708</w:t>
            </w:r>
          </w:p>
        </w:tc>
        <w:tc>
          <w:tcPr>
            <w:tcW w:w="140" w:type="dxa"/>
            <w:vAlign w:val="bottom"/>
            <w:shd w:val="clear" w:color="auto" w:fill="CCEEFF"/>
          </w:tcPr>
          <w:p>
            <w:pPr>
              <w:spacing w:after="0"/>
              <w:rPr>
                <w:sz w:val="16"/>
                <w:szCs w:val="16"/>
                <w:color w:val="auto"/>
              </w:rPr>
            </w:pPr>
          </w:p>
        </w:tc>
      </w:tr>
      <w:tr>
        <w:trPr>
          <w:trHeight w:val="177"/>
        </w:trPr>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31,250,048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35,165,602</w:t>
            </w:r>
          </w:p>
        </w:tc>
        <w:tc>
          <w:tcPr>
            <w:tcW w:w="140" w:type="dxa"/>
            <w:vAlign w:val="bottom"/>
          </w:tcPr>
          <w:p>
            <w:pPr>
              <w:spacing w:after="0"/>
              <w:rPr>
                <w:sz w:val="15"/>
                <w:szCs w:val="15"/>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9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 forma net loss per share attributable to common stockholders—basic and diluted</w:t>
            </w:r>
          </w:p>
        </w:tc>
        <w:tc>
          <w:tcPr>
            <w:tcW w:w="9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(0.37)</w:t>
            </w:r>
          </w:p>
        </w:tc>
        <w:tc>
          <w:tcPr>
            <w:tcW w:w="18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5"/>
                <w:szCs w:val="15"/>
                <w:color w:val="auto"/>
              </w:rPr>
              <w:t>(0.52)</w:t>
            </w: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Warrants</w:t>
      </w:r>
    </w:p>
    <w:p>
      <w:pPr>
        <w:spacing w:after="0" w:line="195"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In July 2015, the Company issued warrants for the purchase of 315,198 shares of common stock at an exercise price of $4.50 in connection with the issuance of convertible notes. These warrants expire three years from date of issuance. In August 2015, the Company issued warrants for the purchase of 2,222,213 shares of common stock at an exercise price of $0.01 in connection with the issuance of the Series E Preferred. Common stock warrants are classified as permanent equity which are initially recorded at issuance date fair value and are not subsequently remeasured. The warrants issued with Series E Preferred will automatically convert cashlessly into common stock upon the filing of a registration statement on Form S-1. These warrants expire four years from date of issuance.</w:t>
      </w:r>
    </w:p>
    <w:p>
      <w:pPr>
        <w:spacing w:after="0" w:line="165" w:lineRule="exact"/>
        <w:rPr>
          <w:sz w:val="20"/>
          <w:szCs w:val="20"/>
          <w:color w:val="auto"/>
        </w:rPr>
      </w:pPr>
    </w:p>
    <w:p>
      <w:pPr>
        <w:jc w:val="both"/>
        <w:ind w:right="180"/>
        <w:spacing w:after="0" w:line="266"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 following table sets forth a summary of the activities of the Company's Series D Preferred warrant liability which represents a recurring measurement that is classified within Level 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hierarchy wherein fair value is estimated using significant unobservable inputs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07"/>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87"/>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2013</w:t>
            </w: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September 30, 2015</w:t>
            </w:r>
          </w:p>
        </w:tc>
      </w:tr>
      <w:tr>
        <w:trPr>
          <w:trHeight w:val="136"/>
        </w:trPr>
        <w:tc>
          <w:tcPr>
            <w:tcW w:w="5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27"/>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w:t>
            </w:r>
          </w:p>
        </w:tc>
      </w:tr>
      <w:tr>
        <w:trPr>
          <w:trHeight w:val="177"/>
        </w:trPr>
        <w:tc>
          <w:tcPr>
            <w:tcW w:w="510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5"/>
                <w:szCs w:val="15"/>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20"/>
        <w:spacing w:after="0" w:line="283"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as of December 31, 2013 and 2014 and at September 30, 2015:</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96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December 31,</w:t>
            </w: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67"/>
        </w:trPr>
        <w:tc>
          <w:tcPr>
            <w:tcW w:w="4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4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8"/>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1.90%</w:t>
            </w:r>
          </w:p>
        </w:tc>
      </w:tr>
      <w:tr>
        <w:trPr>
          <w:trHeight w:val="186"/>
        </w:trPr>
        <w:tc>
          <w:tcPr>
            <w:tcW w:w="41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120" w:type="dxa"/>
            <w:vAlign w:val="bottom"/>
          </w:tcPr>
          <w:p>
            <w:pPr>
              <w:spacing w:after="0"/>
              <w:rPr>
                <w:sz w:val="16"/>
                <w:szCs w:val="16"/>
                <w:color w:val="auto"/>
              </w:rPr>
            </w:pPr>
          </w:p>
        </w:tc>
        <w:tc>
          <w:tcPr>
            <w:tcW w:w="8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9.6</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5"/>
                <w:szCs w:val="15"/>
                <w:color w:val="auto"/>
              </w:rPr>
              <w:t>Expected volatility</w:t>
            </w:r>
          </w:p>
        </w:tc>
        <w:tc>
          <w:tcPr>
            <w:tcW w:w="2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92.53%</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83.95%</w:t>
            </w: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12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3.63</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4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 volatilities from guideline companies, since there is no active market for the Company's common stock. The fair value on the date of measurement of the Series D Preferred, the underlying instrument, was estimated by management with the assistance of a third party valuation specialist.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0" w:name="page221"/>
    <w:bookmarkEnd w:id="2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6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7"/>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4,101</w:t>
            </w:r>
          </w:p>
        </w:tc>
        <w:tc>
          <w:tcPr>
            <w:tcW w:w="14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396</w:t>
            </w:r>
          </w:p>
        </w:tc>
        <w:tc>
          <w:tcPr>
            <w:tcW w:w="14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202</w:t>
            </w:r>
          </w:p>
        </w:tc>
        <w:tc>
          <w:tcPr>
            <w:tcW w:w="14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40" w:type="dxa"/>
            <w:vAlign w:val="bottom"/>
            <w:shd w:val="clear" w:color="auto" w:fill="CCEEFF"/>
          </w:tcPr>
          <w:p>
            <w:pPr>
              <w:spacing w:after="0"/>
              <w:rPr>
                <w:sz w:val="16"/>
                <w:szCs w:val="16"/>
                <w:color w:val="auto"/>
              </w:rPr>
            </w:pPr>
          </w:p>
        </w:tc>
      </w:tr>
      <w:tr>
        <w:trPr>
          <w:trHeight w:val="177"/>
        </w:trPr>
        <w:tc>
          <w:tcPr>
            <w:tcW w:w="6560" w:type="dxa"/>
            <w:vAlign w:val="bottom"/>
          </w:tcPr>
          <w:p>
            <w:pPr>
              <w:ind w:left="160"/>
              <w:spacing w:after="0"/>
              <w:rPr>
                <w:sz w:val="20"/>
                <w:szCs w:val="20"/>
                <w:color w:val="auto"/>
              </w:rPr>
            </w:pPr>
            <w:r>
              <w:rPr>
                <w:rFonts w:ascii="Arial" w:cs="Arial" w:eastAsia="Arial" w:hAnsi="Arial"/>
                <w:sz w:val="15"/>
                <w:szCs w:val="15"/>
                <w:color w:val="auto"/>
              </w:rPr>
              <w:t>Total property and equipment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5,043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4,761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4,849</w:t>
            </w:r>
          </w:p>
        </w:tc>
        <w:tc>
          <w:tcPr>
            <w:tcW w:w="140" w:type="dxa"/>
            <w:vAlign w:val="bottom"/>
          </w:tcPr>
          <w:p>
            <w:pPr>
              <w:spacing w:after="0"/>
              <w:rPr>
                <w:sz w:val="15"/>
                <w:szCs w:val="15"/>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(2,105)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(2,778)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(2,777)</w:t>
            </w:r>
          </w:p>
        </w:tc>
      </w:tr>
      <w:tr>
        <w:trPr>
          <w:trHeight w:val="177"/>
        </w:trPr>
        <w:tc>
          <w:tcPr>
            <w:tcW w:w="6560" w:type="dxa"/>
            <w:vAlign w:val="bottom"/>
          </w:tcPr>
          <w:p>
            <w:pPr>
              <w:ind w:left="160"/>
              <w:spacing w:after="0"/>
              <w:rPr>
                <w:sz w:val="20"/>
                <w:szCs w:val="20"/>
                <w:color w:val="auto"/>
              </w:rPr>
            </w:pPr>
            <w:r>
              <w:rPr>
                <w:rFonts w:ascii="Arial" w:cs="Arial" w:eastAsia="Arial" w:hAnsi="Arial"/>
                <w:sz w:val="15"/>
                <w:szCs w:val="15"/>
                <w:color w:val="auto"/>
              </w:rPr>
              <w:t>Property and equipment, net</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2,938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2,072</w:t>
            </w:r>
          </w:p>
        </w:tc>
        <w:tc>
          <w:tcPr>
            <w:tcW w:w="14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Depreciation expense for the years ended December 31, 2013 and 2014 was $914,291 and $863,707, respectively, and $679,703 and $865,720 for the nine months ended September 30, 2014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166"/>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6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7"/>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431</w:t>
            </w:r>
          </w:p>
        </w:tc>
        <w:tc>
          <w:tcPr>
            <w:tcW w:w="140" w:type="dxa"/>
            <w:vAlign w:val="bottom"/>
          </w:tcPr>
          <w:p>
            <w:pPr>
              <w:spacing w:after="0"/>
              <w:rPr>
                <w:sz w:val="16"/>
                <w:szCs w:val="16"/>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Accrued construction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Accrued research and development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782</w:t>
            </w:r>
          </w:p>
        </w:tc>
        <w:tc>
          <w:tcPr>
            <w:tcW w:w="140" w:type="dxa"/>
            <w:vAlign w:val="bottom"/>
          </w:tcPr>
          <w:p>
            <w:pPr>
              <w:spacing w:after="0"/>
              <w:rPr>
                <w:sz w:val="16"/>
                <w:szCs w:val="16"/>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40" w:type="dxa"/>
            <w:vAlign w:val="bottom"/>
            <w:shd w:val="clear" w:color="auto" w:fill="CCEEFF"/>
          </w:tcPr>
          <w:p>
            <w:pPr>
              <w:spacing w:after="0"/>
              <w:rPr>
                <w:sz w:val="16"/>
                <w:szCs w:val="16"/>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Accrued expenses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2,756</w:t>
            </w:r>
          </w:p>
        </w:tc>
        <w:tc>
          <w:tcPr>
            <w:tcW w:w="14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agreement, the landlord provided the Company a tenant improvement allowance of up to $725,125,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61"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In connection with the lease, the Company secured a letter of credit for $265,516 which renews automatically each year and is classified in restricted cash and other deposits in the accompanying consolidated balance sheets.</w:t>
      </w:r>
    </w:p>
    <w:p>
      <w:pPr>
        <w:spacing w:after="0" w:line="150"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with rental payments on the new space to begin on October 1, 2015. The combined lease term remains unchanged and will expire in March 2017. Rent expense is recorded over the lease term on a straight-line basis.</w:t>
      </w:r>
    </w:p>
    <w:p>
      <w:pPr>
        <w:spacing w:after="0" w:line="161"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Deferred rent and lease incentive liability totaled $696,701 and $491,793 as of December 31, 2013 and 2014, respectively, and $812,694 at September 30, 2015. Included in that amount, is the current portion of deferred rent and lease incentive liability of $212,007 and $218,576 at December 31, 2013 and 2014, respectively, and $558,736 at September 30, 2015 which is classified as accrued expense in the accompanying balance sheets.</w:t>
      </w:r>
    </w:p>
    <w:p>
      <w:pPr>
        <w:spacing w:after="0" w:line="161"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$775,900 and $747,140 for the years ended December 31, 2013 and 2014, respectively, and $540,326 and $188,575 for the nine months ended September 30, 2014 and 2015,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Rent expense, net of sublease payments, for the years ended December 31, 2013 and 2014 was $699,859 and $645,087, respectively, and for the nine months ended September 30, 2014 and 2015 was $520,278 and $1,014,090, respectively. As of December 31, 2014, future minimum lease payments for non-cancellable leases are $1,088,717 in 2015, $1,121,378 in 2016, and $282,401 in 2017.</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9"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40"/>
        <w:spacing w:after="0" w:line="330" w:lineRule="auto"/>
        <w:rPr>
          <w:sz w:val="20"/>
          <w:szCs w:val="20"/>
          <w:color w:val="auto"/>
        </w:rPr>
      </w:pPr>
      <w:r>
        <w:rPr>
          <w:rFonts w:ascii="Arial" w:cs="Arial" w:eastAsia="Arial" w:hAnsi="Arial"/>
          <w:sz w:val="13"/>
          <w:szCs w:val="13"/>
          <w:color w:val="auto"/>
        </w:rPr>
        <w:t>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26" w:lineRule="exact"/>
        <w:rPr>
          <w:sz w:val="20"/>
          <w:szCs w:val="20"/>
          <w:color w:val="auto"/>
        </w:rPr>
      </w:pPr>
    </w:p>
    <w:p>
      <w:pPr>
        <w:ind w:right="380"/>
        <w:spacing w:after="0" w:line="283"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9"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$7,500,000. The Company initially borrowed $3,000,000 in August 2013 and subsequently borrowed an additional $4,500,000 in July 2014. The amounts borrowed are collectively referred to as "Term Loans." Loan issuance costs totaling $73,828 are classified as a loan discount.</w:t>
      </w:r>
    </w:p>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8.0% per annum. The monthly payments for the Term Loans are initially interest only through February 2015. Principal repayments for the Term Loans are due over 30 monthly installments beginning on March 1, 2015.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4"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The Term Loans do not include any financial covenants. The Term Loans require a final payment fee of 6.0% on the aggregate principal amounts borrowed upon repayment at maturity, on a prepayment date, or upon default. The final payment fee totaling $450,000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As of September 30, 2015, there had been no such events of default and the lenders had not exercised their rights with respect to an event of default under the loan and security agreement. Management has no knowledge or expectation that an event of default will occur.</w:t>
      </w:r>
    </w:p>
    <w:p>
      <w:pPr>
        <w:spacing w:after="0" w:line="136"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In connection with the Term Loans, the Company granted the lenders a warrant in August 2013 to purchase up to 26,668 shares of the Company's Series D Preferred and an additional warrant in July 2014 to purchase up to 40,000 shares of the Company's Series D Preferred. The initial grant date fair value of the warrants of $73,870 and $121,200 respectively, was recorded as a loan discount.</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Loan discounts are amortized as additional interest expense over the term of the loans. Interest expense for the years ended December 31, 2013 and 2014 totaled approximately $140,783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right="3740"/>
        <w:spacing w:after="0" w:line="514" w:lineRule="auto"/>
        <w:rPr>
          <w:sz w:val="20"/>
          <w:szCs w:val="20"/>
          <w:color w:val="auto"/>
        </w:rPr>
      </w:pPr>
      <w:r>
        <w:rPr>
          <w:rFonts w:ascii="Arial" w:cs="Arial" w:eastAsia="Arial" w:hAnsi="Arial"/>
          <w:sz w:val="15"/>
          <w:szCs w:val="15"/>
          <w:b w:val="1"/>
          <w:bCs w:val="1"/>
          <w:color w:val="auto"/>
        </w:rPr>
        <w:t xml:space="preserve">Years Ended December 31, 2013 and 2014, and Unaudited Nine Months Ended September 30, 2014 and 2015 </w:t>
      </w:r>
      <w:r>
        <w:rPr>
          <w:rFonts w:ascii="Arial" w:cs="Arial" w:eastAsia="Arial" w:hAnsi="Arial"/>
          <w:sz w:val="15"/>
          <w:szCs w:val="15"/>
          <w:color w:val="auto"/>
        </w:rPr>
        <w:t>$551,901, respectively, and $344,140 and $540,917 for the nine months ended September 30, 2014 and 2015, respectively. Future minimum payments on the Term Loans as of December 31, 2014 are as follows (in thousands):</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2015</w:t>
            </w:r>
          </w:p>
        </w:tc>
        <w:tc>
          <w:tcPr>
            <w:tcW w:w="3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3,093</w:t>
            </w:r>
          </w:p>
        </w:tc>
        <w:tc>
          <w:tcPr>
            <w:tcW w:w="140" w:type="dxa"/>
            <w:vAlign w:val="bottom"/>
          </w:tcPr>
          <w:p>
            <w:pPr>
              <w:spacing w:after="0"/>
              <w:rPr>
                <w:sz w:val="16"/>
                <w:szCs w:val="16"/>
                <w:color w:val="auto"/>
              </w:rPr>
            </w:pP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3,320</w:t>
            </w:r>
          </w:p>
        </w:tc>
        <w:tc>
          <w:tcPr>
            <w:tcW w:w="14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2017</w:t>
            </w:r>
          </w:p>
        </w:tc>
        <w:tc>
          <w:tcPr>
            <w:tcW w:w="2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2,387</w:t>
            </w:r>
          </w:p>
        </w:tc>
        <w:tc>
          <w:tcPr>
            <w:tcW w:w="140" w:type="dxa"/>
            <w:vAlign w:val="bottom"/>
          </w:tcPr>
          <w:p>
            <w:pPr>
              <w:spacing w:after="0"/>
              <w:rPr>
                <w:sz w:val="16"/>
                <w:szCs w:val="16"/>
                <w:color w:val="auto"/>
              </w:rPr>
            </w:pPr>
          </w:p>
        </w:tc>
      </w:tr>
      <w:tr>
        <w:trPr>
          <w:trHeight w:val="17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Total debt payments</w:t>
            </w:r>
          </w:p>
        </w:tc>
        <w:tc>
          <w:tcPr>
            <w:tcW w:w="2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140" w:type="dxa"/>
            <w:vAlign w:val="bottom"/>
            <w:shd w:val="clear" w:color="auto" w:fill="CCEEFF"/>
          </w:tcPr>
          <w:p>
            <w:pPr>
              <w:spacing w:after="0"/>
              <w:rPr>
                <w:sz w:val="15"/>
                <w:szCs w:val="15"/>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(851)</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Less: debt discount and deferred charges</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(547)</w:t>
            </w: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Less: current portion</w:t>
            </w: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(2,578)</w:t>
            </w:r>
          </w:p>
        </w:tc>
      </w:tr>
      <w:tr>
        <w:trPr>
          <w:trHeight w:val="20"/>
        </w:trPr>
        <w:tc>
          <w:tcPr>
            <w:tcW w:w="5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Loans payable, net of current portion</w:t>
            </w:r>
          </w:p>
        </w:tc>
        <w:tc>
          <w:tcPr>
            <w:tcW w:w="3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140" w:type="dxa"/>
            <w:vAlign w:val="bottom"/>
            <w:shd w:val="clear" w:color="auto" w:fill="CCEEFF"/>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notes</w:t>
      </w:r>
    </w:p>
    <w:p>
      <w:pPr>
        <w:spacing w:after="0" w:line="199" w:lineRule="exact"/>
        <w:rPr>
          <w:sz w:val="20"/>
          <w:szCs w:val="20"/>
          <w:color w:val="auto"/>
        </w:rPr>
      </w:pPr>
    </w:p>
    <w:p>
      <w:pPr>
        <w:ind w:right="40"/>
        <w:spacing w:after="0" w:line="307" w:lineRule="auto"/>
        <w:rPr>
          <w:sz w:val="20"/>
          <w:szCs w:val="20"/>
          <w:color w:val="auto"/>
        </w:rPr>
      </w:pPr>
      <w:r>
        <w:rPr>
          <w:rFonts w:ascii="Arial" w:cs="Arial" w:eastAsia="Arial" w:hAnsi="Arial"/>
          <w:sz w:val="13"/>
          <w:szCs w:val="13"/>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principals divided by $4.50. On July 24, 2015, the Company issued warrants to the convertible note holders to purchase up to 315,198 shares of the Company's common stock at an exercise price of $4.50 per share for a term of three years. The fair value of warrants is immaterial. The carrying value and accrued interest of the outstanding convertible notes were automatically converted into 1,619,550 shares of Series E Preferred. As part of the Series E Preferred issuance, the convertible note holders also received warrants to purchase up to 404,888 shares of the Company's common stock (Note 9). The difference between the carrying value and accrued interest of the convertible notes being converted and the combined fair value of the Series E Preferred shares and common stock warrants issued were negligible. Interest expense incurred on the convertible notes totaled $301,969 during the nine months ended September 30, 2015.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The Company issued Preferred Stock with a $0.0001 par value to investors for cash or as settlement for outstanding debt. As of December 31, 2013 and 2014, the Company had 25,593,864 and 28,804,969 authorized shares of Preferred Stock, respectively, and at September 30, 2015, the Company had 37,835,623 authorized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4" w:name="page225"/>
    <w:bookmarkEnd w:id="22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4"/>
          <w:szCs w:val="14"/>
          <w:color w:val="auto"/>
        </w:rPr>
        <w:t>As of December 31, 2012, the Company had issued and outstanding Preferred Stock of (i) 2,589,868 shares of Series A redeemable convertible preferred stock ("Series A Preferred"),</w:t>
      </w:r>
    </w:p>
    <w:p>
      <w:pPr>
        <w:spacing w:after="0" w:line="29" w:lineRule="exact"/>
        <w:rPr>
          <w:sz w:val="20"/>
          <w:szCs w:val="20"/>
          <w:color w:val="auto"/>
        </w:rPr>
      </w:pPr>
    </w:p>
    <w:p>
      <w:pPr>
        <w:ind w:left="7" w:right="580" w:hanging="7"/>
        <w:spacing w:after="0" w:line="313" w:lineRule="auto"/>
        <w:tabs>
          <w:tab w:leader="none" w:pos="22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7,437,325 shares of Series B redeemable convertible preferred stock ("Series B Preferred"), (iii) 5,000,002 shares of Series C redeemable convertible preferred stock ("Series C Preferred"), (iv) 4,888,889 shares of Series D Preferred, and (v) 777,777 shares of Series SRN Redeemable Convertible Preferred Stock ("Series SRN Preferred").</w:t>
      </w:r>
    </w:p>
    <w:p>
      <w:pPr>
        <w:spacing w:after="0" w:line="132"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$5,790,406.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$4.30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$4,958,595 at the date of the amendment was derecognized, and the amended Series SRN Preferred shares were recorded at their fair value of $4.50 per share. The difference of $1,458,598 was recorded as additional paid in capital.</w:t>
      </w:r>
    </w:p>
    <w:p>
      <w:pPr>
        <w:spacing w:after="0" w:line="152"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In August 2015 and September 2015, the Company issued an aggregate 7,269,338 shares of Series E Preferred at $4.50 per share for total gross proceeds of $32,712,021 with issuance costs totaling $217,140. In addition, the Company issued an additional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51" w:lineRule="exact"/>
        <w:rPr>
          <w:sz w:val="20"/>
          <w:szCs w:val="20"/>
          <w:color w:val="auto"/>
        </w:rPr>
      </w:pPr>
    </w:p>
    <w:p>
      <w:pPr>
        <w:ind w:left="7" w:right="200"/>
        <w:spacing w:after="0" w:line="283"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Voting</w:t>
      </w:r>
    </w:p>
    <w:p>
      <w:pPr>
        <w:spacing w:after="0" w:line="19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25" w:name="page226"/>
    <w:bookmarkEnd w:id="2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acquisitions, voluntary dissolution or liquidation, merger, consolidation, recapitalization, and number of directors, must be approved by a majority vote of Senior Preferred stockholders voting as a single class on an as-converted basis.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9"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Holders of all series of Preferred Stock are entitled to receive dividends when and if declared by the Company's board of directors. In the event of liquidation, dissolution, winding up of business or redemption, Senior Preferred stockholders are entitled to receive unpaid accrued dividends, whether or not declared by the board of directors. Senior Preferred dividends are to be calculated daily and accrued on a cumulative basis (adjusted for stock splits, stock dividends, or other recapitalizations) at the rate of: $0.0579 per share for Series A Preferred, $0.1218 per share for Series B Preferred, $0.18 per share for Series C Preferred, $0.27 per share for Series D Preferred, and $0.27 per share for Series E Preferred. Dividends on Preferred Stock totaled $3,276,000 and $3,753,137 during the years ended December 31, 2013 and 2014, respectively, and $2,717,328 and $3,309,777 for the nine months ended September 30, 2014 and 2015, respectively. Series SRN Preferred stockholders are not entitled to receive accrued dividends.</w:t>
      </w:r>
    </w:p>
    <w:p>
      <w:pPr>
        <w:spacing w:after="0" w:line="153" w:lineRule="exact"/>
        <w:rPr>
          <w:sz w:val="20"/>
          <w:szCs w:val="20"/>
          <w:color w:val="auto"/>
        </w:rPr>
      </w:pPr>
    </w:p>
    <w:p>
      <w:pPr>
        <w:ind w:right="220"/>
        <w:spacing w:after="0" w:line="320"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(1:1 conversion ratio), plus any declared but unpaid dividends (excluding accrued dividends).</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(1:1.0465 conversion ratio), plus any declared but unpaid dividends (excluding accrued dividends).</w:t>
      </w:r>
    </w:p>
    <w:p>
      <w:pPr>
        <w:spacing w:after="0" w:line="150"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Series SRN Preferred are convertible into common stock at the stockholders' option only upon a deemed liquidation event or an initial public offering ("IPO") (whether or not a qualified IPO, as defined in the certificate of incorporation), at the original issuance price of $4.50 per share divided by $4.30 per share (1:1.0465 conversion ratio), plus any declared but unpaid dividends. Upon the occurrence of a special conversion event (as defined in the certificate of incorporation), Series SRN Preferred are convertible at a special conversion price of $3.60 per share (1:1.25 conversion ratio), plus any declared but unpaid dividends.</w:t>
      </w:r>
    </w:p>
    <w:p>
      <w:pPr>
        <w:spacing w:after="0" w:line="164"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issuance price of $4.50) multiplied by 1.15 (1:1.15 conversion ratio), or (2) receive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(1:1 conversion ratio), plus any declared but unpaid dividends (excluding accrued dividends).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All series of Preferred Stock are automatically converted at the then effective conversion price upon the completion of a firm commitment underwritten IPO for an aggregate offering price of at least $30,000,000. Currently, the effective conversion price is $0.9653 per share for Series A Preferred, $2.0303 per share for Series B Preferred, $3.00 per share for Series C Preferred, $4.30 per share for Series D Preferred, and $4.30 per share of Series SRN Preferred. The Series E Preferred effective conversion price upon a qualified IPO is determined based on the number of common stock shares issuable calculated as the highest of: (a) $5.175 (Series E Preferred liquidation price) divided by the IPO price per share; (b) each shares of Series E Preferred converting into 1.15 shares of common stock, or (c) $4.50 divided by the then effective Series E Preferred conversion price (currently $4.50 per share).</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(1:1 conversion ratio). Series E Preferred are automatically convertible as a single class upon a majority vote of Series E Preferred stockholders at the then effective conversion price (currently $4.50 per share) times 1.15 (1:1.15 conversion ratio). Series SRN Preferred are automatically convertible as a single class upon (a) the sale of a majority of the Company's outstanding capital stock, (b) an IPO (whether or not qualified IPO), or (c) an agreement among the majority of Series SRN Preferred stockholders, at the then effective conversion price (currently $4.30 per share).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 issuance price of $4.50) multiplied by 1.15 (1:1.15 conversion ratio), or (2) receive liquidation preference at 1.15 times the per-share original issuance price, or $5.175, plus any unpaid accrued dividends (whether or not declared), and any additional declared but unpaid dividends. Series E Preferred shares have preferences in priority to Tier II Preferred, Series SRN Preferred, and common stock. If assets available for distribution are insufficient to satisfy the Series E Preferred liquidation payment amounts in full, assets available for distribution will be allocated among Series E Preferred shares ratably and in proportion to the full preferential amount of shareholding.</w:t>
      </w:r>
    </w:p>
    <w:p>
      <w:pPr>
        <w:spacing w:after="0" w:line="16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 amounts in full, assets available for distribution will be allocated among Series SRN Preferred shares ratably and in proportion to the full preferential amount of shareholding.</w:t>
      </w:r>
    </w:p>
    <w:p>
      <w:pPr>
        <w:spacing w:after="0" w:line="164" w:lineRule="exact"/>
        <w:rPr>
          <w:sz w:val="20"/>
          <w:szCs w:val="20"/>
          <w:color w:val="auto"/>
        </w:rPr>
      </w:pPr>
    </w:p>
    <w:p>
      <w:pPr>
        <w:jc w:val="both"/>
        <w:ind w:right="260"/>
        <w:spacing w:after="0" w:line="298" w:lineRule="auto"/>
        <w:rPr>
          <w:sz w:val="20"/>
          <w:szCs w:val="20"/>
          <w:color w:val="auto"/>
        </w:rPr>
      </w:pPr>
      <w:r>
        <w:rPr>
          <w:rFonts w:ascii="Arial" w:cs="Arial" w:eastAsia="Arial" w:hAnsi="Arial"/>
          <w:sz w:val="14"/>
          <w:szCs w:val="14"/>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 if they had been converted into common stock. This option does not apply to any holders of Preferred Stock who converted their shareholdings prior to or independent of the liquidation or deemed liquidation event.</w:t>
      </w:r>
    </w:p>
    <w:p>
      <w:pPr>
        <w:spacing w:after="0" w:line="14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200"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9"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9"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September 30, 2015, no dividends have been declared or paid on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w:t>
      </w:r>
    </w:p>
    <w:p>
      <w:pPr>
        <w:spacing w:after="0" w:line="199" w:lineRule="exact"/>
        <w:rPr>
          <w:sz w:val="20"/>
          <w:szCs w:val="20"/>
          <w:color w:val="auto"/>
        </w:rPr>
      </w:pPr>
    </w:p>
    <w:p>
      <w:pPr>
        <w:ind w:right="280"/>
        <w:spacing w:after="0" w:line="320"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 shares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2700" w:type="dxa"/>
            <w:vAlign w:val="bottom"/>
            <w:gridSpan w:val="4"/>
          </w:tcPr>
          <w:p>
            <w:pPr>
              <w:ind w:left="840"/>
              <w:spacing w:after="0"/>
              <w:rPr>
                <w:sz w:val="20"/>
                <w:szCs w:val="20"/>
                <w:color w:val="auto"/>
              </w:rPr>
            </w:pPr>
            <w:r>
              <w:rPr>
                <w:rFonts w:ascii="Arial" w:cs="Arial" w:eastAsia="Arial" w:hAnsi="Arial"/>
                <w:sz w:val="12"/>
                <w:szCs w:val="12"/>
                <w:b w:val="1"/>
                <w:bCs w:val="1"/>
                <w:color w:val="auto"/>
              </w:rPr>
              <w:t>Periods ending</w:t>
            </w:r>
          </w:p>
        </w:tc>
      </w:tr>
      <w:tr>
        <w:trPr>
          <w:trHeight w:val="154"/>
        </w:trPr>
        <w:tc>
          <w:tcPr>
            <w:tcW w:w="644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2015</w:t>
            </w:r>
          </w:p>
        </w:tc>
        <w:tc>
          <w:tcPr>
            <w:tcW w:w="140" w:type="dxa"/>
            <w:vAlign w:val="bottom"/>
          </w:tcPr>
          <w:p>
            <w:pPr>
              <w:spacing w:after="0"/>
              <w:rPr>
                <w:sz w:val="13"/>
                <w:szCs w:val="13"/>
                <w:color w:val="auto"/>
              </w:rPr>
            </w:pPr>
          </w:p>
        </w:tc>
      </w:tr>
      <w:tr>
        <w:trPr>
          <w:trHeight w:val="131"/>
        </w:trPr>
        <w:tc>
          <w:tcPr>
            <w:tcW w:w="6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ind w:right="234"/>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7,437,325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7,437,325</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D Preferred and Series D Warrants</w:t>
            </w:r>
          </w:p>
        </w:tc>
        <w:tc>
          <w:tcPr>
            <w:tcW w:w="1180" w:type="dxa"/>
            <w:vAlign w:val="bottom"/>
          </w:tcPr>
          <w:p>
            <w:pPr>
              <w:jc w:val="right"/>
              <w:spacing w:after="0"/>
              <w:rPr>
                <w:sz w:val="20"/>
                <w:szCs w:val="20"/>
                <w:color w:val="auto"/>
              </w:rPr>
            </w:pPr>
            <w:r>
              <w:rPr>
                <w:rFonts w:ascii="Arial" w:cs="Arial" w:eastAsia="Arial" w:hAnsi="Arial"/>
                <w:sz w:val="15"/>
                <w:szCs w:val="15"/>
                <w:color w:val="auto"/>
              </w:rPr>
              <w:t>8,166,662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8,546,507</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5,611,112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7,013,890</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E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10,385,253</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stock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180" w:type="dxa"/>
            <w:vAlign w:val="bottom"/>
          </w:tcPr>
          <w:p>
            <w:pPr>
              <w:jc w:val="right"/>
              <w:spacing w:after="0"/>
              <w:rPr>
                <w:sz w:val="20"/>
                <w:szCs w:val="20"/>
                <w:color w:val="auto"/>
              </w:rPr>
            </w:pPr>
            <w:r>
              <w:rPr>
                <w:rFonts w:ascii="Arial" w:cs="Arial" w:eastAsia="Arial" w:hAnsi="Arial"/>
                <w:sz w:val="15"/>
                <w:szCs w:val="15"/>
                <w:color w:val="auto"/>
              </w:rPr>
              <w:t>6,024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12,495</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4,458,628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5,224,117</w:t>
            </w:r>
          </w:p>
        </w:tc>
        <w:tc>
          <w:tcPr>
            <w:tcW w:w="140" w:type="dxa"/>
            <w:vAlign w:val="bottom"/>
            <w:shd w:val="clear" w:color="auto" w:fill="CCEEFF"/>
          </w:tcPr>
          <w:p>
            <w:pPr>
              <w:spacing w:after="0"/>
              <w:rPr>
                <w:sz w:val="16"/>
                <w:szCs w:val="16"/>
                <w:color w:val="auto"/>
              </w:rPr>
            </w:pPr>
          </w:p>
        </w:tc>
      </w:tr>
      <w:tr>
        <w:trPr>
          <w:trHeight w:val="177"/>
        </w:trPr>
        <w:tc>
          <w:tcPr>
            <w:tcW w:w="6440" w:type="dxa"/>
            <w:vAlign w:val="bottom"/>
          </w:tcPr>
          <w:p>
            <w:pPr>
              <w:spacing w:after="0"/>
              <w:rPr>
                <w:sz w:val="20"/>
                <w:szCs w:val="20"/>
                <w:color w:val="auto"/>
              </w:rPr>
            </w:pPr>
            <w:r>
              <w:rPr>
                <w:rFonts w:ascii="Arial" w:cs="Arial" w:eastAsia="Arial" w:hAnsi="Arial"/>
                <w:sz w:val="15"/>
                <w:szCs w:val="15"/>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33,336,289</w:t>
            </w:r>
          </w:p>
        </w:tc>
        <w:tc>
          <w:tcPr>
            <w:tcW w:w="1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48,746,868</w:t>
            </w:r>
          </w:p>
        </w:tc>
        <w:tc>
          <w:tcPr>
            <w:tcW w:w="140" w:type="dxa"/>
            <w:vAlign w:val="bottom"/>
          </w:tcPr>
          <w:p>
            <w:pPr>
              <w:spacing w:after="0"/>
              <w:rPr>
                <w:sz w:val="15"/>
                <w:szCs w:val="15"/>
                <w:color w:val="auto"/>
              </w:rPr>
            </w:pPr>
          </w:p>
        </w:tc>
      </w:tr>
      <w:tr>
        <w:trPr>
          <w:trHeight w:val="20"/>
        </w:trPr>
        <w:tc>
          <w:tcPr>
            <w:tcW w:w="6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maintains the 2008 Equity Incentive Plan (the "Plan") for employees, consultants, advisors, and directors. The Plan provides for the granting of incentive and non-qualified stock option and restricted stock awards as determined by the Board. As of December 31, 2014, a total of 6,073,559 shares of common stock are authorized for grants under the Plan with 6,024 shares available for future grant. In February, April and September 2015 the Board increased the authorized common stock available for options and restricted stock to 6,983,559 shares with 12,495 common stock available for future grant at September 30, 2015. All stock options granted under the 2008 Plan may be exercised into restricted stock subject to forfeiture provisions upon termination.</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 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2013 and 2014 and for the nine months ended September 30, 2015 are as follows: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208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rPr>
              <w:t>Year ended December 31</w:t>
            </w:r>
          </w:p>
        </w:tc>
        <w:tc>
          <w:tcPr>
            <w:tcW w:w="1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5140" w:type="dxa"/>
            <w:vAlign w:val="bottom"/>
          </w:tcPr>
          <w:p>
            <w:pPr>
              <w:spacing w:after="0"/>
              <w:rPr>
                <w:sz w:val="13"/>
                <w:szCs w:val="13"/>
                <w:color w:val="auto"/>
              </w:rPr>
            </w:pPr>
          </w:p>
        </w:tc>
        <w:tc>
          <w:tcPr>
            <w:tcW w:w="980" w:type="dxa"/>
            <w:vAlign w:val="bottom"/>
            <w:tcBorders>
              <w:top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2013</w:t>
            </w:r>
          </w:p>
        </w:tc>
        <w:tc>
          <w:tcPr>
            <w:tcW w:w="760" w:type="dxa"/>
            <w:vAlign w:val="bottom"/>
            <w:tcBorders>
              <w:top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2014</w:t>
            </w:r>
          </w:p>
        </w:tc>
        <w:tc>
          <w:tcPr>
            <w:tcW w:w="340" w:type="dxa"/>
            <w:vAlign w:val="bottom"/>
          </w:tcPr>
          <w:p>
            <w:pPr>
              <w:spacing w:after="0"/>
              <w:rPr>
                <w:sz w:val="13"/>
                <w:szCs w:val="13"/>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September 30, 2015</w:t>
            </w:r>
          </w:p>
        </w:tc>
      </w:tr>
      <w:tr>
        <w:trPr>
          <w:trHeight w:val="124"/>
        </w:trPr>
        <w:tc>
          <w:tcPr>
            <w:tcW w:w="5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left="111"/>
              <w:spacing w:after="0" w:line="125" w:lineRule="exact"/>
              <w:rPr>
                <w:sz w:val="20"/>
                <w:szCs w:val="20"/>
                <w:color w:val="auto"/>
              </w:rPr>
            </w:pPr>
            <w:r>
              <w:rPr>
                <w:rFonts w:ascii="Arial" w:cs="Arial" w:eastAsia="Arial" w:hAnsi="Arial"/>
                <w:sz w:val="12"/>
                <w:szCs w:val="12"/>
                <w:b w:val="1"/>
                <w:bCs w:val="1"/>
                <w:color w:val="auto"/>
                <w:w w:val="88"/>
              </w:rPr>
              <w:t>(unaudited)</w:t>
            </w:r>
          </w:p>
        </w:tc>
        <w:tc>
          <w:tcPr>
            <w:tcW w:w="520" w:type="dxa"/>
            <w:vAlign w:val="bottom"/>
          </w:tcPr>
          <w:p>
            <w:pPr>
              <w:spacing w:after="0"/>
              <w:rPr>
                <w:sz w:val="10"/>
                <w:szCs w:val="10"/>
                <w:color w:val="auto"/>
              </w:rPr>
            </w:pP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980" w:type="dxa"/>
            <w:vAlign w:val="bottom"/>
            <w:shd w:val="clear" w:color="auto" w:fill="CCEEFF"/>
          </w:tcPr>
          <w:p>
            <w:pPr>
              <w:jc w:val="right"/>
              <w:ind w:right="189"/>
              <w:spacing w:after="0"/>
              <w:rPr>
                <w:sz w:val="20"/>
                <w:szCs w:val="20"/>
                <w:color w:val="auto"/>
              </w:rPr>
            </w:pPr>
            <w:r>
              <w:rPr>
                <w:rFonts w:ascii="Arial" w:cs="Arial" w:eastAsia="Arial" w:hAnsi="Arial"/>
                <w:sz w:val="15"/>
                <w:szCs w:val="15"/>
                <w:b w:val="1"/>
                <w:bCs w:val="1"/>
                <w:color w:val="auto"/>
              </w:rPr>
              <w:t>1.25%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1.93%</w:t>
            </w: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1.71%</w:t>
            </w:r>
          </w:p>
        </w:tc>
      </w:tr>
      <w:tr>
        <w:trPr>
          <w:trHeight w:val="186"/>
        </w:trPr>
        <w:tc>
          <w:tcPr>
            <w:tcW w:w="514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980" w:type="dxa"/>
            <w:vAlign w:val="bottom"/>
          </w:tcPr>
          <w:p>
            <w:pPr>
              <w:jc w:val="right"/>
              <w:ind w:right="349"/>
              <w:spacing w:after="0"/>
              <w:rPr>
                <w:sz w:val="20"/>
                <w:szCs w:val="20"/>
                <w:color w:val="auto"/>
              </w:rPr>
            </w:pPr>
            <w:r>
              <w:rPr>
                <w:rFonts w:ascii="Arial" w:cs="Arial" w:eastAsia="Arial" w:hAnsi="Arial"/>
                <w:sz w:val="15"/>
                <w:szCs w:val="15"/>
                <w:b w:val="1"/>
                <w:bCs w:val="1"/>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9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980" w:type="dxa"/>
            <w:vAlign w:val="bottom"/>
            <w:shd w:val="clear" w:color="auto" w:fill="CCEEFF"/>
          </w:tcPr>
          <w:p>
            <w:pPr>
              <w:jc w:val="right"/>
              <w:ind w:right="349"/>
              <w:spacing w:after="0"/>
              <w:rPr>
                <w:sz w:val="20"/>
                <w:szCs w:val="20"/>
                <w:color w:val="auto"/>
              </w:rPr>
            </w:pPr>
            <w:r>
              <w:rPr>
                <w:rFonts w:ascii="Arial" w:cs="Arial" w:eastAsia="Arial" w:hAnsi="Arial"/>
                <w:sz w:val="15"/>
                <w:szCs w:val="15"/>
                <w:b w:val="1"/>
                <w:bCs w:val="1"/>
                <w:color w:val="auto"/>
              </w:rPr>
              <w:t>5.90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5.94</w:t>
            </w: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6.00</w:t>
            </w:r>
          </w:p>
        </w:tc>
        <w:tc>
          <w:tcPr>
            <w:tcW w:w="520" w:type="dxa"/>
            <w:vAlign w:val="bottom"/>
            <w:shd w:val="clear" w:color="auto" w:fill="CCEEFF"/>
          </w:tcPr>
          <w:p>
            <w:pPr>
              <w:spacing w:after="0"/>
              <w:rPr>
                <w:sz w:val="16"/>
                <w:szCs w:val="16"/>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5"/>
                <w:szCs w:val="15"/>
                <w:color w:val="auto"/>
              </w:rPr>
              <w:t>Expected volatility</w:t>
            </w:r>
          </w:p>
        </w:tc>
        <w:tc>
          <w:tcPr>
            <w:tcW w:w="980" w:type="dxa"/>
            <w:vAlign w:val="bottom"/>
          </w:tcPr>
          <w:p>
            <w:pPr>
              <w:jc w:val="right"/>
              <w:ind w:right="189"/>
              <w:spacing w:after="0"/>
              <w:rPr>
                <w:sz w:val="20"/>
                <w:szCs w:val="20"/>
                <w:color w:val="auto"/>
              </w:rPr>
            </w:pPr>
            <w:r>
              <w:rPr>
                <w:rFonts w:ascii="Arial" w:cs="Arial" w:eastAsia="Arial" w:hAnsi="Arial"/>
                <w:sz w:val="15"/>
                <w:szCs w:val="15"/>
                <w:b w:val="1"/>
                <w:bCs w:val="1"/>
                <w:color w:val="auto"/>
              </w:rPr>
              <w:t>81.33%</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100.81%</w:t>
            </w:r>
          </w:p>
        </w:tc>
        <w:tc>
          <w:tcPr>
            <w:tcW w:w="1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84.60%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567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0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Year ended December 31,</w:t>
            </w:r>
          </w:p>
        </w:tc>
        <w:tc>
          <w:tcPr>
            <w:tcW w:w="19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5180" w:type="dxa"/>
            <w:vAlign w:val="bottom"/>
          </w:tcPr>
          <w:p>
            <w:pPr>
              <w:spacing w:after="0"/>
              <w:rPr>
                <w:sz w:val="13"/>
                <w:szCs w:val="13"/>
                <w:color w:val="auto"/>
              </w:rPr>
            </w:pPr>
          </w:p>
        </w:tc>
        <w:tc>
          <w:tcPr>
            <w:tcW w:w="960" w:type="dxa"/>
            <w:vAlign w:val="bottom"/>
            <w:tcBorders>
              <w:top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2013</w:t>
            </w:r>
          </w:p>
        </w:tc>
        <w:tc>
          <w:tcPr>
            <w:tcW w:w="720" w:type="dxa"/>
            <w:vAlign w:val="bottom"/>
            <w:tcBorders>
              <w:top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2014</w:t>
            </w:r>
          </w:p>
        </w:tc>
        <w:tc>
          <w:tcPr>
            <w:tcW w:w="340" w:type="dxa"/>
            <w:vAlign w:val="bottom"/>
          </w:tcPr>
          <w:p>
            <w:pPr>
              <w:spacing w:after="0"/>
              <w:rPr>
                <w:sz w:val="13"/>
                <w:szCs w:val="13"/>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September 30, 2015</w:t>
            </w:r>
          </w:p>
        </w:tc>
      </w:tr>
      <w:tr>
        <w:trPr>
          <w:trHeight w:val="124"/>
        </w:trPr>
        <w:tc>
          <w:tcPr>
            <w:tcW w:w="5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left="131"/>
              <w:spacing w:after="0" w:line="125" w:lineRule="exact"/>
              <w:rPr>
                <w:sz w:val="20"/>
                <w:szCs w:val="20"/>
                <w:color w:val="auto"/>
              </w:rPr>
            </w:pPr>
            <w:r>
              <w:rPr>
                <w:rFonts w:ascii="Arial" w:cs="Arial" w:eastAsia="Arial" w:hAnsi="Arial"/>
                <w:sz w:val="12"/>
                <w:szCs w:val="12"/>
                <w:b w:val="1"/>
                <w:bCs w:val="1"/>
                <w:color w:val="auto"/>
                <w:w w:val="88"/>
              </w:rPr>
              <w:t>(unaudited)</w:t>
            </w:r>
          </w:p>
        </w:tc>
        <w:tc>
          <w:tcPr>
            <w:tcW w:w="520" w:type="dxa"/>
            <w:vAlign w:val="bottom"/>
          </w:tcPr>
          <w:p>
            <w:pPr>
              <w:spacing w:after="0"/>
              <w:rPr>
                <w:sz w:val="10"/>
                <w:szCs w:val="10"/>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5"/>
                <w:szCs w:val="15"/>
                <w:b w:val="1"/>
                <w:bCs w:val="1"/>
                <w:color w:val="auto"/>
              </w:rPr>
              <w:t>1.54%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1.22%</w:t>
            </w:r>
          </w:p>
        </w:tc>
        <w:tc>
          <w:tcPr>
            <w:tcW w:w="1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1.82%</w:t>
            </w:r>
          </w:p>
        </w:tc>
      </w:tr>
      <w:tr>
        <w:trPr>
          <w:trHeight w:val="186"/>
        </w:trPr>
        <w:tc>
          <w:tcPr>
            <w:tcW w:w="51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960" w:type="dxa"/>
            <w:vAlign w:val="bottom"/>
          </w:tcPr>
          <w:p>
            <w:pPr>
              <w:jc w:val="right"/>
              <w:ind w:right="389"/>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9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t>
            </w: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960" w:type="dxa"/>
            <w:vAlign w:val="bottom"/>
            <w:shd w:val="clear" w:color="auto" w:fill="CCEEFF"/>
          </w:tcPr>
          <w:p>
            <w:pPr>
              <w:jc w:val="right"/>
              <w:ind w:right="389"/>
              <w:spacing w:after="0"/>
              <w:rPr>
                <w:sz w:val="20"/>
                <w:szCs w:val="20"/>
                <w:color w:val="auto"/>
              </w:rPr>
            </w:pPr>
            <w:r>
              <w:rPr>
                <w:rFonts w:ascii="Arial" w:cs="Arial" w:eastAsia="Arial" w:hAnsi="Arial"/>
                <w:sz w:val="15"/>
                <w:szCs w:val="15"/>
                <w:b w:val="1"/>
                <w:bCs w:val="1"/>
                <w:color w:val="auto"/>
              </w:rPr>
              <w:t>7.18</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5.87</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6.36</w:t>
            </w:r>
          </w:p>
        </w:tc>
        <w:tc>
          <w:tcPr>
            <w:tcW w:w="520" w:type="dxa"/>
            <w:vAlign w:val="bottom"/>
            <w:shd w:val="clear" w:color="auto" w:fill="CCEEFF"/>
          </w:tcPr>
          <w:p>
            <w:pPr>
              <w:spacing w:after="0"/>
              <w:rPr>
                <w:sz w:val="16"/>
                <w:szCs w:val="16"/>
                <w:color w:val="auto"/>
              </w:rPr>
            </w:pPr>
          </w:p>
        </w:tc>
      </w:tr>
      <w:tr>
        <w:trPr>
          <w:trHeight w:val="194"/>
        </w:trPr>
        <w:tc>
          <w:tcPr>
            <w:tcW w:w="5180" w:type="dxa"/>
            <w:vAlign w:val="bottom"/>
          </w:tcPr>
          <w:p>
            <w:pPr>
              <w:spacing w:after="0"/>
              <w:rPr>
                <w:sz w:val="20"/>
                <w:szCs w:val="20"/>
                <w:color w:val="auto"/>
              </w:rPr>
            </w:pPr>
            <w:r>
              <w:rPr>
                <w:rFonts w:ascii="Arial" w:cs="Arial" w:eastAsia="Arial" w:hAnsi="Arial"/>
                <w:sz w:val="15"/>
                <w:szCs w:val="15"/>
                <w:color w:val="auto"/>
              </w:rPr>
              <w:t>Expected volatility</w:t>
            </w:r>
          </w:p>
        </w:tc>
        <w:tc>
          <w:tcPr>
            <w:tcW w:w="960" w:type="dxa"/>
            <w:vAlign w:val="bottom"/>
          </w:tcPr>
          <w:p>
            <w:pPr>
              <w:jc w:val="right"/>
              <w:ind w:right="229"/>
              <w:spacing w:after="0"/>
              <w:rPr>
                <w:sz w:val="20"/>
                <w:szCs w:val="20"/>
                <w:color w:val="auto"/>
              </w:rPr>
            </w:pPr>
            <w:r>
              <w:rPr>
                <w:rFonts w:ascii="Arial" w:cs="Arial" w:eastAsia="Arial" w:hAnsi="Arial"/>
                <w:sz w:val="15"/>
                <w:szCs w:val="15"/>
                <w:b w:val="1"/>
                <w:bCs w:val="1"/>
                <w:color w:val="auto"/>
              </w:rPr>
              <w:t>79.19%</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98.25%</w:t>
            </w:r>
          </w:p>
        </w:tc>
        <w:tc>
          <w:tcPr>
            <w:tcW w:w="1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96.75%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unvested options held by non-employees are revalued using the Company's estimate of fair value on each vesting and reporting date through the remaining vesting period.</w:t>
      </w:r>
    </w:p>
    <w:p>
      <w:pPr>
        <w:spacing w:after="0" w:line="21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following table summarizes the activity under the Plan for the year ended December 31, 2014 and the nine months ended September 30, 2015 for all employee and non-employee option awards: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Weighted-average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rPr>
              <w:t>Weighted-average</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900" w:type="dxa"/>
            <w:vAlign w:val="bottom"/>
          </w:tcPr>
          <w:p>
            <w:pPr>
              <w:jc w:val="center"/>
              <w:ind w:left="267"/>
              <w:spacing w:after="0"/>
              <w:rPr>
                <w:sz w:val="20"/>
                <w:szCs w:val="20"/>
                <w:color w:val="auto"/>
              </w:rPr>
            </w:pPr>
            <w:r>
              <w:rPr>
                <w:rFonts w:ascii="Arial" w:cs="Arial" w:eastAsia="Arial" w:hAnsi="Arial"/>
                <w:sz w:val="12"/>
                <w:szCs w:val="12"/>
                <w:b w:val="1"/>
                <w:bCs w:val="1"/>
                <w:color w:val="auto"/>
                <w:w w:val="99"/>
              </w:rPr>
              <w:t>exercise</w:t>
            </w:r>
          </w:p>
        </w:tc>
        <w:tc>
          <w:tcPr>
            <w:tcW w:w="4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options</w:t>
            </w:r>
          </w:p>
        </w:tc>
        <w:tc>
          <w:tcPr>
            <w:tcW w:w="900" w:type="dxa"/>
            <w:vAlign w:val="bottom"/>
          </w:tcPr>
          <w:p>
            <w:pPr>
              <w:jc w:val="center"/>
              <w:ind w:left="247"/>
              <w:spacing w:after="0"/>
              <w:rPr>
                <w:sz w:val="20"/>
                <w:szCs w:val="20"/>
                <w:color w:val="auto"/>
              </w:rPr>
            </w:pPr>
            <w:r>
              <w:rPr>
                <w:rFonts w:ascii="Arial" w:cs="Arial" w:eastAsia="Arial" w:hAnsi="Arial"/>
                <w:sz w:val="12"/>
                <w:szCs w:val="12"/>
                <w:b w:val="1"/>
                <w:bCs w:val="1"/>
                <w:color w:val="auto"/>
              </w:rPr>
              <w:t>price</w:t>
            </w:r>
          </w:p>
        </w:tc>
        <w:tc>
          <w:tcPr>
            <w:tcW w:w="400" w:type="dxa"/>
            <w:vAlign w:val="bottom"/>
          </w:tcPr>
          <w:p>
            <w:pPr>
              <w:spacing w:after="0"/>
              <w:rPr>
                <w:sz w:val="12"/>
                <w:szCs w:val="12"/>
                <w:color w:val="auto"/>
              </w:rPr>
            </w:pPr>
          </w:p>
        </w:tc>
        <w:tc>
          <w:tcPr>
            <w:tcW w:w="1280" w:type="dxa"/>
            <w:vAlign w:val="bottom"/>
          </w:tcPr>
          <w:p>
            <w:pPr>
              <w:jc w:val="center"/>
              <w:ind w:right="10"/>
              <w:spacing w:after="0"/>
              <w:rPr>
                <w:sz w:val="20"/>
                <w:szCs w:val="20"/>
                <w:color w:val="auto"/>
              </w:rPr>
            </w:pPr>
            <w:r>
              <w:rPr>
                <w:rFonts w:ascii="Arial" w:cs="Arial" w:eastAsia="Arial" w:hAnsi="Arial"/>
                <w:sz w:val="12"/>
                <w:szCs w:val="12"/>
                <w:b w:val="1"/>
                <w:bCs w:val="1"/>
                <w:color w:val="auto"/>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Outstanding at January 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3,916,323</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0.51</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7.34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Arial" w:cs="Arial" w:eastAsia="Arial" w:hAnsi="Arial"/>
                <w:sz w:val="15"/>
                <w:szCs w:val="15"/>
                <w:color w:val="auto"/>
              </w:rPr>
              <w:t>Granted</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703,000</w:t>
            </w:r>
          </w:p>
        </w:tc>
        <w:tc>
          <w:tcPr>
            <w:tcW w:w="100" w:type="dxa"/>
            <w:vAlign w:val="bottom"/>
          </w:tcPr>
          <w:p>
            <w:pPr>
              <w:spacing w:after="0"/>
              <w:rPr>
                <w:sz w:val="16"/>
                <w:szCs w:val="16"/>
                <w:color w:val="auto"/>
              </w:rPr>
            </w:pPr>
          </w:p>
        </w:tc>
        <w:tc>
          <w:tcPr>
            <w:tcW w:w="900" w:type="dxa"/>
            <w:vAlign w:val="bottom"/>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25"/>
              <w:spacing w:after="0"/>
              <w:rPr>
                <w:sz w:val="20"/>
                <w:szCs w:val="20"/>
                <w:color w:val="auto"/>
              </w:rPr>
            </w:pPr>
            <w:r>
              <w:rPr>
                <w:rFonts w:ascii="Arial" w:cs="Arial" w:eastAsia="Arial" w:hAnsi="Arial"/>
                <w:sz w:val="15"/>
                <w:szCs w:val="15"/>
                <w:b w:val="1"/>
                <w:bCs w:val="1"/>
                <w:color w:val="auto"/>
                <w:w w:val="95"/>
              </w:rPr>
              <w:t>2.30</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(150,695)</w:t>
            </w:r>
          </w:p>
        </w:tc>
        <w:tc>
          <w:tcPr>
            <w:tcW w:w="900" w:type="dxa"/>
            <w:vAlign w:val="bottom"/>
            <w:shd w:val="clear" w:color="auto" w:fill="CCEEFF"/>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0.45</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(10,000)</w:t>
            </w:r>
          </w:p>
        </w:tc>
        <w:tc>
          <w:tcPr>
            <w:tcW w:w="900" w:type="dxa"/>
            <w:vAlign w:val="bottom"/>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25"/>
              <w:spacing w:after="0"/>
              <w:rPr>
                <w:sz w:val="20"/>
                <w:szCs w:val="20"/>
                <w:color w:val="auto"/>
              </w:rPr>
            </w:pPr>
            <w:r>
              <w:rPr>
                <w:rFonts w:ascii="Arial" w:cs="Arial" w:eastAsia="Arial" w:hAnsi="Arial"/>
                <w:sz w:val="15"/>
                <w:szCs w:val="15"/>
                <w:b w:val="1"/>
                <w:bCs w:val="1"/>
                <w:color w:val="auto"/>
                <w:w w:val="95"/>
              </w:rPr>
              <w:t>0.16</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December 31,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4,458,628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0.81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6.85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5"/>
                <w:szCs w:val="15"/>
                <w:color w:val="auto"/>
              </w:rPr>
              <w:t>Vested at December 31, 2014</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95"/>
              </w:rPr>
              <w:t>0.50</w:t>
            </w:r>
          </w:p>
        </w:tc>
        <w:tc>
          <w:tcPr>
            <w:tcW w:w="1280" w:type="dxa"/>
            <w:vAlign w:val="bottom"/>
            <w:vMerge w:val="restart"/>
          </w:tcPr>
          <w:p>
            <w:pPr>
              <w:jc w:val="right"/>
              <w:ind w:right="10"/>
              <w:spacing w:after="0"/>
              <w:rPr>
                <w:sz w:val="20"/>
                <w:szCs w:val="20"/>
                <w:color w:val="auto"/>
              </w:rPr>
            </w:pPr>
            <w:r>
              <w:rPr>
                <w:rFonts w:ascii="Arial" w:cs="Arial" w:eastAsia="Arial" w:hAnsi="Arial"/>
                <w:sz w:val="15"/>
                <w:szCs w:val="15"/>
                <w:color w:val="auto"/>
              </w:rPr>
              <w:t>6.22</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6,099</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gridSpan w:val="2"/>
            <w:vMerge w:val="continue"/>
          </w:tcPr>
          <w:p>
            <w:pPr>
              <w:spacing w:after="0"/>
              <w:rPr>
                <w:sz w:val="13"/>
                <w:szCs w:val="13"/>
                <w:color w:val="auto"/>
              </w:rPr>
            </w:pPr>
          </w:p>
        </w:tc>
        <w:tc>
          <w:tcPr>
            <w:tcW w:w="7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3,203,866</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Vested and expected to vest at December 31, 2014</w:t>
            </w: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4,407,574</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7"/>
              <w:spacing w:after="0" w:line="161" w:lineRule="exact"/>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line="161" w:lineRule="exact"/>
              <w:rPr>
                <w:sz w:val="20"/>
                <w:szCs w:val="20"/>
                <w:color w:val="auto"/>
              </w:rPr>
            </w:pPr>
            <w:r>
              <w:rPr>
                <w:rFonts w:ascii="Arial" w:cs="Arial" w:eastAsia="Arial" w:hAnsi="Arial"/>
                <w:sz w:val="15"/>
                <w:szCs w:val="15"/>
                <w:b w:val="1"/>
                <w:bCs w:val="1"/>
                <w:color w:val="auto"/>
                <w:w w:val="95"/>
              </w:rPr>
              <w:t>0.78</w:t>
            </w:r>
          </w:p>
        </w:tc>
        <w:tc>
          <w:tcPr>
            <w:tcW w:w="1280" w:type="dxa"/>
            <w:vAlign w:val="bottom"/>
            <w:shd w:val="clear" w:color="auto" w:fill="CCEEFF"/>
          </w:tcPr>
          <w:p>
            <w:pPr>
              <w:jc w:val="right"/>
              <w:ind w:right="10"/>
              <w:spacing w:after="0" w:line="161" w:lineRule="exact"/>
              <w:rPr>
                <w:sz w:val="20"/>
                <w:szCs w:val="20"/>
                <w:color w:val="auto"/>
              </w:rPr>
            </w:pPr>
            <w:r>
              <w:rPr>
                <w:rFonts w:ascii="Arial" w:cs="Arial" w:eastAsia="Arial" w:hAnsi="Arial"/>
                <w:sz w:val="15"/>
                <w:szCs w:val="15"/>
                <w:color w:val="auto"/>
              </w:rPr>
              <w:t>6.82</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7,142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5"/>
                <w:szCs w:val="15"/>
                <w:color w:val="auto"/>
              </w:rPr>
              <w:t>Outstanding at December 31, 2014</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95"/>
              </w:rPr>
              <w:t>0.81</w:t>
            </w:r>
          </w:p>
        </w:tc>
        <w:tc>
          <w:tcPr>
            <w:tcW w:w="1280" w:type="dxa"/>
            <w:vAlign w:val="bottom"/>
            <w:vMerge w:val="restart"/>
          </w:tcPr>
          <w:p>
            <w:pPr>
              <w:jc w:val="right"/>
              <w:ind w:right="10"/>
              <w:spacing w:after="0"/>
              <w:rPr>
                <w:sz w:val="20"/>
                <w:szCs w:val="20"/>
                <w:color w:val="auto"/>
              </w:rPr>
            </w:pPr>
            <w:r>
              <w:rPr>
                <w:rFonts w:ascii="Arial" w:cs="Arial" w:eastAsia="Arial" w:hAnsi="Arial"/>
                <w:sz w:val="15"/>
                <w:szCs w:val="15"/>
                <w:color w:val="auto"/>
              </w:rPr>
              <w:t>6.85</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7,102</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gridSpan w:val="2"/>
            <w:vMerge w:val="continue"/>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4,458,628</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Granted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965,000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2.40</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Arial" w:cs="Arial" w:eastAsia="Arial" w:hAnsi="Arial"/>
                <w:sz w:val="15"/>
                <w:szCs w:val="15"/>
                <w:color w:val="auto"/>
              </w:rPr>
              <w:t>Exercised (unaudited)</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(138,040)</w:t>
            </w:r>
          </w:p>
        </w:tc>
        <w:tc>
          <w:tcPr>
            <w:tcW w:w="900" w:type="dxa"/>
            <w:vAlign w:val="bottom"/>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25"/>
              <w:spacing w:after="0"/>
              <w:rPr>
                <w:sz w:val="20"/>
                <w:szCs w:val="20"/>
                <w:color w:val="auto"/>
              </w:rPr>
            </w:pPr>
            <w:r>
              <w:rPr>
                <w:rFonts w:ascii="Arial" w:cs="Arial" w:eastAsia="Arial" w:hAnsi="Arial"/>
                <w:sz w:val="15"/>
                <w:szCs w:val="15"/>
                <w:b w:val="1"/>
                <w:bCs w:val="1"/>
                <w:color w:val="auto"/>
                <w:w w:val="95"/>
              </w:rPr>
              <w:t>0.46</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Forfeited (unaudited)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(61,471)</w:t>
            </w:r>
          </w:p>
        </w:tc>
        <w:tc>
          <w:tcPr>
            <w:tcW w:w="900" w:type="dxa"/>
            <w:vAlign w:val="bottom"/>
            <w:shd w:val="clear" w:color="auto" w:fill="CCEEFF"/>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1.54</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00" w:type="dxa"/>
            <w:vAlign w:val="bottom"/>
            <w:gridSpan w:val="2"/>
          </w:tcPr>
          <w:p>
            <w:pPr>
              <w:spacing w:after="0"/>
              <w:rPr>
                <w:sz w:val="20"/>
                <w:szCs w:val="20"/>
                <w:color w:val="auto"/>
              </w:rPr>
            </w:pPr>
            <w:r>
              <w:rPr>
                <w:rFonts w:ascii="Arial" w:cs="Arial" w:eastAsia="Arial" w:hAnsi="Arial"/>
                <w:sz w:val="15"/>
                <w:szCs w:val="15"/>
                <w:color w:val="auto"/>
              </w:rPr>
              <w:t>Outstanding at September 30, 2015 (unaudited)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5,224,117</w:t>
            </w:r>
          </w:p>
        </w:tc>
        <w:tc>
          <w:tcPr>
            <w:tcW w:w="100" w:type="dxa"/>
            <w:vAlign w:val="bottom"/>
          </w:tcPr>
          <w:p>
            <w:pPr>
              <w:spacing w:after="0"/>
              <w:rPr>
                <w:sz w:val="15"/>
                <w:szCs w:val="15"/>
                <w:color w:val="auto"/>
              </w:rPr>
            </w:pPr>
          </w:p>
        </w:tc>
        <w:tc>
          <w:tcPr>
            <w:tcW w:w="900" w:type="dxa"/>
            <w:vAlign w:val="bottom"/>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25"/>
              <w:spacing w:after="0"/>
              <w:rPr>
                <w:sz w:val="20"/>
                <w:szCs w:val="20"/>
                <w:color w:val="auto"/>
              </w:rPr>
            </w:pPr>
            <w:r>
              <w:rPr>
                <w:rFonts w:ascii="Arial" w:cs="Arial" w:eastAsia="Arial" w:hAnsi="Arial"/>
                <w:sz w:val="15"/>
                <w:szCs w:val="15"/>
                <w:b w:val="1"/>
                <w:bCs w:val="1"/>
                <w:color w:val="auto"/>
                <w:w w:val="95"/>
              </w:rPr>
              <w:t>1.10</w:t>
            </w:r>
          </w:p>
        </w:tc>
        <w:tc>
          <w:tcPr>
            <w:tcW w:w="1280" w:type="dxa"/>
            <w:vAlign w:val="bottom"/>
          </w:tcPr>
          <w:p>
            <w:pPr>
              <w:jc w:val="right"/>
              <w:ind w:right="10"/>
              <w:spacing w:after="0"/>
              <w:rPr>
                <w:sz w:val="20"/>
                <w:szCs w:val="20"/>
                <w:color w:val="auto"/>
              </w:rPr>
            </w:pPr>
            <w:r>
              <w:rPr>
                <w:rFonts w:ascii="Arial" w:cs="Arial" w:eastAsia="Arial" w:hAnsi="Arial"/>
                <w:sz w:val="15"/>
                <w:szCs w:val="15"/>
                <w:color w:val="auto"/>
              </w:rPr>
              <w:t>6.75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Vested at September 30, 2015 (unaudited)</w:t>
            </w: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3,731,648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7"/>
              <w:spacing w:after="0" w:line="161" w:lineRule="exact"/>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25"/>
              <w:spacing w:after="0" w:line="161" w:lineRule="exact"/>
              <w:rPr>
                <w:sz w:val="20"/>
                <w:szCs w:val="20"/>
                <w:color w:val="auto"/>
              </w:rPr>
            </w:pPr>
            <w:r>
              <w:rPr>
                <w:rFonts w:ascii="Arial" w:cs="Arial" w:eastAsia="Arial" w:hAnsi="Arial"/>
                <w:sz w:val="15"/>
                <w:szCs w:val="15"/>
                <w:b w:val="1"/>
                <w:bCs w:val="1"/>
                <w:color w:val="auto"/>
                <w:w w:val="95"/>
              </w:rPr>
              <w:t>0.65</w:t>
            </w:r>
          </w:p>
        </w:tc>
        <w:tc>
          <w:tcPr>
            <w:tcW w:w="1280" w:type="dxa"/>
            <w:vAlign w:val="bottom"/>
            <w:shd w:val="clear" w:color="auto" w:fill="CCEEFF"/>
          </w:tcPr>
          <w:p>
            <w:pPr>
              <w:jc w:val="right"/>
              <w:ind w:right="10"/>
              <w:spacing w:after="0" w:line="161" w:lineRule="exact"/>
              <w:rPr>
                <w:sz w:val="20"/>
                <w:szCs w:val="20"/>
                <w:color w:val="auto"/>
              </w:rPr>
            </w:pPr>
            <w:r>
              <w:rPr>
                <w:rFonts w:ascii="Arial" w:cs="Arial" w:eastAsia="Arial" w:hAnsi="Arial"/>
                <w:sz w:val="15"/>
                <w:szCs w:val="15"/>
                <w:color w:val="auto"/>
              </w:rPr>
              <w:t>5.79</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3,869</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5"/>
                <w:szCs w:val="15"/>
                <w:color w:val="auto"/>
              </w:rPr>
              <w:t>Vested and expected to vest at September 30, 2015 (unaudited)</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7"/>
              <w:spacing w:after="0"/>
              <w:rPr>
                <w:sz w:val="20"/>
                <w:szCs w:val="20"/>
                <w:color w:val="auto"/>
              </w:rPr>
            </w:pPr>
            <w:r>
              <w:rPr>
                <w:rFonts w:ascii="Arial" w:cs="Arial" w:eastAsia="Arial" w:hAnsi="Arial"/>
                <w:sz w:val="15"/>
                <w:szCs w:val="15"/>
                <w:b w:val="1"/>
                <w:bCs w:val="1"/>
                <w:color w:val="auto"/>
              </w:rPr>
              <w:t>$</w:t>
            </w:r>
          </w:p>
        </w:tc>
        <w:tc>
          <w:tcPr>
            <w:tcW w:w="40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w w:val="95"/>
              </w:rPr>
              <w:t>1.05</w:t>
            </w:r>
          </w:p>
        </w:tc>
        <w:tc>
          <w:tcPr>
            <w:tcW w:w="1280" w:type="dxa"/>
            <w:vAlign w:val="bottom"/>
            <w:vMerge w:val="restart"/>
          </w:tcPr>
          <w:p>
            <w:pPr>
              <w:jc w:val="right"/>
              <w:ind w:right="10"/>
              <w:spacing w:after="0"/>
              <w:rPr>
                <w:sz w:val="20"/>
                <w:szCs w:val="20"/>
                <w:color w:val="auto"/>
              </w:rPr>
            </w:pPr>
            <w:r>
              <w:rPr>
                <w:rFonts w:ascii="Arial" w:cs="Arial" w:eastAsia="Arial" w:hAnsi="Arial"/>
                <w:sz w:val="15"/>
                <w:szCs w:val="15"/>
                <w:color w:val="auto"/>
              </w:rPr>
              <w:t>6.66</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4,013</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00" w:type="dxa"/>
            <w:vAlign w:val="bottom"/>
            <w:gridSpan w:val="2"/>
            <w:vMerge w:val="continue"/>
          </w:tcPr>
          <w:p>
            <w:pPr>
              <w:spacing w:after="0"/>
              <w:rPr>
                <w:sz w:val="13"/>
                <w:szCs w:val="13"/>
                <w:color w:val="auto"/>
              </w:rPr>
            </w:pPr>
          </w:p>
        </w:tc>
        <w:tc>
          <w:tcPr>
            <w:tcW w:w="7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5,057,378</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stock employee options granted during the years ended December 31, 2013 and 2014 was $0.56 and $1.76, respectively, and $1.76 and $1.41</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September 30, 2014 and 2015, respectively. The aggregate intrinsic value of stock options exercised during the years ended December 2013 and 2014 was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$85,425 and $280,290, respectively, and $254,641 and $242,300 for the nine months ended September 30, 2014 and 2015, respectively. As of December 31, 2014 and September 30, 2015,</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total unrecognized compensation expense related to unvested employee stock options was $0.9 million and $1.6 million, respectively, which is expected to be recognized over a weighted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average period of 2.3 years and 2.8 years,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The Company records payment received from the granting of restricted stock as a liability which is amortized over the vesting period. As of December 31, 2013 and 2014, and at September 30, 2015, the remaining liability was $109,198, $41,960 and $26,219 respectively. The terms of the restricted stock agreement provides the Company the right to repurchase any unvested shares of restricted stock upon the termination of the business relationship with the holder of restricted stock at a price equal to the original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restricted stock award activity of the Plan during the year ended December 31, 2014 and for the nine months ended September 30,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left="235"/>
              <w:spacing w:after="0"/>
              <w:rPr>
                <w:sz w:val="20"/>
                <w:szCs w:val="20"/>
                <w:color w:val="auto"/>
              </w:rPr>
            </w:pPr>
            <w:r>
              <w:rPr>
                <w:rFonts w:ascii="Arial" w:cs="Arial" w:eastAsia="Arial" w:hAnsi="Arial"/>
                <w:sz w:val="12"/>
                <w:szCs w:val="12"/>
                <w:b w:val="1"/>
                <w:bCs w:val="1"/>
                <w:color w:val="auto"/>
              </w:rPr>
              <w:t>Nine months 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left="235"/>
              <w:spacing w:after="0"/>
              <w:rPr>
                <w:sz w:val="20"/>
                <w:szCs w:val="20"/>
                <w:color w:val="auto"/>
              </w:rPr>
            </w:pPr>
            <w:r>
              <w:rPr>
                <w:rFonts w:ascii="Arial" w:cs="Arial" w:eastAsia="Arial" w:hAnsi="Arial"/>
                <w:sz w:val="12"/>
                <w:szCs w:val="12"/>
                <w:b w:val="1"/>
                <w:bCs w:val="1"/>
                <w:color w:val="auto"/>
              </w:rPr>
              <w:t>September 30, 2015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2"/>
                <w:szCs w:val="12"/>
                <w:b w:val="1"/>
                <w:bCs w:val="1"/>
                <w:color w:val="auto"/>
              </w:rPr>
              <w:t>December 31, 2014</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253"/>
              <w:spacing w:after="0"/>
              <w:rPr>
                <w:sz w:val="20"/>
                <w:szCs w:val="20"/>
                <w:color w:val="auto"/>
              </w:rPr>
            </w:pPr>
            <w:r>
              <w:rPr>
                <w:rFonts w:ascii="Arial" w:cs="Arial" w:eastAsia="Arial" w:hAnsi="Arial"/>
                <w:sz w:val="12"/>
                <w:szCs w:val="12"/>
                <w:b w:val="1"/>
                <w:bCs w:val="1"/>
                <w:color w:val="auto"/>
              </w:rPr>
              <w:t>(unaudited)</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Weighted-average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Weighted-average</w:t>
            </w:r>
          </w:p>
        </w:tc>
        <w:tc>
          <w:tcPr>
            <w:tcW w:w="1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93"/>
              <w:spacing w:after="0"/>
              <w:rPr>
                <w:sz w:val="20"/>
                <w:szCs w:val="20"/>
                <w:color w:val="auto"/>
              </w:rPr>
            </w:pPr>
            <w:r>
              <w:rPr>
                <w:rFonts w:ascii="Arial" w:cs="Arial" w:eastAsia="Arial" w:hAnsi="Arial"/>
                <w:sz w:val="12"/>
                <w:szCs w:val="12"/>
                <w:b w:val="1"/>
                <w:bCs w:val="1"/>
                <w:color w:val="auto"/>
              </w:rPr>
              <w:t>exercise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53"/>
              <w:spacing w:after="0"/>
              <w:rPr>
                <w:sz w:val="20"/>
                <w:szCs w:val="20"/>
                <w:color w:val="auto"/>
              </w:rPr>
            </w:pPr>
            <w:r>
              <w:rPr>
                <w:rFonts w:ascii="Arial" w:cs="Arial" w:eastAsia="Arial" w:hAnsi="Arial"/>
                <w:sz w:val="12"/>
                <w:szCs w:val="12"/>
                <w:b w:val="1"/>
                <w:bCs w:val="1"/>
                <w:color w:val="auto"/>
              </w:rPr>
              <w:t>exercise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900" w:type="dxa"/>
            <w:vAlign w:val="bottom"/>
            <w:tcBorders>
              <w:bottom w:val="single" w:sz="8" w:color="auto"/>
            </w:tcBorders>
          </w:tcPr>
          <w:p>
            <w:pPr>
              <w:jc w:val="center"/>
              <w:ind w:left="253"/>
              <w:spacing w:after="0"/>
              <w:rPr>
                <w:sz w:val="20"/>
                <w:szCs w:val="20"/>
                <w:color w:val="auto"/>
              </w:rPr>
            </w:pPr>
            <w:r>
              <w:rPr>
                <w:rFonts w:ascii="Arial" w:cs="Arial" w:eastAsia="Arial" w:hAnsi="Arial"/>
                <w:sz w:val="12"/>
                <w:szCs w:val="12"/>
                <w:b w:val="1"/>
                <w:bCs w:val="1"/>
                <w:color w:val="auto"/>
              </w:rPr>
              <w:t>price</w:t>
            </w: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2"/>
                <w:szCs w:val="12"/>
                <w:b w:val="1"/>
                <w:bCs w:val="1"/>
                <w:color w:val="auto"/>
              </w:rPr>
              <w:t>Shares</w:t>
            </w:r>
          </w:p>
        </w:tc>
        <w:tc>
          <w:tcPr>
            <w:tcW w:w="900" w:type="dxa"/>
            <w:vAlign w:val="bottom"/>
            <w:tcBorders>
              <w:bottom w:val="single" w:sz="8" w:color="auto"/>
            </w:tcBorders>
          </w:tcPr>
          <w:p>
            <w:pPr>
              <w:jc w:val="center"/>
              <w:ind w:left="233"/>
              <w:spacing w:after="0"/>
              <w:rPr>
                <w:sz w:val="20"/>
                <w:szCs w:val="20"/>
                <w:color w:val="auto"/>
              </w:rPr>
            </w:pPr>
            <w:r>
              <w:rPr>
                <w:rFonts w:ascii="Arial" w:cs="Arial" w:eastAsia="Arial" w:hAnsi="Arial"/>
                <w:sz w:val="12"/>
                <w:szCs w:val="12"/>
                <w:b w:val="1"/>
                <w:bCs w:val="1"/>
                <w:color w:val="auto"/>
                <w:w w:val="97"/>
              </w:rPr>
              <w:t>price</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276,136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59,527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0.71</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Issued</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10,000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95"/>
              </w:rPr>
              <w:t>0.16</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(226,609</w:t>
            </w:r>
            <w:r>
              <w:rPr>
                <w:rFonts w:ascii="Arial" w:cs="Arial" w:eastAsia="Arial" w:hAnsi="Arial"/>
                <w:sz w:val="15"/>
                <w:szCs w:val="15"/>
                <w:color w:val="auto"/>
              </w:rPr>
              <w:t>)</w:t>
            </w: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0.37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(22,594</w:t>
            </w:r>
            <w:r>
              <w:rPr>
                <w:rFonts w:ascii="Arial" w:cs="Arial" w:eastAsia="Arial" w:hAnsi="Arial"/>
                <w:sz w:val="15"/>
                <w:szCs w:val="15"/>
                <w:color w:val="auto"/>
              </w:rPr>
              <w:t>)</w:t>
            </w: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0.70</w:t>
            </w:r>
          </w:p>
        </w:tc>
        <w:tc>
          <w:tcPr>
            <w:tcW w:w="140" w:type="dxa"/>
            <w:vAlign w:val="bottom"/>
            <w:shd w:val="clear" w:color="auto" w:fill="CCEEFF"/>
          </w:tcPr>
          <w:p>
            <w:pPr>
              <w:spacing w:after="0"/>
              <w:rPr>
                <w:sz w:val="16"/>
                <w:szCs w:val="16"/>
                <w:color w:val="auto"/>
              </w:rPr>
            </w:pPr>
          </w:p>
        </w:tc>
      </w:tr>
      <w:tr>
        <w:trPr>
          <w:trHeight w:val="177"/>
        </w:trPr>
        <w:tc>
          <w:tcPr>
            <w:tcW w:w="4980" w:type="dxa"/>
            <w:vAlign w:val="bottom"/>
            <w:gridSpan w:val="2"/>
          </w:tcPr>
          <w:p>
            <w:pPr>
              <w:spacing w:after="0"/>
              <w:rPr>
                <w:sz w:val="20"/>
                <w:szCs w:val="20"/>
                <w:color w:val="auto"/>
              </w:rPr>
            </w:pPr>
            <w:r>
              <w:rPr>
                <w:rFonts w:ascii="Arial" w:cs="Arial" w:eastAsia="Arial" w:hAnsi="Arial"/>
                <w:sz w:val="15"/>
                <w:szCs w:val="15"/>
                <w:color w:val="auto"/>
              </w:rPr>
              <w:t>Unvested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59,527</w:t>
            </w:r>
          </w:p>
        </w:tc>
        <w:tc>
          <w:tcPr>
            <w:tcW w:w="100" w:type="dxa"/>
            <w:vAlign w:val="bottom"/>
          </w:tcPr>
          <w:p>
            <w:pPr>
              <w:spacing w:after="0"/>
              <w:rPr>
                <w:sz w:val="15"/>
                <w:szCs w:val="15"/>
                <w:color w:val="auto"/>
              </w:rPr>
            </w:pPr>
          </w:p>
        </w:tc>
        <w:tc>
          <w:tcPr>
            <w:tcW w:w="900" w:type="dxa"/>
            <w:vAlign w:val="bottom"/>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w w:val="95"/>
              </w:rPr>
              <w:t>0.71</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36,933</w:t>
            </w:r>
          </w:p>
        </w:tc>
        <w:tc>
          <w:tcPr>
            <w:tcW w:w="100" w:type="dxa"/>
            <w:vAlign w:val="bottom"/>
          </w:tcPr>
          <w:p>
            <w:pPr>
              <w:spacing w:after="0"/>
              <w:rPr>
                <w:sz w:val="15"/>
                <w:szCs w:val="15"/>
                <w:color w:val="auto"/>
              </w:rPr>
            </w:pPr>
          </w:p>
        </w:tc>
        <w:tc>
          <w:tcPr>
            <w:tcW w:w="900" w:type="dxa"/>
            <w:vAlign w:val="bottom"/>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w w:val="95"/>
              </w:rPr>
              <w:t>0.71</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0"/>
        <w:spacing w:after="0" w:line="270" w:lineRule="auto"/>
        <w:rPr>
          <w:sz w:val="20"/>
          <w:szCs w:val="20"/>
          <w:color w:val="auto"/>
        </w:rPr>
      </w:pPr>
      <w:r>
        <w:rPr>
          <w:rFonts w:ascii="Arial" w:cs="Arial" w:eastAsia="Arial" w:hAnsi="Arial"/>
          <w:sz w:val="15"/>
          <w:szCs w:val="15"/>
          <w:color w:val="auto"/>
        </w:rPr>
        <w:t>Total fair value of restricted shares that vested during the years ended December 31, 2013 and 2014, and the nine months ended September 30, 2015 was $43,309, $67,238, and $15,744, respectively. As of December 31, 2014 and September 30, 2015 total unrecognized compensation expense related to restricted stock awards was $41,960 and $26,219, respectively, which the Company expects to recognize over a weighted average period of approximately 2.0 years and 1.3 year,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2" w:name="page233"/>
    <w:bookmarkEnd w:id="2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60"/>
        <w:spacing w:after="0" w:line="283" w:lineRule="auto"/>
        <w:rPr>
          <w:sz w:val="20"/>
          <w:szCs w:val="20"/>
          <w:color w:val="auto"/>
        </w:rPr>
      </w:pPr>
      <w:r>
        <w:rPr>
          <w:rFonts w:ascii="Arial" w:cs="Arial" w:eastAsia="Arial" w:hAnsi="Arial"/>
          <w:sz w:val="15"/>
          <w:szCs w:val="15"/>
          <w:color w:val="auto"/>
        </w:rPr>
        <w:t>During the years ended December 31, 2013 and 2014 and for the nine months ended September 30, 2014 and 2015, the Company recorded stock-based compensation expense as follows (in thousands):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rPr>
              <w:t>Nine months</w:t>
            </w:r>
          </w:p>
        </w:tc>
      </w:t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left="132"/>
              <w:spacing w:after="0"/>
              <w:rPr>
                <w:sz w:val="20"/>
                <w:szCs w:val="20"/>
                <w:color w:val="auto"/>
              </w:rPr>
            </w:pPr>
            <w:r>
              <w:rPr>
                <w:rFonts w:ascii="Arial" w:cs="Arial" w:eastAsia="Arial" w:hAnsi="Arial"/>
                <w:sz w:val="12"/>
                <w:szCs w:val="12"/>
                <w:b w:val="1"/>
                <w:bCs w:val="1"/>
                <w:color w:val="auto"/>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ind w:right="16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ind w:right="12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(unaudited)</w:t>
            </w:r>
          </w:p>
        </w:tc>
      </w:tr>
      <w:tr>
        <w:trPr>
          <w:trHeight w:val="131"/>
        </w:trPr>
        <w:tc>
          <w:tcPr>
            <w:tcW w:w="20" w:type="dxa"/>
            <w:vAlign w:val="bottom"/>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5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52"/>
              <w:spacing w:after="0" w:line="131" w:lineRule="exact"/>
              <w:rPr>
                <w:sz w:val="20"/>
                <w:szCs w:val="20"/>
                <w:color w:val="auto"/>
              </w:rPr>
            </w:pPr>
            <w:r>
              <w:rPr>
                <w:rFonts w:ascii="Arial" w:cs="Arial" w:eastAsia="Arial" w:hAnsi="Arial"/>
                <w:sz w:val="12"/>
                <w:szCs w:val="12"/>
                <w:b w:val="1"/>
                <w:bCs w:val="1"/>
                <w:color w:val="auto"/>
              </w:rPr>
              <w:t>2014</w:t>
            </w:r>
          </w:p>
        </w:tc>
        <w:tc>
          <w:tcPr>
            <w:tcW w:w="580" w:type="dxa"/>
            <w:vAlign w:val="bottom"/>
            <w:tcBorders>
              <w:top w:val="single" w:sz="8" w:color="auto"/>
              <w:bottom w:val="single" w:sz="8" w:color="auto"/>
            </w:tcBorders>
            <w:gridSpan w:val="3"/>
          </w:tcPr>
          <w:p>
            <w:pPr>
              <w:jc w:val="right"/>
              <w:ind w:right="25"/>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200" w:hanging="7"/>
        <w:spacing w:after="0" w:line="542" w:lineRule="auto"/>
        <w:tabs>
          <w:tab w:leader="none" w:pos="259"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180"/>
        <w:spacing w:after="0" w:line="363"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60"/>
        <w:spacing w:after="0" w:line="283"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0" w:lineRule="exact"/>
        <w:rPr>
          <w:sz w:val="20"/>
          <w:szCs w:val="20"/>
          <w:color w:val="auto"/>
        </w:rPr>
      </w:pPr>
    </w:p>
    <w:p>
      <w:pPr>
        <w:ind w:left="7" w:right="500"/>
        <w:spacing w:after="0" w:line="320"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right="120"/>
        <w:spacing w:after="0" w:line="263" w:lineRule="auto"/>
        <w:rPr>
          <w:sz w:val="20"/>
          <w:szCs w:val="20"/>
          <w:color w:val="auto"/>
        </w:rPr>
      </w:pPr>
      <w:r>
        <w:rPr>
          <w:rFonts w:ascii="Arial" w:cs="Arial" w:eastAsia="Arial" w:hAnsi="Arial"/>
          <w:sz w:val="15"/>
          <w:szCs w:val="15"/>
          <w:color w:val="auto"/>
        </w:rPr>
        <w:t>The research term will expire upon the earlier of (a) the nomination of a development candidate for the initial indication or (b) the third anniversary of the agreement. In the event that the Company is unable to complete its research obligations by the third anniversary,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66"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$2,000,000 for the initial indication and an additional $2,000,000 for a second indication. Sanofi is obligated to make additional payments to the Company during preclinical research totaling up to $3,000,000 for each indication, which has been received for the food allergy indication. For both indications, the Company is also eligible for (i) a $5,000,000 development candidate milestone payable to the Company at the start of preclincal development, (ii) further development milestones up to an aggregate of $127,000,000, (iii) sales milestones of up to an aggregate of $170,000,000, and (iv) tiered royalties on annual net sales of licensed products at percentages ranging from mid-single to low double digits.</w:t>
      </w:r>
    </w:p>
    <w:p>
      <w:pPr>
        <w:spacing w:after="0" w:line="152"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$987,097 and $2,079,688 of revenue during the years ended December 31, 2013 and 2014, respectively and $1,480,455 and $1,542,908 during the nine months ended September 30, 2014 and 2015, respectively, under the arrangement.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42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The NIH grant, for an aggregate amount of $8,111,548, was awarded in May 2014 to support research in the development of a next generation vaccine for smoking cessation and relapse prevention. The Company recognized $597,254 of revenue during 2014, and $370,022 and $1,473,770 for the nine months ended September 30, 2014 and 2015, respectively, under the arrangement. Revenue is recognized based on employee time spent on research associated with grant, an overhead and benefit percentage add-on adjustment as provided by NIH, or when related costs are billed by third parties.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9" w:lineRule="exact"/>
        <w:rPr>
          <w:sz w:val="20"/>
          <w:szCs w:val="20"/>
          <w:color w:val="auto"/>
        </w:rPr>
      </w:pPr>
    </w:p>
    <w:p>
      <w:pPr>
        <w:ind w:right="620"/>
        <w:spacing w:after="0" w:line="283" w:lineRule="auto"/>
        <w:rPr>
          <w:sz w:val="20"/>
          <w:szCs w:val="20"/>
          <w:color w:val="auto"/>
        </w:rPr>
      </w:pPr>
      <w:r>
        <w:rPr>
          <w:rFonts w:ascii="Arial" w:cs="Arial" w:eastAsia="Arial" w:hAnsi="Arial"/>
          <w:sz w:val="15"/>
          <w:szCs w:val="15"/>
          <w:color w:val="auto"/>
        </w:rPr>
        <w:t>The Company has two contracts in effect with JDRF during 2014. The first contract was a continuation and completion of a 2011 grant for $750,000. The Company recognized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$488,000 and $150,000 of revenue during the years ended December 31, 2013 and 2014, respectively, under this contract. The second JDRF grant is a joint grant with Sanofi entered into in September 2014 for $347,879 to conduct Type 1 Diabetes research. The Company recognized $15,289 of revenue related to this contract during the year ended December 31, 2014, and $184,711 during the nine months ended September 30, 2015.</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Company received a grant in 2013 from the Bill and Melinda Gates Foundation for $1,248,318 to fund the Company's immunology research on malaria antigens. During 2014, the grant amount was increased to a total of $1,598,318 and the term was extended to a three-year research term. Revenue recognized in 2013 and 2014 was $4,318 and $197,743, respectively, and was $104,804 and $328,208 for the nine months ended September 30, 2014 and 2015, respectively. Revenue is recognized on a proportional performance basis as it relates to employee time expended on the research, along reimbursement for external costs directly related to, and approved, by the grant terms.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9"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The Company had a contract awarded from Minpromtorg for approximately $4,600,000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$1,400,000,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$1,000,000, to cover the potential penalty. The amount is classified as restricted cash in the consolidated balance sheets for the years ended December 31, 2013 and 2014. In 2014, the Company terminated its plan to conduct the clinical trial in Russia subjecting the Company to the penalty obligation.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$213,301, and a penalty fee that equaled to 10% of the contract value, or $240,789. The Company paid the settlement payment in March 2015 and all mutual claims under the contract were terminated. According to the terms of the agreement, Minpromtorg has the right to audit the expenditure incurred under the agreement for a period up to three years from each of the research milestone date. All grant funding received in excess of the penalty settlement will remain as a liability on the balance sheet until such time the audit period has expired and at which time, the amount will be recognized as revenue. The first audit period will expire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$2,666,269 that covers 48.5% of the estimated total cost of the research plan with the remaining 51.5% of estimated costs to be contributed by the Company. The Company received $1,030,623 in 2014 and no additional funds have been received during the nine months ended September 30, 2015 from Skolkovo.</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jc w:val="both"/>
        <w:ind w:right="340"/>
        <w:spacing w:after="0" w:line="266" w:lineRule="auto"/>
        <w:rPr>
          <w:sz w:val="20"/>
          <w:szCs w:val="20"/>
          <w:color w:val="auto"/>
        </w:rPr>
      </w:pPr>
      <w:r>
        <w:rPr>
          <w:rFonts w:ascii="Arial" w:cs="Arial" w:eastAsia="Arial" w:hAnsi="Arial"/>
          <w:sz w:val="15"/>
          <w:szCs w:val="15"/>
          <w:color w:val="auto"/>
        </w:rPr>
        <w:t>As part of the Series B Preferred and Series D Preferred financings (as described in Note 9), the Company's landlord (the "Landlord") purchased 49,254 shares of Series B Preferred at $2.0303 per share for total proceeds of $100,000 and 488,888 shares of Series D Preferred at $4.50 per share for total proceeds of $2,199,996. Additionally, in April 2015, the Landlord participated in the Company's bridge loan in the amount of $173,239, which converted into Series E Preferred (see note 9). The Landlord paid the same price as the price paid by other investors in each of these Preferred Stock purchases.</w:t>
      </w:r>
    </w:p>
    <w:p>
      <w:pPr>
        <w:spacing w:after="0" w:line="164"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The Company incurred expenses for consulting services provided by its founders totaling $297,000 and $297,000 during the years ended December 31, 2013 and 2014, respectively, and $222,750 and $222,750 during the nine months ended September 30, 2014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may be required to remit to MIT a percentage (ranging from 10% to 30%) of sublicense income. In addition, the Company is obligated to pay MIT a certain amount upon the achievement of defined clinical milestones, up to a total of $1,450,000.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6" w:name="page237"/>
    <w:bookmarkEnd w:id="2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is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is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Pursuant to the 3SBio License, the Company is required to use commercially reasonable efforts to develop and commercialize a product containing pegsiticase or a related compound. If the Company dose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In addition to upfront and milestone payments made to 3SBio to date, the Company will be required to make future payments to 3SBio contingent upon the occurrence of specified milestone-based events. The Company is also required to pay 3SBio tiered royalties on annual worldwide net sales (on a country-by-country and product-by-product basis) related to the pegsiticase component of products at percentages ranging from the low-to-mid single digits for products containing our SVP technology, and the mid-single digit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 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of assets and liabilities using enacted tax rates expected to be in effect in the years in which the differences are expected to reverse.</w:t>
      </w:r>
    </w:p>
    <w:p>
      <w:pPr>
        <w:spacing w:after="0" w:line="199"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For the years ended December 31, 2013 and 2014,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5.9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5"/>
            <w:shd w:val="clear" w:color="auto" w:fill="CCEEFF"/>
          </w:tcPr>
          <w:p>
            <w:pPr>
              <w:jc w:val="right"/>
              <w:ind w:right="5"/>
              <w:spacing w:after="0"/>
              <w:rPr>
                <w:sz w:val="20"/>
                <w:szCs w:val="20"/>
                <w:color w:val="auto"/>
              </w:rPr>
            </w:pPr>
            <w:r>
              <w:rPr>
                <w:rFonts w:ascii="Arial" w:cs="Arial" w:eastAsia="Arial" w:hAnsi="Arial"/>
                <w:sz w:val="15"/>
                <w:szCs w:val="15"/>
                <w:color w:val="auto"/>
              </w:rPr>
              <w:t>(0.9)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Tax research credits/others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5"/>
            <w:shd w:val="clear" w:color="auto" w:fill="CCEEFF"/>
          </w:tcPr>
          <w:p>
            <w:pPr>
              <w:jc w:val="right"/>
              <w:ind w:right="5"/>
              <w:spacing w:after="0"/>
              <w:rPr>
                <w:sz w:val="20"/>
                <w:szCs w:val="20"/>
                <w:color w:val="auto"/>
              </w:rPr>
            </w:pPr>
            <w:r>
              <w:rPr>
                <w:rFonts w:ascii="Arial" w:cs="Arial" w:eastAsia="Arial" w:hAnsi="Arial"/>
                <w:sz w:val="15"/>
                <w:szCs w:val="15"/>
                <w:color w:val="auto"/>
              </w:rPr>
              <w:t>(44.1)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jc w:val="right"/>
              <w:ind w:right="33"/>
              <w:spacing w:after="0"/>
              <w:rPr>
                <w:sz w:val="20"/>
                <w:szCs w:val="20"/>
                <w:color w:val="auto"/>
              </w:rPr>
            </w:pPr>
            <w:r>
              <w:rPr>
                <w:rFonts w:ascii="Arial" w:cs="Arial" w:eastAsia="Arial" w:hAnsi="Arial"/>
                <w:sz w:val="15"/>
                <w:szCs w:val="15"/>
                <w:color w:val="auto"/>
                <w:w w:val="90"/>
              </w:rPr>
              <w:t>The tax effects of temporary differences that give rise to the Company's net deferred tax assets as of December 31 are as follows (in thousands):</w:t>
            </w: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7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tcPr>
          <w:p>
            <w:pPr>
              <w:jc w:val="right"/>
              <w:ind w:right="286"/>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17,424</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22,444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2,755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320"/>
              <w:spacing w:after="0"/>
              <w:rPr>
                <w:sz w:val="20"/>
                <w:szCs w:val="20"/>
                <w:color w:val="auto"/>
              </w:rPr>
            </w:pPr>
            <w:r>
              <w:rPr>
                <w:rFonts w:ascii="Arial" w:cs="Arial" w:eastAsia="Arial" w:hAnsi="Arial"/>
                <w:sz w:val="15"/>
                <w:szCs w:val="15"/>
                <w:color w:val="auto"/>
              </w:rPr>
              <w:t>Total deferred tax assets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24,627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30,221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4"/>
                <w:szCs w:val="2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Depreciation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(335)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(497)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w:t>
            </w: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32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24,130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28,422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(24,130)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(28,422)</w:t>
            </w:r>
          </w:p>
        </w:tc>
        <w:tc>
          <w:tcPr>
            <w:tcW w:w="0" w:type="dxa"/>
            <w:vAlign w:val="bottom"/>
          </w:tcPr>
          <w:p>
            <w:pPr>
              <w:spacing w:after="0"/>
              <w:rPr>
                <w:sz w:val="1"/>
                <w:szCs w:val="1"/>
                <w:color w:val="auto"/>
              </w:rPr>
            </w:pPr>
          </w:p>
        </w:tc>
      </w:tr>
      <w:tr>
        <w:trPr>
          <w:trHeight w:val="177"/>
        </w:trPr>
        <w:tc>
          <w:tcPr>
            <w:tcW w:w="8600" w:type="dxa"/>
            <w:vAlign w:val="bottom"/>
            <w:gridSpan w:val="2"/>
          </w:tcPr>
          <w:p>
            <w:pPr>
              <w:ind w:left="1140"/>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$6,640,881 and $4,292,637 for the years ended December 31, 2013 and 2014, respectively, primarily as a result of an increase in net operating loss. In 2014, the Company's Russian subsidiary was granted a 10 year tax holiday in Russia. As a result, previously reported deferred tax assets have been adjusted for the change in tax rate.</w:t>
      </w:r>
    </w:p>
    <w:p>
      <w:pPr>
        <w:spacing w:after="0" w:line="148" w:lineRule="exact"/>
        <w:rPr>
          <w:sz w:val="20"/>
          <w:szCs w:val="20"/>
          <w:color w:val="auto"/>
        </w:rPr>
      </w:pPr>
    </w:p>
    <w:p>
      <w:pPr>
        <w:jc w:val="both"/>
        <w:ind w:right="120"/>
        <w:spacing w:after="0" w:line="266" w:lineRule="auto"/>
        <w:rPr>
          <w:sz w:val="20"/>
          <w:szCs w:val="20"/>
          <w:color w:val="auto"/>
        </w:rPr>
      </w:pPr>
      <w:r>
        <w:rPr>
          <w:rFonts w:ascii="Arial" w:cs="Arial" w:eastAsia="Arial" w:hAnsi="Arial"/>
          <w:sz w:val="15"/>
          <w:szCs w:val="15"/>
          <w:color w:val="auto"/>
        </w:rPr>
        <w:t>At December 31, 2014, the Company had federal and state net operating loss carryforwards of $58,262,434 and $52,426,424, respectively, which will expire at various dates through 2034. Included in the net operating loss above is approximately $185,000 related to excess stock option deductions. The Company also has federal and state research and development tax credit carryforwards of $1,278,625 and $896,038, respectively, available to reduce future tax liabilities, which will expire at various dates through 2034. As of December 31, 2013 and 2014, the Company had no unrecognized tax benefits or related interest and penalties accrued.</w:t>
      </w:r>
    </w:p>
    <w:p>
      <w:pPr>
        <w:spacing w:after="0" w:line="164" w:lineRule="exact"/>
        <w:rPr>
          <w:sz w:val="20"/>
          <w:szCs w:val="20"/>
          <w:color w:val="auto"/>
        </w:rPr>
      </w:pPr>
    </w:p>
    <w:p>
      <w:pPr>
        <w:ind w:right="40"/>
        <w:spacing w:after="0" w:line="314" w:lineRule="auto"/>
        <w:rPr>
          <w:sz w:val="20"/>
          <w:szCs w:val="20"/>
          <w:color w:val="auto"/>
        </w:rPr>
      </w:pPr>
      <w:r>
        <w:rPr>
          <w:rFonts w:ascii="Arial" w:cs="Arial" w:eastAsia="Arial" w:hAnsi="Arial"/>
          <w:sz w:val="13"/>
          <w:szCs w:val="13"/>
          <w:color w:val="auto"/>
        </w:rPr>
        <w:t>Utilization of the net operating loss and research and development credit carryforwards may be subject to a substantial annual limitation under Sections 382 and 383 of the Internal Revenue Code of 1986, as amended, due to ownership change limitations that have occurred previously, or that could occur in the future. Specifically, this limitation may arise in the event of a cumulative change in ownership of the Company of more than 50% within any three-year period. The amount of the annual limitation is determined based on the value of the Company immediately before the ownership change. Subsequent ownership changes may further affect the limitation in future years. The Company plans to undertake a study to analyze and determine if an ownership change has occurred to determine if there are any permanent limitations on the Company's ability to utilize NOLs and other tax attributes in the future.</w:t>
      </w:r>
    </w:p>
    <w:p>
      <w:pPr>
        <w:spacing w:after="0" w:line="136"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The Company has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or cash flows if an adjustment was required.</w:t>
      </w:r>
    </w:p>
    <w:p>
      <w:pPr>
        <w:spacing w:after="0" w:line="148"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contributions pursuant to the 401(k) Plan's matching formula. All matching contributions vest ratably over 4 years and participant contributions vest immediately.</w:t>
      </w:r>
    </w:p>
    <w:p>
      <w:pPr>
        <w:spacing w:after="0" w:line="199" w:lineRule="exact"/>
        <w:rPr>
          <w:sz w:val="20"/>
          <w:szCs w:val="20"/>
          <w:color w:val="auto"/>
        </w:rPr>
      </w:pPr>
    </w:p>
    <w:p>
      <w:pPr>
        <w:ind w:right="800"/>
        <w:spacing w:after="0" w:line="283" w:lineRule="auto"/>
        <w:rPr>
          <w:sz w:val="20"/>
          <w:szCs w:val="20"/>
          <w:color w:val="auto"/>
        </w:rPr>
      </w:pPr>
      <w:r>
        <w:rPr>
          <w:rFonts w:ascii="Arial" w:cs="Arial" w:eastAsia="Arial" w:hAnsi="Arial"/>
          <w:sz w:val="15"/>
          <w:szCs w:val="15"/>
          <w:color w:val="auto"/>
        </w:rPr>
        <w:t>Contributions by the Company totaled $87,571 and $74,268 for the years ended December 31, 2013 and 2014, respectively, and $70,142 and $79,178 for the nine months ended September 30, 2014 and 2015, have been recorded in the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Company has completed an evaluation of all subsequent events after the audited balance sheet date of December 31, 2014 through November 24, 2015 and the unaudited balance sheet date of September 30, 2015 through November 24, 2015. The Company has concluded that no subsequent events have occurred that require disclosure, except as disclosed within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130810</wp:posOffset>
            </wp:positionV>
            <wp:extent cx="4708525" cy="117919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708525" cy="117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(25 days after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104140</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Part II</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3"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Initial listing fee</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Blue Sky fees and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 Agent's fees and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840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7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3"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567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0"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3"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9" w:lineRule="exact"/>
        <w:rPr>
          <w:sz w:val="20"/>
          <w:szCs w:val="20"/>
          <w:color w:val="auto"/>
        </w:rPr>
      </w:pPr>
    </w:p>
    <w:p>
      <w:pPr>
        <w:ind w:right="580"/>
        <w:spacing w:after="0" w:line="283"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0"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9"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From November 1, 2012 through October 31, 2015 the registrant granted stock options to purchase an aggregate of 2,167,569 shares of its common stock with exercise prices ranging between $0.71 and $2.30 per share, and shares of 128,239 restricted common stock to employees, non-employees, and directors in connection with services provided to the registrant by such parties.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9"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On July 24, 2015, the registrant issued warrants to purchase up to 315,198 shares of common stock to accredited investors pursuant to Section 4(a)(2) of the Securities Act and Rule 506 as a transaction not involving a public offering.</w:t>
      </w:r>
    </w:p>
    <w:p>
      <w:pPr>
        <w:spacing w:after="0" w:line="150"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2,222,213 shares of common stock to accredited investors pursuant to Section 4(a)(2) of the Securities Act and Rule 506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(d)  Promissory Notes.</w:t>
      </w:r>
    </w:p>
    <w:p>
      <w:pPr>
        <w:spacing w:after="0" w:line="199"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On August 9, 2013, the registrant issued an aggregate of $3.0 million in principal amount of secured promissory notes to Oxford and Square 1 Bank pursuant to Section 4(a)(2) of the Securities Act as a transaction not involving a public offering.</w:t>
      </w:r>
    </w:p>
    <w:p>
      <w:pPr>
        <w:spacing w:after="0" w:line="150" w:lineRule="exact"/>
        <w:rPr>
          <w:sz w:val="20"/>
          <w:szCs w:val="20"/>
          <w:color w:val="auto"/>
        </w:rPr>
      </w:pPr>
    </w:p>
    <w:p>
      <w:pPr>
        <w:ind w:right="580"/>
        <w:spacing w:after="0" w:line="283" w:lineRule="auto"/>
        <w:rPr>
          <w:sz w:val="20"/>
          <w:szCs w:val="20"/>
          <w:color w:val="auto"/>
        </w:rPr>
      </w:pPr>
      <w:r>
        <w:rPr>
          <w:rFonts w:ascii="Arial" w:cs="Arial" w:eastAsia="Arial" w:hAnsi="Arial"/>
          <w:sz w:val="15"/>
          <w:szCs w:val="15"/>
          <w:color w:val="auto"/>
        </w:rPr>
        <w:t>On July 25, 2014, the registrant issued an aggregate of $4.5 million in principal amount of secured promissory notes to Oxford and Square 1 Bank pursuant to Section 4(a)(2) of the Securities Act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On April 10, 2015 and June 23, 2015, the registrant issued an aggregate of $7.0 million in principal amount of convertible promissory notes to accredited investors pursuant to Section 4(a)</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480" w:type="dxa"/>
            <w:vAlign w:val="bottom"/>
          </w:tcPr>
          <w:p>
            <w:pPr>
              <w:spacing w:after="0"/>
              <w:rPr>
                <w:sz w:val="12"/>
                <w:szCs w:val="12"/>
                <w:color w:val="auto"/>
              </w:rPr>
            </w:pPr>
          </w:p>
        </w:tc>
      </w:tr>
      <w:tr>
        <w:trPr>
          <w:trHeight w:val="149"/>
        </w:trPr>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480" w:type="dxa"/>
            <w:vAlign w:val="bottom"/>
          </w:tcPr>
          <w:p>
            <w:pPr>
              <w:ind w:left="4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5"/>
                <w:szCs w:val="15"/>
                <w:color w:val="auto"/>
                <w:w w:val="97"/>
              </w:rPr>
              <w:t>1.1*</w:t>
            </w:r>
          </w:p>
        </w:tc>
        <w:tc>
          <w:tcPr>
            <w:tcW w:w="848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Underwriting Agreement</w:t>
            </w:r>
          </w:p>
        </w:tc>
      </w:tr>
      <w:tr>
        <w:trPr>
          <w:trHeight w:val="387"/>
        </w:trPr>
        <w:tc>
          <w:tcPr>
            <w:tcW w:w="660" w:type="dxa"/>
            <w:vAlign w:val="bottom"/>
            <w:gridSpan w:val="2"/>
          </w:tcPr>
          <w:p>
            <w:pPr>
              <w:ind w:left="380"/>
              <w:spacing w:after="0"/>
              <w:rPr>
                <w:sz w:val="20"/>
                <w:szCs w:val="20"/>
                <w:color w:val="auto"/>
              </w:rPr>
            </w:pPr>
            <w:r>
              <w:rPr>
                <w:rFonts w:ascii="Arial" w:cs="Arial" w:eastAsia="Arial" w:hAnsi="Arial"/>
                <w:sz w:val="15"/>
                <w:szCs w:val="15"/>
                <w:color w:val="auto"/>
              </w:rPr>
              <w:t>3.1</w:t>
            </w:r>
          </w:p>
        </w:tc>
        <w:tc>
          <w:tcPr>
            <w:tcW w:w="8480" w:type="dxa"/>
            <w:vAlign w:val="bottom"/>
          </w:tcPr>
          <w:p>
            <w:pPr>
              <w:ind w:left="4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5"/>
        </w:trPr>
        <w:tc>
          <w:tcPr>
            <w:tcW w:w="660" w:type="dxa"/>
            <w:vAlign w:val="bottom"/>
            <w:gridSpan w:val="2"/>
          </w:tcPr>
          <w:p>
            <w:pPr>
              <w:ind w:left="380"/>
              <w:spacing w:after="0"/>
              <w:rPr>
                <w:sz w:val="20"/>
                <w:szCs w:val="20"/>
                <w:color w:val="auto"/>
              </w:rPr>
            </w:pPr>
            <w:r>
              <w:rPr>
                <w:rFonts w:ascii="Arial" w:cs="Arial" w:eastAsia="Arial" w:hAnsi="Arial"/>
                <w:sz w:val="15"/>
                <w:szCs w:val="15"/>
                <w:color w:val="auto"/>
              </w:rPr>
              <w:t>3.2</w:t>
            </w:r>
          </w:p>
        </w:tc>
        <w:tc>
          <w:tcPr>
            <w:tcW w:w="8480" w:type="dxa"/>
            <w:vAlign w:val="bottom"/>
          </w:tcPr>
          <w:p>
            <w:pPr>
              <w:ind w:left="40"/>
              <w:spacing w:after="0"/>
              <w:rPr>
                <w:sz w:val="20"/>
                <w:szCs w:val="20"/>
                <w:color w:val="auto"/>
              </w:rPr>
            </w:pPr>
            <w:r>
              <w:rPr>
                <w:rFonts w:ascii="Arial" w:cs="Arial" w:eastAsia="Arial" w:hAnsi="Arial"/>
                <w:sz w:val="15"/>
                <w:szCs w:val="15"/>
                <w:color w:val="auto"/>
              </w:rPr>
              <w:t>Bylaws of the Registrant (currently in effect)</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3.3* Form of Restated Certificate of Incorporation of the Registrant (to be effective upon the closing of this offering)</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3.4* Form of Restated Bylaws of the Registrant (to be effective upon the closing of this offering)</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4.1* Amended and Restated Investors' Rights Agreement</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4.2* Specimen Stock Certificate evidencing the shares of common stock</w:t>
            </w:r>
          </w:p>
        </w:tc>
      </w:tr>
      <w:tr>
        <w:trPr>
          <w:trHeight w:val="390"/>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w w:val="95"/>
              </w:rPr>
              <w:t>4.3* 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80" w:type="dxa"/>
            <w:vAlign w:val="bottom"/>
          </w:tcPr>
          <w:p>
            <w:pPr>
              <w:ind w:left="40"/>
              <w:spacing w:after="0"/>
              <w:rPr>
                <w:sz w:val="20"/>
                <w:szCs w:val="20"/>
                <w:color w:val="auto"/>
              </w:rPr>
            </w:pPr>
            <w:r>
              <w:rPr>
                <w:rFonts w:ascii="Arial" w:cs="Arial" w:eastAsia="Arial" w:hAnsi="Arial"/>
                <w:sz w:val="15"/>
                <w:szCs w:val="15"/>
                <w:color w:val="auto"/>
              </w:rPr>
              <w:t>Convertible Notes Financing</w:t>
            </w:r>
          </w:p>
        </w:tc>
      </w:tr>
    </w:tbl>
    <w:p>
      <w:pPr>
        <w:spacing w:after="0" w:line="181" w:lineRule="exact"/>
        <w:rPr>
          <w:sz w:val="20"/>
          <w:szCs w:val="20"/>
          <w:color w:val="auto"/>
        </w:rPr>
      </w:pPr>
    </w:p>
    <w:p>
      <w:pPr>
        <w:ind w:left="1840" w:right="120" w:hanging="327"/>
        <w:spacing w:after="0" w:line="315" w:lineRule="auto"/>
        <w:rPr>
          <w:sz w:val="20"/>
          <w:szCs w:val="20"/>
          <w:color w:val="auto"/>
        </w:rPr>
      </w:pPr>
      <w:r>
        <w:rPr>
          <w:rFonts w:ascii="Arial" w:cs="Arial" w:eastAsia="Arial" w:hAnsi="Arial"/>
          <w:sz w:val="15"/>
          <w:szCs w:val="15"/>
          <w:color w:val="auto"/>
        </w:rPr>
        <w:t>4.4* Form of Warrant to Purchase Common Stock, dated August 27, 2015, September 3, 2015 or September 17, 2015, issued by the Registrant to Investors in the Registrant's Series E Preferred Stock Financing</w:t>
      </w:r>
    </w:p>
    <w:p>
      <w:pPr>
        <w:spacing w:after="0" w:line="127" w:lineRule="exact"/>
        <w:rPr>
          <w:sz w:val="20"/>
          <w:szCs w:val="20"/>
          <w:color w:val="auto"/>
        </w:rPr>
      </w:pPr>
    </w:p>
    <w:p>
      <w:pPr>
        <w:ind w:left="1840" w:right="20" w:hanging="327"/>
        <w:spacing w:after="0" w:line="315" w:lineRule="auto"/>
        <w:rPr>
          <w:sz w:val="20"/>
          <w:szCs w:val="20"/>
          <w:color w:val="auto"/>
        </w:rPr>
      </w:pPr>
      <w:r>
        <w:rPr>
          <w:rFonts w:ascii="Arial" w:cs="Arial" w:eastAsia="Arial" w:hAnsi="Arial"/>
          <w:sz w:val="15"/>
          <w:szCs w:val="15"/>
          <w:color w:val="auto"/>
        </w:rPr>
        <w:t>4.5* Form of Warrant to Purchase Shares of Series D Preferred Stock, dated August 9, 2013 or July 25, 2014, issued by the Registrant to Oxford Finance LLC and Square One Bank</w:t>
      </w:r>
    </w:p>
    <w:p>
      <w:pPr>
        <w:spacing w:after="0" w:line="127"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5.1* Opinion of Latham &amp; Watkins LLP</w:t>
      </w:r>
    </w:p>
    <w:p>
      <w:pPr>
        <w:spacing w:after="0" w:line="245"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2008 Stock Incentive Plan, as amended, and form of option agreements thereunder</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10.2* 2015 Incentive Award Plan and form of option agreement thereunder</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10.3* Non-Employee Director Compensation Program</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10.4* Form of Indemnification Agreement for Directors and Officers</w:t>
      </w:r>
    </w:p>
    <w:p>
      <w:pPr>
        <w:spacing w:after="0" w:line="222" w:lineRule="exact"/>
        <w:rPr>
          <w:sz w:val="20"/>
          <w:szCs w:val="20"/>
          <w:color w:val="auto"/>
        </w:rPr>
      </w:pPr>
    </w:p>
    <w:p>
      <w:pPr>
        <w:ind w:left="1840" w:right="300" w:hanging="402"/>
        <w:spacing w:after="0" w:line="315" w:lineRule="auto"/>
        <w:rPr>
          <w:sz w:val="20"/>
          <w:szCs w:val="20"/>
          <w:color w:val="auto"/>
        </w:rPr>
      </w:pPr>
      <w:r>
        <w:rPr>
          <w:rFonts w:ascii="Arial" w:cs="Arial" w:eastAsia="Arial" w:hAnsi="Arial"/>
          <w:sz w:val="15"/>
          <w:szCs w:val="15"/>
          <w:color w:val="auto"/>
        </w:rPr>
        <w:t>10.5* Loan and Security Agreement, dated as of August 9, 2013, by and between the Registrant, Oxford Finance LLC and Square 1 Bank, as amended on May 9, 2014 and October 8, 2015</w:t>
      </w:r>
    </w:p>
    <w:p>
      <w:pPr>
        <w:spacing w:after="0" w:line="127" w:lineRule="exact"/>
        <w:rPr>
          <w:sz w:val="20"/>
          <w:szCs w:val="20"/>
          <w:color w:val="auto"/>
        </w:rPr>
      </w:pPr>
    </w:p>
    <w:p>
      <w:pPr>
        <w:ind w:left="1840" w:right="260" w:hanging="402"/>
        <w:spacing w:after="0" w:line="315" w:lineRule="auto"/>
        <w:rPr>
          <w:sz w:val="20"/>
          <w:szCs w:val="20"/>
          <w:color w:val="auto"/>
        </w:rPr>
      </w:pPr>
      <w:r>
        <w:rPr>
          <w:rFonts w:ascii="Arial" w:cs="Arial" w:eastAsia="Arial" w:hAnsi="Arial"/>
          <w:sz w:val="15"/>
          <w:szCs w:val="15"/>
          <w:color w:val="auto"/>
        </w:rPr>
        <w:t>10.6* Exclusive Patent License Agreement, dated as of November 25, 2008, by and between the Registrant and the Massachusetts Institute of Technology</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10.7* License and Research Collaboration Agreement, dated as of November 11, 2012, by and between the Registrant and Sanofi</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10.8* License Agreement, dated as of May 12, 204, by and between the Registrant and Shenyang Sunshine Pharmaceutical Co., Ltd.</w:t>
      </w:r>
    </w:p>
    <w:p>
      <w:pPr>
        <w:spacing w:after="0" w:line="234" w:lineRule="exact"/>
        <w:rPr>
          <w:sz w:val="20"/>
          <w:szCs w:val="20"/>
          <w:color w:val="auto"/>
        </w:rPr>
      </w:pPr>
    </w:p>
    <w:p>
      <w:pPr>
        <w:ind w:left="1840" w:right="1220" w:hanging="402"/>
        <w:spacing w:after="0" w:line="315" w:lineRule="auto"/>
        <w:rPr>
          <w:sz w:val="20"/>
          <w:szCs w:val="20"/>
          <w:color w:val="auto"/>
        </w:rPr>
      </w:pPr>
      <w:r>
        <w:rPr>
          <w:rFonts w:ascii="Arial" w:cs="Arial" w:eastAsia="Arial" w:hAnsi="Arial"/>
          <w:sz w:val="15"/>
          <w:szCs w:val="15"/>
          <w:color w:val="auto"/>
        </w:rPr>
        <w:t>10.9* Manufacturing Services Agreement, dated as of August 1, 2014, by and between the Registrant and Shenyang Sunshine Pharmaceutical Co., Ltd.</w:t>
      </w:r>
    </w:p>
    <w:p>
      <w:pPr>
        <w:spacing w:after="0" w:line="12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10.10* Patent Cross-License Agreement, dated as of December 18, 2008, by and between the Registrant and BIND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26567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45" w:name="page246"/>
    <w:bookmarkEnd w:id="245"/>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397"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6985</wp:posOffset>
            </wp:positionV>
            <wp:extent cx="580707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807075"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240"/>
            <w:col w:w="9600"/>
          </w:cols>
          <w:pgMar w:left="240" w:top="132" w:right="219" w:bottom="1440" w:gutter="0" w:footer="0" w:header="0"/>
          <w:type w:val="continuous"/>
        </w:sectPr>
      </w:pPr>
    </w:p>
    <w:p>
      <w:pPr>
        <w:ind w:left="1840" w:right="1260" w:hanging="472"/>
        <w:spacing w:after="0" w:line="271" w:lineRule="auto"/>
        <w:rPr>
          <w:sz w:val="20"/>
          <w:szCs w:val="20"/>
          <w:color w:val="auto"/>
        </w:rPr>
      </w:pPr>
      <w:r>
        <w:rPr>
          <w:rFonts w:ascii="Arial" w:cs="Arial" w:eastAsia="Arial" w:hAnsi="Arial"/>
          <w:sz w:val="15"/>
          <w:szCs w:val="15"/>
          <w:color w:val="auto"/>
        </w:rPr>
        <w:t>10.11* Lease, dated as of September 30, 2008, as amended by the First Amendment, dated as of July 12, 2011 and the Second Amendment, dated as of October 11, 2011, by and between the Registrant and ARE-480 Arsenal Street, LLC</w:t>
      </w:r>
    </w:p>
    <w:p>
      <w:pPr>
        <w:spacing w:after="0" w:line="159"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10.12* Consulting Agreement, dated as of March 10, 2008, as amended by the First Amendment to Consulting Agreement, dated as of January 1,</w:t>
      </w:r>
    </w:p>
    <w:p>
      <w:pPr>
        <w:spacing w:after="0" w:line="4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2012, by and between the Registrant and Robert S. Langer</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10.13* Consulting Agreement, dated as of March 10, 2008, as amended by the First Amendment to Consulting Agreement, dated as of January 1,</w:t>
      </w:r>
    </w:p>
    <w:p>
      <w:pPr>
        <w:spacing w:after="0" w:line="4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2012, by and between the Registrant and Omid Farokhzad</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10.14* Consulting Agreement, dated as of March 10, 2008, as amended by the First Amendment to Consulting Agreement, dated as of January 1,</w:t>
      </w:r>
    </w:p>
    <w:p>
      <w:pPr>
        <w:spacing w:after="0" w:line="4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2012, by and between the Registrant and Ulrich von Andrian</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10.15* Employment Agreement, dated as of July 19, 2010, by and between the Registrant and Werner Cautreels</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10.16* Employment Agreement, dated as of June 22, 2011, by and between the Registrant and Takashi Kei Kishimoto</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10.17* Employment Agreement, dated as of January 7, 2011, by and between the Registrant and Peter Keller</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10.18* Employment Agreement, dated as of June 22, 2011, by and between the Registrant and Earl E. Sands</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10.19* Offer Letter, dated as of June 30, 2015, by and between the Registrant and Earl (Skip) E. Sands, M.D.</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10.20* Offer Letter, dated as of June 2, 2008, by and between the Registrant and Lloyd P. M. Johnston, Ph.D.</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10.21* Offer Letter, dated as of April 4, 2011, by and between the Registrant and David Abraham</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10.22* Offer Letter, dated as of September 4, 2009, by and between the Registrant and David Siewers</w:t>
      </w:r>
    </w:p>
    <w:p>
      <w:pPr>
        <w:spacing w:after="0" w:line="222" w:lineRule="exact"/>
        <w:rPr>
          <w:sz w:val="20"/>
          <w:szCs w:val="20"/>
          <w:color w:val="auto"/>
        </w:rPr>
      </w:pPr>
    </w:p>
    <w:p>
      <w:pPr>
        <w:ind w:left="1840" w:right="1600" w:hanging="478"/>
        <w:spacing w:after="0" w:line="315" w:lineRule="auto"/>
        <w:rPr>
          <w:sz w:val="20"/>
          <w:szCs w:val="20"/>
          <w:color w:val="auto"/>
        </w:rPr>
      </w:pPr>
      <w:r>
        <w:rPr>
          <w:rFonts w:ascii="Arial" w:cs="Arial" w:eastAsia="Arial" w:hAnsi="Arial"/>
          <w:sz w:val="15"/>
          <w:szCs w:val="15"/>
          <w:color w:val="auto"/>
        </w:rPr>
        <w:t>10.23* Independent Director Consulting Agreement, dated as of May 5, 2009, as amended by the First Amendment to Independent Director Consulting Agreement, dated as of July 22, 2009, by and between George R. Siber, M.D.</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21.1* Subsidiaries of the Registrant</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23.1* Consent of Ernst &amp; Young LLP</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23.2* Consent of Latham &amp; Watkins LLP (included in Exhibit 5.1)</w:t>
      </w:r>
    </w:p>
    <w:p>
      <w:pPr>
        <w:spacing w:after="0" w:line="245"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71755</wp:posOffset>
            </wp:positionV>
            <wp:extent cx="58928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89280" cy="7620"/>
                    </a:xfrm>
                    <a:prstGeom prst="rect">
                      <a:avLst/>
                    </a:prstGeom>
                    <a:noFill/>
                  </pic:spPr>
                </pic:pic>
              </a:graphicData>
            </a:graphic>
          </wp:anchor>
        </w:drawing>
      </w:r>
    </w:p>
    <w:p>
      <w:pPr>
        <w:spacing w:after="0" w:line="270" w:lineRule="exact"/>
        <w:rPr>
          <w:sz w:val="20"/>
          <w:szCs w:val="20"/>
          <w:color w:val="auto"/>
        </w:rPr>
      </w:pPr>
    </w:p>
    <w:p>
      <w:pPr>
        <w:ind w:left="1600" w:hanging="463"/>
        <w:spacing w:after="0"/>
        <w:tabs>
          <w:tab w:leader="none" w:pos="160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6" w:lineRule="exact"/>
        <w:rPr>
          <w:sz w:val="20"/>
          <w:szCs w:val="20"/>
          <w:color w:val="auto"/>
        </w:rPr>
      </w:pPr>
    </w:p>
    <w:p>
      <w:pPr>
        <w:ind w:left="1600" w:hanging="463"/>
        <w:spacing w:after="0"/>
        <w:tabs>
          <w:tab w:leader="none" w:pos="160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46" w:name="page247"/>
    <w:bookmarkEnd w:id="24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hanging="7"/>
        <w:spacing w:after="0" w:line="283" w:lineRule="auto"/>
        <w:tabs>
          <w:tab w:leader="none" w:pos="296" w:val="left"/>
        </w:tabs>
        <w:numPr>
          <w:ilvl w:val="0"/>
          <w:numId w:val="132"/>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46"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3"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0" w:lineRule="exact"/>
        <w:rPr>
          <w:sz w:val="20"/>
          <w:szCs w:val="20"/>
          <w:color w:val="auto"/>
        </w:rPr>
      </w:pPr>
    </w:p>
    <w:p>
      <w:pPr>
        <w:ind w:left="7" w:right="20"/>
        <w:spacing w:after="0" w:line="311"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7" w:right="100" w:hanging="463"/>
        <w:spacing w:after="0" w:line="270" w:lineRule="auto"/>
        <w:tabs>
          <w:tab w:leader="none" w:pos="92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5"/>
          <w:szCs w:val="15"/>
          <w:color w:val="auto"/>
        </w:rPr>
      </w:pPr>
    </w:p>
    <w:p>
      <w:pPr>
        <w:ind w:left="927" w:right="340" w:hanging="463"/>
        <w:spacing w:after="0" w:line="363" w:lineRule="auto"/>
        <w:tabs>
          <w:tab w:leader="none" w:pos="92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6567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5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Signatures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Act, the registrant has duly caused this registration statement to be signed on its behalf by the undersigned, thereunto duly authorized, in the</w:t>
      </w:r>
    </w:p>
    <w:p>
      <w:pPr>
        <w:spacing w:after="0" w:line="41" w:lineRule="exact"/>
        <w:rPr>
          <w:sz w:val="20"/>
          <w:szCs w:val="20"/>
          <w:color w:val="auto"/>
        </w:rPr>
      </w:pPr>
    </w:p>
    <w:p>
      <w:pPr>
        <w:spacing w:after="0"/>
        <w:tabs>
          <w:tab w:leader="none" w:pos="4360" w:val="left"/>
          <w:tab w:leader="none" w:pos="5760" w:val="left"/>
        </w:tabs>
        <w:rPr>
          <w:sz w:val="20"/>
          <w:szCs w:val="20"/>
          <w:color w:val="auto"/>
        </w:rPr>
      </w:pPr>
      <w:r>
        <w:rPr>
          <w:rFonts w:ascii="Arial" w:cs="Arial" w:eastAsia="Arial" w:hAnsi="Arial"/>
          <w:sz w:val="15"/>
          <w:szCs w:val="15"/>
          <w:color w:val="auto"/>
        </w:rPr>
        <w:t>City of Watertown, Commonwealth of Massachusetts, on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3"/>
          <w:szCs w:val="13"/>
          <w:color w:val="auto"/>
        </w:rPr>
        <w:t>, 2015.</w:t>
      </w:r>
    </w:p>
    <w:p>
      <w:pPr>
        <w:spacing w:after="0" w:line="200" w:lineRule="exact"/>
        <w:rPr>
          <w:sz w:val="20"/>
          <w:szCs w:val="20"/>
          <w:color w:val="auto"/>
        </w:rPr>
      </w:pPr>
    </w:p>
    <w:p>
      <w:pPr>
        <w:spacing w:after="0" w:line="20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64770</wp:posOffset>
            </wp:positionV>
            <wp:extent cx="335280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52800" cy="7620"/>
                    </a:xfrm>
                    <a:prstGeom prst="rect">
                      <a:avLst/>
                    </a:prstGeom>
                    <a:noFill/>
                  </pic:spPr>
                </pic:pic>
              </a:graphicData>
            </a:graphic>
          </wp:anchor>
        </w:drawing>
      </w:r>
    </w:p>
    <w:p>
      <w:pPr>
        <w:spacing w:after="0" w:line="156"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Signatures and power of attorney</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8"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82866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828665" cy="7620"/>
                    </a:xfrm>
                    <a:prstGeom prst="rect">
                      <a:avLst/>
                    </a:prstGeom>
                    <a:noFill/>
                  </pic:spPr>
                </pic:pic>
              </a:graphicData>
            </a:graphic>
          </wp:anchor>
        </w:drawing>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President, Chief Executive Officer and Director (principal executive officer)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89"/>
              </w:rPr>
              <w:t>Werner Cautreels, Ph.D.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Chief Financial Officer (principal financial officer and principal accounting</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8"/>
        </w:trPr>
        <w:tc>
          <w:tcPr>
            <w:tcW w:w="2720" w:type="dxa"/>
            <w:vAlign w:val="bottom"/>
            <w:tcBorders>
              <w:bottom w:val="single" w:sz="8" w:color="auto"/>
            </w:tcBorders>
          </w:tcPr>
          <w:p>
            <w:pPr>
              <w:spacing w:after="0"/>
              <w:rPr>
                <w:sz w:val="7"/>
                <w:szCs w:val="7"/>
                <w:color w:val="auto"/>
              </w:rPr>
            </w:pPr>
          </w:p>
        </w:tc>
        <w:tc>
          <w:tcPr>
            <w:tcW w:w="5360" w:type="dxa"/>
            <w:vAlign w:val="bottom"/>
            <w:vMerge w:val="restart"/>
          </w:tcPr>
          <w:p>
            <w:pPr>
              <w:ind w:left="120"/>
              <w:spacing w:after="0" w:line="163" w:lineRule="exact"/>
              <w:rPr>
                <w:sz w:val="20"/>
                <w:szCs w:val="20"/>
                <w:color w:val="auto"/>
              </w:rPr>
            </w:pPr>
            <w:r>
              <w:rPr>
                <w:rFonts w:ascii="Arial" w:cs="Arial" w:eastAsia="Arial" w:hAnsi="Arial"/>
                <w:sz w:val="15"/>
                <w:szCs w:val="15"/>
                <w:color w:val="auto"/>
              </w:rPr>
              <w:t>officer)</w:t>
            </w: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53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3"/>
              </w:rPr>
              <w:t>David Siewers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Omid Farokhzad, M.D.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Carl Gordon, Ph.D.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1"/>
              </w:rPr>
              <w:t>Peter Barton Hutt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Edwin M. Kania, Jr.</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0"/>
              </w:rPr>
              <w:t>Robert Langer, Sc.D.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Amir Nashat, Sc.D.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567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Signatures and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82866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828665" cy="7620"/>
                    </a:xfrm>
                    <a:prstGeom prst="rect">
                      <a:avLst/>
                    </a:prstGeom>
                    <a:noFill/>
                  </pic:spPr>
                </pic:pic>
              </a:graphicData>
            </a:graphic>
          </wp:anchor>
        </w:drawing>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r>
        <w:trPr>
          <w:trHeight w:val="84"/>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3"/>
              </w:rPr>
              <w:t>Aymeric Sallin, M.S.</w:t>
            </w:r>
          </w:p>
        </w:tc>
        <w:tc>
          <w:tcPr>
            <w:tcW w:w="3060" w:type="dxa"/>
            <w:vAlign w:val="bottom"/>
          </w:tcPr>
          <w:p>
            <w:pPr>
              <w:spacing w:after="0"/>
              <w:rPr>
                <w:sz w:val="21"/>
                <w:szCs w:val="21"/>
                <w:color w:val="auto"/>
              </w:rPr>
            </w:pPr>
          </w:p>
        </w:tc>
      </w:tr>
      <w:tr>
        <w:trPr>
          <w:trHeight w:val="395"/>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r>
        <w:trPr>
          <w:trHeight w:val="84"/>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1"/>
              </w:rPr>
              <w:t>George Siber, M.D.</w:t>
            </w:r>
          </w:p>
        </w:tc>
        <w:tc>
          <w:tcPr>
            <w:tcW w:w="3060" w:type="dxa"/>
            <w:vAlign w:val="bottom"/>
          </w:tcPr>
          <w:p>
            <w:pPr>
              <w:spacing w:after="0"/>
              <w:rPr>
                <w:sz w:val="21"/>
                <w:szCs w:val="21"/>
                <w:color w:val="auto"/>
              </w:rPr>
            </w:pPr>
          </w:p>
        </w:tc>
      </w:tr>
      <w:tr>
        <w:trPr>
          <w:trHeight w:val="395"/>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53340</wp:posOffset>
            </wp:positionV>
            <wp:extent cx="173164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spacing w:after="0" w:line="13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Exhibit index</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460" w:type="dxa"/>
            <w:vAlign w:val="bottom"/>
          </w:tcPr>
          <w:p>
            <w:pPr>
              <w:spacing w:after="0"/>
              <w:rPr>
                <w:sz w:val="12"/>
                <w:szCs w:val="12"/>
                <w:color w:val="auto"/>
              </w:rPr>
            </w:pPr>
          </w:p>
        </w:tc>
      </w:tr>
      <w:tr>
        <w:trPr>
          <w:trHeight w:val="149"/>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460" w:type="dxa"/>
            <w:vAlign w:val="bottom"/>
          </w:tcPr>
          <w:p>
            <w:pPr>
              <w:ind w:left="2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660" w:type="dxa"/>
            <w:vAlign w:val="bottom"/>
            <w:tcBorders>
              <w:top w:val="single" w:sz="8" w:color="auto"/>
            </w:tcBorders>
          </w:tcPr>
          <w:p>
            <w:pPr>
              <w:ind w:left="360"/>
              <w:spacing w:after="0"/>
              <w:rPr>
                <w:sz w:val="20"/>
                <w:szCs w:val="20"/>
                <w:color w:val="auto"/>
              </w:rPr>
            </w:pPr>
            <w:r>
              <w:rPr>
                <w:rFonts w:ascii="Arial" w:cs="Arial" w:eastAsia="Arial" w:hAnsi="Arial"/>
                <w:sz w:val="15"/>
                <w:szCs w:val="15"/>
                <w:color w:val="auto"/>
              </w:rPr>
              <w:t>1.1*</w:t>
            </w: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Underwriting Agreement</w:t>
            </w:r>
          </w:p>
        </w:tc>
      </w:tr>
      <w:tr>
        <w:trPr>
          <w:trHeight w:val="387"/>
        </w:trPr>
        <w:tc>
          <w:tcPr>
            <w:tcW w:w="680" w:type="dxa"/>
            <w:vAlign w:val="bottom"/>
            <w:gridSpan w:val="2"/>
          </w:tcPr>
          <w:p>
            <w:pPr>
              <w:ind w:left="380"/>
              <w:spacing w:after="0"/>
              <w:rPr>
                <w:sz w:val="20"/>
                <w:szCs w:val="20"/>
                <w:color w:val="auto"/>
              </w:rPr>
            </w:pPr>
            <w:r>
              <w:rPr>
                <w:rFonts w:ascii="Arial" w:cs="Arial" w:eastAsia="Arial" w:hAnsi="Arial"/>
                <w:sz w:val="15"/>
                <w:szCs w:val="15"/>
                <w:color w:val="auto"/>
              </w:rPr>
              <w:t>3.1</w:t>
            </w:r>
          </w:p>
        </w:tc>
        <w:tc>
          <w:tcPr>
            <w:tcW w:w="8460" w:type="dxa"/>
            <w:vAlign w:val="bottom"/>
          </w:tcPr>
          <w:p>
            <w:pPr>
              <w:ind w:left="2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5"/>
        </w:trPr>
        <w:tc>
          <w:tcPr>
            <w:tcW w:w="680" w:type="dxa"/>
            <w:vAlign w:val="bottom"/>
            <w:gridSpan w:val="2"/>
          </w:tcPr>
          <w:p>
            <w:pPr>
              <w:ind w:left="380"/>
              <w:spacing w:after="0"/>
              <w:rPr>
                <w:sz w:val="20"/>
                <w:szCs w:val="20"/>
                <w:color w:val="auto"/>
              </w:rPr>
            </w:pPr>
            <w:r>
              <w:rPr>
                <w:rFonts w:ascii="Arial" w:cs="Arial" w:eastAsia="Arial" w:hAnsi="Arial"/>
                <w:sz w:val="15"/>
                <w:szCs w:val="15"/>
                <w:color w:val="auto"/>
              </w:rPr>
              <w:t>3.2</w:t>
            </w:r>
          </w:p>
        </w:tc>
        <w:tc>
          <w:tcPr>
            <w:tcW w:w="8460" w:type="dxa"/>
            <w:vAlign w:val="bottom"/>
          </w:tcPr>
          <w:p>
            <w:pPr>
              <w:ind w:left="20"/>
              <w:spacing w:after="0"/>
              <w:rPr>
                <w:sz w:val="20"/>
                <w:szCs w:val="20"/>
                <w:color w:val="auto"/>
              </w:rPr>
            </w:pPr>
            <w:r>
              <w:rPr>
                <w:rFonts w:ascii="Arial" w:cs="Arial" w:eastAsia="Arial" w:hAnsi="Arial"/>
                <w:sz w:val="15"/>
                <w:szCs w:val="15"/>
                <w:color w:val="auto"/>
              </w:rPr>
              <w:t>Bylaws of the Registrant (currently in effect)</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3.3* Form of Restated Certificate of Incorporation of the Registrant (to be effective upon the closing of this offering)</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3.4* Form of Restated Bylaws of the Registrant (to be effective upon the closing of this offering)</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4.1* Amended and Restated Investors' Rights Agreement</w:t>
            </w:r>
          </w:p>
        </w:tc>
      </w:tr>
      <w:tr>
        <w:trPr>
          <w:trHeight w:val="395"/>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rPr>
              <w:t>4.2* Specimen Stock Certificate evidencing the shares of common stock</w:t>
            </w:r>
          </w:p>
        </w:tc>
      </w:tr>
      <w:tr>
        <w:trPr>
          <w:trHeight w:val="390"/>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w w:val="95"/>
              </w:rPr>
              <w:t>4.3* 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60" w:type="dxa"/>
            <w:vAlign w:val="bottom"/>
          </w:tcPr>
          <w:p>
            <w:pPr>
              <w:ind w:left="20"/>
              <w:spacing w:after="0"/>
              <w:rPr>
                <w:sz w:val="20"/>
                <w:szCs w:val="20"/>
                <w:color w:val="auto"/>
              </w:rPr>
            </w:pPr>
            <w:r>
              <w:rPr>
                <w:rFonts w:ascii="Arial" w:cs="Arial" w:eastAsia="Arial" w:hAnsi="Arial"/>
                <w:sz w:val="15"/>
                <w:szCs w:val="15"/>
                <w:color w:val="auto"/>
              </w:rPr>
              <w:t>Convertible Notes Financing</w:t>
            </w:r>
          </w:p>
        </w:tc>
      </w:tr>
      <w:tr>
        <w:trPr>
          <w:trHeight w:val="390"/>
        </w:trPr>
        <w:tc>
          <w:tcPr>
            <w:tcW w:w="20" w:type="dxa"/>
            <w:vAlign w:val="bottom"/>
          </w:tcPr>
          <w:p>
            <w:pPr>
              <w:spacing w:after="0"/>
              <w:rPr>
                <w:sz w:val="24"/>
                <w:szCs w:val="24"/>
                <w:color w:val="auto"/>
              </w:rPr>
            </w:pPr>
          </w:p>
        </w:tc>
        <w:tc>
          <w:tcPr>
            <w:tcW w:w="9120" w:type="dxa"/>
            <w:vAlign w:val="bottom"/>
            <w:gridSpan w:val="2"/>
          </w:tcPr>
          <w:p>
            <w:pPr>
              <w:ind w:left="360"/>
              <w:spacing w:after="0"/>
              <w:rPr>
                <w:sz w:val="20"/>
                <w:szCs w:val="20"/>
                <w:color w:val="auto"/>
              </w:rPr>
            </w:pPr>
            <w:r>
              <w:rPr>
                <w:rFonts w:ascii="Arial" w:cs="Arial" w:eastAsia="Arial" w:hAnsi="Arial"/>
                <w:sz w:val="15"/>
                <w:szCs w:val="15"/>
                <w:color w:val="auto"/>
                <w:w w:val="91"/>
              </w:rPr>
              <w:t>4.4* Form of Warrant to Purchase Common Stock, dated August 27, 2015, September 3, 2015 or September 17, 2015, issued by the Registrant</w:t>
            </w:r>
          </w:p>
        </w:tc>
      </w:t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60" w:type="dxa"/>
            <w:vAlign w:val="bottom"/>
          </w:tcPr>
          <w:p>
            <w:pPr>
              <w:ind w:left="20"/>
              <w:spacing w:after="0"/>
              <w:rPr>
                <w:sz w:val="20"/>
                <w:szCs w:val="20"/>
                <w:color w:val="auto"/>
              </w:rPr>
            </w:pPr>
            <w:r>
              <w:rPr>
                <w:rFonts w:ascii="Arial" w:cs="Arial" w:eastAsia="Arial" w:hAnsi="Arial"/>
                <w:sz w:val="15"/>
                <w:szCs w:val="15"/>
                <w:color w:val="auto"/>
              </w:rPr>
              <w:t>to Investors in the Registrant's Series E Preferred Stock Financing</w:t>
            </w:r>
          </w:p>
        </w:tc>
      </w:tr>
    </w:tbl>
    <w:p>
      <w:pPr>
        <w:spacing w:after="0" w:line="181" w:lineRule="exact"/>
        <w:rPr>
          <w:sz w:val="20"/>
          <w:szCs w:val="20"/>
          <w:color w:val="auto"/>
        </w:rPr>
      </w:pPr>
    </w:p>
    <w:p>
      <w:pPr>
        <w:ind w:left="1840" w:right="20" w:hanging="327"/>
        <w:spacing w:after="0" w:line="315" w:lineRule="auto"/>
        <w:rPr>
          <w:sz w:val="20"/>
          <w:szCs w:val="20"/>
          <w:color w:val="auto"/>
        </w:rPr>
      </w:pPr>
      <w:r>
        <w:rPr>
          <w:rFonts w:ascii="Arial" w:cs="Arial" w:eastAsia="Arial" w:hAnsi="Arial"/>
          <w:sz w:val="15"/>
          <w:szCs w:val="15"/>
          <w:color w:val="auto"/>
        </w:rPr>
        <w:t>4.5* Form of Warrant to Purchase Shares of Series D Preferred Stock, dated August 9, 2013 or July 25, 2014, issued by the Registrant to Oxford Finance LLC and Square One Bank</w:t>
      </w:r>
    </w:p>
    <w:p>
      <w:pPr>
        <w:spacing w:after="0" w:line="127"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5.1* Opinion of Latham &amp; Watkins LLP</w:t>
      </w:r>
    </w:p>
    <w:p>
      <w:pPr>
        <w:spacing w:after="0" w:line="245"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color w:val="auto"/>
        </w:rPr>
        <w:t>2008 Stock Incentive Plan, as amended, and form of option agreements thereunder</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10.2* 2015 Incentive Award Plan and form of option agreement thereunder</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10.3* Non-Employee Director Compensation Program</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10.4* Form of Indemnification Agreement for Directors and Officers</w:t>
      </w:r>
    </w:p>
    <w:p>
      <w:pPr>
        <w:spacing w:after="0" w:line="222" w:lineRule="exact"/>
        <w:rPr>
          <w:sz w:val="20"/>
          <w:szCs w:val="20"/>
          <w:color w:val="auto"/>
        </w:rPr>
      </w:pPr>
    </w:p>
    <w:p>
      <w:pPr>
        <w:ind w:left="1840" w:right="280" w:hanging="402"/>
        <w:spacing w:after="0" w:line="315" w:lineRule="auto"/>
        <w:rPr>
          <w:sz w:val="20"/>
          <w:szCs w:val="20"/>
          <w:color w:val="auto"/>
        </w:rPr>
      </w:pPr>
      <w:r>
        <w:rPr>
          <w:rFonts w:ascii="Arial" w:cs="Arial" w:eastAsia="Arial" w:hAnsi="Arial"/>
          <w:sz w:val="15"/>
          <w:szCs w:val="15"/>
          <w:color w:val="auto"/>
        </w:rPr>
        <w:t>10.5* Loan and Security Agreement, dated as of August 9, 2013, by and between the Registrant, Oxford Finance LLC and Square 1 Bank, as amended on May 9, 2014 and October 8, 2015</w:t>
      </w:r>
    </w:p>
    <w:p>
      <w:pPr>
        <w:spacing w:after="0" w:line="127" w:lineRule="exact"/>
        <w:rPr>
          <w:sz w:val="20"/>
          <w:szCs w:val="20"/>
          <w:color w:val="auto"/>
        </w:rPr>
      </w:pPr>
    </w:p>
    <w:p>
      <w:pPr>
        <w:ind w:left="1840" w:right="260" w:hanging="402"/>
        <w:spacing w:after="0" w:line="315" w:lineRule="auto"/>
        <w:rPr>
          <w:sz w:val="20"/>
          <w:szCs w:val="20"/>
          <w:color w:val="auto"/>
        </w:rPr>
      </w:pPr>
      <w:r>
        <w:rPr>
          <w:rFonts w:ascii="Arial" w:cs="Arial" w:eastAsia="Arial" w:hAnsi="Arial"/>
          <w:sz w:val="15"/>
          <w:szCs w:val="15"/>
          <w:color w:val="auto"/>
        </w:rPr>
        <w:t>10.6* Exclusive Patent License Agreement, dated as of November 25, 2008, by and between the Registrant and the Massachusetts Institute of Technology</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10.7* License and Research Collaboration Agreement, dated as of November 11, 2012, by and between the Registrant and Sanofi</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10.8* License Agreement, dated as of May 12, 204, by and between the Registrant and Shenyang Sunshine Pharmaceutical Co., Ltd.</w:t>
      </w:r>
    </w:p>
    <w:p>
      <w:pPr>
        <w:spacing w:after="0" w:line="234" w:lineRule="exact"/>
        <w:rPr>
          <w:sz w:val="20"/>
          <w:szCs w:val="20"/>
          <w:color w:val="auto"/>
        </w:rPr>
      </w:pPr>
    </w:p>
    <w:p>
      <w:pPr>
        <w:ind w:left="1840" w:right="1200" w:hanging="402"/>
        <w:spacing w:after="0" w:line="315" w:lineRule="auto"/>
        <w:rPr>
          <w:sz w:val="20"/>
          <w:szCs w:val="20"/>
          <w:color w:val="auto"/>
        </w:rPr>
      </w:pPr>
      <w:r>
        <w:rPr>
          <w:rFonts w:ascii="Arial" w:cs="Arial" w:eastAsia="Arial" w:hAnsi="Arial"/>
          <w:sz w:val="15"/>
          <w:szCs w:val="15"/>
          <w:color w:val="auto"/>
        </w:rPr>
        <w:t>10.9* Manufacturing Services Agreement, dated as of August 1, 2014, by and between the Registrant and Shenyang Sunshine Pharmaceutical Co., Ltd.</w:t>
      </w:r>
    </w:p>
    <w:p>
      <w:pPr>
        <w:spacing w:after="0" w:line="12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10.10* Patent Cross-License Agreement, dated as of December 18, 2008, by and between the Registrant and BIND Therapeutics, Inc.</w:t>
      </w:r>
    </w:p>
    <w:p>
      <w:pPr>
        <w:spacing w:after="0" w:line="234" w:lineRule="exact"/>
        <w:rPr>
          <w:sz w:val="20"/>
          <w:szCs w:val="20"/>
          <w:color w:val="auto"/>
        </w:rPr>
      </w:pPr>
    </w:p>
    <w:p>
      <w:pPr>
        <w:ind w:left="1840" w:right="80" w:hanging="472"/>
        <w:spacing w:after="0" w:line="315" w:lineRule="auto"/>
        <w:rPr>
          <w:sz w:val="20"/>
          <w:szCs w:val="20"/>
          <w:color w:val="auto"/>
        </w:rPr>
      </w:pPr>
      <w:r>
        <w:rPr>
          <w:rFonts w:ascii="Arial" w:cs="Arial" w:eastAsia="Arial" w:hAnsi="Arial"/>
          <w:sz w:val="15"/>
          <w:szCs w:val="15"/>
          <w:color w:val="auto"/>
        </w:rPr>
        <w:t>10.11* Lease, dated as of September 30, 2008, as amended by the First Amendment, dated as of July 12, 2011 and the Second Amendment, dated as of October 11, 2011, by and between the Registrant and ARE-480 Arsenal 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7271385" cy="203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460" w:type="dxa"/>
            <w:vAlign w:val="bottom"/>
          </w:tcPr>
          <w:p>
            <w:pPr>
              <w:spacing w:after="0"/>
              <w:rPr>
                <w:sz w:val="12"/>
                <w:szCs w:val="12"/>
                <w:color w:val="auto"/>
              </w:rPr>
            </w:pPr>
          </w:p>
        </w:tc>
      </w:tr>
      <w:tr>
        <w:trPr>
          <w:trHeight w:val="149"/>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460" w:type="dxa"/>
            <w:vAlign w:val="bottom"/>
          </w:tcPr>
          <w:p>
            <w:pPr>
              <w:ind w:left="20"/>
              <w:spacing w:after="0"/>
              <w:rPr>
                <w:sz w:val="20"/>
                <w:szCs w:val="20"/>
                <w:color w:val="auto"/>
              </w:rPr>
            </w:pPr>
            <w:r>
              <w:rPr>
                <w:rFonts w:ascii="Arial" w:cs="Arial" w:eastAsia="Arial" w:hAnsi="Arial"/>
                <w:sz w:val="12"/>
                <w:szCs w:val="12"/>
                <w:b w:val="1"/>
                <w:bCs w:val="1"/>
                <w:color w:val="auto"/>
              </w:rPr>
              <w:t>Description of exhibit</w:t>
            </w:r>
          </w:p>
        </w:tc>
      </w:tr>
      <w:tr>
        <w:trPr>
          <w:trHeight w:val="170"/>
        </w:trPr>
        <w:tc>
          <w:tcPr>
            <w:tcW w:w="20" w:type="dxa"/>
            <w:vAlign w:val="bottom"/>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10.12*</w:t>
            </w:r>
          </w:p>
        </w:tc>
        <w:tc>
          <w:tcPr>
            <w:tcW w:w="84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5"/>
                <w:szCs w:val="15"/>
                <w:color w:val="auto"/>
                <w:w w:val="91"/>
              </w:rPr>
              <w:t>Consulting Agreement, dated as of March 10, 2008, as amended by the First Amendment to Consulting Agreement, dated as of January 1,</w:t>
            </w:r>
          </w:p>
        </w:tc>
      </w:t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60" w:type="dxa"/>
            <w:vAlign w:val="bottom"/>
          </w:tcPr>
          <w:p>
            <w:pPr>
              <w:ind w:left="20"/>
              <w:spacing w:after="0"/>
              <w:rPr>
                <w:sz w:val="20"/>
                <w:szCs w:val="20"/>
                <w:color w:val="auto"/>
              </w:rPr>
            </w:pPr>
            <w:r>
              <w:rPr>
                <w:rFonts w:ascii="Arial" w:cs="Arial" w:eastAsia="Arial" w:hAnsi="Arial"/>
                <w:sz w:val="15"/>
                <w:szCs w:val="15"/>
                <w:color w:val="auto"/>
              </w:rPr>
              <w:t>2012, by and between the Registrant and Robert S. Langer</w:t>
            </w:r>
          </w:p>
        </w:tc>
      </w:tr>
    </w:tbl>
    <w:p>
      <w:pPr>
        <w:spacing w:after="0" w:line="181"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10.13* Consulting Agreement, dated as of March 10, 2008, as amended by the First Amendment to Consulting Agreement, dated as of January 1,</w:t>
      </w:r>
    </w:p>
    <w:p>
      <w:pPr>
        <w:spacing w:after="0" w:line="64"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2012, by and between the Registrant and Omid Farokhzad</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10.14* Consulting Agreement, dated as of March 10, 2008, as amended by the First Amendment to Consulting Agreement, dated as of January 1,</w:t>
      </w:r>
    </w:p>
    <w:p>
      <w:pPr>
        <w:spacing w:after="0" w:line="64"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2012, by and between the Registrant and Ulrich von Andrian</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10.15* Employment Agreement, dated as of July 19, 2010, by and between the Registrant and Werner Cautreels</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10.16* Employment Agreement, dated as of June 22, 2011, by and between the Registrant and Takashi Kei Kishimoto</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10.17* Employment Agreement, dated as of January 7, 2011, by and between the Registrant and Peter Keller</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10.18* Employment Agreement, dated as of June 30, 2015, by and between the Registrant and Earl E. Sands</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10.19* Offer Letter, dated as of June 30, 2015, by and between the Registrant and Earl (Skip) E. Sands, M.D.</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10.20* Offer Letter, dated as of June 2, 2008, by and between the Registrant and Lloyd P. M. Johnston, Ph.D.</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10.21* Offer Letter, dated as of April 4, 2011, by and between the Registrant and David Abraham</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10.22* Offer Letter, dated as of September 4, 2009, by and between the Registrant and David Siewers</w:t>
      </w:r>
    </w:p>
    <w:p>
      <w:pPr>
        <w:spacing w:after="0" w:line="222" w:lineRule="exact"/>
        <w:rPr>
          <w:sz w:val="20"/>
          <w:szCs w:val="20"/>
          <w:color w:val="auto"/>
        </w:rPr>
      </w:pPr>
    </w:p>
    <w:p>
      <w:pPr>
        <w:ind w:left="1840" w:right="440" w:hanging="478"/>
        <w:spacing w:after="0" w:line="315" w:lineRule="auto"/>
        <w:rPr>
          <w:sz w:val="20"/>
          <w:szCs w:val="20"/>
          <w:color w:val="auto"/>
        </w:rPr>
      </w:pPr>
      <w:r>
        <w:rPr>
          <w:rFonts w:ascii="Arial" w:cs="Arial" w:eastAsia="Arial" w:hAnsi="Arial"/>
          <w:sz w:val="15"/>
          <w:szCs w:val="15"/>
          <w:color w:val="auto"/>
        </w:rPr>
        <w:t>10.23* Independent Director Consulting Agreement, dated as of May 5, 2009, as amended by the First Amendment to Independent Director Consulting Agreement, dated as of July 22, 2009, by and between George R. Siber, M.D.</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21.1* Subsidiaries of the Registrant</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23.1* Consent of Ernst &amp; Young LLP</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23.2* Consent of Latham &amp; Watkins LLP (included in Exhibit 5.1)</w:t>
      </w:r>
    </w:p>
    <w:p>
      <w:pPr>
        <w:spacing w:after="0" w:line="245"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71755</wp:posOffset>
            </wp:positionV>
            <wp:extent cx="58928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89280" cy="7620"/>
                    </a:xfrm>
                    <a:prstGeom prst="rect">
                      <a:avLst/>
                    </a:prstGeom>
                    <a:noFill/>
                  </pic:spPr>
                </pic:pic>
              </a:graphicData>
            </a:graphic>
          </wp:anchor>
        </w:drawing>
      </w:r>
    </w:p>
    <w:p>
      <w:pPr>
        <w:spacing w:after="0" w:line="270" w:lineRule="exact"/>
        <w:rPr>
          <w:sz w:val="20"/>
          <w:szCs w:val="20"/>
          <w:color w:val="auto"/>
        </w:rPr>
      </w:pPr>
    </w:p>
    <w:p>
      <w:pPr>
        <w:ind w:left="1600" w:hanging="463"/>
        <w:spacing w:after="0"/>
        <w:tabs>
          <w:tab w:leader="none" w:pos="160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6" w:lineRule="exact"/>
        <w:rPr>
          <w:sz w:val="20"/>
          <w:szCs w:val="20"/>
          <w:color w:val="auto"/>
        </w:rPr>
      </w:pPr>
    </w:p>
    <w:p>
      <w:pPr>
        <w:ind w:left="1600" w:hanging="463"/>
        <w:spacing w:after="0"/>
        <w:tabs>
          <w:tab w:leader="none" w:pos="160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1385" cy="203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52" w:name="page253"/>
    <w:bookmarkEnd w:id="2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3" w:name="page254"/>
    <w:bookmarkEnd w:id="253"/>
    <w:p>
      <w:pPr>
        <w:jc w:val="right"/>
        <w:spacing w:after="0"/>
        <w:rPr>
          <w:sz w:val="20"/>
          <w:szCs w:val="20"/>
          <w:color w:val="auto"/>
        </w:rPr>
      </w:pPr>
      <w:r>
        <w:rPr>
          <w:rFonts w:ascii="Arial" w:cs="Arial" w:eastAsia="Arial" w:hAnsi="Arial"/>
          <w:sz w:val="15"/>
          <w:szCs w:val="15"/>
          <w:b w:val="1"/>
          <w:bCs w:val="1"/>
          <w:color w:val="auto"/>
        </w:rPr>
        <w:t>Exhibit 3.1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FOURTH AMENDED AND RESTATED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General Corporation Law of the State of Delaware)</w:t>
      </w:r>
    </w:p>
    <w:p>
      <w:pPr>
        <w:spacing w:after="0" w:line="189" w:lineRule="exact"/>
        <w:rPr>
          <w:sz w:val="20"/>
          <w:szCs w:val="20"/>
          <w:color w:val="auto"/>
        </w:rPr>
      </w:pPr>
    </w:p>
    <w:p>
      <w:pPr>
        <w:ind w:right="640" w:firstLine="163"/>
        <w:spacing w:after="0" w:line="290" w:lineRule="auto"/>
        <w:rPr>
          <w:sz w:val="20"/>
          <w:szCs w:val="20"/>
          <w:color w:val="auto"/>
        </w:rPr>
      </w:pPr>
      <w:r>
        <w:rPr>
          <w:rFonts w:ascii="Arial" w:cs="Arial" w:eastAsia="Arial" w:hAnsi="Arial"/>
          <w:sz w:val="15"/>
          <w:szCs w:val="15"/>
          <w:color w:val="auto"/>
        </w:rPr>
        <w:t>Selecta Biosciences, Inc., a corporation organized and existing under and by virtue of the provisions of the General Corporation Law of the State of Delaware (the “</w:t>
      </w: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w:t>
      </w:r>
      <w:r>
        <w:rPr>
          <w:rFonts w:ascii="Arial" w:cs="Arial" w:eastAsia="Arial" w:hAnsi="Arial"/>
          <w:sz w:val="15"/>
          <w:szCs w:val="15"/>
          <w:u w:val="single" w:color="auto"/>
          <w:color w:val="auto"/>
        </w:rPr>
        <w:t>Corporation Law</w:t>
      </w:r>
      <w:r>
        <w:rPr>
          <w:rFonts w:ascii="Arial" w:cs="Arial" w:eastAsia="Arial" w:hAnsi="Arial"/>
          <w:sz w:val="15"/>
          <w:szCs w:val="15"/>
          <w:color w:val="auto"/>
        </w:rPr>
        <w:t>”),</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DOES HEREBY CERTIFY:</w:t>
      </w:r>
    </w:p>
    <w:p>
      <w:pPr>
        <w:spacing w:after="0" w:line="205" w:lineRule="exact"/>
        <w:rPr>
          <w:sz w:val="20"/>
          <w:szCs w:val="20"/>
          <w:color w:val="auto"/>
        </w:rPr>
      </w:pPr>
    </w:p>
    <w:p>
      <w:pPr>
        <w:ind w:left="1660" w:hanging="553"/>
        <w:spacing w:after="0"/>
        <w:tabs>
          <w:tab w:leader="none" w:pos="1660" w:val="left"/>
        </w:tabs>
        <w:numPr>
          <w:ilvl w:val="0"/>
          <w:numId w:val="136"/>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Selecta Biosciences, Inc., and that this corporation was originally incorporated pursuant to the General Corporation Law</w:t>
      </w:r>
    </w:p>
    <w:p>
      <w:pPr>
        <w:spacing w:after="0" w:line="34"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color w:val="auto"/>
        </w:rPr>
        <w:t>on December 10, 2007.</w:t>
      </w:r>
    </w:p>
    <w:p>
      <w:pPr>
        <w:spacing w:after="0" w:line="188" w:lineRule="exact"/>
        <w:rPr>
          <w:rFonts w:ascii="Arial" w:cs="Arial" w:eastAsia="Arial" w:hAnsi="Arial"/>
          <w:sz w:val="14"/>
          <w:szCs w:val="14"/>
          <w:b w:val="1"/>
          <w:bCs w:val="1"/>
          <w:color w:val="auto"/>
        </w:rPr>
      </w:pPr>
    </w:p>
    <w:p>
      <w:pPr>
        <w:ind w:right="220" w:firstLine="1107"/>
        <w:spacing w:after="0" w:line="269" w:lineRule="auto"/>
        <w:tabs>
          <w:tab w:leader="none" w:pos="1671" w:val="left"/>
        </w:tabs>
        <w:numPr>
          <w:ilvl w:val="0"/>
          <w:numId w:val="136"/>
        </w:numPr>
        <w:rPr>
          <w:rFonts w:ascii="Arial" w:cs="Arial" w:eastAsia="Arial" w:hAnsi="Arial"/>
          <w:sz w:val="15"/>
          <w:szCs w:val="15"/>
          <w:b w:val="1"/>
          <w:bCs w:val="1"/>
          <w:color w:val="auto"/>
        </w:rPr>
      </w:pPr>
      <w:r>
        <w:rPr>
          <w:rFonts w:ascii="Arial" w:cs="Arial" w:eastAsia="Arial" w:hAnsi="Arial"/>
          <w:sz w:val="15"/>
          <w:szCs w:val="15"/>
          <w:color w:val="auto"/>
        </w:rPr>
        <w:t>That the board of directors of the Corporation duly adopted resolutions proposing to amend and restate the Third Amended and Restated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the Third Amended and Restated Certificate of Incorporation of this corporation, as amended, be amended and restated in its entirety to read as follows: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FIRST: The name of this corporation is Selecta Biosciences,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99" w:lineRule="exact"/>
        <w:rPr>
          <w:sz w:val="20"/>
          <w:szCs w:val="20"/>
          <w:color w:val="auto"/>
        </w:rPr>
      </w:pPr>
    </w:p>
    <w:p>
      <w:pPr>
        <w:ind w:right="40" w:firstLine="557"/>
        <w:spacing w:after="0" w:line="290" w:lineRule="auto"/>
        <w:rPr>
          <w:sz w:val="20"/>
          <w:szCs w:val="20"/>
          <w:color w:val="auto"/>
        </w:rPr>
      </w:pPr>
      <w:r>
        <w:rPr>
          <w:rFonts w:ascii="Arial" w:cs="Arial" w:eastAsia="Arial" w:hAnsi="Arial"/>
          <w:sz w:val="15"/>
          <w:szCs w:val="15"/>
          <w:color w:val="auto"/>
        </w:rPr>
        <w:t>SECOND: The registered office of the Corporation is to be located at 1209 Orange Street in the City of Wilmington, 19801, County of New Castle. The name of its registered agent at such address is The Corporation Trust Company.</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THIRD: The purpose of the Corporation is to engage in any lawful act or activity for which corporations may be organized under the General Corporation Law.</w:t>
      </w:r>
    </w:p>
    <w:p>
      <w:pPr>
        <w:spacing w:after="0" w:line="199" w:lineRule="exact"/>
        <w:rPr>
          <w:sz w:val="20"/>
          <w:szCs w:val="20"/>
          <w:color w:val="auto"/>
        </w:rPr>
      </w:pPr>
    </w:p>
    <w:p>
      <w:pPr>
        <w:ind w:right="260" w:firstLine="549"/>
        <w:spacing w:after="0" w:line="290" w:lineRule="auto"/>
        <w:rPr>
          <w:sz w:val="20"/>
          <w:szCs w:val="20"/>
          <w:color w:val="auto"/>
        </w:rPr>
      </w:pPr>
      <w:r>
        <w:rPr>
          <w:rFonts w:ascii="Arial" w:cs="Arial" w:eastAsia="Arial" w:hAnsi="Arial"/>
          <w:sz w:val="15"/>
          <w:szCs w:val="15"/>
          <w:color w:val="auto"/>
        </w:rPr>
        <w:t>FOURTH: The number of authorized shares of each class or series of stock of the Corporation, and the powers, preferences and rights, and the qualifications, limitations or restrictions thereof, shall be as follows:</w:t>
      </w:r>
    </w:p>
    <w:p>
      <w:pPr>
        <w:spacing w:after="0" w:line="140" w:lineRule="exact"/>
        <w:rPr>
          <w:sz w:val="20"/>
          <w:szCs w:val="20"/>
          <w:color w:val="auto"/>
        </w:rPr>
      </w:pPr>
    </w:p>
    <w:p>
      <w:pPr>
        <w:jc w:val="center"/>
        <w:ind w:right="20"/>
        <w:spacing w:after="0"/>
        <w:tabs>
          <w:tab w:leader="none" w:pos="28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color w:val="auto"/>
        </w:rPr>
        <w:t>CAPITAL STOCK</w:t>
      </w:r>
    </w:p>
    <w:p>
      <w:pPr>
        <w:spacing w:after="0" w:line="199" w:lineRule="exact"/>
        <w:rPr>
          <w:sz w:val="20"/>
          <w:szCs w:val="20"/>
          <w:color w:val="auto"/>
        </w:rPr>
      </w:pPr>
    </w:p>
    <w:p>
      <w:pPr>
        <w:ind w:right="540" w:firstLine="557"/>
        <w:spacing w:after="0" w:line="290"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100,000,000, consisting of 62,164,377 shares of common stock, $0.0001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37,835,623 shares of preferred stock, $0.0001 par value per share (the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151765</wp:posOffset>
            </wp:positionV>
            <wp:extent cx="7285990" cy="27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5"/>
          <w:szCs w:val="15"/>
          <w:color w:val="auto"/>
        </w:rPr>
        <w:t>COMMON STOCK</w:t>
      </w:r>
    </w:p>
    <w:p>
      <w:pPr>
        <w:spacing w:after="0" w:line="199" w:lineRule="exact"/>
        <w:rPr>
          <w:sz w:val="20"/>
          <w:szCs w:val="20"/>
          <w:color w:val="auto"/>
        </w:rPr>
      </w:pPr>
    </w:p>
    <w:p>
      <w:pPr>
        <w:ind w:right="20" w:firstLine="557"/>
        <w:spacing w:after="0" w:line="294"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Voting Rights</w:t>
      </w:r>
      <w:r>
        <w:rPr>
          <w:rFonts w:ascii="Arial" w:cs="Arial" w:eastAsia="Arial" w:hAnsi="Arial"/>
          <w:sz w:val="14"/>
          <w:szCs w:val="14"/>
          <w:color w:val="auto"/>
        </w:rPr>
        <w:t xml:space="preserve">. The holders of shares of Common Stock shall be entitled to one vote for each share so held with respect to all matters voted on by the stockholders of the Corporation, subject in all cases to </w:t>
      </w:r>
      <w:r>
        <w:rPr>
          <w:rFonts w:ascii="Arial" w:cs="Arial" w:eastAsia="Arial" w:hAnsi="Arial"/>
          <w:sz w:val="14"/>
          <w:szCs w:val="14"/>
          <w:u w:val="single" w:color="auto"/>
          <w:color w:val="auto"/>
        </w:rPr>
        <w:t>Sections 3.6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3.8</w:t>
      </w:r>
      <w:r>
        <w:rPr>
          <w:rFonts w:ascii="Arial" w:cs="Arial" w:eastAsia="Arial" w:hAnsi="Arial"/>
          <w:sz w:val="14"/>
          <w:szCs w:val="14"/>
          <w:color w:val="auto"/>
        </w:rPr>
        <w:t xml:space="preserve"> of this Article Fourth. The number of authorized shares of Common Stock may be increased or decreased (but not below the number of shares thereof then outstanding) by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40" w:lineRule="exact"/>
        <w:rPr>
          <w:sz w:val="20"/>
          <w:szCs w:val="20"/>
          <w:color w:val="auto"/>
        </w:rPr>
      </w:pPr>
    </w:p>
    <w:p>
      <w:pPr>
        <w:ind w:right="240" w:firstLine="557"/>
        <w:spacing w:after="0" w:line="26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Liquidation Right</w:t>
      </w:r>
      <w:r>
        <w:rPr>
          <w:rFonts w:ascii="Arial" w:cs="Arial" w:eastAsia="Arial" w:hAnsi="Arial"/>
          <w:sz w:val="15"/>
          <w:szCs w:val="15"/>
          <w:color w:val="auto"/>
        </w:rPr>
        <w:t xml:space="preserve">. Subject to the prior and superior rights of the Senior Preferred Stock (as defined below) and the Series SRN Preferred as described in </w:t>
      </w:r>
      <w:r>
        <w:rPr>
          <w:rFonts w:ascii="Arial" w:cs="Arial" w:eastAsia="Arial" w:hAnsi="Arial"/>
          <w:sz w:val="15"/>
          <w:szCs w:val="15"/>
          <w:u w:val="single" w:color="auto"/>
          <w:color w:val="auto"/>
        </w:rPr>
        <w:t>Sections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3.2(a)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Article Fourth, upon any voluntary or involuntary liquidation, dissolution or winding up of the affairs of the Corporation, the holders of Common Stock shall be entitled to receive that portion of the remaining funds to be distributed to holders of capital stock ratably in proportion to the number of shares of Common Stock they then hold.</w:t>
      </w:r>
    </w:p>
    <w:p>
      <w:pPr>
        <w:spacing w:after="0" w:line="155" w:lineRule="exact"/>
        <w:rPr>
          <w:sz w:val="20"/>
          <w:szCs w:val="20"/>
          <w:color w:val="auto"/>
        </w:rPr>
      </w:pPr>
    </w:p>
    <w:p>
      <w:pPr>
        <w:ind w:right="220" w:firstLine="557"/>
        <w:spacing w:after="0" w:line="274"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Dividends</w:t>
      </w:r>
      <w:r>
        <w:rPr>
          <w:rFonts w:ascii="Arial" w:cs="Arial" w:eastAsia="Arial" w:hAnsi="Arial"/>
          <w:sz w:val="15"/>
          <w:szCs w:val="15"/>
          <w:color w:val="auto"/>
        </w:rPr>
        <w:t>. Dividends may be paid on the Common Stock as and when declared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cash dividends may be declared or paid on the Common Stock unless dividends shall first have been declared and paid with respect to the Senior Preferred Stock,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provided in </w:t>
      </w:r>
      <w:r>
        <w:rPr>
          <w:rFonts w:ascii="Arial" w:cs="Arial" w:eastAsia="Arial" w:hAnsi="Arial"/>
          <w:sz w:val="15"/>
          <w:szCs w:val="15"/>
          <w:u w:val="single" w:color="auto"/>
          <w:color w:val="auto"/>
        </w:rPr>
        <w:t>Section 3.7</w:t>
      </w:r>
      <w:r>
        <w:rPr>
          <w:rFonts w:ascii="Arial" w:cs="Arial" w:eastAsia="Arial" w:hAnsi="Arial"/>
          <w:sz w:val="15"/>
          <w:szCs w:val="15"/>
          <w:color w:val="auto"/>
        </w:rPr>
        <w:t xml:space="preserve"> of this Article Fourth.</w:t>
      </w:r>
    </w:p>
    <w:p>
      <w:pPr>
        <w:spacing w:after="0" w:line="152" w:lineRule="exact"/>
        <w:rPr>
          <w:sz w:val="20"/>
          <w:szCs w:val="20"/>
          <w:color w:val="auto"/>
        </w:rPr>
      </w:pPr>
    </w:p>
    <w:p>
      <w:pPr>
        <w:jc w:val="center"/>
        <w:ind w:right="20"/>
        <w:spacing w:after="0"/>
        <w:tabs>
          <w:tab w:leader="none" w:pos="2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color w:val="auto"/>
        </w:rPr>
        <w:t>PREFERRED STOCK</w:t>
      </w:r>
    </w:p>
    <w:p>
      <w:pPr>
        <w:spacing w:after="0" w:line="199" w:lineRule="exact"/>
        <w:rPr>
          <w:sz w:val="20"/>
          <w:szCs w:val="20"/>
          <w:color w:val="auto"/>
        </w:rPr>
      </w:pPr>
    </w:p>
    <w:p>
      <w:pPr>
        <w:ind w:right="20" w:firstLine="557"/>
        <w:spacing w:after="0" w:line="261"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Designation</w:t>
      </w:r>
      <w:r>
        <w:rPr>
          <w:rFonts w:ascii="Arial" w:cs="Arial" w:eastAsia="Arial" w:hAnsi="Arial"/>
          <w:sz w:val="15"/>
          <w:szCs w:val="15"/>
          <w:color w:val="auto"/>
        </w:rPr>
        <w:t>. Two Million Five Hundred Eighty-Nine Thousand Eight Hundred Sixty-Eight (2,589,868) shares of Preferred Stock which the Corporation has the authority to issue are hereby designated and shall be known as the “Series A Convertible Preferred Stock” (the “</w:t>
      </w:r>
      <w:r>
        <w:rPr>
          <w:rFonts w:ascii="Arial" w:cs="Arial" w:eastAsia="Arial" w:hAnsi="Arial"/>
          <w:sz w:val="15"/>
          <w:szCs w:val="15"/>
          <w:u w:val="single" w:color="auto"/>
          <w:color w:val="auto"/>
        </w:rPr>
        <w:t>Series A Preferred</w:t>
      </w:r>
      <w:r>
        <w:rPr>
          <w:rFonts w:ascii="Arial" w:cs="Arial" w:eastAsia="Arial" w:hAnsi="Arial"/>
          <w:sz w:val="15"/>
          <w:szCs w:val="15"/>
          <w:color w:val="auto"/>
        </w:rPr>
        <w:t>”), Seven Million Four Hundred Thirty-Seven Thousand Three Hundred Twenty-Five (7,437,325) shares of Preferred Stock which the Corporation has the authority to issue are hereby designated and shall be known as the “Series B Convertible Preferred Stock” (the “</w:t>
      </w:r>
      <w:r>
        <w:rPr>
          <w:rFonts w:ascii="Arial" w:cs="Arial" w:eastAsia="Arial" w:hAnsi="Arial"/>
          <w:sz w:val="15"/>
          <w:szCs w:val="15"/>
          <w:u w:val="single" w:color="auto"/>
          <w:color w:val="auto"/>
        </w:rPr>
        <w:t>Series B Preferred</w:t>
      </w:r>
      <w:r>
        <w:rPr>
          <w:rFonts w:ascii="Arial" w:cs="Arial" w:eastAsia="Arial" w:hAnsi="Arial"/>
          <w:sz w:val="15"/>
          <w:szCs w:val="15"/>
          <w:color w:val="auto"/>
        </w:rPr>
        <w:t>”), Five Million Two (5,000,002) shares of Preferred Stock which the Corporation has the authority to issue are hereby designated and shall be known as the “Series C Convertible Preferred Stock” (the “</w:t>
      </w:r>
      <w:r>
        <w:rPr>
          <w:rFonts w:ascii="Arial" w:cs="Arial" w:eastAsia="Arial" w:hAnsi="Arial"/>
          <w:sz w:val="15"/>
          <w:szCs w:val="15"/>
          <w:u w:val="single" w:color="auto"/>
          <w:color w:val="auto"/>
        </w:rPr>
        <w:t>Series C Preferred</w:t>
      </w:r>
      <w:r>
        <w:rPr>
          <w:rFonts w:ascii="Arial" w:cs="Arial" w:eastAsia="Arial" w:hAnsi="Arial"/>
          <w:sz w:val="15"/>
          <w:szCs w:val="15"/>
          <w:color w:val="auto"/>
        </w:rPr>
        <w:t>”), Eight Million One Hundred Sixty-Six Thousand Six Hundred Sixty-Two (8,166,662) shares of Preferred Stock which the Corporation has the authority to issue are hereby designated and shall be known as the “Series D Convertible Preferred Stock” (the “</w:t>
      </w:r>
      <w:r>
        <w:rPr>
          <w:rFonts w:ascii="Arial" w:cs="Arial" w:eastAsia="Arial" w:hAnsi="Arial"/>
          <w:sz w:val="15"/>
          <w:szCs w:val="15"/>
          <w:u w:val="single" w:color="auto"/>
          <w:color w:val="auto"/>
        </w:rPr>
        <w:t>Series 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w:t>
      </w:r>
      <w:r>
        <w:rPr>
          <w:rFonts w:ascii="Arial" w:cs="Arial" w:eastAsia="Arial" w:hAnsi="Arial"/>
          <w:sz w:val="15"/>
          <w:szCs w:val="15"/>
          <w:color w:val="auto"/>
        </w:rPr>
        <w:t>”), Nine Million Thirty Thousand Six Hundred Fifty-Four (9,030,654) shares of Preferred Stock which the Corporation has the authority to issue are hereby designated and shall be known as the “Series E Convertible Preferred Stock” (the “</w:t>
      </w:r>
      <w:r>
        <w:rPr>
          <w:rFonts w:ascii="Arial" w:cs="Arial" w:eastAsia="Arial" w:hAnsi="Arial"/>
          <w:sz w:val="15"/>
          <w:szCs w:val="15"/>
          <w:u w:val="single" w:color="auto"/>
          <w:color w:val="auto"/>
        </w:rPr>
        <w:t>Series E Preferred</w:t>
      </w:r>
      <w:r>
        <w:rPr>
          <w:rFonts w:ascii="Arial" w:cs="Arial" w:eastAsia="Arial" w:hAnsi="Arial"/>
          <w:sz w:val="15"/>
          <w:szCs w:val="15"/>
          <w:color w:val="auto"/>
        </w:rPr>
        <w:t>”), and Five Million Six Hundred Eleven Thousand One Hundred Twelve (5,611,112) shares of Preferred Stock which the Corporation has the authority to issue are hereby designated and shall be known as the “Series SRN Convertible Preferred Stock” (the “</w:t>
      </w:r>
      <w:r>
        <w:rPr>
          <w:rFonts w:ascii="Arial" w:cs="Arial" w:eastAsia="Arial" w:hAnsi="Arial"/>
          <w:sz w:val="15"/>
          <w:szCs w:val="15"/>
          <w:u w:val="single" w:color="auto"/>
          <w:color w:val="auto"/>
        </w:rPr>
        <w:t>Series SRN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w:t>
      </w:r>
      <w:r>
        <w:rPr>
          <w:rFonts w:ascii="Arial" w:cs="Arial" w:eastAsia="Arial" w:hAnsi="Arial"/>
          <w:sz w:val="15"/>
          <w:szCs w:val="15"/>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Liquidation Rights</w:t>
      </w:r>
      <w:r>
        <w:rPr>
          <w:rFonts w:ascii="Arial" w:cs="Arial" w:eastAsia="Arial" w:hAnsi="Arial"/>
          <w:sz w:val="14"/>
          <w:szCs w:val="14"/>
          <w:color w:val="auto"/>
        </w:rPr>
        <w:t>.</w:t>
      </w:r>
    </w:p>
    <w:p>
      <w:pPr>
        <w:spacing w:after="0" w:line="199" w:lineRule="exact"/>
        <w:rPr>
          <w:sz w:val="20"/>
          <w:szCs w:val="20"/>
          <w:color w:val="auto"/>
        </w:rPr>
      </w:pPr>
    </w:p>
    <w:p>
      <w:pPr>
        <w:ind w:right="20" w:firstLine="1107"/>
        <w:spacing w:after="0" w:line="284" w:lineRule="auto"/>
        <w:tabs>
          <w:tab w:leader="none" w:pos="166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In the event of any voluntary or involuntary liquidation, dissolution or winding up of the affairs of the Corporation, each holder of a share of Series E Preferred shall be entitled to receive, prior and in preference to any distribution of any of the assets or surplus funds of the Corporation to the holders of Series A Preferred, Series B Preferred, Series C Preferred, Series D Preferred, Series SRN Preferred or Common Stock by reason of their ownership thereof, an amount per share equal to (i) 1.15 times the Original Issue Price (as defined in </w:t>
      </w:r>
      <w:r>
        <w:rPr>
          <w:rFonts w:ascii="Arial" w:cs="Arial" w:eastAsia="Arial" w:hAnsi="Arial"/>
          <w:sz w:val="14"/>
          <w:szCs w:val="14"/>
          <w:u w:val="single" w:color="auto"/>
          <w:color w:val="auto"/>
        </w:rPr>
        <w:t>Section 3.2(e)</w:t>
      </w:r>
      <w:r>
        <w:rPr>
          <w:rFonts w:ascii="Arial" w:cs="Arial" w:eastAsia="Arial" w:hAnsi="Arial"/>
          <w:sz w:val="14"/>
          <w:szCs w:val="14"/>
          <w:color w:val="auto"/>
        </w:rPr>
        <w:t xml:space="preserve">) for the Series E Preferred, plus (ii) all Accruing Dividends (as defined in </w:t>
      </w:r>
      <w:r>
        <w:rPr>
          <w:rFonts w:ascii="Arial" w:cs="Arial" w:eastAsia="Arial" w:hAnsi="Arial"/>
          <w:sz w:val="14"/>
          <w:szCs w:val="14"/>
          <w:u w:val="single" w:color="auto"/>
          <w:color w:val="auto"/>
        </w:rPr>
        <w:t>Section 3.7(a)</w:t>
      </w:r>
      <w:r>
        <w:rPr>
          <w:rFonts w:ascii="Arial" w:cs="Arial" w:eastAsia="Arial" w:hAnsi="Arial"/>
          <w:sz w:val="14"/>
          <w:szCs w:val="14"/>
          <w:color w:val="auto"/>
        </w:rPr>
        <w:t>) on such share, to and including the date full payment shall be tendered to the holders of such series of Series E Preferred with respect to such liquidation, dissolution or winding up (the amount payable pursuant to this sentence is hereinafter referred to as the “</w:t>
      </w:r>
      <w:r>
        <w:rPr>
          <w:rFonts w:ascii="Arial" w:cs="Arial" w:eastAsia="Arial" w:hAnsi="Arial"/>
          <w:sz w:val="14"/>
          <w:szCs w:val="14"/>
          <w:u w:val="single" w:color="auto"/>
          <w:color w:val="auto"/>
        </w:rPr>
        <w:t>Series E Liquidation Amount</w:t>
      </w:r>
      <w:r>
        <w:rPr>
          <w:rFonts w:ascii="Arial" w:cs="Arial" w:eastAsia="Arial" w:hAnsi="Arial"/>
          <w:sz w:val="14"/>
          <w:szCs w:val="14"/>
          <w:color w:val="auto"/>
        </w:rPr>
        <w:t xml:space="preserve">”). If the assets or surplus funds to be distributed to the holders of the Series E Preferred are insufficient to permit the payment to such holders of their full preferential amount under this </w:t>
      </w:r>
      <w:r>
        <w:rPr>
          <w:rFonts w:ascii="Arial" w:cs="Arial" w:eastAsia="Arial" w:hAnsi="Arial"/>
          <w:sz w:val="14"/>
          <w:szCs w:val="14"/>
          <w:u w:val="single" w:color="auto"/>
          <w:color w:val="auto"/>
        </w:rPr>
        <w:t>Section 3.2(a)</w:t>
      </w:r>
      <w:r>
        <w:rPr>
          <w:rFonts w:ascii="Arial" w:cs="Arial" w:eastAsia="Arial" w:hAnsi="Arial"/>
          <w:sz w:val="14"/>
          <w:szCs w:val="14"/>
          <w:color w:val="auto"/>
        </w:rPr>
        <w:t xml:space="preserve">, then such assets and surplus funds legally available for distribution shall be distributed ratably among the holders of the Series E Preferred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in proportion to the full preferential amount each such holder is otherwise entitled to receive under this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ectPr>
          <w:pgSz w:w="11900" w:h="16838" w:orient="portrait"/>
          <w:cols w:equalWidth="0" w:num="1">
            <w:col w:w="11440"/>
          </w:cols>
          <w:pgMar w:left="240" w:top="332" w:right="219" w:bottom="0" w:gutter="0" w:footer="0" w:header="0"/>
        </w:sectPr>
      </w:pPr>
    </w:p>
    <w:bookmarkStart w:id="254" w:name="page255"/>
    <w:bookmarkEnd w:id="254"/>
    <w:p>
      <w:pPr>
        <w:ind w:left="7" w:right="100" w:firstLine="1107"/>
        <w:spacing w:after="0" w:line="284" w:lineRule="auto"/>
        <w:tabs>
          <w:tab w:leader="none" w:pos="168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winding up of the affairs of the Corporation, each holder of a share of Series A Preferred, Series B Preferred, Series C Preferred or Series D Preferred (collectively, the “</w:t>
      </w:r>
      <w:r>
        <w:rPr>
          <w:rFonts w:ascii="Arial" w:cs="Arial" w:eastAsia="Arial" w:hAnsi="Arial"/>
          <w:sz w:val="14"/>
          <w:szCs w:val="14"/>
          <w:u w:val="single" w:color="auto"/>
          <w:color w:val="auto"/>
        </w:rPr>
        <w:t>Tier II Preferred Stock</w:t>
      </w:r>
      <w:r>
        <w:rPr>
          <w:rFonts w:ascii="Arial" w:cs="Arial" w:eastAsia="Arial" w:hAnsi="Arial"/>
          <w:sz w:val="14"/>
          <w:szCs w:val="14"/>
          <w:color w:val="auto"/>
        </w:rPr>
        <w:t xml:space="preserve">”) shall be entitled to receive, after payment of the Series E Liquidation Amount in full to all holders of Series E Preferred but prior and in preference to any distribution of any of the assets or surplus funds of the Corporation to the holders of Series SRN Preferred or Common Stock by reason of their ownership thereof, an amount per share equal to the Original Issue Price for such series of Tier II Preferred Stock, plus, all Accruing Dividends on such share, to and including the date full payment shall be tendered to the holders of such series of Tier II Preferred Stock with respect to such liquidation, dissolution or winding up. If the assets or surplus funds to be distributed to the holders of the Tier II Preferred Stock are insufficient to permit the payment to such holders of their full preferential amount under this </w:t>
      </w:r>
      <w:r>
        <w:rPr>
          <w:rFonts w:ascii="Arial" w:cs="Arial" w:eastAsia="Arial" w:hAnsi="Arial"/>
          <w:sz w:val="14"/>
          <w:szCs w:val="14"/>
          <w:u w:val="single" w:color="auto"/>
          <w:color w:val="auto"/>
        </w:rPr>
        <w:t>Section 3.2(b)</w:t>
      </w:r>
      <w:r>
        <w:rPr>
          <w:rFonts w:ascii="Arial" w:cs="Arial" w:eastAsia="Arial" w:hAnsi="Arial"/>
          <w:sz w:val="14"/>
          <w:szCs w:val="14"/>
          <w:color w:val="auto"/>
        </w:rPr>
        <w:t xml:space="preserve">, then such assets and surplus funds legally available for distribution shall be distributed ratably among the holders of the Tier II Preferred Stock on a </w:t>
      </w:r>
      <w:r>
        <w:rPr>
          <w:rFonts w:ascii="Arial" w:cs="Arial" w:eastAsia="Arial" w:hAnsi="Arial"/>
          <w:sz w:val="14"/>
          <w:szCs w:val="14"/>
          <w:i w:val="1"/>
          <w:iCs w:val="1"/>
          <w:color w:val="auto"/>
        </w:rPr>
        <w:t xml:space="preserve">pari passu </w:t>
      </w:r>
      <w:r>
        <w:rPr>
          <w:rFonts w:ascii="Arial" w:cs="Arial" w:eastAsia="Arial" w:hAnsi="Arial"/>
          <w:sz w:val="14"/>
          <w:szCs w:val="14"/>
          <w:color w:val="auto"/>
        </w:rPr>
        <w:t>basis, in proportion to the full preferential amount each such holder is otherwise entitled to receive under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3.2(b)</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7" w:right="100" w:firstLine="1107"/>
        <w:spacing w:after="0" w:line="263" w:lineRule="auto"/>
        <w:tabs>
          <w:tab w:leader="none" w:pos="1687" w:val="left"/>
        </w:tabs>
        <w:numPr>
          <w:ilvl w:val="0"/>
          <w:numId w:val="138"/>
        </w:numPr>
        <w:rPr>
          <w:rFonts w:ascii="Arial" w:cs="Arial" w:eastAsia="Arial" w:hAnsi="Arial"/>
          <w:sz w:val="15"/>
          <w:szCs w:val="15"/>
          <w:color w:val="auto"/>
        </w:rPr>
      </w:pPr>
      <w:r>
        <w:rPr>
          <w:rFonts w:ascii="Arial" w:cs="Arial" w:eastAsia="Arial" w:hAnsi="Arial"/>
          <w:sz w:val="15"/>
          <w:szCs w:val="15"/>
          <w:color w:val="auto"/>
        </w:rPr>
        <w:t xml:space="preserve">In the event of any voluntary or involuntary liquidation, dissolution or winding up of the affairs of the Corporation, after the payments set forth in subsections (a) and (b) of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shall have been made in full to the holders of the Series E Preferred and the Tier II Preferred Stock (collectively, the “</w:t>
      </w:r>
      <w:r>
        <w:rPr>
          <w:rFonts w:ascii="Arial" w:cs="Arial" w:eastAsia="Arial" w:hAnsi="Arial"/>
          <w:sz w:val="15"/>
          <w:szCs w:val="15"/>
          <w:u w:val="single" w:color="auto"/>
          <w:color w:val="auto"/>
        </w:rPr>
        <w:t>Senior 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xml:space="preserve">”), then each holder of a share of Series SRN Preferred shall be entitled to receive, prior and in preference to any distribution of any of the assets or surplus funds of the Corporation to the holders of Common Stock by reason of their ownership thereof, an amount per share equal to the Original Issue Price for such Series SRN Preferred Stock, plus any dividends declared but unpaid thereon. If the assets or surplus funds to be distributed to the holders of the Series SRN Preferred are insufficient to permit the payment to such holders of their full preferential amount under this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then such assets and surplus funds legally available for distribution shall be distributed ratably among the holders of the Series SRN Preferred Stock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in</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proportion to the full preferential amount each such holder is otherwise entitled to receive under this </w:t>
      </w:r>
      <w:r>
        <w:rPr>
          <w:rFonts w:ascii="Arial" w:cs="Arial" w:eastAsia="Arial" w:hAnsi="Arial"/>
          <w:sz w:val="15"/>
          <w:szCs w:val="15"/>
          <w:u w:val="single" w:color="auto"/>
          <w:color w:val="auto"/>
        </w:rPr>
        <w:t>Section 3.2(c)</w:t>
      </w:r>
      <w:r>
        <w:rPr>
          <w:rFonts w:ascii="Arial" w:cs="Arial" w:eastAsia="Arial" w:hAnsi="Arial"/>
          <w:sz w:val="15"/>
          <w:szCs w:val="15"/>
          <w:color w:val="auto"/>
        </w:rPr>
        <w:t>.</w:t>
      </w:r>
    </w:p>
    <w:p>
      <w:pPr>
        <w:spacing w:after="0" w:line="199" w:lineRule="exact"/>
        <w:rPr>
          <w:sz w:val="20"/>
          <w:szCs w:val="20"/>
          <w:color w:val="auto"/>
        </w:rPr>
      </w:pPr>
    </w:p>
    <w:p>
      <w:pPr>
        <w:ind w:left="7" w:right="60" w:firstLine="1107"/>
        <w:spacing w:after="0" w:line="263" w:lineRule="auto"/>
        <w:tabs>
          <w:tab w:leader="none" w:pos="1684" w:val="left"/>
        </w:tabs>
        <w:numPr>
          <w:ilvl w:val="1"/>
          <w:numId w:val="139"/>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for purposes of determining the amount to be distributed in respect of shares of any given series of Preferred Stock in the event of any voluntary or involuntary liquidation, dissolution or winding up of the Corporation or Deemed Liquidation Event (as defined in </w:t>
      </w:r>
      <w:r>
        <w:rPr>
          <w:rFonts w:ascii="Arial" w:cs="Arial" w:eastAsia="Arial" w:hAnsi="Arial"/>
          <w:sz w:val="15"/>
          <w:szCs w:val="15"/>
          <w:u w:val="single" w:color="auto"/>
          <w:color w:val="auto"/>
        </w:rPr>
        <w:t>Section 3.2(g)</w:t>
      </w:r>
      <w:r>
        <w:rPr>
          <w:rFonts w:ascii="Arial" w:cs="Arial" w:eastAsia="Arial" w:hAnsi="Arial"/>
          <w:sz w:val="15"/>
          <w:szCs w:val="15"/>
          <w:color w:val="auto"/>
        </w:rPr>
        <w:t xml:space="preserve">), all shares of such series of Preferred Stock shall be deemed to have been converted (regardless of whether the holder(s) thereof actually elects to convert such shares) into shares of Common Stock in accordance with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immediately prior to such event (“</w:t>
      </w:r>
      <w:r>
        <w:rPr>
          <w:rFonts w:ascii="Arial" w:cs="Arial" w:eastAsia="Arial" w:hAnsi="Arial"/>
          <w:sz w:val="15"/>
          <w:szCs w:val="15"/>
          <w:u w:val="single" w:color="auto"/>
          <w:color w:val="auto"/>
        </w:rPr>
        <w:t>Retroactive Deemed Conversion</w:t>
      </w:r>
      <w:r>
        <w:rPr>
          <w:rFonts w:ascii="Arial" w:cs="Arial" w:eastAsia="Arial" w:hAnsi="Arial"/>
          <w:sz w:val="15"/>
          <w:szCs w:val="15"/>
          <w:color w:val="auto"/>
        </w:rPr>
        <w:t xml:space="preserve">”) if the amount that would have been distributable in respect of such shares of Common Stock had such conversion actually occurred (and assuming the like conversion of all shares of each other series of Preferred Stock deemed converted pursuant to this </w:t>
      </w:r>
      <w:r>
        <w:rPr>
          <w:rFonts w:ascii="Arial" w:cs="Arial" w:eastAsia="Arial" w:hAnsi="Arial"/>
          <w:sz w:val="15"/>
          <w:szCs w:val="15"/>
          <w:u w:val="single" w:color="auto"/>
          <w:color w:val="auto"/>
        </w:rPr>
        <w:t>Subsection 3.2(d)</w:t>
      </w:r>
      <w:r>
        <w:rPr>
          <w:rFonts w:ascii="Arial" w:cs="Arial" w:eastAsia="Arial" w:hAnsi="Arial"/>
          <w:sz w:val="15"/>
          <w:szCs w:val="15"/>
          <w:color w:val="auto"/>
        </w:rPr>
        <w:t xml:space="preserve">) is greater than the amount that would have been distributable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in such event in respect of the shares of such series of Preferred Stock had such conversion not been deemed to have occurred pursuant to this </w:t>
      </w:r>
      <w:r>
        <w:rPr>
          <w:rFonts w:ascii="Arial" w:cs="Arial" w:eastAsia="Arial" w:hAnsi="Arial"/>
          <w:sz w:val="15"/>
          <w:szCs w:val="15"/>
          <w:u w:val="single" w:color="auto"/>
          <w:color w:val="auto"/>
        </w:rPr>
        <w:t>Subsection 3.2(d)</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1687" w:hanging="573"/>
        <w:spacing w:after="0"/>
        <w:tabs>
          <w:tab w:leader="none" w:pos="1687" w:val="left"/>
        </w:tabs>
        <w:numPr>
          <w:ilvl w:val="1"/>
          <w:numId w:val="139"/>
        </w:numPr>
        <w:rPr>
          <w:rFonts w:ascii="Arial" w:cs="Arial" w:eastAsia="Arial" w:hAnsi="Arial"/>
          <w:sz w:val="15"/>
          <w:szCs w:val="15"/>
          <w:color w:val="auto"/>
        </w:rPr>
      </w:pPr>
      <w:r>
        <w:rPr>
          <w:rFonts w:ascii="Arial" w:cs="Arial" w:eastAsia="Arial" w:hAnsi="Arial"/>
          <w:sz w:val="15"/>
          <w:szCs w:val="15"/>
          <w:color w:val="auto"/>
        </w:rPr>
        <w:t>For purposes of this Article FOURTH, “</w:t>
      </w:r>
      <w:r>
        <w:rPr>
          <w:rFonts w:ascii="Arial" w:cs="Arial" w:eastAsia="Arial" w:hAnsi="Arial"/>
          <w:sz w:val="15"/>
          <w:szCs w:val="15"/>
          <w:u w:val="single" w:color="auto"/>
          <w:color w:val="auto"/>
        </w:rPr>
        <w:t>Original Issue Price</w:t>
      </w:r>
      <w:r>
        <w:rPr>
          <w:rFonts w:ascii="Arial" w:cs="Arial" w:eastAsia="Arial" w:hAnsi="Arial"/>
          <w:sz w:val="15"/>
          <w:szCs w:val="15"/>
          <w:color w:val="auto"/>
        </w:rPr>
        <w:t>” shall mean, as applicable, (i) $0.9653 per share for each share of Series A Preferred,</w:t>
      </w:r>
    </w:p>
    <w:p>
      <w:pPr>
        <w:spacing w:after="0" w:line="23" w:lineRule="exact"/>
        <w:rPr>
          <w:rFonts w:ascii="Arial" w:cs="Arial" w:eastAsia="Arial" w:hAnsi="Arial"/>
          <w:sz w:val="15"/>
          <w:szCs w:val="15"/>
          <w:color w:val="auto"/>
        </w:rPr>
      </w:pPr>
    </w:p>
    <w:p>
      <w:pPr>
        <w:ind w:left="7" w:hanging="7"/>
        <w:spacing w:after="0" w:line="262" w:lineRule="auto"/>
        <w:tabs>
          <w:tab w:leader="none" w:pos="235" w:val="left"/>
        </w:tabs>
        <w:numPr>
          <w:ilvl w:val="0"/>
          <w:numId w:val="140"/>
        </w:numPr>
        <w:rPr>
          <w:rFonts w:ascii="Arial" w:cs="Arial" w:eastAsia="Arial" w:hAnsi="Arial"/>
          <w:sz w:val="15"/>
          <w:szCs w:val="15"/>
          <w:color w:val="auto"/>
        </w:rPr>
      </w:pPr>
      <w:r>
        <w:rPr>
          <w:rFonts w:ascii="Arial" w:cs="Arial" w:eastAsia="Arial" w:hAnsi="Arial"/>
          <w:sz w:val="15"/>
          <w:szCs w:val="15"/>
          <w:color w:val="auto"/>
        </w:rPr>
        <w:t>$2.0303 per share for each share of Series B Preferred, (iii) $3.00 per share for each share of Series C Preferred, (iv) $4.50 per share for each share of Series D Preferred, (v) $4.50 per share for each share of Series E Preferred, and (vi) $4.50 per share for each share of Series SRN Preferred (in each case as adjusted for any stock splits, stock dividends, combinations, subdivision, recapitalizations or the like with respect to the Series A Preferred, the Series B Preferred, the Series C Preferred, the Series D Preferred, the Series E Preferred or the Series SRN Preferred, as the case may be, occurring after the filing date of this Fourth Amended and Restated Certificate of Incorporation (as the same may be amended from time to time, the “</w:t>
      </w:r>
      <w:r>
        <w:rPr>
          <w:rFonts w:ascii="Arial" w:cs="Arial" w:eastAsia="Arial" w:hAnsi="Arial"/>
          <w:sz w:val="15"/>
          <w:szCs w:val="15"/>
          <w:u w:val="single" w:color="auto"/>
          <w:color w:val="auto"/>
        </w:rPr>
        <w:t>Certificate</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7" w:right="100" w:firstLine="1107"/>
        <w:spacing w:after="0" w:line="372" w:lineRule="auto"/>
        <w:tabs>
          <w:tab w:leader="none" w:pos="1682" w:val="left"/>
        </w:tabs>
        <w:numPr>
          <w:ilvl w:val="1"/>
          <w:numId w:val="140"/>
        </w:numPr>
        <w:rPr>
          <w:rFonts w:ascii="Arial" w:cs="Arial" w:eastAsia="Arial" w:hAnsi="Arial"/>
          <w:sz w:val="13"/>
          <w:szCs w:val="13"/>
          <w:color w:val="auto"/>
        </w:rPr>
      </w:pPr>
      <w:r>
        <w:rPr>
          <w:rFonts w:ascii="Arial" w:cs="Arial" w:eastAsia="Arial" w:hAnsi="Arial"/>
          <w:sz w:val="13"/>
          <w:szCs w:val="13"/>
          <w:color w:val="auto"/>
        </w:rPr>
        <w:t xml:space="preserve">Upon payment or the setting apart of the distributions required by subsections (a), (b) and (c) of this </w:t>
      </w:r>
      <w:r>
        <w:rPr>
          <w:rFonts w:ascii="Arial" w:cs="Arial" w:eastAsia="Arial" w:hAnsi="Arial"/>
          <w:sz w:val="13"/>
          <w:szCs w:val="13"/>
          <w:u w:val="single" w:color="auto"/>
          <w:color w:val="auto"/>
        </w:rPr>
        <w:t>Section 3.2</w:t>
      </w:r>
      <w:r>
        <w:rPr>
          <w:rFonts w:ascii="Arial" w:cs="Arial" w:eastAsia="Arial" w:hAnsi="Arial"/>
          <w:sz w:val="13"/>
          <w:szCs w:val="13"/>
          <w:color w:val="auto"/>
        </w:rPr>
        <w:t>, all remaining proceeds and assets available for distribution to stockholders shall be distributed to the holders of the Common Stock ratably in proportion to the number of shares of Common Stock each of them then holds.</w:t>
      </w:r>
    </w:p>
    <w:p>
      <w:pPr>
        <w:spacing w:after="0" w:line="93" w:lineRule="exact"/>
        <w:rPr>
          <w:rFonts w:ascii="Arial" w:cs="Arial" w:eastAsia="Arial" w:hAnsi="Arial"/>
          <w:sz w:val="13"/>
          <w:szCs w:val="13"/>
          <w:color w:val="auto"/>
        </w:rPr>
      </w:pPr>
    </w:p>
    <w:p>
      <w:pPr>
        <w:ind w:left="7" w:right="60" w:firstLine="1107"/>
        <w:spacing w:after="0" w:line="262" w:lineRule="auto"/>
        <w:tabs>
          <w:tab w:leader="none" w:pos="1696" w:val="left"/>
        </w:tabs>
        <w:numPr>
          <w:ilvl w:val="1"/>
          <w:numId w:val="140"/>
        </w:numPr>
        <w:rPr>
          <w:rFonts w:ascii="Arial" w:cs="Arial" w:eastAsia="Arial" w:hAnsi="Arial"/>
          <w:sz w:val="15"/>
          <w:szCs w:val="15"/>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 liquidation, dissolution or winding up of the Corporation shall include: (i) the closing of a sale (in a single transaction or a series of related transactions) of, or the grant of an exclusive, perpetual, global, fully paid, royalty free, irrevocable, transferable and sublicensable license granting complete control rights over, all or substantially all of the assets of the Corporation, or (ii) the consummation of a consolidation or merger of the Corporation with or into another entity, but only if the holders of the outstanding stock of the Corporation immediately prior to the closing of such merger or consolidation hold, immediately after such closing, less than a majority of the voting power of the capital stock of the surviving or acquiring entity;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treatment of any particular transaction or series of related transactions as a liquidation, dissolution or winding up of the Corporation may be waived by the vote or written consent of (A) the holders of shares of Series E Preferred representing a majority of the votes represented by all outstanding shares of Series E Preferred and (B) the holders of shares of Tier II Preferred Stock representing at least sixty-six and two-thirds percent (66 2/3%) of the votes represented by all outstanding shares of Tier II</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4"/>
          <w:szCs w:val="14"/>
          <w:color w:val="auto"/>
        </w:rPr>
        <w:t>Preferred Stock voting together as a single class, by notice to the Corporation no later than fifteen (15) days before the effective date of such event. Any transaction described in clauses</w:t>
      </w:r>
    </w:p>
    <w:p>
      <w:pPr>
        <w:spacing w:after="0" w:line="35" w:lineRule="exact"/>
        <w:rPr>
          <w:sz w:val="20"/>
          <w:szCs w:val="20"/>
          <w:color w:val="auto"/>
        </w:rPr>
      </w:pPr>
    </w:p>
    <w:p>
      <w:pPr>
        <w:ind w:left="7" w:right="80" w:hanging="7"/>
        <w:spacing w:after="0" w:line="276" w:lineRule="auto"/>
        <w:tabs>
          <w:tab w:leader="none" w:pos="19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and (ii) of the preceding sentence, subject to the waiver by the holders of shares of Senior Preferred Stock as set forth in the proviso thereto, shall be referred to herein as a “</w:t>
      </w:r>
      <w:r>
        <w:rPr>
          <w:rFonts w:ascii="Arial" w:cs="Arial" w:eastAsia="Arial" w:hAnsi="Arial"/>
          <w:sz w:val="15"/>
          <w:szCs w:val="15"/>
          <w:u w:val="single" w:color="auto"/>
          <w:color w:val="auto"/>
        </w:rPr>
        <w:t>Deemed</w:t>
      </w:r>
      <w:r>
        <w:rPr>
          <w:rFonts w:ascii="Arial" w:cs="Arial" w:eastAsia="Arial" w:hAnsi="Arial"/>
          <w:sz w:val="15"/>
          <w:szCs w:val="15"/>
          <w:color w:val="auto"/>
        </w:rPr>
        <w:t xml:space="preserve"> </w:t>
      </w:r>
      <w:r>
        <w:rPr>
          <w:rFonts w:ascii="Arial" w:cs="Arial" w:eastAsia="Arial" w:hAnsi="Arial"/>
          <w:sz w:val="15"/>
          <w:szCs w:val="15"/>
          <w:u w:val="single" w:color="auto"/>
          <w:color w:val="auto"/>
        </w:rPr>
        <w:t>Liquidation Event</w:t>
      </w:r>
      <w:r>
        <w:rPr>
          <w:rFonts w:ascii="Arial" w:cs="Arial" w:eastAsia="Arial" w:hAnsi="Arial"/>
          <w:sz w:val="15"/>
          <w:szCs w:val="15"/>
          <w:color w:val="auto"/>
        </w:rPr>
        <w:t xml:space="preserve">”. The proceeds of any Deemed Liquidation Event shall be distributed pursuant to </w:t>
      </w:r>
      <w:r>
        <w:rPr>
          <w:rFonts w:ascii="Arial" w:cs="Arial" w:eastAsia="Arial" w:hAnsi="Arial"/>
          <w:sz w:val="15"/>
          <w:szCs w:val="15"/>
          <w:u w:val="single" w:color="auto"/>
          <w:color w:val="auto"/>
        </w:rPr>
        <w:t>Sections 3.2(a)</w:t>
      </w:r>
      <w:r>
        <w:rPr>
          <w:rFonts w:ascii="Arial" w:cs="Arial" w:eastAsia="Arial" w:hAnsi="Arial"/>
          <w:sz w:val="15"/>
          <w:szCs w:val="15"/>
          <w:color w:val="auto"/>
        </w:rPr>
        <w:t>-</w:t>
      </w:r>
      <w:r>
        <w:rPr>
          <w:rFonts w:ascii="Arial" w:cs="Arial" w:eastAsia="Arial" w:hAnsi="Arial"/>
          <w:sz w:val="15"/>
          <w:szCs w:val="15"/>
          <w:u w:val="single" w:color="auto"/>
          <w:color w:val="auto"/>
        </w:rPr>
        <w:t>(d)</w:t>
      </w:r>
      <w:r>
        <w:rPr>
          <w:rFonts w:ascii="Arial" w:cs="Arial" w:eastAsia="Arial" w:hAnsi="Arial"/>
          <w:sz w:val="15"/>
          <w:szCs w:val="15"/>
          <w:color w:val="auto"/>
        </w:rPr>
        <w:t xml:space="preserve"> and (f), above.</w:t>
      </w:r>
    </w:p>
    <w:p>
      <w:pPr>
        <w:spacing w:after="0" w:line="150" w:lineRule="exact"/>
        <w:rPr>
          <w:rFonts w:ascii="Arial" w:cs="Arial" w:eastAsia="Arial" w:hAnsi="Arial"/>
          <w:sz w:val="15"/>
          <w:szCs w:val="15"/>
          <w:color w:val="auto"/>
        </w:rPr>
      </w:pPr>
    </w:p>
    <w:p>
      <w:pPr>
        <w:ind w:left="7" w:right="60" w:firstLine="1107"/>
        <w:spacing w:after="0" w:line="274" w:lineRule="auto"/>
        <w:tabs>
          <w:tab w:leader="none" w:pos="1684"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The amount deemed paid or distributed to the holders of capital stock of the Corporation upon any such Deemed Liquidation Event shall be the cash or the value of the property, rights or securities paid or distributed to such holders by the Corporation or the surviving or acquiring person, firm or other entity. If the consideration received is other than cash, its value will be deemed to be its fair market value as reasonably determined in good faith by the Board of Directors.</w:t>
      </w:r>
    </w:p>
    <w:p>
      <w:pPr>
        <w:spacing w:after="0" w:line="151" w:lineRule="exact"/>
        <w:rPr>
          <w:rFonts w:ascii="Arial" w:cs="Arial" w:eastAsia="Arial" w:hAnsi="Arial"/>
          <w:sz w:val="15"/>
          <w:szCs w:val="15"/>
          <w:color w:val="auto"/>
        </w:rPr>
      </w:pPr>
    </w:p>
    <w:p>
      <w:pPr>
        <w:ind w:left="7" w:right="120" w:firstLine="1107"/>
        <w:spacing w:after="0" w:line="274" w:lineRule="auto"/>
        <w:tabs>
          <w:tab w:leader="none" w:pos="169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 xml:space="preserve">Notwithstanding the other provisions of this Certificate, any notice period in this Certificate (other than any notice period set forth in </w:t>
      </w:r>
      <w:r>
        <w:rPr>
          <w:rFonts w:ascii="Arial" w:cs="Arial" w:eastAsia="Arial" w:hAnsi="Arial"/>
          <w:sz w:val="15"/>
          <w:szCs w:val="15"/>
          <w:u w:val="single" w:color="auto"/>
          <w:color w:val="auto"/>
        </w:rPr>
        <w:t>Section 3.3(c)</w:t>
      </w:r>
      <w:r>
        <w:rPr>
          <w:rFonts w:ascii="Arial" w:cs="Arial" w:eastAsia="Arial" w:hAnsi="Arial"/>
          <w:sz w:val="15"/>
          <w:szCs w:val="15"/>
          <w:color w:val="auto"/>
        </w:rPr>
        <w:t xml:space="preserve"> below) may be shortened or waived, either before or after the action for which notice is required, with the written consent of the Company and the holders of a majority of the voting power of the outstanding shares of Senior Preferred Stock that are entitled to such notice rights (voting together as a single class).</w:t>
      </w:r>
    </w:p>
    <w:p>
      <w:pPr>
        <w:spacing w:after="0" w:line="152"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Conversion</w:t>
      </w:r>
      <w:r>
        <w:rPr>
          <w:rFonts w:ascii="Arial" w:cs="Arial" w:eastAsia="Arial" w:hAnsi="Arial"/>
          <w:sz w:val="14"/>
          <w:szCs w:val="14"/>
          <w:color w:val="auto"/>
        </w:rPr>
        <w:t>. The holders of Preferred Stock shall have conversion rights as follows (the “</w:t>
      </w:r>
      <w:r>
        <w:rPr>
          <w:rFonts w:ascii="Arial" w:cs="Arial" w:eastAsia="Arial" w:hAnsi="Arial"/>
          <w:sz w:val="14"/>
          <w:szCs w:val="14"/>
          <w:u w:val="single" w:color="auto"/>
          <w:color w:val="auto"/>
        </w:rPr>
        <w:t>Conversion Rights</w:t>
      </w:r>
      <w:r>
        <w:rPr>
          <w:rFonts w:ascii="Arial" w:cs="Arial" w:eastAsia="Arial" w:hAnsi="Arial"/>
          <w:sz w:val="14"/>
          <w:szCs w:val="14"/>
          <w:color w:val="auto"/>
        </w:rPr>
        <w:t>”):</w:t>
      </w:r>
    </w:p>
    <w:p>
      <w:pPr>
        <w:spacing w:after="0" w:line="199" w:lineRule="exact"/>
        <w:rPr>
          <w:sz w:val="20"/>
          <w:szCs w:val="20"/>
          <w:color w:val="auto"/>
        </w:rPr>
      </w:pPr>
    </w:p>
    <w:p>
      <w:pPr>
        <w:ind w:left="1667" w:hanging="553"/>
        <w:spacing w:after="0"/>
        <w:tabs>
          <w:tab w:leader="none" w:pos="1667"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Optional Conversion of the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7" w:hanging="576"/>
        <w:spacing w:after="0"/>
        <w:tabs>
          <w:tab w:leader="none" w:pos="2247" w:val="left"/>
        </w:tabs>
        <w:numPr>
          <w:ilvl w:val="1"/>
          <w:numId w:val="142"/>
        </w:numPr>
        <w:rPr>
          <w:rFonts w:ascii="Arial" w:cs="Arial" w:eastAsia="Arial" w:hAnsi="Arial"/>
          <w:sz w:val="15"/>
          <w:szCs w:val="15"/>
          <w:color w:val="auto"/>
        </w:rPr>
      </w:pPr>
      <w:r>
        <w:rPr>
          <w:rFonts w:ascii="Arial" w:cs="Arial" w:eastAsia="Arial" w:hAnsi="Arial"/>
          <w:sz w:val="15"/>
          <w:szCs w:val="15"/>
          <w:u w:val="single" w:color="auto"/>
          <w:color w:val="auto"/>
        </w:rPr>
        <w:t>Series 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right="100" w:firstLine="2221"/>
        <w:spacing w:after="0" w:line="285" w:lineRule="auto"/>
        <w:tabs>
          <w:tab w:leader="none" w:pos="2799" w:val="left"/>
        </w:tabs>
        <w:numPr>
          <w:ilvl w:val="2"/>
          <w:numId w:val="142"/>
        </w:numPr>
        <w:rPr>
          <w:rFonts w:ascii="Arial" w:cs="Arial" w:eastAsia="Arial" w:hAnsi="Arial"/>
          <w:sz w:val="14"/>
          <w:szCs w:val="14"/>
          <w:color w:val="auto"/>
        </w:rPr>
      </w:pPr>
      <w:r>
        <w:rPr>
          <w:rFonts w:ascii="Arial" w:cs="Arial" w:eastAsia="Arial" w:hAnsi="Arial"/>
          <w:sz w:val="14"/>
          <w:szCs w:val="14"/>
          <w:color w:val="auto"/>
        </w:rPr>
        <w:t xml:space="preserve">In the event that (i) a holder of shares of Series E Preferred elects to convert such shares into Common Stock on or after the date that is 30 days prior to a Deemed Liquidation Event or (ii) shares of Series E Preferred are converted into Common Stock pursuant to </w:t>
      </w:r>
      <w:r>
        <w:rPr>
          <w:rFonts w:ascii="Arial" w:cs="Arial" w:eastAsia="Arial" w:hAnsi="Arial"/>
          <w:sz w:val="14"/>
          <w:szCs w:val="14"/>
          <w:u w:val="single" w:color="auto"/>
          <w:color w:val="auto"/>
        </w:rPr>
        <w:t>Section 3.3(b)(v)</w:t>
      </w:r>
      <w:r>
        <w:rPr>
          <w:rFonts w:ascii="Arial" w:cs="Arial" w:eastAsia="Arial" w:hAnsi="Arial"/>
          <w:sz w:val="14"/>
          <w:szCs w:val="14"/>
          <w:color w:val="auto"/>
        </w:rPr>
        <w:t xml:space="preserve"> (or are deemed to convert into Common Stock pursuant to </w:t>
      </w:r>
      <w:r>
        <w:rPr>
          <w:rFonts w:ascii="Arial" w:cs="Arial" w:eastAsia="Arial" w:hAnsi="Arial"/>
          <w:sz w:val="14"/>
          <w:szCs w:val="14"/>
          <w:u w:val="single" w:color="auto"/>
          <w:color w:val="auto"/>
        </w:rPr>
        <w:t>Section 3.2(d)</w:t>
      </w:r>
      <w:r>
        <w:rPr>
          <w:rFonts w:ascii="Arial" w:cs="Arial" w:eastAsia="Arial" w:hAnsi="Arial"/>
          <w:sz w:val="14"/>
          <w:szCs w:val="14"/>
          <w:color w:val="auto"/>
        </w:rPr>
        <w:t xml:space="preserve">), then the number of shares of Common Stock issuable upon conversion of each such share of Series E Preferred shall be equal to (A) the Original Issue Price of the Series E Preferred,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applicable Conversion Price (as defined in Section 3.3(a)(v)) in effect at the time of conversion, determined as provided in </w:t>
      </w:r>
      <w:r>
        <w:rPr>
          <w:rFonts w:ascii="Arial" w:cs="Arial" w:eastAsia="Arial" w:hAnsi="Arial"/>
          <w:sz w:val="14"/>
          <w:szCs w:val="14"/>
          <w:u w:val="single" w:color="auto"/>
          <w:color w:val="auto"/>
        </w:rPr>
        <w:t>Section 3.3(d)</w:t>
      </w:r>
      <w:r>
        <w:rPr>
          <w:rFonts w:ascii="Arial" w:cs="Arial" w:eastAsia="Arial" w:hAnsi="Arial"/>
          <w:sz w:val="14"/>
          <w:szCs w:val="14"/>
          <w:color w:val="auto"/>
        </w:rPr>
        <w:t xml:space="preserve"> below,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(B) 1.15. For the avoidance of doubt, in the event that a holder of shares of Series E Preferred elects to convert such shares in accordance with clause (i) of this </w:t>
      </w:r>
      <w:r>
        <w:rPr>
          <w:rFonts w:ascii="Arial" w:cs="Arial" w:eastAsia="Arial" w:hAnsi="Arial"/>
          <w:sz w:val="14"/>
          <w:szCs w:val="14"/>
          <w:u w:val="single" w:color="auto"/>
          <w:color w:val="auto"/>
        </w:rPr>
        <w:t>Subsection 3.3(a)(i)(1)</w:t>
      </w:r>
      <w:r>
        <w:rPr>
          <w:rFonts w:ascii="Arial" w:cs="Arial" w:eastAsia="Arial" w:hAnsi="Arial"/>
          <w:sz w:val="14"/>
          <w:szCs w:val="14"/>
          <w:color w:val="auto"/>
        </w:rPr>
        <w:t>, such holder shall not be entitled to receive any portion of the Series E Liquidation Amount in any subsequent voluntary or involuntary liquidation, dissolution or winding up of the affairs of the Corporation, including any Deemed Liquidation Event.</w:t>
      </w:r>
    </w:p>
    <w:p>
      <w:pPr>
        <w:spacing w:after="0" w:line="147" w:lineRule="exact"/>
        <w:rPr>
          <w:rFonts w:ascii="Arial" w:cs="Arial" w:eastAsia="Arial" w:hAnsi="Arial"/>
          <w:sz w:val="14"/>
          <w:szCs w:val="14"/>
          <w:color w:val="auto"/>
        </w:rPr>
      </w:pPr>
    </w:p>
    <w:p>
      <w:pPr>
        <w:ind w:left="7" w:right="160" w:firstLine="2221"/>
        <w:spacing w:after="0" w:line="274" w:lineRule="auto"/>
        <w:tabs>
          <w:tab w:leader="none" w:pos="2799" w:val="left"/>
        </w:tabs>
        <w:numPr>
          <w:ilvl w:val="2"/>
          <w:numId w:val="142"/>
        </w:numPr>
        <w:rPr>
          <w:rFonts w:ascii="Arial" w:cs="Arial" w:eastAsia="Arial" w:hAnsi="Arial"/>
          <w:sz w:val="15"/>
          <w:szCs w:val="15"/>
          <w:color w:val="auto"/>
        </w:rPr>
      </w:pPr>
      <w:r>
        <w:rPr>
          <w:rFonts w:ascii="Arial" w:cs="Arial" w:eastAsia="Arial" w:hAnsi="Arial"/>
          <w:sz w:val="15"/>
          <w:szCs w:val="15"/>
          <w:color w:val="auto"/>
        </w:rPr>
        <w:t xml:space="preserve">Each share of Series E Preferred shall be convertible at the option of the holder thereof at any time and from time to time after the date of issuance of such share and without the payment of any additional consideration therefor, into, except as set forth in </w:t>
      </w:r>
      <w:r>
        <w:rPr>
          <w:rFonts w:ascii="Arial" w:cs="Arial" w:eastAsia="Arial" w:hAnsi="Arial"/>
          <w:sz w:val="15"/>
          <w:szCs w:val="15"/>
          <w:u w:val="single" w:color="auto"/>
          <w:color w:val="auto"/>
        </w:rPr>
        <w:t>Subsection 3.3(a)(i)(1)</w:t>
      </w:r>
      <w:r>
        <w:rPr>
          <w:rFonts w:ascii="Arial" w:cs="Arial" w:eastAsia="Arial" w:hAnsi="Arial"/>
          <w:sz w:val="15"/>
          <w:szCs w:val="15"/>
          <w:color w:val="auto"/>
        </w:rPr>
        <w:t xml:space="preserve"> above,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of the Series E Preferred, </w:t>
      </w:r>
      <w:r>
        <w:rPr>
          <w:rFonts w:ascii="Arial" w:cs="Arial" w:eastAsia="Arial" w:hAnsi="Arial"/>
          <w:sz w:val="15"/>
          <w:szCs w:val="15"/>
          <w:i w:val="1"/>
          <w:iCs w:val="1"/>
          <w:color w:val="auto"/>
        </w:rPr>
        <w:t>by</w:t>
      </w:r>
      <w:r>
        <w:rPr>
          <w:rFonts w:ascii="Arial" w:cs="Arial" w:eastAsia="Arial" w:hAnsi="Arial"/>
          <w:sz w:val="15"/>
          <w:szCs w:val="15"/>
          <w:color w:val="auto"/>
        </w:rPr>
        <w:t xml:space="preserve"> the</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9" w:right="219" w:bottom="259" w:gutter="0" w:footer="0" w:header="0"/>
        </w:sectPr>
      </w:pPr>
    </w:p>
    <w:bookmarkStart w:id="255" w:name="page256"/>
    <w:bookmarkEnd w:id="255"/>
    <w:p>
      <w:pPr>
        <w:ind w:left="7"/>
        <w:spacing w:after="0"/>
        <w:rPr>
          <w:sz w:val="20"/>
          <w:szCs w:val="20"/>
          <w:color w:val="auto"/>
        </w:rPr>
      </w:pPr>
      <w:r>
        <w:rPr>
          <w:rFonts w:ascii="Arial" w:cs="Arial" w:eastAsia="Arial" w:hAnsi="Arial"/>
          <w:sz w:val="15"/>
          <w:szCs w:val="15"/>
          <w:color w:val="auto"/>
        </w:rPr>
        <w:t xml:space="preserve">applicable Conversion Price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99" w:lineRule="exact"/>
        <w:rPr>
          <w:sz w:val="20"/>
          <w:szCs w:val="20"/>
          <w:color w:val="auto"/>
        </w:rPr>
      </w:pPr>
    </w:p>
    <w:p>
      <w:pPr>
        <w:jc w:val="both"/>
        <w:ind w:left="7" w:right="200" w:firstLine="1664"/>
        <w:spacing w:after="0" w:line="269" w:lineRule="auto"/>
        <w:tabs>
          <w:tab w:leader="none" w:pos="2262"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Tier II Preferred Stock</w:t>
      </w:r>
      <w:r>
        <w:rPr>
          <w:rFonts w:ascii="Arial" w:cs="Arial" w:eastAsia="Arial" w:hAnsi="Arial"/>
          <w:sz w:val="15"/>
          <w:szCs w:val="15"/>
          <w:color w:val="auto"/>
        </w:rPr>
        <w:t xml:space="preserve">. Each share of any series of Tier II Preferred Stock shall be convertible at the option of the holder thereof at any time and from time to time after the date of issuance of such share and without the payment of any additional consideration therefor, into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for such series of Tier II Preferred Stock, </w:t>
      </w:r>
      <w:r>
        <w:rPr>
          <w:rFonts w:ascii="Arial" w:cs="Arial" w:eastAsia="Arial" w:hAnsi="Arial"/>
          <w:sz w:val="15"/>
          <w:szCs w:val="15"/>
          <w:i w:val="1"/>
          <w:iCs w:val="1"/>
          <w:color w:val="auto"/>
        </w:rPr>
        <w:t>by</w:t>
      </w:r>
      <w:r>
        <w:rPr>
          <w:rFonts w:ascii="Arial" w:cs="Arial" w:eastAsia="Arial" w:hAnsi="Arial"/>
          <w:sz w:val="15"/>
          <w:szCs w:val="15"/>
          <w:color w:val="auto"/>
        </w:rPr>
        <w:t xml:space="preserve"> the applicable Conversion Price for such series of Tier II Preferred Stock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55" w:lineRule="exact"/>
        <w:rPr>
          <w:rFonts w:ascii="Arial" w:cs="Arial" w:eastAsia="Arial" w:hAnsi="Arial"/>
          <w:sz w:val="15"/>
          <w:szCs w:val="15"/>
          <w:color w:val="auto"/>
        </w:rPr>
      </w:pPr>
    </w:p>
    <w:p>
      <w:pPr>
        <w:ind w:left="7" w:right="20" w:firstLine="1664"/>
        <w:spacing w:after="0" w:line="280" w:lineRule="auto"/>
        <w:tabs>
          <w:tab w:leader="none" w:pos="2270" w:val="left"/>
        </w:tabs>
        <w:numPr>
          <w:ilvl w:val="1"/>
          <w:numId w:val="143"/>
        </w:numPr>
        <w:rPr>
          <w:rFonts w:ascii="Arial" w:cs="Arial" w:eastAsia="Arial" w:hAnsi="Arial"/>
          <w:sz w:val="14"/>
          <w:szCs w:val="14"/>
          <w:color w:val="auto"/>
        </w:rPr>
      </w:pPr>
      <w:r>
        <w:rPr>
          <w:rFonts w:ascii="Arial" w:cs="Arial" w:eastAsia="Arial" w:hAnsi="Arial"/>
          <w:sz w:val="14"/>
          <w:szCs w:val="14"/>
          <w:u w:val="single" w:color="auto"/>
          <w:color w:val="auto"/>
        </w:rPr>
        <w:t>Series SRN Preferred</w:t>
      </w:r>
      <w:r>
        <w:rPr>
          <w:rFonts w:ascii="Arial" w:cs="Arial" w:eastAsia="Arial" w:hAnsi="Arial"/>
          <w:sz w:val="14"/>
          <w:szCs w:val="14"/>
          <w:color w:val="auto"/>
        </w:rPr>
        <w:t xml:space="preserve">. Other than as provided in Section 3.3(a)(iv) below, upon the occurrence of an SRN Optional Conversion Event (as defined below), each share of Series SRN Preferred shall be convertible at the option of the holder thereof and without the payment of any additional consideration therefor, into that number of fully paid and nonassessable shares of Common Stock as is determined by </w:t>
      </w:r>
      <w:r>
        <w:rPr>
          <w:rFonts w:ascii="Arial" w:cs="Arial" w:eastAsia="Arial" w:hAnsi="Arial"/>
          <w:sz w:val="14"/>
          <w:szCs w:val="14"/>
          <w:i w:val="1"/>
          <w:iCs w:val="1"/>
          <w:color w:val="auto"/>
        </w:rPr>
        <w:t>dividing</w:t>
      </w:r>
      <w:r>
        <w:rPr>
          <w:rFonts w:ascii="Arial" w:cs="Arial" w:eastAsia="Arial" w:hAnsi="Arial"/>
          <w:sz w:val="14"/>
          <w:szCs w:val="14"/>
          <w:color w:val="auto"/>
        </w:rPr>
        <w:t xml:space="preserve"> the Original Issue Price for the Series SRN Preferred </w:t>
      </w:r>
      <w:r>
        <w:rPr>
          <w:rFonts w:ascii="Arial" w:cs="Arial" w:eastAsia="Arial" w:hAnsi="Arial"/>
          <w:sz w:val="14"/>
          <w:szCs w:val="14"/>
          <w:i w:val="1"/>
          <w:iCs w:val="1"/>
          <w:color w:val="auto"/>
        </w:rPr>
        <w:t>by</w:t>
      </w:r>
      <w:r>
        <w:rPr>
          <w:rFonts w:ascii="Arial" w:cs="Arial" w:eastAsia="Arial" w:hAnsi="Arial"/>
          <w:sz w:val="14"/>
          <w:szCs w:val="14"/>
          <w:color w:val="auto"/>
        </w:rPr>
        <w:t xml:space="preserve"> the Conversion Price for the Series SRN Preferred in effect at the time of conversion, determined as provided in </w:t>
      </w:r>
      <w:r>
        <w:rPr>
          <w:rFonts w:ascii="Arial" w:cs="Arial" w:eastAsia="Arial" w:hAnsi="Arial"/>
          <w:sz w:val="14"/>
          <w:szCs w:val="14"/>
          <w:u w:val="single" w:color="auto"/>
          <w:color w:val="auto"/>
        </w:rPr>
        <w:t>Section 3.3(d)</w:t>
      </w:r>
      <w:r>
        <w:rPr>
          <w:rFonts w:ascii="Arial" w:cs="Arial" w:eastAsia="Arial" w:hAnsi="Arial"/>
          <w:sz w:val="14"/>
          <w:szCs w:val="14"/>
          <w:color w:val="auto"/>
        </w:rPr>
        <w:t xml:space="preserve"> below,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any election to convert shall be delivered to the Corporation no later than ten</w:t>
      </w:r>
    </w:p>
    <w:p>
      <w:pPr>
        <w:spacing w:after="0" w:line="1" w:lineRule="exact"/>
        <w:rPr>
          <w:rFonts w:ascii="Arial" w:cs="Arial" w:eastAsia="Arial" w:hAnsi="Arial"/>
          <w:sz w:val="14"/>
          <w:szCs w:val="14"/>
          <w:color w:val="auto"/>
        </w:rPr>
      </w:pPr>
    </w:p>
    <w:p>
      <w:pPr>
        <w:ind w:left="7" w:hanging="7"/>
        <w:spacing w:after="0" w:line="280" w:lineRule="auto"/>
        <w:tabs>
          <w:tab w:leader="none" w:pos="304"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days prior to such event (provided that the notice from the Corporation to the holders of record of the Series SRN Preferred Stock pursuant to </w:t>
      </w:r>
      <w:r>
        <w:rPr>
          <w:rFonts w:ascii="Arial" w:cs="Arial" w:eastAsia="Arial" w:hAnsi="Arial"/>
          <w:sz w:val="14"/>
          <w:szCs w:val="14"/>
          <w:u w:val="single" w:color="auto"/>
          <w:color w:val="auto"/>
        </w:rPr>
        <w:t>Section 3.3(c)(i)</w:t>
      </w:r>
      <w:r>
        <w:rPr>
          <w:rFonts w:ascii="Arial" w:cs="Arial" w:eastAsia="Arial" w:hAnsi="Arial"/>
          <w:sz w:val="14"/>
          <w:szCs w:val="14"/>
          <w:color w:val="auto"/>
        </w:rPr>
        <w:t xml:space="preserve"> below was timely delivered). If any holder of Series SRN Preferred does not exercise such option to convert shares of Series SRN Preferred within the period set forth in the immediately preceding sentence, </w:t>
      </w:r>
      <w:r>
        <w:rPr>
          <w:rFonts w:ascii="Arial" w:cs="Arial" w:eastAsia="Arial" w:hAnsi="Arial"/>
          <w:sz w:val="14"/>
          <w:szCs w:val="14"/>
          <w:u w:val="single" w:color="auto"/>
          <w:color w:val="auto"/>
        </w:rPr>
        <w:t>Sections 3.2(c)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3.2(d)</w:t>
      </w:r>
      <w:r>
        <w:rPr>
          <w:rFonts w:ascii="Arial" w:cs="Arial" w:eastAsia="Arial" w:hAnsi="Arial"/>
          <w:sz w:val="14"/>
          <w:szCs w:val="14"/>
          <w:color w:val="auto"/>
        </w:rPr>
        <w:t xml:space="preserve"> shall govern distributions to such holder on account of such shares in connection with the distribution of proceeds from such voluntary or involuntary liquidation, dissolution or winding up of the affairs of the Corporation (including without limitation any Deemed Liquidation Event). For the avoidance of doubt, other than pursuant to this </w:t>
      </w:r>
      <w:r>
        <w:rPr>
          <w:rFonts w:ascii="Arial" w:cs="Arial" w:eastAsia="Arial" w:hAnsi="Arial"/>
          <w:sz w:val="14"/>
          <w:szCs w:val="14"/>
          <w:u w:val="single" w:color="auto"/>
          <w:color w:val="auto"/>
        </w:rPr>
        <w:t>Section 3.3(a)(iii)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3.3(a)(iv)</w:t>
      </w:r>
      <w:r>
        <w:rPr>
          <w:rFonts w:ascii="Arial" w:cs="Arial" w:eastAsia="Arial" w:hAnsi="Arial"/>
          <w:sz w:val="14"/>
          <w:szCs w:val="14"/>
          <w:color w:val="auto"/>
        </w:rPr>
        <w:t xml:space="preserve"> below or </w:t>
      </w:r>
      <w:r>
        <w:rPr>
          <w:rFonts w:ascii="Arial" w:cs="Arial" w:eastAsia="Arial" w:hAnsi="Arial"/>
          <w:sz w:val="14"/>
          <w:szCs w:val="14"/>
          <w:u w:val="single" w:color="auto"/>
          <w:color w:val="auto"/>
        </w:rPr>
        <w:t>Section 3.3(b)(iv)(E)</w:t>
      </w:r>
      <w:r>
        <w:rPr>
          <w:rFonts w:ascii="Arial" w:cs="Arial" w:eastAsia="Arial" w:hAnsi="Arial"/>
          <w:sz w:val="14"/>
          <w:szCs w:val="14"/>
          <w:color w:val="auto"/>
        </w:rPr>
        <w:t>, the Series SRN Preferred shall not otherwise be convertible at the election of any holder thereof. For the purposes of this Certificate, “</w:t>
      </w:r>
      <w:r>
        <w:rPr>
          <w:rFonts w:ascii="Arial" w:cs="Arial" w:eastAsia="Arial" w:hAnsi="Arial"/>
          <w:sz w:val="14"/>
          <w:szCs w:val="14"/>
          <w:u w:val="single" w:color="auto"/>
          <w:color w:val="auto"/>
        </w:rPr>
        <w:t>SRN Optional Conversion Event</w:t>
      </w:r>
      <w:r>
        <w:rPr>
          <w:rFonts w:ascii="Arial" w:cs="Arial" w:eastAsia="Arial" w:hAnsi="Arial"/>
          <w:sz w:val="14"/>
          <w:szCs w:val="14"/>
          <w:color w:val="auto"/>
        </w:rPr>
        <w:t xml:space="preserve">” shall mean (A) any voluntary or involuntary liquidation, dissolution or winding up of the affairs of the Corporation which, for purposes of this </w:t>
      </w:r>
      <w:r>
        <w:rPr>
          <w:rFonts w:ascii="Arial" w:cs="Arial" w:eastAsia="Arial" w:hAnsi="Arial"/>
          <w:sz w:val="14"/>
          <w:szCs w:val="14"/>
          <w:u w:val="single" w:color="auto"/>
          <w:color w:val="auto"/>
        </w:rPr>
        <w:t>Section 3.3(a)</w:t>
      </w:r>
      <w:r>
        <w:rPr>
          <w:rFonts w:ascii="Arial" w:cs="Arial" w:eastAsia="Arial" w:hAnsi="Arial"/>
          <w:sz w:val="14"/>
          <w:szCs w:val="14"/>
          <w:color w:val="auto"/>
        </w:rPr>
        <w:t xml:space="preserve"> shall include without limitation a Deemed Liquidation Event or (B) the filing by the Corporation of a registration statement on Form S-1 (or equivalent document or a prospectus in any other jurisdiction) with the U.S. Securities and Exchange Commission (or with the relevant regulatory authority in such other jurisdiction) in respect of a public offering of shares of the Corporation’s capital stock,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for the avoidance of doubt, any Qualified Public Offering (as defined below), shall cause the automatic conversion of the Series SRN Preferred pursuant to and in accordance with </w:t>
      </w:r>
      <w:r>
        <w:rPr>
          <w:rFonts w:ascii="Arial" w:cs="Arial" w:eastAsia="Arial" w:hAnsi="Arial"/>
          <w:sz w:val="14"/>
          <w:szCs w:val="14"/>
          <w:u w:val="single" w:color="auto"/>
          <w:color w:val="auto"/>
        </w:rPr>
        <w:t>Section 3.3(b)</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7" w:firstLine="1664"/>
        <w:spacing w:after="0" w:line="266" w:lineRule="auto"/>
        <w:tabs>
          <w:tab w:leader="none" w:pos="2250"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Series SRN Preferred Special Optional Conversion</w:t>
      </w:r>
      <w:r>
        <w:rPr>
          <w:rFonts w:ascii="Arial" w:cs="Arial" w:eastAsia="Arial" w:hAnsi="Arial"/>
          <w:sz w:val="15"/>
          <w:szCs w:val="15"/>
          <w:color w:val="auto"/>
        </w:rPr>
        <w:t xml:space="preserve">. Upon the occurrence of an SRN Special Optional Conversion Event (as defined below), and for a period of sixty (60) days after the notice of such SRN Special Optional Conversion Event from the Corporation to the holders of record of the Series SRN Preferred Stock pursuant to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below), each share of Series SRN Preferred shall be convertible at the option of the holder thereof and without the payment of any additional consideration therefor, into that number of fully paid and nonassessable shares of Common Stock as is determined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the Original Issue Price for the Series SRN Preferred </w:t>
      </w:r>
      <w:r>
        <w:rPr>
          <w:rFonts w:ascii="Arial" w:cs="Arial" w:eastAsia="Arial" w:hAnsi="Arial"/>
          <w:sz w:val="15"/>
          <w:szCs w:val="15"/>
          <w:i w:val="1"/>
          <w:iCs w:val="1"/>
          <w:color w:val="auto"/>
        </w:rPr>
        <w:t>by</w:t>
      </w:r>
      <w:r>
        <w:rPr>
          <w:rFonts w:ascii="Arial" w:cs="Arial" w:eastAsia="Arial" w:hAnsi="Arial"/>
          <w:sz w:val="15"/>
          <w:szCs w:val="15"/>
          <w:color w:val="auto"/>
        </w:rPr>
        <w:t xml:space="preserve"> the Conversion Price for the Series SRN</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 xml:space="preserve">Preferred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For the avoidance of doubt, other than pursuant to </w:t>
      </w:r>
      <w:r>
        <w:rPr>
          <w:rFonts w:ascii="Arial" w:cs="Arial" w:eastAsia="Arial" w:hAnsi="Arial"/>
          <w:sz w:val="15"/>
          <w:szCs w:val="15"/>
          <w:u w:val="single" w:color="auto"/>
          <w:color w:val="auto"/>
        </w:rPr>
        <w:t>Section 3.3(a)(ii)</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3.3(a)(iii)</w:t>
      </w:r>
      <w:r>
        <w:rPr>
          <w:rFonts w:ascii="Arial" w:cs="Arial" w:eastAsia="Arial" w:hAnsi="Arial"/>
          <w:sz w:val="15"/>
          <w:szCs w:val="15"/>
          <w:color w:val="auto"/>
        </w:rPr>
        <w:t>, the Series SRN Preferred shall not otherwise be convertible at the election of any holder thereof. For the purposes of this Certificate, “</w:t>
      </w:r>
      <w:r>
        <w:rPr>
          <w:rFonts w:ascii="Arial" w:cs="Arial" w:eastAsia="Arial" w:hAnsi="Arial"/>
          <w:sz w:val="15"/>
          <w:szCs w:val="15"/>
          <w:u w:val="single" w:color="auto"/>
          <w:color w:val="auto"/>
        </w:rPr>
        <w:t>SRN Special Optional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Conversion Event</w:t>
      </w:r>
      <w:r>
        <w:rPr>
          <w:rFonts w:ascii="Arial" w:cs="Arial" w:eastAsia="Arial" w:hAnsi="Arial"/>
          <w:sz w:val="15"/>
          <w:szCs w:val="15"/>
          <w:color w:val="auto"/>
        </w:rPr>
        <w:t>” shall mean the occurrence of any of the following: (A) a court of competent jurisdiction ordering the institution of supervision (</w:t>
      </w:r>
      <w:r>
        <w:rPr>
          <w:rFonts w:ascii="Arial" w:cs="Arial" w:eastAsia="Arial" w:hAnsi="Arial"/>
          <w:sz w:val="15"/>
          <w:szCs w:val="15"/>
          <w:i w:val="1"/>
          <w:iCs w:val="1"/>
          <w:color w:val="auto"/>
        </w:rPr>
        <w:t>nablyudenie</w:t>
      </w:r>
      <w:r>
        <w:rPr>
          <w:rFonts w:ascii="Arial" w:cs="Arial" w:eastAsia="Arial" w:hAnsi="Arial"/>
          <w:sz w:val="15"/>
          <w:szCs w:val="15"/>
          <w:color w:val="auto"/>
        </w:rPr>
        <w:t>) or the appointment of a temporary manager (</w:t>
      </w:r>
      <w:r>
        <w:rPr>
          <w:rFonts w:ascii="Arial" w:cs="Arial" w:eastAsia="Arial" w:hAnsi="Arial"/>
          <w:sz w:val="15"/>
          <w:szCs w:val="15"/>
          <w:i w:val="1"/>
          <w:iCs w:val="1"/>
          <w:color w:val="auto"/>
        </w:rPr>
        <w:t>vremennyi upravlayushiy</w:t>
      </w:r>
      <w:r>
        <w:rPr>
          <w:rFonts w:ascii="Arial" w:cs="Arial" w:eastAsia="Arial" w:hAnsi="Arial"/>
          <w:sz w:val="15"/>
          <w:szCs w:val="15"/>
          <w:color w:val="auto"/>
        </w:rPr>
        <w:t>) in respect to SELECTA (RUS) LLC, a subsidiary of the Corporation or (B) a KPI Failure (as defined in that certain Amended and Restated Series D Preferred Stock Investment Agreement and Series SRN Preferred Stock Investment Agreement, by and among the Corporation and the parties named therein, dated July 15, 2014 (as the same may be amended from time to time, the “</w:t>
      </w:r>
      <w:r>
        <w:rPr>
          <w:rFonts w:ascii="Arial" w:cs="Arial" w:eastAsia="Arial" w:hAnsi="Arial"/>
          <w:sz w:val="15"/>
          <w:szCs w:val="15"/>
          <w:u w:val="single" w:color="auto"/>
          <w:color w:val="auto"/>
        </w:rPr>
        <w:t>Initial SRN Purchase Agreement</w:t>
      </w:r>
      <w:r>
        <w:rPr>
          <w:rFonts w:ascii="Arial" w:cs="Arial" w:eastAsia="Arial" w:hAnsi="Arial"/>
          <w:sz w:val="15"/>
          <w:szCs w:val="15"/>
          <w:color w:val="auto"/>
        </w:rPr>
        <w:t>”)).</w:t>
      </w:r>
    </w:p>
    <w:p>
      <w:pPr>
        <w:spacing w:after="0" w:line="161" w:lineRule="exact"/>
        <w:rPr>
          <w:sz w:val="20"/>
          <w:szCs w:val="20"/>
          <w:color w:val="auto"/>
        </w:rPr>
      </w:pPr>
    </w:p>
    <w:p>
      <w:pPr>
        <w:jc w:val="both"/>
        <w:ind w:left="7" w:right="100" w:firstLine="1664"/>
        <w:spacing w:after="0" w:line="264" w:lineRule="auto"/>
        <w:tabs>
          <w:tab w:leader="none" w:pos="2242" w:val="left"/>
        </w:tabs>
        <w:numPr>
          <w:ilvl w:val="1"/>
          <w:numId w:val="145"/>
        </w:numPr>
        <w:rPr>
          <w:rFonts w:ascii="Arial" w:cs="Arial" w:eastAsia="Arial" w:hAnsi="Arial"/>
          <w:sz w:val="15"/>
          <w:szCs w:val="15"/>
          <w:color w:val="auto"/>
        </w:rPr>
      </w:pPr>
      <w:r>
        <w:rPr>
          <w:rFonts w:ascii="Arial" w:cs="Arial" w:eastAsia="Arial" w:hAnsi="Arial"/>
          <w:sz w:val="15"/>
          <w:szCs w:val="15"/>
          <w:u w:val="single" w:color="auto"/>
          <w:color w:val="auto"/>
        </w:rPr>
        <w:t>Conversion Price</w:t>
      </w:r>
      <w:r>
        <w:rPr>
          <w:rFonts w:ascii="Arial" w:cs="Arial" w:eastAsia="Arial" w:hAnsi="Arial"/>
          <w:sz w:val="15"/>
          <w:szCs w:val="15"/>
          <w:color w:val="auto"/>
        </w:rPr>
        <w:t xml:space="preserve">. The price at which a share of Preferred Stock is convertible into Common Stock pursuant to </w:t>
      </w:r>
      <w:r>
        <w:rPr>
          <w:rFonts w:ascii="Arial" w:cs="Arial" w:eastAsia="Arial" w:hAnsi="Arial"/>
          <w:sz w:val="15"/>
          <w:szCs w:val="15"/>
          <w:u w:val="single" w:color="auto"/>
          <w:color w:val="auto"/>
        </w:rPr>
        <w:t>Section 3.3(a)(i)</w:t>
      </w:r>
      <w:r>
        <w:rPr>
          <w:rFonts w:ascii="Arial" w:cs="Arial" w:eastAsia="Arial" w:hAnsi="Arial"/>
          <w:sz w:val="15"/>
          <w:szCs w:val="15"/>
          <w:color w:val="auto"/>
        </w:rPr>
        <w:t>-</w:t>
      </w:r>
      <w:r>
        <w:rPr>
          <w:rFonts w:ascii="Arial" w:cs="Arial" w:eastAsia="Arial" w:hAnsi="Arial"/>
          <w:sz w:val="15"/>
          <w:szCs w:val="15"/>
          <w:u w:val="single" w:color="auto"/>
          <w:color w:val="auto"/>
        </w:rPr>
        <w:t>(iv)</w:t>
      </w:r>
      <w:r>
        <w:rPr>
          <w:rFonts w:ascii="Arial" w:cs="Arial" w:eastAsia="Arial" w:hAnsi="Arial"/>
          <w:sz w:val="15"/>
          <w:szCs w:val="15"/>
          <w:color w:val="auto"/>
        </w:rPr>
        <w:t xml:space="preserve"> shall be referred to as the “</w:t>
      </w:r>
      <w:r>
        <w:rPr>
          <w:rFonts w:ascii="Arial" w:cs="Arial" w:eastAsia="Arial" w:hAnsi="Arial"/>
          <w:sz w:val="15"/>
          <w:szCs w:val="15"/>
          <w:u w:val="single" w:color="auto"/>
          <w:color w:val="auto"/>
        </w:rPr>
        <w:t>Conversion Price</w:t>
      </w:r>
      <w:r>
        <w:rPr>
          <w:rFonts w:ascii="Arial" w:cs="Arial" w:eastAsia="Arial" w:hAnsi="Arial"/>
          <w:sz w:val="15"/>
          <w:szCs w:val="15"/>
          <w:color w:val="auto"/>
        </w:rPr>
        <w:t>”. The initial “</w:t>
      </w:r>
      <w:r>
        <w:rPr>
          <w:rFonts w:ascii="Arial" w:cs="Arial" w:eastAsia="Arial" w:hAnsi="Arial"/>
          <w:sz w:val="15"/>
          <w:szCs w:val="15"/>
          <w:u w:val="single" w:color="auto"/>
          <w:color w:val="auto"/>
        </w:rPr>
        <w:t>Conversion Price</w:t>
      </w:r>
      <w:r>
        <w:rPr>
          <w:rFonts w:ascii="Arial" w:cs="Arial" w:eastAsia="Arial" w:hAnsi="Arial"/>
          <w:sz w:val="15"/>
          <w:szCs w:val="15"/>
          <w:color w:val="auto"/>
        </w:rPr>
        <w:t xml:space="preserve">” of (i) the Series A Preferred shall be $0.9653, (ii) the Series B Preferred shall be $2.0303, (iii) the Series C Preferred shall be $3.00, (iv) the Series D Preferred shall be $4.30, (v) the Series E Preferred shall be $4.50, (vi) the Series SRN Preferred in connection with an SRN Special Optional Conversion Event shall be $3.60 and in all other cases shall be $4.30; (in each case as adjusted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Each person converting shares of Preferred Stock pursuant to this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shall be entitled to all declared but unpaid dividends (other than the Accruing Dividends) up to the time of the conversion. Such dividends shall be paid to each such person within thirty (30) days of the date of conversion.</w:t>
      </w:r>
    </w:p>
    <w:p>
      <w:pPr>
        <w:spacing w:after="0" w:line="161" w:lineRule="exact"/>
        <w:rPr>
          <w:rFonts w:ascii="Arial" w:cs="Arial" w:eastAsia="Arial" w:hAnsi="Arial"/>
          <w:sz w:val="15"/>
          <w:szCs w:val="15"/>
          <w:color w:val="auto"/>
        </w:rPr>
      </w:pPr>
    </w:p>
    <w:p>
      <w:pPr>
        <w:ind w:left="1687" w:hanging="573"/>
        <w:spacing w:after="0"/>
        <w:tabs>
          <w:tab w:leader="none" w:pos="1687"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Automatic Conversion of the Preferred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7" w:hanging="576"/>
        <w:spacing w:after="0"/>
        <w:tabs>
          <w:tab w:leader="none" w:pos="2247" w:val="left"/>
        </w:tabs>
        <w:numPr>
          <w:ilvl w:val="1"/>
          <w:numId w:val="146"/>
        </w:numPr>
        <w:rPr>
          <w:rFonts w:ascii="Arial" w:cs="Arial" w:eastAsia="Arial" w:hAnsi="Arial"/>
          <w:sz w:val="15"/>
          <w:szCs w:val="15"/>
          <w:color w:val="auto"/>
        </w:rPr>
      </w:pPr>
      <w:r>
        <w:rPr>
          <w:rFonts w:ascii="Arial" w:cs="Arial" w:eastAsia="Arial" w:hAnsi="Arial"/>
          <w:sz w:val="15"/>
          <w:szCs w:val="15"/>
          <w:u w:val="single" w:color="auto"/>
          <w:color w:val="auto"/>
        </w:rPr>
        <w:t>Upon a Qualified Public Offering</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right="200" w:firstLine="2221"/>
        <w:spacing w:after="0" w:line="284" w:lineRule="auto"/>
        <w:tabs>
          <w:tab w:leader="none" w:pos="2799" w:val="left"/>
        </w:tabs>
        <w:numPr>
          <w:ilvl w:val="2"/>
          <w:numId w:val="146"/>
        </w:numPr>
        <w:rPr>
          <w:rFonts w:ascii="Arial" w:cs="Arial" w:eastAsia="Arial" w:hAnsi="Arial"/>
          <w:sz w:val="14"/>
          <w:szCs w:val="14"/>
          <w:color w:val="auto"/>
        </w:rPr>
      </w:pPr>
      <w:r>
        <w:rPr>
          <w:rFonts w:ascii="Arial" w:cs="Arial" w:eastAsia="Arial" w:hAnsi="Arial"/>
          <w:sz w:val="14"/>
          <w:szCs w:val="14"/>
          <w:color w:val="auto"/>
        </w:rPr>
        <w:t>Subject to the terms and conditions of Subsection 3.3(b)(i)(2) below, each share of Preferred Stock shall automatically be converted into that number of fully paid and nonassessable shares of Common Stock at the then effective Conversion Price in effect at the time of conversion, determined as provided in</w:t>
      </w:r>
    </w:p>
    <w:p>
      <w:pPr>
        <w:ind w:left="7" w:right="100"/>
        <w:spacing w:after="0" w:line="267" w:lineRule="auto"/>
        <w:rPr>
          <w:rFonts w:ascii="Arial" w:cs="Arial" w:eastAsia="Arial" w:hAnsi="Arial"/>
          <w:sz w:val="14"/>
          <w:szCs w:val="14"/>
          <w:color w:val="auto"/>
        </w:rPr>
      </w:pP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closing of a firm commitment underwritten public offering pursuant to an effective registration statement under the Securities Act of 1933, as amended, covering the offer and sale of shares of the Corporation’s Common Stock to the public, for the account of the Corporation, and having an aggregate offering price to the public of not less than $30,000,000 (a “</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w:t>
      </w:r>
    </w:p>
    <w:p>
      <w:pPr>
        <w:spacing w:after="0" w:line="156" w:lineRule="exact"/>
        <w:rPr>
          <w:rFonts w:ascii="Arial" w:cs="Arial" w:eastAsia="Arial" w:hAnsi="Arial"/>
          <w:sz w:val="14"/>
          <w:szCs w:val="14"/>
          <w:color w:val="auto"/>
        </w:rPr>
      </w:pPr>
    </w:p>
    <w:p>
      <w:pPr>
        <w:ind w:left="7" w:right="100" w:firstLine="2221"/>
        <w:spacing w:after="0" w:line="266" w:lineRule="auto"/>
        <w:tabs>
          <w:tab w:leader="none" w:pos="2799" w:val="left"/>
        </w:tabs>
        <w:numPr>
          <w:ilvl w:val="2"/>
          <w:numId w:val="146"/>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Certificate, in the event of a Qualified Public Offering, each share of Series E Preferred shall automatically be converted into a number of fully paid and nonassessable shares of Common Stock equal to the greatest of (A) $5.175 (as appropriately adjusted for any stock combinations, stock dividends, stock splits and the like)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price per share of Common Stock paid by the underwriters in such Qualified Public Offering, (B) 1.15 (as appropriately adjusted for any stock combinations, stock dividends, stock splits and the like) or (C) $4.50 (as appropriately adjusted for any stock combinations, stock dividends, stock splits and the like)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then</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effective Conversion Price applicable to each share of Series E Preferred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w:t>
      </w:r>
    </w:p>
    <w:p>
      <w:pPr>
        <w:spacing w:after="0" w:line="199" w:lineRule="exact"/>
        <w:rPr>
          <w:sz w:val="20"/>
          <w:szCs w:val="20"/>
          <w:color w:val="auto"/>
        </w:rPr>
      </w:pPr>
    </w:p>
    <w:p>
      <w:pPr>
        <w:ind w:left="7" w:right="20" w:firstLine="1664"/>
        <w:spacing w:after="0" w:line="263" w:lineRule="auto"/>
        <w:tabs>
          <w:tab w:leader="none" w:pos="2262"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Series E Preferred</w:t>
      </w:r>
      <w:r>
        <w:rPr>
          <w:rFonts w:ascii="Arial" w:cs="Arial" w:eastAsia="Arial" w:hAnsi="Arial"/>
          <w:sz w:val="15"/>
          <w:szCs w:val="15"/>
          <w:color w:val="auto"/>
        </w:rPr>
        <w:t xml:space="preserve">. Each share of Series E Preferred shall automatically be converted into that number of fully paid and nonassessable shares of Common Stock at the then effective Conversion Price applicable to such share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written consent or agreement of the holders of shares of Series E Preferred representing a majority of the votes represented by all outstanding shares of Series E Preferred voting together as a separate class. Notwithstanding the foregoing, in the event of automatic conversion pursuant to this </w:t>
      </w:r>
      <w:r>
        <w:rPr>
          <w:rFonts w:ascii="Arial" w:cs="Arial" w:eastAsia="Arial" w:hAnsi="Arial"/>
          <w:sz w:val="15"/>
          <w:szCs w:val="15"/>
          <w:u w:val="single" w:color="auto"/>
          <w:color w:val="auto"/>
        </w:rPr>
        <w:t>Subsection 3.3(b)(ii)</w:t>
      </w:r>
      <w:r>
        <w:rPr>
          <w:rFonts w:ascii="Arial" w:cs="Arial" w:eastAsia="Arial" w:hAnsi="Arial"/>
          <w:sz w:val="15"/>
          <w:szCs w:val="15"/>
          <w:color w:val="auto"/>
        </w:rPr>
        <w:t xml:space="preserve"> in connection with (A) the offer and sale of the Corporation’s Common Stock to the public pursuant to an effective registration statement under the Securities Act of 1933, as amended, other than in connection with a Qualified IPO or (B) a reverse merger of the Corporation into a public shell company, then the conversion rate with respect to the Series E Preferred shall be determined as if such conversion were taking place in accordance with </w:t>
      </w:r>
      <w:r>
        <w:rPr>
          <w:rFonts w:ascii="Arial" w:cs="Arial" w:eastAsia="Arial" w:hAnsi="Arial"/>
          <w:sz w:val="15"/>
          <w:szCs w:val="15"/>
          <w:u w:val="single" w:color="auto"/>
          <w:color w:val="auto"/>
        </w:rPr>
        <w:t>Subsection 3.3(a)(i)(1)</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jc w:val="both"/>
        <w:ind w:left="7" w:right="260" w:firstLine="1664"/>
        <w:spacing w:after="0" w:line="269" w:lineRule="auto"/>
        <w:tabs>
          <w:tab w:leader="none" w:pos="2270"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Tier II Preferred Stock</w:t>
      </w:r>
      <w:r>
        <w:rPr>
          <w:rFonts w:ascii="Arial" w:cs="Arial" w:eastAsia="Arial" w:hAnsi="Arial"/>
          <w:sz w:val="15"/>
          <w:szCs w:val="15"/>
          <w:color w:val="auto"/>
        </w:rPr>
        <w:t xml:space="preserve">. Each share of Tier II Preferred Stock shall automatically be converted into that number of fully paid and nonassessable shares of Common Stock at the then effective Conversion Price applicable to such share in effect at the time of conversion, determined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below upon the written consent or agreement of the holders of shares of Tier II Preferred Stock representing at least sixty-six and two-thirds percent (66 2/3%) of the votes represented by all outstanding shares of Tier II Preferred Stock voting together as a single class.</w:t>
      </w:r>
    </w:p>
    <w:p>
      <w:pPr>
        <w:spacing w:after="0" w:line="155" w:lineRule="exact"/>
        <w:rPr>
          <w:rFonts w:ascii="Arial" w:cs="Arial" w:eastAsia="Arial" w:hAnsi="Arial"/>
          <w:sz w:val="15"/>
          <w:szCs w:val="15"/>
          <w:color w:val="auto"/>
        </w:rPr>
      </w:pPr>
    </w:p>
    <w:p>
      <w:pPr>
        <w:ind w:left="7" w:right="580" w:firstLine="1664"/>
        <w:spacing w:after="0" w:line="284" w:lineRule="auto"/>
        <w:tabs>
          <w:tab w:leader="none" w:pos="2250" w:val="left"/>
        </w:tabs>
        <w:numPr>
          <w:ilvl w:val="0"/>
          <w:numId w:val="147"/>
        </w:numPr>
        <w:rPr>
          <w:rFonts w:ascii="Arial" w:cs="Arial" w:eastAsia="Arial" w:hAnsi="Arial"/>
          <w:sz w:val="14"/>
          <w:szCs w:val="14"/>
          <w:color w:val="auto"/>
        </w:rPr>
      </w:pPr>
      <w:r>
        <w:rPr>
          <w:rFonts w:ascii="Arial" w:cs="Arial" w:eastAsia="Arial" w:hAnsi="Arial"/>
          <w:sz w:val="14"/>
          <w:szCs w:val="14"/>
          <w:u w:val="single" w:color="auto"/>
          <w:color w:val="auto"/>
        </w:rPr>
        <w:t>Series SRN Preferred Stock</w:t>
      </w:r>
      <w:r>
        <w:rPr>
          <w:rFonts w:ascii="Arial" w:cs="Arial" w:eastAsia="Arial" w:hAnsi="Arial"/>
          <w:sz w:val="14"/>
          <w:szCs w:val="14"/>
          <w:color w:val="auto"/>
        </w:rPr>
        <w:t>. Each share of Series SRN Preferred Stock shall automatically be converted into that number of fully paid and nonassessable shares of Common Stock at the then effective Conversion Price applicable to such share in effect at the time of conversion, determined as provided in</w:t>
      </w:r>
    </w:p>
    <w:p>
      <w:pPr>
        <w:ind w:left="7" w:right="60"/>
        <w:spacing w:after="0" w:line="285" w:lineRule="auto"/>
        <w:rPr>
          <w:rFonts w:ascii="Arial" w:cs="Arial" w:eastAsia="Arial" w:hAnsi="Arial"/>
          <w:sz w:val="14"/>
          <w:szCs w:val="14"/>
          <w:color w:val="auto"/>
        </w:rPr>
      </w:pPr>
      <w:r>
        <w:rPr>
          <w:rFonts w:ascii="Arial" w:cs="Arial" w:eastAsia="Arial" w:hAnsi="Arial"/>
          <w:sz w:val="14"/>
          <w:szCs w:val="14"/>
          <w:u w:val="single" w:color="auto"/>
          <w:color w:val="auto"/>
        </w:rPr>
        <w:t>Section 3.3(d)</w:t>
      </w:r>
      <w:r>
        <w:rPr>
          <w:rFonts w:ascii="Arial" w:cs="Arial" w:eastAsia="Arial" w:hAnsi="Arial"/>
          <w:sz w:val="14"/>
          <w:szCs w:val="14"/>
          <w:color w:val="auto"/>
        </w:rPr>
        <w:t xml:space="preserve"> below upon any of the following: (A) the cumulative acquisition from the Corporation’s stockholders of more than fifty percent (50%) of the outstanding capital stock of the Corporation; (B) any acquisition by any person (or group of affiliated or associated persons) of beneficial ownership of a majority of the shares of outstanding capital stock of the Corporation (whether or not such shares are newly-issued) in a single transaction or a series of related transactions; (C) the closing of a firm commitment underwritten public offering pursuant to an effective registration statement under the Act covering the offer and sale of the Corporation’s Common Stock to the public; (D) with respect to the events described in </w:t>
      </w:r>
      <w:r>
        <w:rPr>
          <w:rFonts w:ascii="Arial" w:cs="Arial" w:eastAsia="Arial" w:hAnsi="Arial"/>
          <w:sz w:val="14"/>
          <w:szCs w:val="14"/>
          <w:u w:val="single" w:color="auto"/>
          <w:color w:val="auto"/>
        </w:rPr>
        <w:t>Section 3.3(b)(iv)(A)-(D)</w:t>
      </w:r>
      <w:r>
        <w:rPr>
          <w:rFonts w:ascii="Arial" w:cs="Arial" w:eastAsia="Arial" w:hAnsi="Arial"/>
          <w:sz w:val="14"/>
          <w:szCs w:val="14"/>
          <w:color w:val="auto"/>
        </w:rPr>
        <w:t>, the receipt by the Corporation or its stockholders (as applicable) from a third party of a binding offer to consummate any of the foregoing; or (E) the written</w:t>
      </w:r>
    </w:p>
    <w:p>
      <w:pPr>
        <w:sectPr>
          <w:pgSz w:w="11900" w:h="16838" w:orient="portrait"/>
          <w:cols w:equalWidth="0" w:num="1">
            <w:col w:w="11427"/>
          </w:cols>
          <w:pgMar w:left="233" w:top="129" w:right="239" w:bottom="0" w:gutter="0" w:footer="0" w:header="0"/>
        </w:sectPr>
      </w:pPr>
    </w:p>
    <w:bookmarkStart w:id="256" w:name="page257"/>
    <w:bookmarkEnd w:id="256"/>
    <w:p>
      <w:pPr>
        <w:spacing w:after="0" w:line="12"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consent or agreement of the SRN Majority Holders (as such term is defined in that certain Fifth Amended and Restated Investor Rights Agreement, by among the Corporation and the parties named therein, dated as of August 27, 2015, as the same may be amended and/or amended and restated from time to time (the “</w:t>
      </w:r>
      <w:r>
        <w:rPr>
          <w:rFonts w:ascii="Arial" w:cs="Arial" w:eastAsia="Arial" w:hAnsi="Arial"/>
          <w:sz w:val="15"/>
          <w:szCs w:val="15"/>
          <w:u w:val="single" w:color="auto"/>
          <w:color w:val="auto"/>
        </w:rPr>
        <w:t>Investor Rights Agreement</w:t>
      </w:r>
      <w:r>
        <w:rPr>
          <w:rFonts w:ascii="Arial" w:cs="Arial" w:eastAsia="Arial" w:hAnsi="Arial"/>
          <w:sz w:val="15"/>
          <w:szCs w:val="15"/>
          <w:color w:val="auto"/>
        </w:rPr>
        <w:t>”), if any (voting together as a single class).</w:t>
      </w:r>
    </w:p>
    <w:p>
      <w:pPr>
        <w:spacing w:after="0" w:line="152" w:lineRule="exact"/>
        <w:rPr>
          <w:sz w:val="20"/>
          <w:szCs w:val="20"/>
          <w:color w:val="auto"/>
        </w:rPr>
      </w:pPr>
    </w:p>
    <w:p>
      <w:pPr>
        <w:ind w:right="460" w:firstLine="1664"/>
        <w:spacing w:after="0" w:line="290" w:lineRule="auto"/>
        <w:tabs>
          <w:tab w:leader="none" w:pos="223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Immediately after the holders of a series of Preferred Stock receive any proceeds from a Deemed Liquidation Event as a result of Retroactive Deemed Conversion, all shares of such series of Preferred Stock shall be converted, without any further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color w:val="auto"/>
        </w:rPr>
        <w:t xml:space="preserve">action on the part of the holders thereof, into shares of Common Stock at the conversion rate that was applicable to such series of Preferred Stock immediately prior to such Deemed Liquidation Event. For the avoidance of doubt, the conversion rate with respect to shares of the Series E Preferred shall be determined as if such conversion were taking place in accordance with </w:t>
      </w:r>
      <w:r>
        <w:rPr>
          <w:rFonts w:ascii="Arial" w:cs="Arial" w:eastAsia="Arial" w:hAnsi="Arial"/>
          <w:sz w:val="15"/>
          <w:szCs w:val="15"/>
          <w:u w:val="single" w:color="auto"/>
          <w:color w:val="auto"/>
        </w:rPr>
        <w:t>Subsection 3.3(a)(i)(1)</w:t>
      </w:r>
      <w:r>
        <w:rPr>
          <w:rFonts w:ascii="Arial" w:cs="Arial" w:eastAsia="Arial" w:hAnsi="Arial"/>
          <w:sz w:val="15"/>
          <w:szCs w:val="15"/>
          <w:color w:val="auto"/>
        </w:rPr>
        <w:t>.</w:t>
      </w:r>
    </w:p>
    <w:p>
      <w:pPr>
        <w:spacing w:after="0" w:line="152" w:lineRule="exact"/>
        <w:rPr>
          <w:sz w:val="20"/>
          <w:szCs w:val="20"/>
          <w:color w:val="auto"/>
        </w:rPr>
      </w:pPr>
    </w:p>
    <w:p>
      <w:pPr>
        <w:ind w:right="60" w:firstLine="1664"/>
        <w:spacing w:after="0" w:line="266" w:lineRule="auto"/>
        <w:tabs>
          <w:tab w:leader="none" w:pos="224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The person(s) entitled to receive Common Stock issuable upon a conversion of Preferred Stock pursuant to this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shall not be deemed to have converted the Preferred Stock until immediately prior to the closing of such Qualified Public Offering, or the date specified by such written consents or agreements delivered to the Corporation pursuant to </w:t>
      </w:r>
      <w:r>
        <w:rPr>
          <w:rFonts w:ascii="Arial" w:cs="Arial" w:eastAsia="Arial" w:hAnsi="Arial"/>
          <w:sz w:val="15"/>
          <w:szCs w:val="15"/>
          <w:u w:val="single" w:color="auto"/>
          <w:color w:val="auto"/>
        </w:rPr>
        <w:t>Section 3.3(b)(ii)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3.3(b)(iii)</w:t>
      </w:r>
      <w:r>
        <w:rPr>
          <w:rFonts w:ascii="Arial" w:cs="Arial" w:eastAsia="Arial" w:hAnsi="Arial"/>
          <w:sz w:val="15"/>
          <w:szCs w:val="15"/>
          <w:color w:val="auto"/>
        </w:rPr>
        <w:t xml:space="preserve"> above, or the date specified in </w:t>
      </w:r>
      <w:r>
        <w:rPr>
          <w:rFonts w:ascii="Arial" w:cs="Arial" w:eastAsia="Arial" w:hAnsi="Arial"/>
          <w:sz w:val="15"/>
          <w:szCs w:val="15"/>
          <w:u w:val="single" w:color="auto"/>
          <w:color w:val="auto"/>
        </w:rPr>
        <w:t>Section 3.3(b)(v)</w:t>
      </w:r>
      <w:r>
        <w:rPr>
          <w:rFonts w:ascii="Arial" w:cs="Arial" w:eastAsia="Arial" w:hAnsi="Arial"/>
          <w:sz w:val="15"/>
          <w:szCs w:val="15"/>
          <w:color w:val="auto"/>
        </w:rPr>
        <w:t xml:space="preserve"> above. Each person who holds of record Preferred Stock immediately prior to an automatic conversion shall be entitled to all declared but unpaid dividends (other than the Accruing Dividends thereon, if any) up to the time of the automatic conversion. Such dividends shall be paid to all such holders within thirty (30) days of the automatic conversion.</w:t>
      </w:r>
    </w:p>
    <w:p>
      <w:pPr>
        <w:spacing w:after="0" w:line="158" w:lineRule="exact"/>
        <w:rPr>
          <w:rFonts w:ascii="Arial" w:cs="Arial" w:eastAsia="Arial" w:hAnsi="Arial"/>
          <w:sz w:val="15"/>
          <w:szCs w:val="15"/>
          <w:color w:val="auto"/>
        </w:rPr>
      </w:pPr>
    </w:p>
    <w:p>
      <w:pPr>
        <w:ind w:left="1680" w:hanging="573"/>
        <w:spacing w:after="0"/>
        <w:tabs>
          <w:tab w:leader="none" w:pos="168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180" w:firstLine="1664"/>
        <w:spacing w:after="0" w:line="262" w:lineRule="auto"/>
        <w:tabs>
          <w:tab w:leader="none" w:pos="2246" w:val="left"/>
        </w:tabs>
        <w:numPr>
          <w:ilvl w:val="1"/>
          <w:numId w:val="150"/>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xml:space="preserve">. The Corporation shall use commercially reasonable efforts to give each holder of record of Senior Preferred Stock and Series SRN Preferred written notice of any SRN Optional Conversion Event not later than thirty (30) days prior to the effectiveness of such SRN Optional Conversion Event and shall also notify such holders in writing of the final approval of such SRN Optional Conversion Event no later than seven (7) business days after the occurrence of such event. The Corporation shall further use commercially reasonable efforts to give each holder of record of Senior Preferred Stock and Series SRN Preferred written notice of any SRN Special Optional Conversion Event not later than ten (10) days after the occurrence of such SRN Special Optional Conversion Event. For the avoidance of doubt, failure to give notice as set forth in this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shall not alter the effectiveness of the consummation of an SRN Optional Conversion Event or the occurrence of a SRN Special Optional Conversion Event. Notwithstanding the other provisions of this Certificate, the notice period in this </w:t>
      </w:r>
      <w:r>
        <w:rPr>
          <w:rFonts w:ascii="Arial" w:cs="Arial" w:eastAsia="Arial" w:hAnsi="Arial"/>
          <w:sz w:val="15"/>
          <w:szCs w:val="15"/>
          <w:u w:val="single" w:color="auto"/>
          <w:color w:val="auto"/>
        </w:rPr>
        <w:t>Section 3.3(c)(i)</w:t>
      </w:r>
      <w:r>
        <w:rPr>
          <w:rFonts w:ascii="Arial" w:cs="Arial" w:eastAsia="Arial" w:hAnsi="Arial"/>
          <w:sz w:val="15"/>
          <w:szCs w:val="15"/>
          <w:color w:val="auto"/>
        </w:rPr>
        <w:t xml:space="preserve"> may be shortened or waived, either before or after the action for which notice is required, with the written consent of the SRN Majority Holders, if any.</w:t>
      </w:r>
    </w:p>
    <w:p>
      <w:pPr>
        <w:spacing w:after="0" w:line="164" w:lineRule="exact"/>
        <w:rPr>
          <w:rFonts w:ascii="Arial" w:cs="Arial" w:eastAsia="Arial" w:hAnsi="Arial"/>
          <w:sz w:val="15"/>
          <w:szCs w:val="15"/>
          <w:color w:val="auto"/>
        </w:rPr>
      </w:pPr>
    </w:p>
    <w:p>
      <w:pPr>
        <w:ind w:right="20" w:firstLine="1664"/>
        <w:spacing w:after="0" w:line="262" w:lineRule="auto"/>
        <w:tabs>
          <w:tab w:leader="none" w:pos="2255" w:val="left"/>
        </w:tabs>
        <w:numPr>
          <w:ilvl w:val="1"/>
          <w:numId w:val="150"/>
        </w:numPr>
        <w:rPr>
          <w:rFonts w:ascii="Arial" w:cs="Arial" w:eastAsia="Arial" w:hAnsi="Arial"/>
          <w:sz w:val="15"/>
          <w:szCs w:val="15"/>
          <w:color w:val="auto"/>
        </w:rPr>
      </w:pP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Common Stock shall be issued upon conversion of Preferred Stock. In lieu of any fractional shares to which a holder would otherwise be entitled, the Corporation shall pay cash equal to such fraction multiplied by the then effective Conversion Price, if applicable. Before any holder of Preferred Stock shall be entitled to receive the full shares of Common Stock into which such Preferred Stock shares have been converted, such holder shall surrender the certificate or certificates therefor, duly endorsed, at the office of the Corporation or of any transfer agent for the Preferred Stock, and shall give timely written notice to the Corporation at such office that such holder elects to convert the same and shall state therein his name or the name or names of his nominees in which such holder wishes the certificate or certificates for shares of Common Stock to be issued, together with the applicable federal taxpayer identification number. The Corporation shall, as soon as practicable thereafter, issue and deliver at such office to such holder of Preferred Stock, or to his nominee or nominees, a certificate or certificates for the number of shares of Common Stock to which he shall be entitled, together with cash in lieu of any fraction of a share. Such conversion shall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372" w:lineRule="auto"/>
        <w:rPr>
          <w:sz w:val="20"/>
          <w:szCs w:val="20"/>
          <w:color w:val="auto"/>
        </w:rPr>
      </w:pPr>
      <w:r>
        <w:rPr>
          <w:rFonts w:ascii="Arial" w:cs="Arial" w:eastAsia="Arial" w:hAnsi="Arial"/>
          <w:sz w:val="13"/>
          <w:szCs w:val="13"/>
          <w:color w:val="auto"/>
        </w:rPr>
        <w:t>deemed to have been made immediately prior to the close of business on the date of such surrender of the shares of Preferred Stock to be converted, and the person or persons entitled to receive the shares of Common Stock issuable upon conversion shall be treated for all purposes as the record holder or holders of such shares of Common Stock on such date.</w:t>
      </w:r>
    </w:p>
    <w:p>
      <w:pPr>
        <w:spacing w:after="0" w:line="94" w:lineRule="exact"/>
        <w:rPr>
          <w:sz w:val="20"/>
          <w:szCs w:val="20"/>
          <w:color w:val="auto"/>
        </w:rPr>
      </w:pPr>
    </w:p>
    <w:p>
      <w:pPr>
        <w:ind w:left="1680" w:hanging="573"/>
        <w:spacing w:after="0"/>
        <w:tabs>
          <w:tab w:leader="none" w:pos="168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Adjustments to Conversion Prices for Diluting Issues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2240" w:hanging="576"/>
        <w:spacing w:after="0"/>
        <w:tabs>
          <w:tab w:leader="none" w:pos="2240"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Special Definitions</w:t>
      </w:r>
      <w:r>
        <w:rPr>
          <w:rFonts w:ascii="Arial" w:cs="Arial" w:eastAsia="Arial" w:hAnsi="Arial"/>
          <w:sz w:val="15"/>
          <w:szCs w:val="15"/>
          <w:color w:val="auto"/>
        </w:rPr>
        <w:t xml:space="preserve">. For purposes of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3.4</w:t>
      </w:r>
      <w:r>
        <w:rPr>
          <w:rFonts w:ascii="Arial" w:cs="Arial" w:eastAsia="Arial" w:hAnsi="Arial"/>
          <w:sz w:val="15"/>
          <w:szCs w:val="15"/>
          <w:color w:val="auto"/>
        </w:rPr>
        <w:t>, the following definitions shall apply:</w:t>
      </w:r>
    </w:p>
    <w:p>
      <w:pPr>
        <w:spacing w:after="0" w:line="198" w:lineRule="exact"/>
        <w:rPr>
          <w:rFonts w:ascii="Arial" w:cs="Arial" w:eastAsia="Arial" w:hAnsi="Arial"/>
          <w:sz w:val="15"/>
          <w:szCs w:val="15"/>
          <w:color w:val="auto"/>
        </w:rPr>
      </w:pPr>
    </w:p>
    <w:p>
      <w:pPr>
        <w:ind w:left="2780" w:hanging="559"/>
        <w:spacing w:after="0"/>
        <w:tabs>
          <w:tab w:leader="none" w:pos="2780" w:val="left"/>
        </w:tabs>
        <w:numPr>
          <w:ilvl w:val="2"/>
          <w:numId w:val="15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shall mean rights, options or warrants to subscribe for, purchase or otherwise acquire either Common Stock or Convertible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Securities.</w:t>
      </w:r>
    </w:p>
    <w:p>
      <w:pPr>
        <w:spacing w:after="0" w:line="189" w:lineRule="exact"/>
        <w:rPr>
          <w:sz w:val="20"/>
          <w:szCs w:val="20"/>
          <w:color w:val="auto"/>
        </w:rPr>
      </w:pPr>
    </w:p>
    <w:p>
      <w:pPr>
        <w:ind w:left="2780" w:hanging="559"/>
        <w:spacing w:after="0"/>
        <w:tabs>
          <w:tab w:leader="none" w:pos="27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Issue Date</w:t>
      </w:r>
      <w:r>
        <w:rPr>
          <w:rFonts w:ascii="Arial" w:cs="Arial" w:eastAsia="Arial" w:hAnsi="Arial"/>
          <w:sz w:val="15"/>
          <w:szCs w:val="15"/>
          <w:color w:val="auto"/>
        </w:rPr>
        <w:t>” shall mean the date on which the first share of Series E Preferred was issued.</w:t>
      </w:r>
    </w:p>
    <w:p>
      <w:pPr>
        <w:spacing w:after="0" w:line="198" w:lineRule="exact"/>
        <w:rPr>
          <w:rFonts w:ascii="Arial" w:cs="Arial" w:eastAsia="Arial" w:hAnsi="Arial"/>
          <w:sz w:val="15"/>
          <w:szCs w:val="15"/>
          <w:color w:val="auto"/>
        </w:rPr>
      </w:pPr>
    </w:p>
    <w:p>
      <w:pPr>
        <w:ind w:right="100" w:firstLine="2221"/>
        <w:spacing w:after="0" w:line="290" w:lineRule="auto"/>
        <w:tabs>
          <w:tab w:leader="none" w:pos="279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Securities</w:t>
      </w:r>
      <w:r>
        <w:rPr>
          <w:rFonts w:ascii="Arial" w:cs="Arial" w:eastAsia="Arial" w:hAnsi="Arial"/>
          <w:sz w:val="15"/>
          <w:szCs w:val="15"/>
          <w:color w:val="auto"/>
        </w:rPr>
        <w:t>” shall mean any evidences of indebtedness, shares (other than Common Stock or other stock issued on conversion of the Preferred Stock) or other securities directly or indirectly convertible into or exchangeable for Common Stock.</w:t>
      </w:r>
    </w:p>
    <w:p>
      <w:pPr>
        <w:spacing w:after="0" w:line="140" w:lineRule="exact"/>
        <w:rPr>
          <w:rFonts w:ascii="Arial" w:cs="Arial" w:eastAsia="Arial" w:hAnsi="Arial"/>
          <w:sz w:val="15"/>
          <w:szCs w:val="15"/>
          <w:color w:val="auto"/>
        </w:rPr>
      </w:pPr>
    </w:p>
    <w:p>
      <w:pPr>
        <w:ind w:right="260" w:firstLine="2221"/>
        <w:spacing w:after="0" w:line="290" w:lineRule="auto"/>
        <w:tabs>
          <w:tab w:leader="none" w:pos="279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Shares of Common Stock</w:t>
      </w:r>
      <w:r>
        <w:rPr>
          <w:rFonts w:ascii="Arial" w:cs="Arial" w:eastAsia="Arial" w:hAnsi="Arial"/>
          <w:sz w:val="15"/>
          <w:szCs w:val="15"/>
          <w:color w:val="auto"/>
        </w:rPr>
        <w:t xml:space="preserve">” shall mean all shares of Common Stock issued (or, pursuant to </w:t>
      </w:r>
      <w:r>
        <w:rPr>
          <w:rFonts w:ascii="Arial" w:cs="Arial" w:eastAsia="Arial" w:hAnsi="Arial"/>
          <w:sz w:val="15"/>
          <w:szCs w:val="15"/>
          <w:u w:val="single" w:color="auto"/>
          <w:color w:val="auto"/>
        </w:rPr>
        <w:t>Section 3.3(d)(iii)</w:t>
      </w:r>
      <w:r>
        <w:rPr>
          <w:rFonts w:ascii="Arial" w:cs="Arial" w:eastAsia="Arial" w:hAnsi="Arial"/>
          <w:sz w:val="15"/>
          <w:szCs w:val="15"/>
          <w:color w:val="auto"/>
        </w:rPr>
        <w:t>, deemed to be issued) by the Corporation after the Original Issue Date, other than shares of Common Stock issued or issuable:</w:t>
      </w:r>
    </w:p>
    <w:p>
      <w:pPr>
        <w:spacing w:after="0" w:line="140" w:lineRule="exact"/>
        <w:rPr>
          <w:rFonts w:ascii="Arial" w:cs="Arial" w:eastAsia="Arial" w:hAnsi="Arial"/>
          <w:sz w:val="15"/>
          <w:szCs w:val="15"/>
          <w:color w:val="auto"/>
        </w:rPr>
      </w:pPr>
    </w:p>
    <w:p>
      <w:pPr>
        <w:ind w:firstLine="2778"/>
        <w:spacing w:after="0" w:line="322" w:lineRule="auto"/>
        <w:tabs>
          <w:tab w:leader="none" w:pos="336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Pursuant to that certain Series E Preferred Stock Purchase Agreement, by and among the Corporation and the parties named therein, dated August 27, 2015 (as the same may be amended from time to time, the “</w:t>
      </w:r>
      <w:r>
        <w:rPr>
          <w:rFonts w:ascii="Arial" w:cs="Arial" w:eastAsia="Arial" w:hAnsi="Arial"/>
          <w:sz w:val="13"/>
          <w:szCs w:val="13"/>
          <w:u w:val="single" w:color="auto"/>
          <w:color w:val="auto"/>
        </w:rPr>
        <w:t>Series E Purchase Agreement</w:t>
      </w:r>
      <w:r>
        <w:rPr>
          <w:rFonts w:ascii="Arial" w:cs="Arial" w:eastAsia="Arial" w:hAnsi="Arial"/>
          <w:sz w:val="13"/>
          <w:szCs w:val="13"/>
          <w:color w:val="auto"/>
        </w:rPr>
        <w:t xml:space="preserve">”), including without limitation (x) those certain warrants to purchase Common Stock issued thereunder and upon any exercise of such warrants and (y) any shares of Common Stock that may be issued or become issuable upon conversion of the Series E Preferred as a result of adjustments to the conversion rate of the Series E Preferred, including for the avoidance of doubt, pursuant to </w:t>
      </w:r>
      <w:r>
        <w:rPr>
          <w:rFonts w:ascii="Arial" w:cs="Arial" w:eastAsia="Arial" w:hAnsi="Arial"/>
          <w:sz w:val="13"/>
          <w:szCs w:val="13"/>
          <w:u w:val="single" w:color="auto"/>
          <w:color w:val="auto"/>
        </w:rPr>
        <w:t>Subsection 3.3(a)(i)(1)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Subsection 3.3(b)(i)(2)</w:t>
      </w:r>
      <w:r>
        <w:rPr>
          <w:rFonts w:ascii="Arial" w:cs="Arial" w:eastAsia="Arial" w:hAnsi="Arial"/>
          <w:sz w:val="13"/>
          <w:szCs w:val="13"/>
          <w:color w:val="auto"/>
        </w:rPr>
        <w:t>;</w:t>
      </w:r>
    </w:p>
    <w:p>
      <w:pPr>
        <w:spacing w:after="0" w:line="126" w:lineRule="exact"/>
        <w:rPr>
          <w:rFonts w:ascii="Arial" w:cs="Arial" w:eastAsia="Arial" w:hAnsi="Arial"/>
          <w:sz w:val="13"/>
          <w:szCs w:val="13"/>
          <w:color w:val="auto"/>
        </w:rPr>
      </w:pPr>
    </w:p>
    <w:p>
      <w:pPr>
        <w:ind w:right="20" w:firstLine="2778"/>
        <w:spacing w:after="0" w:line="287" w:lineRule="auto"/>
        <w:tabs>
          <w:tab w:leader="none" w:pos="3351" w:val="left"/>
        </w:tabs>
        <w:numPr>
          <w:ilvl w:val="1"/>
          <w:numId w:val="152"/>
        </w:numPr>
        <w:rPr>
          <w:rFonts w:ascii="Arial" w:cs="Arial" w:eastAsia="Arial" w:hAnsi="Arial"/>
          <w:sz w:val="14"/>
          <w:szCs w:val="14"/>
          <w:color w:val="auto"/>
        </w:rPr>
      </w:pPr>
      <w:r>
        <w:rPr>
          <w:rFonts w:ascii="Arial" w:cs="Arial" w:eastAsia="Arial" w:hAnsi="Arial"/>
          <w:sz w:val="14"/>
          <w:szCs w:val="14"/>
          <w:color w:val="auto"/>
        </w:rPr>
        <w:t>pursuant to the Initial SRN Purchase Agreement, including without limitation upon conversion of shares of Series SRN Preferred pursuant to the Initial SRN Purchase Agreement, or pursuant to that certain Series SRN Preferred Stock Purchase Agreement, by and among the Corporation and the parties named therein, dated as of July 15, 2014 (as may be amended from time to time, the “</w:t>
      </w:r>
      <w:r>
        <w:rPr>
          <w:rFonts w:ascii="Arial" w:cs="Arial" w:eastAsia="Arial" w:hAnsi="Arial"/>
          <w:sz w:val="14"/>
          <w:szCs w:val="14"/>
          <w:u w:val="single" w:color="auto"/>
          <w:color w:val="auto"/>
        </w:rPr>
        <w:t>SRN Purchase Agreement</w:t>
      </w:r>
      <w:r>
        <w:rPr>
          <w:rFonts w:ascii="Arial" w:cs="Arial" w:eastAsia="Arial" w:hAnsi="Arial"/>
          <w:sz w:val="14"/>
          <w:szCs w:val="14"/>
          <w:color w:val="auto"/>
        </w:rPr>
        <w:t>”), including without limitation upon conversion of shares of Series SRN Preferred Stock issued pursuant to the SRN Purchase Agreement, provided, however, that the shares of Series SRN Preferred Stock issued or issuable pursuant the Initial SRN Purchase Agreement and the SRN Purchase Agreement shall not exceed in the aggregate 5,611,112 shares and the purchase price for each such share of Series SRN Preferred Stock shall not be less than $4.50 (subject to adjustment as provided in the Initial SRN Purchase Agreement or the SRN Purchase Agreement, as applicable);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9" w:lineRule="exact"/>
        <w:rPr>
          <w:sz w:val="20"/>
          <w:szCs w:val="20"/>
          <w:color w:val="auto"/>
        </w:rPr>
      </w:pPr>
    </w:p>
    <w:p>
      <w:pPr>
        <w:ind w:left="3340" w:hanging="562"/>
        <w:spacing w:after="0"/>
        <w:tabs>
          <w:tab w:leader="none" w:pos="3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upon conversion of Preferred Stock or the conversion or exercise of other Convertible Securities outstanding as of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Issue Date;</w:t>
      </w:r>
    </w:p>
    <w:p>
      <w:pPr>
        <w:spacing w:after="0" w:line="189" w:lineRule="exact"/>
        <w:rPr>
          <w:sz w:val="20"/>
          <w:szCs w:val="20"/>
          <w:color w:val="auto"/>
        </w:rPr>
      </w:pPr>
    </w:p>
    <w:p>
      <w:pPr>
        <w:ind w:left="3360" w:hanging="582"/>
        <w:spacing w:after="0"/>
        <w:tabs>
          <w:tab w:leader="none" w:pos="33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pursuant to a transaction described in </w:t>
      </w:r>
      <w:r>
        <w:rPr>
          <w:rFonts w:ascii="Arial" w:cs="Arial" w:eastAsia="Arial" w:hAnsi="Arial"/>
          <w:sz w:val="14"/>
          <w:szCs w:val="14"/>
          <w:u w:val="single" w:color="auto"/>
          <w:color w:val="auto"/>
        </w:rPr>
        <w:t>Section 3.3(d)(iii)(2)</w:t>
      </w:r>
      <w:r>
        <w:rPr>
          <w:rFonts w:ascii="Arial" w:cs="Arial" w:eastAsia="Arial" w:hAnsi="Arial"/>
          <w:sz w:val="14"/>
          <w:szCs w:val="14"/>
          <w:color w:val="auto"/>
        </w:rPr>
        <w:t xml:space="preserve"> below, or by way of dividend or distribution on shares of Preferred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Stock;</w:t>
      </w:r>
    </w:p>
    <w:p>
      <w:pPr>
        <w:spacing w:after="0" w:line="189" w:lineRule="exact"/>
        <w:rPr>
          <w:sz w:val="20"/>
          <w:szCs w:val="20"/>
          <w:color w:val="auto"/>
        </w:rPr>
      </w:pPr>
    </w:p>
    <w:p>
      <w:pPr>
        <w:ind w:right="20" w:firstLine="2778"/>
        <w:spacing w:after="0" w:line="269" w:lineRule="auto"/>
        <w:tabs>
          <w:tab w:leader="none" w:pos="3354"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to officers, directors or employees of, or consultants to, the Corporation pursuant to action by the Board of Directors, or the compensation committee thereof, pursuant to any stock purchase or option plan or other employee or director stock incentive or compensation program (collectively, the “</w:t>
      </w:r>
      <w:r>
        <w:rPr>
          <w:rFonts w:ascii="Arial" w:cs="Arial" w:eastAsia="Arial" w:hAnsi="Arial"/>
          <w:sz w:val="15"/>
          <w:szCs w:val="15"/>
          <w:u w:val="single" w:color="auto"/>
          <w:color w:val="auto"/>
        </w:rPr>
        <w:t>Plans</w:t>
      </w:r>
      <w:r>
        <w:rPr>
          <w:rFonts w:ascii="Arial" w:cs="Arial" w:eastAsia="Arial" w:hAnsi="Arial"/>
          <w:sz w:val="15"/>
          <w:szCs w:val="15"/>
          <w:color w:val="auto"/>
        </w:rPr>
        <w:t>”) as in effect on the filing date of this Certificate or as amended or approved by a majority of the members of the Board of Directors, including a majority of the Preferred Directors (as defined below);</w:t>
      </w:r>
    </w:p>
    <w:p>
      <w:pPr>
        <w:sectPr>
          <w:pgSz w:w="11900" w:h="16850" w:orient="portrait"/>
          <w:cols w:equalWidth="0" w:num="1">
            <w:col w:w="11420"/>
          </w:cols>
          <w:pgMar w:left="240" w:top="129" w:right="239" w:bottom="0" w:gutter="0" w:footer="0" w:header="0"/>
        </w:sectPr>
      </w:pPr>
    </w:p>
    <w:bookmarkStart w:id="257" w:name="page258"/>
    <w:bookmarkEnd w:id="257"/>
    <w:p>
      <w:pPr>
        <w:spacing w:after="0" w:line="15" w:lineRule="exact"/>
        <w:rPr>
          <w:sz w:val="20"/>
          <w:szCs w:val="20"/>
          <w:color w:val="auto"/>
        </w:rPr>
      </w:pPr>
    </w:p>
    <w:p>
      <w:pPr>
        <w:ind w:left="3340" w:hanging="562"/>
        <w:spacing w:after="0"/>
        <w:tabs>
          <w:tab w:leader="none" w:pos="33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to a financing institution in connection with a commercial credit arrangement, equipment financing or similar financing</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arrangement approved by a majority of the members of the Board of Directors, including a majority of the Preferred Directors;</w:t>
      </w:r>
    </w:p>
    <w:p>
      <w:pPr>
        <w:spacing w:after="0" w:line="188" w:lineRule="exact"/>
        <w:rPr>
          <w:rFonts w:ascii="Arial" w:cs="Arial" w:eastAsia="Arial" w:hAnsi="Arial"/>
          <w:sz w:val="15"/>
          <w:szCs w:val="15"/>
          <w:color w:val="auto"/>
        </w:rPr>
      </w:pPr>
    </w:p>
    <w:p>
      <w:pPr>
        <w:ind w:firstLine="2778"/>
        <w:spacing w:after="0" w:line="290" w:lineRule="auto"/>
        <w:tabs>
          <w:tab w:leader="none" w:pos="33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in connection with the bona fide acquisition of a business, product or technology by the Corporation approved by a majority of the members of the Board of Directors, including a majority of the Preferred Directors;</w:t>
      </w:r>
    </w:p>
    <w:p>
      <w:pPr>
        <w:spacing w:after="0" w:line="140" w:lineRule="exact"/>
        <w:rPr>
          <w:rFonts w:ascii="Arial" w:cs="Arial" w:eastAsia="Arial" w:hAnsi="Arial"/>
          <w:sz w:val="15"/>
          <w:szCs w:val="15"/>
          <w:color w:val="auto"/>
        </w:rPr>
      </w:pPr>
    </w:p>
    <w:p>
      <w:pPr>
        <w:jc w:val="both"/>
        <w:ind w:right="480" w:firstLine="2778"/>
        <w:spacing w:after="0" w:line="328" w:lineRule="auto"/>
        <w:tabs>
          <w:tab w:leader="none" w:pos="3348"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connection with any bona fide sponsored research, collaboration, joint venture, technology license, development, OEM, marketing or other similar agreements or strategic partnerships approved by a majority of the members of the Board of Directors, including a majority of the Preferred Directors;</w:t>
      </w:r>
    </w:p>
    <w:p>
      <w:pPr>
        <w:spacing w:after="0" w:line="116" w:lineRule="exact"/>
        <w:rPr>
          <w:rFonts w:ascii="Arial" w:cs="Arial" w:eastAsia="Arial" w:hAnsi="Arial"/>
          <w:sz w:val="14"/>
          <w:szCs w:val="14"/>
          <w:color w:val="auto"/>
        </w:rPr>
      </w:pPr>
    </w:p>
    <w:p>
      <w:pPr>
        <w:ind w:left="3340" w:hanging="562"/>
        <w:spacing w:after="0"/>
        <w:tabs>
          <w:tab w:leader="none" w:pos="33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pursuant to a Qualified Public Offering;</w:t>
      </w:r>
    </w:p>
    <w:p>
      <w:pPr>
        <w:spacing w:after="0" w:line="198" w:lineRule="exact"/>
        <w:rPr>
          <w:rFonts w:ascii="Arial" w:cs="Arial" w:eastAsia="Arial" w:hAnsi="Arial"/>
          <w:sz w:val="15"/>
          <w:szCs w:val="15"/>
          <w:color w:val="auto"/>
        </w:rPr>
      </w:pPr>
    </w:p>
    <w:p>
      <w:pPr>
        <w:ind w:left="3340" w:hanging="562"/>
        <w:spacing w:after="0"/>
        <w:tabs>
          <w:tab w:leader="none" w:pos="33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as a result of a decrease in the Conversion Price of any series of Preferred Stock resulting from the operation of this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3.3(d)</w:t>
      </w:r>
      <w:r>
        <w:rPr>
          <w:rFonts w:ascii="Arial" w:cs="Arial" w:eastAsia="Arial" w:hAnsi="Arial"/>
          <w:sz w:val="15"/>
          <w:szCs w:val="15"/>
          <w:color w:val="auto"/>
        </w:rPr>
        <w:t>;</w:t>
      </w:r>
    </w:p>
    <w:p>
      <w:pPr>
        <w:spacing w:after="0" w:line="189" w:lineRule="exact"/>
        <w:rPr>
          <w:sz w:val="20"/>
          <w:szCs w:val="20"/>
          <w:color w:val="auto"/>
        </w:rPr>
      </w:pPr>
    </w:p>
    <w:p>
      <w:pPr>
        <w:ind w:left="3360" w:hanging="582"/>
        <w:spacing w:after="0"/>
        <w:tabs>
          <w:tab w:leader="none" w:pos="336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in connection with a financing of the Project Company; and</w:t>
      </w:r>
    </w:p>
    <w:p>
      <w:pPr>
        <w:spacing w:after="0" w:line="198" w:lineRule="exact"/>
        <w:rPr>
          <w:rFonts w:ascii="Arial" w:cs="Arial" w:eastAsia="Arial" w:hAnsi="Arial"/>
          <w:sz w:val="15"/>
          <w:szCs w:val="15"/>
          <w:color w:val="auto"/>
        </w:rPr>
      </w:pPr>
    </w:p>
    <w:p>
      <w:pPr>
        <w:ind w:left="3340" w:hanging="562"/>
        <w:spacing w:after="0"/>
        <w:tabs>
          <w:tab w:leader="none" w:pos="334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with the unanimous approval of the Board of Directors.</w:t>
      </w:r>
    </w:p>
    <w:p>
      <w:pPr>
        <w:spacing w:after="0" w:line="198" w:lineRule="exact"/>
        <w:rPr>
          <w:rFonts w:ascii="Arial" w:cs="Arial" w:eastAsia="Arial" w:hAnsi="Arial"/>
          <w:sz w:val="15"/>
          <w:szCs w:val="15"/>
          <w:color w:val="auto"/>
        </w:rPr>
      </w:pPr>
    </w:p>
    <w:p>
      <w:pPr>
        <w:ind w:right="20" w:firstLine="1664"/>
        <w:spacing w:after="0" w:line="264" w:lineRule="auto"/>
        <w:tabs>
          <w:tab w:leader="none" w:pos="2255"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No Adjustment of Conversion Price</w:t>
      </w:r>
      <w:r>
        <w:rPr>
          <w:rFonts w:ascii="Arial" w:cs="Arial" w:eastAsia="Arial" w:hAnsi="Arial"/>
          <w:sz w:val="15"/>
          <w:szCs w:val="15"/>
          <w:color w:val="auto"/>
        </w:rPr>
        <w:t>. No adjustment in the number of shares of Common Stock into which a series of Preferred Stock is convertible shall be made by adjustment of the Conversion Price of such series of Preferred Stock with respect to the issuance or deemed issuance of Additional Shares of Common Stock or otherwise, (A) with respect to the Senior Preferred Stock, if the holders of shares of Senior Preferred Stock representing at least sixty-six and two-thirds percent (66 2/3%) of the votes represented by all outstanding shares of Senior Preferred Stock voting together as a single class, waive such adjustment, (B) with respect to the Series SRN Preferred Stock, if the SRN Majority Holders, if any, waive such adjustment, or (C) unless the consideration per share for such Additional Shares of Common Stock issued or deemed to be issued by the Corporation is less than the Conversion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Price of such series of Preferred Stock in effect on the date of, and immediately prior to, the issuance or deemed issuance of such Additional Shares of Common Stock.</w:t>
      </w:r>
    </w:p>
    <w:p>
      <w:pPr>
        <w:spacing w:after="0" w:line="199" w:lineRule="exact"/>
        <w:rPr>
          <w:sz w:val="20"/>
          <w:szCs w:val="20"/>
          <w:color w:val="auto"/>
        </w:rPr>
      </w:pPr>
    </w:p>
    <w:p>
      <w:pPr>
        <w:ind w:left="2260" w:hanging="596"/>
        <w:spacing w:after="0"/>
        <w:tabs>
          <w:tab w:leader="none" w:pos="2260"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Deemed Issue of Additional Shares of Common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20" w:firstLine="2221"/>
        <w:spacing w:after="0" w:line="283" w:lineRule="auto"/>
        <w:tabs>
          <w:tab w:leader="none" w:pos="2791" w:val="left"/>
        </w:tabs>
        <w:numPr>
          <w:ilvl w:val="1"/>
          <w:numId w:val="159"/>
        </w:numPr>
        <w:rPr>
          <w:rFonts w:ascii="Arial" w:cs="Arial" w:eastAsia="Arial" w:hAnsi="Arial"/>
          <w:sz w:val="14"/>
          <w:szCs w:val="14"/>
          <w:color w:val="auto"/>
        </w:rPr>
      </w:pPr>
      <w:r>
        <w:rPr>
          <w:rFonts w:ascii="Arial" w:cs="Arial" w:eastAsia="Arial" w:hAnsi="Arial"/>
          <w:sz w:val="14"/>
          <w:szCs w:val="14"/>
          <w:u w:val="single" w:color="auto"/>
          <w:color w:val="auto"/>
        </w:rPr>
        <w:t>Options and Convertible Securities</w:t>
      </w:r>
      <w:r>
        <w:rPr>
          <w:rFonts w:ascii="Arial" w:cs="Arial" w:eastAsia="Arial" w:hAnsi="Arial"/>
          <w:sz w:val="14"/>
          <w:szCs w:val="14"/>
          <w:color w:val="auto"/>
        </w:rPr>
        <w:t xml:space="preserve">. In the event the Corporation at any time or from time to time after the Original Issue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Additional Shares of Common Stock shall not be deemed to have been issued if (i) such shares of Common Stock are excluded from the definition of Additional Shares of Common Stock set forth in </w:t>
      </w:r>
      <w:r>
        <w:rPr>
          <w:rFonts w:ascii="Arial" w:cs="Arial" w:eastAsia="Arial" w:hAnsi="Arial"/>
          <w:sz w:val="14"/>
          <w:szCs w:val="14"/>
          <w:u w:val="single" w:color="auto"/>
          <w:color w:val="auto"/>
        </w:rPr>
        <w:t>Section 3.3(d)(i)(4)</w:t>
      </w:r>
      <w:r>
        <w:rPr>
          <w:rFonts w:ascii="Arial" w:cs="Arial" w:eastAsia="Arial" w:hAnsi="Arial"/>
          <w:sz w:val="14"/>
          <w:szCs w:val="14"/>
          <w:color w:val="auto"/>
        </w:rPr>
        <w:t xml:space="preserve"> or (ii) the consideration per share (determined pursuant to </w:t>
      </w:r>
      <w:r>
        <w:rPr>
          <w:rFonts w:ascii="Arial" w:cs="Arial" w:eastAsia="Arial" w:hAnsi="Arial"/>
          <w:sz w:val="14"/>
          <w:szCs w:val="14"/>
          <w:u w:val="single" w:color="auto"/>
          <w:color w:val="auto"/>
        </w:rPr>
        <w:t>Section 3.3(d)(v)</w:t>
      </w:r>
      <w:r>
        <w:rPr>
          <w:rFonts w:ascii="Arial" w:cs="Arial" w:eastAsia="Arial" w:hAnsi="Arial"/>
          <w:sz w:val="14"/>
          <w:szCs w:val="14"/>
          <w:color w:val="auto"/>
        </w:rPr>
        <w:t xml:space="preserve">) of such Additional Shares of Common Stock is not less than the Conversion Price of any series of Senior Preferred Stock in effect on the date of and immediately prior to such issue, or such record date, as the case may be;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any such case in which Additional Shares of Common Stock are deemed to be issued:</w:t>
      </w:r>
    </w:p>
    <w:p>
      <w:pPr>
        <w:spacing w:after="0" w:line="148" w:lineRule="exact"/>
        <w:rPr>
          <w:rFonts w:ascii="Arial" w:cs="Arial" w:eastAsia="Arial" w:hAnsi="Arial"/>
          <w:sz w:val="14"/>
          <w:szCs w:val="14"/>
          <w:color w:val="auto"/>
        </w:rPr>
      </w:pPr>
    </w:p>
    <w:p>
      <w:pPr>
        <w:ind w:left="3360" w:hanging="582"/>
        <w:spacing w:after="0"/>
        <w:tabs>
          <w:tab w:leader="none" w:pos="3360" w:val="left"/>
        </w:tabs>
        <w:numPr>
          <w:ilvl w:val="2"/>
          <w:numId w:val="159"/>
        </w:numPr>
        <w:rPr>
          <w:rFonts w:ascii="Arial" w:cs="Arial" w:eastAsia="Arial" w:hAnsi="Arial"/>
          <w:sz w:val="14"/>
          <w:szCs w:val="14"/>
          <w:color w:val="auto"/>
        </w:rPr>
      </w:pPr>
      <w:r>
        <w:rPr>
          <w:rFonts w:ascii="Arial" w:cs="Arial" w:eastAsia="Arial" w:hAnsi="Arial"/>
          <w:sz w:val="14"/>
          <w:szCs w:val="14"/>
          <w:color w:val="auto"/>
        </w:rPr>
        <w:t>no further adjustment in the Conversion Price of any series of Preferred Stock shall be made upon the subsequent issue of</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Convertible Securities or shares of Common Stock upon the exercise of such Options or conversion or exchange of such Convertible Securities;</w:t>
      </w:r>
    </w:p>
    <w:p>
      <w:pPr>
        <w:spacing w:after="0" w:line="188" w:lineRule="exact"/>
        <w:rPr>
          <w:rFonts w:ascii="Arial" w:cs="Arial" w:eastAsia="Arial" w:hAnsi="Arial"/>
          <w:sz w:val="14"/>
          <w:szCs w:val="14"/>
          <w:color w:val="auto"/>
        </w:rPr>
      </w:pPr>
    </w:p>
    <w:p>
      <w:pPr>
        <w:ind w:right="200" w:firstLine="2778"/>
        <w:spacing w:after="0" w:line="266" w:lineRule="auto"/>
        <w:tabs>
          <w:tab w:leader="none" w:pos="3351" w:val="left"/>
        </w:tabs>
        <w:numPr>
          <w:ilvl w:val="2"/>
          <w:numId w:val="159"/>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 Conversion Price of any series of Preferred Stock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58" w:lineRule="exact"/>
        <w:rPr>
          <w:rFonts w:ascii="Arial" w:cs="Arial" w:eastAsia="Arial" w:hAnsi="Arial"/>
          <w:sz w:val="15"/>
          <w:szCs w:val="15"/>
          <w:color w:val="auto"/>
        </w:rPr>
      </w:pPr>
    </w:p>
    <w:p>
      <w:pPr>
        <w:jc w:val="both"/>
        <w:ind w:right="180" w:firstLine="2778"/>
        <w:spacing w:after="0" w:line="274" w:lineRule="auto"/>
        <w:tabs>
          <w:tab w:leader="none" w:pos="3351" w:val="left"/>
        </w:tabs>
        <w:numPr>
          <w:ilvl w:val="2"/>
          <w:numId w:val="159"/>
        </w:numPr>
        <w:rPr>
          <w:rFonts w:ascii="Arial" w:cs="Arial" w:eastAsia="Arial" w:hAnsi="Arial"/>
          <w:sz w:val="15"/>
          <w:szCs w:val="15"/>
          <w:color w:val="auto"/>
        </w:rPr>
      </w:pPr>
      <w:r>
        <w:rPr>
          <w:rFonts w:ascii="Arial" w:cs="Arial" w:eastAsia="Arial" w:hAnsi="Arial"/>
          <w:sz w:val="15"/>
          <w:szCs w:val="15"/>
          <w:color w:val="auto"/>
        </w:rPr>
        <w:t>upon the expiration of any such Options or any rights of conversion or exchange under such Convertible Securities which shall not have been exercised, the Conversion Price of any series of Preferred Stock computed upon the original issue thereof (or upon the occurrence of a record date with respect thereto) and any subsequent adjustments based thereon shall, upon such expiration, be recomputed as if:</w:t>
      </w:r>
    </w:p>
    <w:p>
      <w:pPr>
        <w:spacing w:after="0" w:line="151" w:lineRule="exact"/>
        <w:rPr>
          <w:rFonts w:ascii="Arial" w:cs="Arial" w:eastAsia="Arial" w:hAnsi="Arial"/>
          <w:sz w:val="15"/>
          <w:szCs w:val="15"/>
          <w:color w:val="auto"/>
        </w:rPr>
      </w:pPr>
    </w:p>
    <w:p>
      <w:pPr>
        <w:jc w:val="both"/>
        <w:ind w:right="20" w:firstLine="3335"/>
        <w:spacing w:after="0" w:line="274" w:lineRule="auto"/>
        <w:tabs>
          <w:tab w:leader="none" w:pos="3918" w:val="left"/>
        </w:tabs>
        <w:numPr>
          <w:ilvl w:val="3"/>
          <w:numId w:val="159"/>
        </w:numPr>
        <w:rPr>
          <w:rFonts w:ascii="Arial" w:cs="Arial" w:eastAsia="Arial" w:hAnsi="Arial"/>
          <w:sz w:val="15"/>
          <w:szCs w:val="15"/>
          <w:color w:val="auto"/>
        </w:rPr>
      </w:pPr>
      <w:r>
        <w:rPr>
          <w:rFonts w:ascii="Arial" w:cs="Arial" w:eastAsia="Arial" w:hAnsi="Arial"/>
          <w:sz w:val="15"/>
          <w:szCs w:val="15"/>
          <w:color w:val="auto"/>
        </w:rPr>
        <w:t>in the case of Convertible Securities or Options for Common Stock, the only Additional Shares of Common Stock issued were the shares of Common Stock, if any, actually issued upon the exercise of such Options or the conversion or exchange of such Convertible Securities and the consideration received therefor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52" w:lineRule="exact"/>
        <w:rPr>
          <w:sz w:val="20"/>
          <w:szCs w:val="20"/>
          <w:color w:val="auto"/>
        </w:rPr>
      </w:pPr>
    </w:p>
    <w:p>
      <w:pPr>
        <w:ind w:right="120" w:firstLine="3335"/>
        <w:spacing w:after="0" w:line="294" w:lineRule="auto"/>
        <w:tabs>
          <w:tab w:leader="none" w:pos="3926" w:val="left"/>
        </w:tabs>
        <w:numPr>
          <w:ilvl w:val="2"/>
          <w:numId w:val="160"/>
        </w:numPr>
        <w:rPr>
          <w:rFonts w:ascii="Arial" w:cs="Arial" w:eastAsia="Arial" w:hAnsi="Arial"/>
          <w:sz w:val="14"/>
          <w:szCs w:val="14"/>
          <w:color w:val="auto"/>
        </w:rPr>
      </w:pPr>
      <w:r>
        <w:rPr>
          <w:rFonts w:ascii="Arial" w:cs="Arial" w:eastAsia="Arial" w:hAnsi="Arial"/>
          <w:sz w:val="14"/>
          <w:szCs w:val="14"/>
          <w:color w:val="auto"/>
        </w:rPr>
        <w:t xml:space="preserve">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w:t>
      </w:r>
      <w:r>
        <w:rPr>
          <w:rFonts w:ascii="Arial" w:cs="Arial" w:eastAsia="Arial" w:hAnsi="Arial"/>
          <w:sz w:val="14"/>
          <w:szCs w:val="14"/>
          <w:u w:val="single" w:color="auto"/>
          <w:color w:val="auto"/>
        </w:rPr>
        <w:t>Section 3.3(d)(v)</w:t>
      </w:r>
      <w:r>
        <w:rPr>
          <w:rFonts w:ascii="Arial" w:cs="Arial" w:eastAsia="Arial" w:hAnsi="Arial"/>
          <w:sz w:val="14"/>
          <w:szCs w:val="14"/>
          <w:color w:val="auto"/>
        </w:rPr>
        <w:t>) upon the issue of the Convertible Securities with respect to which such Options were actually exercised;</w:t>
      </w:r>
    </w:p>
    <w:p>
      <w:pPr>
        <w:spacing w:after="0" w:line="139" w:lineRule="exact"/>
        <w:rPr>
          <w:rFonts w:ascii="Arial" w:cs="Arial" w:eastAsia="Arial" w:hAnsi="Arial"/>
          <w:sz w:val="14"/>
          <w:szCs w:val="14"/>
          <w:color w:val="auto"/>
        </w:rPr>
      </w:pPr>
    </w:p>
    <w:p>
      <w:pPr>
        <w:ind w:right="100" w:firstLine="2778"/>
        <w:spacing w:after="0" w:line="302" w:lineRule="auto"/>
        <w:tabs>
          <w:tab w:leader="none" w:pos="3360" w:val="left"/>
        </w:tabs>
        <w:numPr>
          <w:ilvl w:val="1"/>
          <w:numId w:val="161"/>
        </w:numPr>
        <w:rPr>
          <w:rFonts w:ascii="Arial" w:cs="Arial" w:eastAsia="Arial" w:hAnsi="Arial"/>
          <w:sz w:val="14"/>
          <w:szCs w:val="14"/>
          <w:color w:val="auto"/>
        </w:rPr>
      </w:pPr>
      <w:r>
        <w:rPr>
          <w:rFonts w:ascii="Arial" w:cs="Arial" w:eastAsia="Arial" w:hAnsi="Arial"/>
          <w:sz w:val="14"/>
          <w:szCs w:val="14"/>
          <w:color w:val="auto"/>
        </w:rPr>
        <w:t>no readjustment pursuant to clause (B) or (C) above shall have the effect of increasing the Conversion Price of any series of Preferred Stock to an amount which exceeds the lower of (i) the Conversion Price of such series of Preferred Stock on the original adjustment date, or (ii) the Conversion Price of such series of Preferred Stock that would have resulted from any other issuance of Additional Shares of Common Stock between the original adjustment date and such readjustment date;</w:t>
      </w:r>
    </w:p>
    <w:p>
      <w:pPr>
        <w:spacing w:after="0" w:line="134" w:lineRule="exact"/>
        <w:rPr>
          <w:rFonts w:ascii="Arial" w:cs="Arial" w:eastAsia="Arial" w:hAnsi="Arial"/>
          <w:sz w:val="14"/>
          <w:szCs w:val="14"/>
          <w:color w:val="auto"/>
        </w:rPr>
      </w:pPr>
    </w:p>
    <w:p>
      <w:pPr>
        <w:jc w:val="both"/>
        <w:ind w:firstLine="2778"/>
        <w:spacing w:after="0" w:line="274" w:lineRule="auto"/>
        <w:tabs>
          <w:tab w:leader="none" w:pos="3354"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in the case of any Options which expire by their terms not more than thirty (30) days after the date of issue thereof, no adjustment of the Conversion Price of any series of Preferred Stock shall be made until the expiration or exercise of all such Options, whereupon such adjustment shall be made in the same manner provided in clause (C) above; and</w:t>
      </w:r>
    </w:p>
    <w:p>
      <w:pPr>
        <w:spacing w:after="0" w:line="151" w:lineRule="exact"/>
        <w:rPr>
          <w:rFonts w:ascii="Arial" w:cs="Arial" w:eastAsia="Arial" w:hAnsi="Arial"/>
          <w:sz w:val="15"/>
          <w:szCs w:val="15"/>
          <w:color w:val="auto"/>
        </w:rPr>
      </w:pPr>
    </w:p>
    <w:p>
      <w:pPr>
        <w:ind w:right="120" w:firstLine="2778"/>
        <w:spacing w:after="0" w:line="302" w:lineRule="auto"/>
        <w:tabs>
          <w:tab w:leader="none" w:pos="3357" w:val="left"/>
        </w:tabs>
        <w:numPr>
          <w:ilvl w:val="1"/>
          <w:numId w:val="161"/>
        </w:numPr>
        <w:rPr>
          <w:rFonts w:ascii="Arial" w:cs="Arial" w:eastAsia="Arial" w:hAnsi="Arial"/>
          <w:sz w:val="14"/>
          <w:szCs w:val="14"/>
          <w:color w:val="auto"/>
        </w:rPr>
      </w:pPr>
      <w:r>
        <w:rPr>
          <w:rFonts w:ascii="Arial" w:cs="Arial" w:eastAsia="Arial" w:hAnsi="Arial"/>
          <w:sz w:val="14"/>
          <w:szCs w:val="14"/>
          <w:color w:val="auto"/>
        </w:rPr>
        <w:t xml:space="preserve">if such record date shall have been fixed and such Options or Convertible Securities are not issued on the date fixed therefor, the adjustment previously made in the Conversion Price of any series of Preferred Stock which became effective on such record date shall be canceled as of the close of business on such record date, and thereafter the Conversion Price of such series of Preferred Stock shall be adjusted pursuant to this </w:t>
      </w:r>
      <w:r>
        <w:rPr>
          <w:rFonts w:ascii="Arial" w:cs="Arial" w:eastAsia="Arial" w:hAnsi="Arial"/>
          <w:sz w:val="14"/>
          <w:szCs w:val="14"/>
          <w:u w:val="single" w:color="auto"/>
          <w:color w:val="auto"/>
        </w:rPr>
        <w:t>Section 3.3(d)(iii)</w:t>
      </w:r>
      <w:r>
        <w:rPr>
          <w:rFonts w:ascii="Arial" w:cs="Arial" w:eastAsia="Arial" w:hAnsi="Arial"/>
          <w:sz w:val="14"/>
          <w:szCs w:val="14"/>
          <w:color w:val="auto"/>
        </w:rPr>
        <w:t xml:space="preserve"> as of the actual date of their issuance.</w:t>
      </w:r>
    </w:p>
    <w:p>
      <w:pPr>
        <w:spacing w:after="0" w:line="134" w:lineRule="exact"/>
        <w:rPr>
          <w:rFonts w:ascii="Arial" w:cs="Arial" w:eastAsia="Arial" w:hAnsi="Arial"/>
          <w:sz w:val="14"/>
          <w:szCs w:val="14"/>
          <w:color w:val="auto"/>
        </w:rPr>
      </w:pPr>
    </w:p>
    <w:p>
      <w:pPr>
        <w:ind w:right="260" w:firstLine="2221"/>
        <w:spacing w:after="0" w:line="328" w:lineRule="auto"/>
        <w:tabs>
          <w:tab w:leader="none" w:pos="2791"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Stock Dividends, Stock Distributions and Subdivisions</w:t>
      </w:r>
      <w:r>
        <w:rPr>
          <w:rFonts w:ascii="Arial" w:cs="Arial" w:eastAsia="Arial" w:hAnsi="Arial"/>
          <w:sz w:val="14"/>
          <w:szCs w:val="14"/>
          <w:color w:val="auto"/>
        </w:rPr>
        <w:t>. In the event the Corporation at any time or from time to time after the Original Issue Date shall declare or pay any dividend or make any other distribution on the Common Stock payable in Common Stock, or effect a subdivision of the outstanding shares of</w:t>
      </w:r>
    </w:p>
    <w:p>
      <w:pPr>
        <w:sectPr>
          <w:pgSz w:w="11900" w:h="16854" w:orient="portrait"/>
          <w:cols w:equalWidth="0" w:num="1">
            <w:col w:w="11420"/>
          </w:cols>
          <w:pgMar w:left="240" w:top="314" w:right="239" w:bottom="0" w:gutter="0" w:footer="0" w:header="0"/>
        </w:sectPr>
      </w:pPr>
    </w:p>
    <w:bookmarkStart w:id="258" w:name="page259"/>
    <w:bookmarkEnd w:id="258"/>
    <w:p>
      <w:pPr>
        <w:ind w:right="440"/>
        <w:spacing w:after="0" w:line="290" w:lineRule="auto"/>
        <w:rPr>
          <w:sz w:val="20"/>
          <w:szCs w:val="20"/>
          <w:color w:val="auto"/>
        </w:rPr>
      </w:pPr>
      <w:r>
        <w:rPr>
          <w:rFonts w:ascii="Arial" w:cs="Arial" w:eastAsia="Arial" w:hAnsi="Arial"/>
          <w:sz w:val="15"/>
          <w:szCs w:val="15"/>
          <w:color w:val="auto"/>
        </w:rPr>
        <w:t xml:space="preserve">Common Stock (by reclassification or otherwise than by payment of a dividend in Common Stock), then and in any such event, Additional Shares of Common Stock shall not be deemed to have been issued, but the Conversion Price of any series of Preferred Stock shall be adjusted in accordance with </w:t>
      </w:r>
      <w:r>
        <w:rPr>
          <w:rFonts w:ascii="Arial" w:cs="Arial" w:eastAsia="Arial" w:hAnsi="Arial"/>
          <w:sz w:val="15"/>
          <w:szCs w:val="15"/>
          <w:u w:val="single" w:color="auto"/>
          <w:color w:val="auto"/>
        </w:rPr>
        <w:t>Section 3.3(d)(vi)</w:t>
      </w:r>
      <w:r>
        <w:rPr>
          <w:rFonts w:ascii="Arial" w:cs="Arial" w:eastAsia="Arial" w:hAnsi="Arial"/>
          <w:sz w:val="15"/>
          <w:szCs w:val="15"/>
          <w:color w:val="auto"/>
        </w:rPr>
        <w:t>.</w:t>
      </w:r>
    </w:p>
    <w:p>
      <w:pPr>
        <w:spacing w:after="0" w:line="140" w:lineRule="exact"/>
        <w:rPr>
          <w:sz w:val="20"/>
          <w:szCs w:val="20"/>
          <w:color w:val="auto"/>
        </w:rPr>
      </w:pPr>
    </w:p>
    <w:p>
      <w:pPr>
        <w:ind w:right="40" w:firstLine="1664"/>
        <w:spacing w:after="0" w:line="290" w:lineRule="auto"/>
        <w:tabs>
          <w:tab w:leader="none" w:pos="2242"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Adjustment of Conversion Price Upon Issuance of Additional Shares of Common Stock</w:t>
      </w:r>
      <w:r>
        <w:rPr>
          <w:rFonts w:ascii="Arial" w:cs="Arial" w:eastAsia="Arial" w:hAnsi="Arial"/>
          <w:sz w:val="15"/>
          <w:szCs w:val="15"/>
          <w:color w:val="auto"/>
        </w:rPr>
        <w:t>. In the event the Corporation shall issue Additional Shares of Common Stock (including without limitation Additional Shares of Common Stock deemed to be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 xml:space="preserve">issued pursuant to </w:t>
      </w:r>
      <w:r>
        <w:rPr>
          <w:rFonts w:ascii="Arial" w:cs="Arial" w:eastAsia="Arial" w:hAnsi="Arial"/>
          <w:sz w:val="14"/>
          <w:szCs w:val="14"/>
          <w:u w:val="single" w:color="auto"/>
          <w:color w:val="auto"/>
        </w:rPr>
        <w:t>Section 3.3(d)(iii)</w:t>
      </w:r>
      <w:r>
        <w:rPr>
          <w:rFonts w:ascii="Arial" w:cs="Arial" w:eastAsia="Arial" w:hAnsi="Arial"/>
          <w:sz w:val="14"/>
          <w:szCs w:val="14"/>
          <w:color w:val="auto"/>
        </w:rPr>
        <w:t xml:space="preserve">) without consideration or for a consideration per share less than the applicable Conversion Price of any series of Preferred Stock in effect on the date of and immediately prior to such issue, then and in such event, such Conversion Price shall be reduced, concurrently with such issue in order to increase the number of shares of Common Stock into which such series of Preferred Stock is convertible, to a price (calculated to the nearest cent) determined by dividing (A) (i) the Conversion Price of such series of Preferred Stock multiplied by the number of shares of Common Stock outstanding immediately prior to such issue (including without limitation shares of Common Stock issuable upon conversion of any outstanding Options, Convertible Securities and shares of Preferred Stock), plus (ii) the aggregate consideration received by the Corporation for the total number of Additional Shares of Common Stock so issued, by (B) (i) the number of shares of Common Stock outstanding immediately prior to such issue (including without limitation shares of Common Stock issuable upon conversion of any outstanding Options, Convertible Securities and shares of Preferred Stock), plus (ii) the total number of such Additional Shares of Common Stock so issued,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Conversion Price shall not be so reduced at such time if the amount of such reduction would be an amount less than $0.01, but any such amount shall be carried forward and any reduction with respect thereto shall be made at the time of and together with any subsequent reduction which, together with such amount and any other amount or amounts so carried forward, shall aggregate $0.01 or more. For the avoidance of doubt, the Conversion Price for the Series SRN Preferred in connection with an SRN Special Optional Conversion Event shall not be adjusted pursuant to this Section 3.3(d)(iv) or otherwise in connection with the actual or deemed issuance by the Corporation of Additional Shares of Common Stock.</w:t>
      </w:r>
    </w:p>
    <w:p>
      <w:pPr>
        <w:spacing w:after="0" w:line="152" w:lineRule="exact"/>
        <w:rPr>
          <w:sz w:val="20"/>
          <w:szCs w:val="20"/>
          <w:color w:val="auto"/>
        </w:rPr>
      </w:pPr>
    </w:p>
    <w:p>
      <w:pPr>
        <w:ind w:right="100" w:firstLine="1664"/>
        <w:spacing w:after="0" w:line="290" w:lineRule="auto"/>
        <w:tabs>
          <w:tab w:leader="none" w:pos="2234"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Determination of Consideration</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3.3(d)</w:t>
      </w:r>
      <w:r>
        <w:rPr>
          <w:rFonts w:ascii="Arial" w:cs="Arial" w:eastAsia="Arial" w:hAnsi="Arial"/>
          <w:sz w:val="15"/>
          <w:szCs w:val="15"/>
          <w:color w:val="auto"/>
        </w:rPr>
        <w:t>, the consideration received by the Corporation for the issue of any Additional Shares of Common Stock shall be computed as follows:</w:t>
      </w:r>
    </w:p>
    <w:p>
      <w:pPr>
        <w:spacing w:after="0" w:line="140" w:lineRule="exact"/>
        <w:rPr>
          <w:rFonts w:ascii="Arial" w:cs="Arial" w:eastAsia="Arial" w:hAnsi="Arial"/>
          <w:sz w:val="15"/>
          <w:szCs w:val="15"/>
          <w:color w:val="auto"/>
        </w:rPr>
      </w:pPr>
    </w:p>
    <w:p>
      <w:pPr>
        <w:ind w:left="2780" w:hanging="559"/>
        <w:spacing w:after="0"/>
        <w:tabs>
          <w:tab w:leader="none" w:pos="2780"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Cash and Property</w:t>
      </w:r>
      <w:r>
        <w:rPr>
          <w:rFonts w:ascii="Arial" w:cs="Arial" w:eastAsia="Arial" w:hAnsi="Arial"/>
          <w:sz w:val="15"/>
          <w:szCs w:val="15"/>
          <w:color w:val="auto"/>
        </w:rPr>
        <w:t>. Such consideration shall:</w:t>
      </w:r>
    </w:p>
    <w:p>
      <w:pPr>
        <w:spacing w:after="0" w:line="198" w:lineRule="exact"/>
        <w:rPr>
          <w:rFonts w:ascii="Arial" w:cs="Arial" w:eastAsia="Arial" w:hAnsi="Arial"/>
          <w:sz w:val="15"/>
          <w:szCs w:val="15"/>
          <w:color w:val="auto"/>
        </w:rPr>
      </w:pPr>
    </w:p>
    <w:p>
      <w:pPr>
        <w:ind w:left="3360" w:hanging="582"/>
        <w:spacing w:after="0"/>
        <w:tabs>
          <w:tab w:leader="none" w:pos="3360" w:val="left"/>
        </w:tabs>
        <w:numPr>
          <w:ilvl w:val="2"/>
          <w:numId w:val="164"/>
        </w:numPr>
        <w:rPr>
          <w:rFonts w:ascii="Arial" w:cs="Arial" w:eastAsia="Arial" w:hAnsi="Arial"/>
          <w:sz w:val="14"/>
          <w:szCs w:val="14"/>
          <w:color w:val="auto"/>
        </w:rPr>
      </w:pPr>
      <w:r>
        <w:rPr>
          <w:rFonts w:ascii="Arial" w:cs="Arial" w:eastAsia="Arial" w:hAnsi="Arial"/>
          <w:sz w:val="14"/>
          <w:szCs w:val="14"/>
          <w:color w:val="auto"/>
        </w:rPr>
        <w:t>insofar as it consists of cash, be computed at the aggregate amount of cash received by the Corporation, excluding amounts paid</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or payable for accrued interest or accrued dividends;</w:t>
      </w:r>
    </w:p>
    <w:p>
      <w:pPr>
        <w:spacing w:after="0" w:line="188" w:lineRule="exact"/>
        <w:rPr>
          <w:rFonts w:ascii="Arial" w:cs="Arial" w:eastAsia="Arial" w:hAnsi="Arial"/>
          <w:sz w:val="14"/>
          <w:szCs w:val="14"/>
          <w:color w:val="auto"/>
        </w:rPr>
      </w:pPr>
    </w:p>
    <w:p>
      <w:pPr>
        <w:ind w:left="3340" w:hanging="562"/>
        <w:spacing w:after="0"/>
        <w:tabs>
          <w:tab w:leader="none" w:pos="3340" w:val="left"/>
        </w:tabs>
        <w:numPr>
          <w:ilvl w:val="2"/>
          <w:numId w:val="164"/>
        </w:numPr>
        <w:rPr>
          <w:rFonts w:ascii="Arial" w:cs="Arial" w:eastAsia="Arial" w:hAnsi="Arial"/>
          <w:sz w:val="14"/>
          <w:szCs w:val="14"/>
          <w:color w:val="auto"/>
        </w:rPr>
      </w:pPr>
      <w:r>
        <w:rPr>
          <w:rFonts w:ascii="Arial" w:cs="Arial" w:eastAsia="Arial" w:hAnsi="Arial"/>
          <w:sz w:val="14"/>
          <w:szCs w:val="14"/>
          <w:color w:val="auto"/>
        </w:rPr>
        <w:t>insofar as it consists of property other than cash, be computed at the fair value thereof at the time of such issue, as determined in</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good faith by the Board of Directors; and</w:t>
      </w:r>
    </w:p>
    <w:p>
      <w:pPr>
        <w:spacing w:after="0" w:line="188" w:lineRule="exact"/>
        <w:rPr>
          <w:rFonts w:ascii="Arial" w:cs="Arial" w:eastAsia="Arial" w:hAnsi="Arial"/>
          <w:sz w:val="14"/>
          <w:szCs w:val="14"/>
          <w:color w:val="auto"/>
        </w:rPr>
      </w:pPr>
    </w:p>
    <w:p>
      <w:pPr>
        <w:ind w:right="120" w:firstLine="2778"/>
        <w:spacing w:after="0" w:line="274" w:lineRule="auto"/>
        <w:tabs>
          <w:tab w:leader="none" w:pos="3351" w:val="left"/>
        </w:tabs>
        <w:numPr>
          <w:ilvl w:val="2"/>
          <w:numId w:val="164"/>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by the proportion of such consideration so received, computed as provided in clauses (A) and (B) above, as determined in good faith by the Board of Directors.</w:t>
      </w:r>
    </w:p>
    <w:p>
      <w:pPr>
        <w:spacing w:after="0" w:line="151" w:lineRule="exact"/>
        <w:rPr>
          <w:rFonts w:ascii="Arial" w:cs="Arial" w:eastAsia="Arial" w:hAnsi="Arial"/>
          <w:sz w:val="15"/>
          <w:szCs w:val="15"/>
          <w:color w:val="auto"/>
        </w:rPr>
      </w:pPr>
    </w:p>
    <w:p>
      <w:pPr>
        <w:jc w:val="both"/>
        <w:ind w:right="260" w:firstLine="2221"/>
        <w:spacing w:after="0" w:line="274" w:lineRule="auto"/>
        <w:tabs>
          <w:tab w:leader="none" w:pos="2791"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Options and Convertible Securities</w:t>
      </w:r>
      <w:r>
        <w:rPr>
          <w:rFonts w:ascii="Arial" w:cs="Arial" w:eastAsia="Arial" w:hAnsi="Arial"/>
          <w:sz w:val="15"/>
          <w:szCs w:val="15"/>
          <w:color w:val="auto"/>
        </w:rPr>
        <w:t xml:space="preserve">. The aggregate consideration received by the Corporation for Additional Shares of Common Stock deemed to have been issued pursuant to </w:t>
      </w:r>
      <w:r>
        <w:rPr>
          <w:rFonts w:ascii="Arial" w:cs="Arial" w:eastAsia="Arial" w:hAnsi="Arial"/>
          <w:sz w:val="15"/>
          <w:szCs w:val="15"/>
          <w:u w:val="single" w:color="auto"/>
          <w:color w:val="auto"/>
        </w:rPr>
        <w:t>Section 3.3(d)(iii)(1)</w:t>
      </w:r>
      <w:r>
        <w:rPr>
          <w:rFonts w:ascii="Arial" w:cs="Arial" w:eastAsia="Arial" w:hAnsi="Arial"/>
          <w:sz w:val="15"/>
          <w:szCs w:val="15"/>
          <w:color w:val="auto"/>
        </w:rPr>
        <w:t>, relating to Options and Convertible Securities, shall be determined by computing the total amount, if any, received or receivable by the Corporation as consideration for the issue of such Options or Convertible Securities, plus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minimum aggregate amount of additional consideration (as set forth in the instruments relating thereto, without regard to any provision contained therein for a subsequent adjustment of such consideration until such subsequent adjustment occurs)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The total number of Additional Shares of Common Stock so issued shall be determined by calculating the maximum number of shares of Common Stock (as set forth in the instruments relating thereto, without regard to any provision contained therein for a subsequent adjustment of such number until such subsequent adjustment occurs) issuable upon the exercise of such Options or the conversion or exchange of such Convertible Securities.</w:t>
      </w:r>
    </w:p>
    <w:p>
      <w:pPr>
        <w:spacing w:after="0" w:line="161" w:lineRule="exact"/>
        <w:rPr>
          <w:sz w:val="20"/>
          <w:szCs w:val="20"/>
          <w:color w:val="auto"/>
        </w:rPr>
      </w:pPr>
    </w:p>
    <w:p>
      <w:pPr>
        <w:ind w:left="2240" w:hanging="576"/>
        <w:spacing w:after="0"/>
        <w:tabs>
          <w:tab w:leader="none" w:pos="2240"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Adjustment for Dividends, Distributions, Subdivisions Combinations or Consolidation of Common Stock</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jc w:val="both"/>
        <w:ind w:right="240" w:firstLine="2221"/>
        <w:spacing w:after="0" w:line="294" w:lineRule="auto"/>
        <w:tabs>
          <w:tab w:leader="none" w:pos="2791" w:val="left"/>
        </w:tabs>
        <w:numPr>
          <w:ilvl w:val="1"/>
          <w:numId w:val="165"/>
        </w:numPr>
        <w:rPr>
          <w:rFonts w:ascii="Arial" w:cs="Arial" w:eastAsia="Arial" w:hAnsi="Arial"/>
          <w:sz w:val="14"/>
          <w:szCs w:val="14"/>
          <w:color w:val="auto"/>
        </w:rPr>
      </w:pPr>
      <w:r>
        <w:rPr>
          <w:rFonts w:ascii="Arial" w:cs="Arial" w:eastAsia="Arial" w:hAnsi="Arial"/>
          <w:sz w:val="14"/>
          <w:szCs w:val="14"/>
          <w:u w:val="single" w:color="auto"/>
          <w:color w:val="auto"/>
        </w:rPr>
        <w:t>Stock Dividends, Distributions or Subdivisions</w:t>
      </w:r>
      <w:r>
        <w:rPr>
          <w:rFonts w:ascii="Arial" w:cs="Arial" w:eastAsia="Arial" w:hAnsi="Arial"/>
          <w:sz w:val="14"/>
          <w:szCs w:val="14"/>
          <w:color w:val="auto"/>
        </w:rPr>
        <w:t>. In the event the Corporation at any time, or from time to time, shall declare or pay any dividend or make any other distribution on the Common Stock payable in Common Stock, or effect a subdivision of the outstanding shares of Common Stock (by reclassification or otherwise than by payment of a dividend in Common Stock), the Conversion Price of each series of Preferred Stock, in each case in effect immediately prior to such stock dividend, stock distribution or subdivision shall, concurrently with the effectiveness of such stock dividend, stock distribution or subdivision, be proportionately decreased.</w:t>
      </w:r>
    </w:p>
    <w:p>
      <w:pPr>
        <w:spacing w:after="0" w:line="139" w:lineRule="exact"/>
        <w:rPr>
          <w:rFonts w:ascii="Arial" w:cs="Arial" w:eastAsia="Arial" w:hAnsi="Arial"/>
          <w:sz w:val="14"/>
          <w:szCs w:val="14"/>
          <w:color w:val="auto"/>
        </w:rPr>
      </w:pPr>
    </w:p>
    <w:p>
      <w:pPr>
        <w:ind w:right="100" w:firstLine="2221"/>
        <w:spacing w:after="0" w:line="269" w:lineRule="auto"/>
        <w:tabs>
          <w:tab w:leader="none" w:pos="2791" w:val="left"/>
        </w:tabs>
        <w:numPr>
          <w:ilvl w:val="1"/>
          <w:numId w:val="165"/>
        </w:numPr>
        <w:rPr>
          <w:rFonts w:ascii="Arial" w:cs="Arial" w:eastAsia="Arial" w:hAnsi="Arial"/>
          <w:sz w:val="15"/>
          <w:szCs w:val="15"/>
          <w:color w:val="auto"/>
        </w:rPr>
      </w:pPr>
      <w:r>
        <w:rPr>
          <w:rFonts w:ascii="Arial" w:cs="Arial" w:eastAsia="Arial" w:hAnsi="Arial"/>
          <w:sz w:val="15"/>
          <w:szCs w:val="15"/>
          <w:u w:val="single" w:color="auto"/>
          <w:color w:val="auto"/>
        </w:rPr>
        <w:t>Combinations or Consolidations</w:t>
      </w:r>
      <w:r>
        <w:rPr>
          <w:rFonts w:ascii="Arial" w:cs="Arial" w:eastAsia="Arial" w:hAnsi="Arial"/>
          <w:sz w:val="15"/>
          <w:szCs w:val="15"/>
          <w:color w:val="auto"/>
        </w:rPr>
        <w:t>. In the event the outstanding shares of Common Stock shall be combined or consolidated, by reclassification or otherwise, into a lesser number of shares of Common Stock, the Conversion Price of each series of Preferred Stock (including, for the avoidance of doubt, in connection with an SRN Special Optional Conversion Event), in each case in effect immediately prior to such combination or contribution shall, concurrently with the effectiveness of such combination or consolidation, be proportionately increased.</w:t>
      </w:r>
    </w:p>
    <w:p>
      <w:pPr>
        <w:spacing w:after="0" w:line="155" w:lineRule="exact"/>
        <w:rPr>
          <w:rFonts w:ascii="Arial" w:cs="Arial" w:eastAsia="Arial" w:hAnsi="Arial"/>
          <w:sz w:val="15"/>
          <w:szCs w:val="15"/>
          <w:color w:val="auto"/>
        </w:rPr>
      </w:pPr>
    </w:p>
    <w:p>
      <w:pPr>
        <w:ind w:right="140" w:firstLine="1664"/>
        <w:spacing w:after="0" w:line="308" w:lineRule="auto"/>
        <w:tabs>
          <w:tab w:leader="none" w:pos="2251"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Adjustment for Merger or Reorganization</w:t>
      </w:r>
      <w:r>
        <w:rPr>
          <w:rFonts w:ascii="Arial" w:cs="Arial" w:eastAsia="Arial" w:hAnsi="Arial"/>
          <w:sz w:val="13"/>
          <w:szCs w:val="13"/>
          <w:color w:val="auto"/>
        </w:rPr>
        <w:t>. Unless otherwise determined by a vote or written consent of the holders of shares of Senior Preferred Stock and Series SRN Preferred representing at least sixty-six and two-thirds percent (66 2/3%) of the votes represented by all outstanding shares of Senior Preferred Stock and Series SRN Preferred voting together as a single class, in case of any consolidation or merger of the Corporation with or into another corporation or the conveyance of all or substantially all of the assets of the Corporation to another corporation in which the holders of Common Stock will be entitled to receive shares of stock, other securities or property, each share of the Series A Preferred, the Series B Preferred, the Series C Preferred, the Series D Preferred and the Series E Preferred shall thereafter be convertible into the number of shares of stock or other securities or property to which a holder of the number of shares of Common Stock of the Corporation deliverable upon conversion of such share of Series A Preferred, Series B Preferred, Series C Preferred, Series D Preferred or Series E Preferred would have been entitled upon such consolidation, merger or conveyance, and appropriate adjustment (as determined in good faith by the Board of Directors) shall be made to the conversion provisions of the Series SRN Preferred. In any such case, appropriate adjustment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0"/>
        <w:spacing w:after="0" w:line="302" w:lineRule="auto"/>
        <w:rPr>
          <w:sz w:val="20"/>
          <w:szCs w:val="20"/>
          <w:color w:val="auto"/>
        </w:rPr>
      </w:pPr>
      <w:r>
        <w:rPr>
          <w:rFonts w:ascii="Arial" w:cs="Arial" w:eastAsia="Arial" w:hAnsi="Arial"/>
          <w:sz w:val="14"/>
          <w:szCs w:val="14"/>
          <w:color w:val="auto"/>
        </w:rPr>
        <w:t>(as determined in good faith by the Board of Directors) shall be made in the application of these provisions set forth with respect to the rights and interest thereafter of the holders of Preferred Stock, to the end that these provisions (including without limitation provisions with respect to changes in and other adjustments of the Conversion Price) shall thereafter be applicable, as nearly as reasonably may be, in relation to any shares of stock or other property thereafter deliverable upon the conversion of the Preferred Stock.</w:t>
      </w:r>
    </w:p>
    <w:p>
      <w:pPr>
        <w:spacing w:after="0" w:line="135" w:lineRule="exact"/>
        <w:rPr>
          <w:sz w:val="20"/>
          <w:szCs w:val="20"/>
          <w:color w:val="auto"/>
        </w:rPr>
      </w:pPr>
    </w:p>
    <w:p>
      <w:pPr>
        <w:ind w:right="20" w:firstLine="1107"/>
        <w:spacing w:after="0" w:line="269" w:lineRule="auto"/>
        <w:tabs>
          <w:tab w:leader="none" w:pos="1680"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No Impairment</w:t>
      </w:r>
      <w:r>
        <w:rPr>
          <w:rFonts w:ascii="Arial" w:cs="Arial" w:eastAsia="Arial" w:hAnsi="Arial"/>
          <w:sz w:val="15"/>
          <w:szCs w:val="15"/>
          <w:color w:val="auto"/>
        </w:rPr>
        <w:t xml:space="preserve">. The Corporation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in the taking of all such action as may be necessary or appropriate in order to protect the Conversion Rights of the holders of Preferred Stock against impairment.</w:t>
      </w:r>
    </w:p>
    <w:p>
      <w:pPr>
        <w:sectPr>
          <w:pgSz w:w="11900" w:h="16838" w:orient="portrait"/>
          <w:cols w:equalWidth="0" w:num="1">
            <w:col w:w="11400"/>
          </w:cols>
          <w:pgMar w:left="240" w:top="129" w:right="259" w:bottom="0" w:gutter="0" w:footer="0" w:header="0"/>
        </w:sectPr>
      </w:pPr>
    </w:p>
    <w:bookmarkStart w:id="259" w:name="page260"/>
    <w:bookmarkEnd w:id="259"/>
    <w:p>
      <w:pPr>
        <w:ind w:right="40" w:firstLine="1107"/>
        <w:spacing w:after="0" w:line="263" w:lineRule="auto"/>
        <w:tabs>
          <w:tab w:leader="none" w:pos="1675"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Certificate as to Adjustments</w:t>
      </w:r>
      <w:r>
        <w:rPr>
          <w:rFonts w:ascii="Arial" w:cs="Arial" w:eastAsia="Arial" w:hAnsi="Arial"/>
          <w:sz w:val="15"/>
          <w:szCs w:val="15"/>
          <w:color w:val="auto"/>
        </w:rPr>
        <w:t xml:space="preserve">. Upon the occurrence of each adjustment or readjustment of any Conversion Price of any series of Preferred Stock pursuant to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the Corporation at its expense shall promptly compute such adjustment or readjustment in accordance with these terms and furnish to each holder of Preferred Stock a certificate setting forth such adjustment, readjustment or conversion and showing in detail the facts upon which such adjustment, readjustment or conversion is based,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the failure to promptly provide such notice shall not affect the effectiveness of such adjustment, or readjustment or conversion. The Corporation shall, upon the written request at any time of any holder of Preferred Stock, furnish or cause to be furnished to such holder a like certificate setting forth (i) such adjustments and readjustments, (ii) the Conversion Price of any series of Preferred Stock at the time in effect, and (iii) the number of shares of Common Stock and the amount, if any, of other property which at the time would be received upon the conversion of any series of Preferred Stock.</w:t>
      </w:r>
    </w:p>
    <w:p>
      <w:pPr>
        <w:spacing w:after="0" w:line="162" w:lineRule="exact"/>
        <w:rPr>
          <w:rFonts w:ascii="Arial" w:cs="Arial" w:eastAsia="Arial" w:hAnsi="Arial"/>
          <w:sz w:val="15"/>
          <w:szCs w:val="15"/>
          <w:color w:val="auto"/>
        </w:rPr>
      </w:pPr>
    </w:p>
    <w:p>
      <w:pPr>
        <w:ind w:firstLine="1107"/>
        <w:spacing w:after="0" w:line="283" w:lineRule="auto"/>
        <w:tabs>
          <w:tab w:leader="none" w:pos="1689"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Notices of Record Date</w:t>
      </w:r>
      <w:r>
        <w:rPr>
          <w:rFonts w:ascii="Arial" w:cs="Arial" w:eastAsia="Arial" w:hAnsi="Arial"/>
          <w:sz w:val="14"/>
          <w:szCs w:val="14"/>
          <w:color w:val="auto"/>
        </w:rPr>
        <w:t>. In the event of (i) any taking by the Corporation of a record date of the holders of any class of securities for the purpose of determining the holders thereof who are entitled to receive any dividend (other than a cash dividend which is the same as cash dividends paid in previous quarters) or other distribution, or (ii) any capital reorganization of the Corporation, any reclassification or recapitalization of the capital stock of the Corporation, any merger or consolidation of the Corporation, and any transfer of all or substantially all of the assets of the Corporation to any other corporation, or any other entity or person, or any voluntary or involuntary dissolution, liquidation or winding up of the Corporation, the Corporation shall mail to each holder of Preferred Stock at least twenty (20) days prior to such record date, a notice specifying (A) the date on which any such record is to be taken for the purpose of such dividend or distribution and a description of such dividend or distribution, (B) the date on which any such reorganization, reclassification, transfer, consolidation, merger, dissolution, liquidation or winding up is expected to become effective, and (C) the time, if any, that is to be fixed, as to when the holders of record of Common Stock (or other securities) shall be entitled to exchange their shares of Common Stock (or other securities) for securities or other property deliverable upon such reorganization, reclassification, transfer, consolidation, merger, dissolution, liquidation or winding up. For the avoidance of doubt, failure to give notice as set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forth in this </w:t>
      </w:r>
      <w:r>
        <w:rPr>
          <w:rFonts w:ascii="Arial" w:cs="Arial" w:eastAsia="Arial" w:hAnsi="Arial"/>
          <w:sz w:val="15"/>
          <w:szCs w:val="15"/>
          <w:u w:val="single" w:color="auto"/>
          <w:color w:val="auto"/>
        </w:rPr>
        <w:t>Section 3.3(g)</w:t>
      </w:r>
      <w:r>
        <w:rPr>
          <w:rFonts w:ascii="Arial" w:cs="Arial" w:eastAsia="Arial" w:hAnsi="Arial"/>
          <w:sz w:val="15"/>
          <w:szCs w:val="15"/>
          <w:color w:val="auto"/>
        </w:rPr>
        <w:t xml:space="preserve"> shall not alter the effectiveness of the consummation of any transaction or event pertaining to such notice.</w:t>
      </w:r>
    </w:p>
    <w:p>
      <w:pPr>
        <w:spacing w:after="0" w:line="199" w:lineRule="exact"/>
        <w:rPr>
          <w:sz w:val="20"/>
          <w:szCs w:val="20"/>
          <w:color w:val="auto"/>
        </w:rPr>
      </w:pPr>
    </w:p>
    <w:p>
      <w:pPr>
        <w:ind w:right="300" w:firstLine="1107"/>
        <w:spacing w:after="0" w:line="290" w:lineRule="auto"/>
        <w:tabs>
          <w:tab w:leader="none" w:pos="1677"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Common Stock Reserved</w:t>
      </w:r>
      <w:r>
        <w:rPr>
          <w:rFonts w:ascii="Arial" w:cs="Arial" w:eastAsia="Arial" w:hAnsi="Arial"/>
          <w:sz w:val="15"/>
          <w:szCs w:val="15"/>
          <w:color w:val="auto"/>
        </w:rPr>
        <w:t>. The Corporation shall reserve and keep available out of its authorized but unissued Common Stock such number of shares of Common Stock as shall from time to time be sufficient to effect conversion of the Preferred Stock.</w:t>
      </w:r>
    </w:p>
    <w:p>
      <w:pPr>
        <w:spacing w:after="0" w:line="14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u w:val="single" w:color="auto"/>
          <w:color w:val="auto"/>
        </w:rPr>
        <w:t>Senior Preferred Stock Redemption.</w:t>
      </w:r>
    </w:p>
    <w:p>
      <w:pPr>
        <w:spacing w:after="0" w:line="199" w:lineRule="exact"/>
        <w:rPr>
          <w:sz w:val="20"/>
          <w:szCs w:val="20"/>
          <w:color w:val="auto"/>
        </w:rPr>
      </w:pPr>
    </w:p>
    <w:p>
      <w:pPr>
        <w:ind w:firstLine="1107"/>
        <w:spacing w:after="0" w:line="280" w:lineRule="auto"/>
        <w:tabs>
          <w:tab w:leader="none" w:pos="1669" w:val="left"/>
        </w:tabs>
        <w:numPr>
          <w:ilvl w:val="0"/>
          <w:numId w:val="169"/>
        </w:numPr>
        <w:rPr>
          <w:rFonts w:ascii="Arial" w:cs="Arial" w:eastAsia="Arial" w:hAnsi="Arial"/>
          <w:sz w:val="14"/>
          <w:szCs w:val="14"/>
          <w:color w:val="auto"/>
        </w:rPr>
      </w:pPr>
      <w:r>
        <w:rPr>
          <w:rFonts w:ascii="Arial" w:cs="Arial" w:eastAsia="Arial" w:hAnsi="Arial"/>
          <w:sz w:val="14"/>
          <w:szCs w:val="14"/>
          <w:color w:val="auto"/>
        </w:rPr>
        <w:t>Shares of Senior Preferred Stock shall be redeemed by the Corporation out of funds lawfully available therefor at a price equal to the applicable Original Issue Price per share, plus all Accruing Dividends, whether or not declared, and any other declared but unpaid dividends thereon (the “</w:t>
      </w:r>
      <w:r>
        <w:rPr>
          <w:rFonts w:ascii="Arial" w:cs="Arial" w:eastAsia="Arial" w:hAnsi="Arial"/>
          <w:sz w:val="14"/>
          <w:szCs w:val="14"/>
          <w:u w:val="single" w:color="auto"/>
          <w:color w:val="auto"/>
        </w:rPr>
        <w:t>Redemption Price</w:t>
      </w:r>
      <w:r>
        <w:rPr>
          <w:rFonts w:ascii="Arial" w:cs="Arial" w:eastAsia="Arial" w:hAnsi="Arial"/>
          <w:sz w:val="14"/>
          <w:szCs w:val="14"/>
          <w:color w:val="auto"/>
        </w:rPr>
        <w:t>”), in four (4) annual installments commencing not more than ninety (90) days after receipt by the Corporation at any time (i) on or after November 7, 2019 and (ii) at which time there has not occurred a Deemed Liquidation Event, from the holders of shares of Senior Preferred Stock representing at least sixty-six and two-thirds percent (66 2/3%) of the votes represented by all outstanding shares of Senior Preferred Stock voting together as a single class, of written notice requesting redemption of some or all of such holders’ shares of Senior Preferred Stock (such notice, a “</w:t>
      </w:r>
      <w:r>
        <w:rPr>
          <w:rFonts w:ascii="Arial" w:cs="Arial" w:eastAsia="Arial" w:hAnsi="Arial"/>
          <w:sz w:val="14"/>
          <w:szCs w:val="14"/>
          <w:u w:val="single" w:color="auto"/>
          <w:color w:val="auto"/>
        </w:rPr>
        <w:t>Senior Preferred Stock Redemption Request</w:t>
      </w:r>
      <w:r>
        <w:rPr>
          <w:rFonts w:ascii="Arial" w:cs="Arial" w:eastAsia="Arial" w:hAnsi="Arial"/>
          <w:sz w:val="14"/>
          <w:szCs w:val="14"/>
          <w:color w:val="auto"/>
        </w:rPr>
        <w:t>”); provided that, immediately prior to the SRN Redemption Request Date (as defined below), any and all installments due in respect to a Senior Preferred Stock Redemption Request which are unpaid shall immediately accelerate. For the avoidance of doubt, the requisite holders of shares of Senior Preferred Stock may elect to deliver a Senior Preferred Stock Redemption Request following the Corporation’s receipt of a SRN Redemption Request and prior to the SRN Redemption Request Date, in which case, as provided above, the full Redemption Price for all shares of Senior Preferred Stock subject to such Senior Preferred Stock Redemption Request shall accelerate and be paid immediately prior to the SRN Redemption Request Date. The date of each such installment shall be referred to as a “</w:t>
      </w:r>
      <w:r>
        <w:rPr>
          <w:rFonts w:ascii="Arial" w:cs="Arial" w:eastAsia="Arial" w:hAnsi="Arial"/>
          <w:sz w:val="14"/>
          <w:szCs w:val="14"/>
          <w:u w:val="single" w:color="auto"/>
          <w:color w:val="auto"/>
        </w:rPr>
        <w:t>Redemption Date</w:t>
      </w:r>
      <w:r>
        <w:rPr>
          <w:rFonts w:ascii="Arial" w:cs="Arial" w:eastAsia="Arial" w:hAnsi="Arial"/>
          <w:sz w:val="14"/>
          <w:szCs w:val="14"/>
          <w:color w:val="auto"/>
        </w:rPr>
        <w:t xml:space="preserve">”. The maximum number of shares of Senior Preferred Stock that the Corporation shall be required to redeem on any one Redemption Date shall be equal to the amount determined by dividing (i) the aggregate number of shares of Senior Preferred Stock outstanding immediately prior to such Redemption Date by (ii) the number of remaining Redemption Dates (including the Redemption Date to which such calculation applies). Any redemption of Senior Preferred Stock effected pursuant to this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shall not be mandatory on all holders of Senior Preferred Stock but all holders of Senior Preferred Stock shall have the option to participate in such redemption in accordance with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and any such redemption shall be made on a pro rata basis among the holders of Senior Preferred Stock participating in the redemption in proportion to the aggregate Redemption Price each such holder of Senior Preferred Stock would otherwise be entitled to receive on the applicable Redemption Date. Notwithstanding the foregoing, a holder of Senior Preferred Stock may at any time convert some or all of such holder’s Senior Preferred Stock prior to a Redemption Date in accordance with the provisions of </w:t>
      </w:r>
      <w:r>
        <w:rPr>
          <w:rFonts w:ascii="Arial" w:cs="Arial" w:eastAsia="Arial" w:hAnsi="Arial"/>
          <w:sz w:val="14"/>
          <w:szCs w:val="14"/>
          <w:u w:val="single" w:color="auto"/>
          <w:color w:val="auto"/>
        </w:rPr>
        <w:t>Section 3.3</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right="140" w:firstLine="1107"/>
        <w:spacing w:after="0" w:line="274" w:lineRule="auto"/>
        <w:tabs>
          <w:tab w:leader="none" w:pos="1677" w:val="left"/>
        </w:tabs>
        <w:numPr>
          <w:ilvl w:val="0"/>
          <w:numId w:val="169"/>
        </w:numPr>
        <w:rPr>
          <w:rFonts w:ascii="Arial" w:cs="Arial" w:eastAsia="Arial" w:hAnsi="Arial"/>
          <w:sz w:val="15"/>
          <w:szCs w:val="15"/>
          <w:color w:val="auto"/>
        </w:rPr>
      </w:pPr>
      <w:r>
        <w:rPr>
          <w:rFonts w:ascii="Arial" w:cs="Arial" w:eastAsia="Arial" w:hAnsi="Arial"/>
          <w:sz w:val="15"/>
          <w:szCs w:val="15"/>
          <w:color w:val="auto"/>
        </w:rPr>
        <w:t>Written notice shall be mailed, first class postage prepaid, to each holder of record (at the close of business on the business day next preceding the day on which notice is given) of Senior Preferred Stock, at the address last shown on the records of the Corporation for such holder, notifying such holder of the redemption to be effected on the applicable Redemption Date (the “</w:t>
      </w:r>
      <w:r>
        <w:rPr>
          <w:rFonts w:ascii="Arial" w:cs="Arial" w:eastAsia="Arial" w:hAnsi="Arial"/>
          <w:sz w:val="15"/>
          <w:szCs w:val="15"/>
          <w:u w:val="single" w:color="auto"/>
          <w:color w:val="auto"/>
        </w:rPr>
        <w:t>Redemption Notice</w:t>
      </w:r>
      <w:r>
        <w:rPr>
          <w:rFonts w:ascii="Arial" w:cs="Arial" w:eastAsia="Arial" w:hAnsi="Arial"/>
          <w:sz w:val="15"/>
          <w:szCs w:val="15"/>
          <w:color w:val="auto"/>
        </w:rPr>
        <w:t>”). If the Corporation receives, on or prior to the twentieth day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 xml:space="preserve">after the date of delivery of the Redemption Notice to a holder of Senior Preferred Stock, written notice from such holder that such holder elects to be included in the redemption, then some or all of such holder’s shares of Senior Preferred Stock as requested in the holder’s notice to the Corporation, shall thereafter be included in the redemption provided in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To the extent shares of Senior Preferred Stock are excluded from the redemption provided in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such shares shall not be redeemed and shall cease to be redeemable pursuant to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whether on a Redemption Date or thereafter.</w:t>
      </w:r>
    </w:p>
    <w:p>
      <w:pPr>
        <w:spacing w:after="0" w:line="155" w:lineRule="exact"/>
        <w:rPr>
          <w:sz w:val="20"/>
          <w:szCs w:val="20"/>
          <w:color w:val="auto"/>
        </w:rPr>
      </w:pPr>
    </w:p>
    <w:p>
      <w:pPr>
        <w:ind w:right="120" w:firstLine="1107"/>
        <w:spacing w:after="0" w:line="269" w:lineRule="auto"/>
        <w:tabs>
          <w:tab w:leader="none" w:pos="16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If the Corporation for any reason fails to redeem any of the shares of the Senior Preferred Stock in accordance with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on or prior to the Redemption Dates determined in accordance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then the Corporation shall become obligated to pay to the holder of unredeemed shares, in addition to the Redemption Price for such unredeemed shares specified in </w:t>
      </w:r>
      <w:r>
        <w:rPr>
          <w:rFonts w:ascii="Arial" w:cs="Arial" w:eastAsia="Arial" w:hAnsi="Arial"/>
          <w:sz w:val="15"/>
          <w:szCs w:val="15"/>
          <w:u w:val="single" w:color="auto"/>
          <w:color w:val="auto"/>
        </w:rPr>
        <w:t>Section 3.4(a)</w:t>
      </w:r>
      <w:r>
        <w:rPr>
          <w:rFonts w:ascii="Arial" w:cs="Arial" w:eastAsia="Arial" w:hAnsi="Arial"/>
          <w:sz w:val="15"/>
          <w:szCs w:val="15"/>
          <w:color w:val="auto"/>
        </w:rPr>
        <w:t>, interest on the unpaid balance of such Redemption Price, which shall accrue beginning on such Redemption Date, at a rate of one percent (1%) per month until such price is paid in full.</w:t>
      </w:r>
    </w:p>
    <w:p>
      <w:pPr>
        <w:spacing w:after="0" w:line="155" w:lineRule="exact"/>
        <w:rPr>
          <w:rFonts w:ascii="Arial" w:cs="Arial" w:eastAsia="Arial" w:hAnsi="Arial"/>
          <w:sz w:val="15"/>
          <w:szCs w:val="15"/>
          <w:color w:val="auto"/>
        </w:rPr>
      </w:pPr>
    </w:p>
    <w:p>
      <w:pPr>
        <w:ind w:right="40" w:firstLine="1107"/>
        <w:spacing w:after="0" w:line="262" w:lineRule="auto"/>
        <w:tabs>
          <w:tab w:leader="none" w:pos="1677"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If the funds of the Corporation legally available for redemption of the Senior Preferred Stock on any Redemption Date are insufficient to redeem the number of shares of the Senior Preferred Stock required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to be redeemed on such date, those funds which are legally available will be used to redeem the maximum possible number of such shares ratably among the holders of Senior Preferred Stock, and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as between the Series A Preferred, the Series B Preferred, the Series C Preferred, the Series D Preferred and the Series E Preferred, in proportion to the full amount each such holder is otherwise entitled to receive under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on the basis of the number of shares of such series which would be redeemed on such date if the funds of the Corporation legally available therefor had been sufficient to redeem all the shares of such series required to be redeemed on such date. At any time thereafter when additional funds of the Corporation become legally available for the redemption of Senior Preferred Stock, such funds will be used, at the end of the next succeeding fiscal quarter, to redeem the balance of the shares which the Corporation was theretofore obligated to redeem, ratably on the basis set forth in the preceding sentence.</w:t>
      </w:r>
    </w:p>
    <w:p>
      <w:pPr>
        <w:spacing w:after="0" w:line="164" w:lineRule="exact"/>
        <w:rPr>
          <w:rFonts w:ascii="Arial" w:cs="Arial" w:eastAsia="Arial" w:hAnsi="Arial"/>
          <w:sz w:val="15"/>
          <w:szCs w:val="15"/>
          <w:color w:val="auto"/>
        </w:rPr>
      </w:pPr>
    </w:p>
    <w:p>
      <w:pPr>
        <w:ind w:right="100" w:firstLine="1107"/>
        <w:spacing w:after="0" w:line="294" w:lineRule="auto"/>
        <w:tabs>
          <w:tab w:leader="none" w:pos="16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Unless there shall have been a default in payment of the applicable Redemption Price, no share of Senior Preferred Stock elected to be included in the redemption shall be entitled to any Accruing Dividends accruing after or any other dividends declared after its applicable Redemption Date, and on such Redemption Date all rights of the holder of such share as a stockholder of the Corporation by reason of the ownership of such share will cease, except the right to receive the applicable Redemption Price for such share, upon presentation and surrender of the certificate representing such share and such share will not from and after such Redemption Date be deemed to be outstanding.</w:t>
      </w:r>
    </w:p>
    <w:p>
      <w:pPr>
        <w:spacing w:after="0" w:line="139" w:lineRule="exact"/>
        <w:rPr>
          <w:rFonts w:ascii="Arial" w:cs="Arial" w:eastAsia="Arial" w:hAnsi="Arial"/>
          <w:sz w:val="14"/>
          <w:szCs w:val="14"/>
          <w:color w:val="auto"/>
        </w:rPr>
      </w:pPr>
    </w:p>
    <w:p>
      <w:pPr>
        <w:ind w:right="120" w:firstLine="1107"/>
        <w:spacing w:after="0" w:line="269" w:lineRule="auto"/>
        <w:tabs>
          <w:tab w:leader="none" w:pos="167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Notwithstanding the foregoing, for so long as the Corporation is bound by or subject to a loan agreement or similar financing arrangement that has been approved by a majority of the members of the Board of Directors, including a majority of the Preferred Directors (as defined below), and that restricts the ability of the Corporation to redeem shares of Senior Preferred Stock in accordance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the rights of the holders of Senior Preferred Stock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shall be suspended and the Corporation shall not be required to redeem any shares of Senior Preferred Stock.</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00"/>
          </w:cols>
          <w:pgMar w:left="240" w:top="129" w:right="259" w:bottom="259" w:gutter="0" w:footer="0" w:header="0"/>
        </w:sectPr>
      </w:pPr>
    </w:p>
    <w:bookmarkStart w:id="260" w:name="page261"/>
    <w:bookmarkEnd w:id="260"/>
    <w:p>
      <w:pPr>
        <w:ind w:left="547"/>
        <w:spacing w:after="0"/>
        <w:tabs>
          <w:tab w:leader="none" w:pos="1087"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4"/>
          <w:szCs w:val="14"/>
          <w:u w:val="single" w:color="auto"/>
          <w:color w:val="auto"/>
        </w:rPr>
        <w:t>SRN Preferred Redemption.</w:t>
      </w:r>
    </w:p>
    <w:p>
      <w:pPr>
        <w:spacing w:after="0" w:line="199" w:lineRule="exact"/>
        <w:rPr>
          <w:sz w:val="20"/>
          <w:szCs w:val="20"/>
          <w:color w:val="auto"/>
        </w:rPr>
      </w:pPr>
    </w:p>
    <w:p>
      <w:pPr>
        <w:jc w:val="both"/>
        <w:ind w:left="7" w:right="60" w:firstLine="1107"/>
        <w:spacing w:after="0" w:line="302" w:lineRule="auto"/>
        <w:tabs>
          <w:tab w:leader="none" w:pos="1676" w:val="left"/>
        </w:tabs>
        <w:numPr>
          <w:ilvl w:val="1"/>
          <w:numId w:val="171"/>
        </w:numPr>
        <w:rPr>
          <w:rFonts w:ascii="Arial" w:cs="Arial" w:eastAsia="Arial" w:hAnsi="Arial"/>
          <w:sz w:val="13"/>
          <w:szCs w:val="13"/>
          <w:color w:val="auto"/>
        </w:rPr>
      </w:pPr>
      <w:r>
        <w:rPr>
          <w:rFonts w:ascii="Arial" w:cs="Arial" w:eastAsia="Arial" w:hAnsi="Arial"/>
          <w:sz w:val="13"/>
          <w:szCs w:val="13"/>
          <w:color w:val="auto"/>
        </w:rPr>
        <w:t>With respect to each holder of shares of Series SRN Preferred, the shares of Series SRN Preferred held by such holder shall be redeemed by the Corporation out of funds lawfully available therefor, only if and to the extent that the Corporation has sufficient cash from earnings immediately available to fund such redemption, at a price equal to the applicable SRN Redemption Price (as defined below), in one (1) payment to be paid not more than thirty (30) days after receipt by the Corporation after November 7, 2019, from such holder of written notice requesting redemption of all shares of Series SRN Preferred held by such holder (such notice, a “</w:t>
      </w:r>
      <w:r>
        <w:rPr>
          <w:rFonts w:ascii="Arial" w:cs="Arial" w:eastAsia="Arial" w:hAnsi="Arial"/>
          <w:sz w:val="13"/>
          <w:szCs w:val="13"/>
          <w:u w:val="single" w:color="auto"/>
          <w:color w:val="auto"/>
        </w:rPr>
        <w:t>SRN Redemption Request</w:t>
      </w:r>
      <w:r>
        <w:rPr>
          <w:rFonts w:ascii="Arial" w:cs="Arial" w:eastAsia="Arial" w:hAnsi="Arial"/>
          <w:sz w:val="13"/>
          <w:szCs w:val="13"/>
          <w:color w:val="auto"/>
        </w:rPr>
        <w:t>”). The date which is thirty</w:t>
      </w:r>
    </w:p>
    <w:p>
      <w:pPr>
        <w:ind w:left="7" w:right="80" w:hanging="7"/>
        <w:spacing w:after="0" w:line="261" w:lineRule="auto"/>
        <w:tabs>
          <w:tab w:leader="none" w:pos="30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days after receipt of any such request shall be referred to as the “</w:t>
      </w:r>
      <w:r>
        <w:rPr>
          <w:rFonts w:ascii="Arial" w:cs="Arial" w:eastAsia="Arial" w:hAnsi="Arial"/>
          <w:sz w:val="15"/>
          <w:szCs w:val="15"/>
          <w:u w:val="single" w:color="auto"/>
          <w:color w:val="auto"/>
        </w:rPr>
        <w:t>SRN Redemption Request Date</w:t>
      </w:r>
      <w:r>
        <w:rPr>
          <w:rFonts w:ascii="Arial" w:cs="Arial" w:eastAsia="Arial" w:hAnsi="Arial"/>
          <w:sz w:val="15"/>
          <w:szCs w:val="15"/>
          <w:color w:val="auto"/>
        </w:rPr>
        <w:t>”, and the date of such payment shall be referred to as the “</w:t>
      </w:r>
      <w:r>
        <w:rPr>
          <w:rFonts w:ascii="Arial" w:cs="Arial" w:eastAsia="Arial" w:hAnsi="Arial"/>
          <w:sz w:val="15"/>
          <w:szCs w:val="15"/>
          <w:u w:val="single" w:color="auto"/>
          <w:color w:val="auto"/>
        </w:rPr>
        <w:t>SRN Redemption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The “</w:t>
      </w:r>
      <w:r>
        <w:rPr>
          <w:rFonts w:ascii="Arial" w:cs="Arial" w:eastAsia="Arial" w:hAnsi="Arial"/>
          <w:sz w:val="15"/>
          <w:szCs w:val="15"/>
          <w:u w:val="single" w:color="auto"/>
          <w:color w:val="auto"/>
        </w:rPr>
        <w:t>SRN Redemption Price</w:t>
      </w:r>
      <w:r>
        <w:rPr>
          <w:rFonts w:ascii="Arial" w:cs="Arial" w:eastAsia="Arial" w:hAnsi="Arial"/>
          <w:sz w:val="15"/>
          <w:szCs w:val="15"/>
          <w:color w:val="auto"/>
        </w:rPr>
        <w:t>” shall equal an amount per share such that, when paid in full, the holder thereof shall have achieved on the SRN Redemption Date (as defined below) a sixteen and one half percent (16.5%) internal rate of return on the Original Issue Price of the Series SRN Preferred since the date of original issuance of such share of Series SRN Preferred. For purposes hereof, “internal rate of return” means the discount rate at which the net present value of the Original Issue Price of the Series SRN Preferred is equal to the net present value of the SRN Redemption Price and all dividends paid with respect to a share of Series SRN Preferred from the original date of issuance. Internal rate of return shall be calculated using the XIRR function in the most recent version of Microsoft Excel (or if such program is no longer available, such other software program for calculating IRR reasonably proposed by the Corporation).</w:t>
      </w:r>
    </w:p>
    <w:p>
      <w:pPr>
        <w:spacing w:after="0" w:line="162" w:lineRule="exact"/>
        <w:rPr>
          <w:rFonts w:ascii="Arial" w:cs="Arial" w:eastAsia="Arial" w:hAnsi="Arial"/>
          <w:sz w:val="15"/>
          <w:szCs w:val="15"/>
          <w:color w:val="auto"/>
        </w:rPr>
      </w:pPr>
    </w:p>
    <w:p>
      <w:pPr>
        <w:ind w:left="7" w:right="140" w:firstLine="1107"/>
        <w:spacing w:after="0" w:line="274" w:lineRule="auto"/>
        <w:tabs>
          <w:tab w:leader="none" w:pos="1684" w:val="left"/>
        </w:tabs>
        <w:numPr>
          <w:ilvl w:val="1"/>
          <w:numId w:val="172"/>
        </w:numPr>
        <w:rPr>
          <w:rFonts w:ascii="Arial" w:cs="Arial" w:eastAsia="Arial" w:hAnsi="Arial"/>
          <w:sz w:val="15"/>
          <w:szCs w:val="15"/>
          <w:color w:val="auto"/>
        </w:rPr>
      </w:pPr>
      <w:r>
        <w:rPr>
          <w:rFonts w:ascii="Arial" w:cs="Arial" w:eastAsia="Arial" w:hAnsi="Arial"/>
          <w:sz w:val="15"/>
          <w:szCs w:val="15"/>
          <w:color w:val="auto"/>
        </w:rPr>
        <w:t>Prior to the close of business on the next business day following the day on which the Corporation receives any SRN Redemption Request, the Corporation shall mail, first class postage prepaid, written notice to each holder of record of Senior Preferred Stock, at the address last shown on the records of the Corporation for such holder, notifying such holder of the redemption of such Series SRN Preferred shares to be effected on the applicable SRN Redemption Date.</w:t>
      </w:r>
    </w:p>
    <w:p>
      <w:pPr>
        <w:spacing w:after="0" w:line="151" w:lineRule="exact"/>
        <w:rPr>
          <w:rFonts w:ascii="Arial" w:cs="Arial" w:eastAsia="Arial" w:hAnsi="Arial"/>
          <w:sz w:val="15"/>
          <w:szCs w:val="15"/>
          <w:color w:val="auto"/>
        </w:rPr>
      </w:pPr>
    </w:p>
    <w:p>
      <w:pPr>
        <w:ind w:left="7" w:right="80" w:firstLine="1107"/>
        <w:spacing w:after="0" w:line="285" w:lineRule="auto"/>
        <w:tabs>
          <w:tab w:leader="none" w:pos="1687" w:val="left"/>
        </w:tabs>
        <w:numPr>
          <w:ilvl w:val="1"/>
          <w:numId w:val="172"/>
        </w:numPr>
        <w:rPr>
          <w:rFonts w:ascii="Arial" w:cs="Arial" w:eastAsia="Arial" w:hAnsi="Arial"/>
          <w:sz w:val="14"/>
          <w:szCs w:val="14"/>
          <w:color w:val="auto"/>
        </w:rPr>
      </w:pPr>
      <w:r>
        <w:rPr>
          <w:rFonts w:ascii="Arial" w:cs="Arial" w:eastAsia="Arial" w:hAnsi="Arial"/>
          <w:sz w:val="14"/>
          <w:szCs w:val="14"/>
          <w:color w:val="auto"/>
        </w:rPr>
        <w:t xml:space="preserve">If the funds of the Corporation lawfully available or immediately available from earnings for redemption of the Series SRN Preferred on the respective SRN Redemption Request Date are insufficient to redeem the total number of shares of Series SRN Preferred required under this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to be redeemed on such date, the Corporation shall, as payment of the SRN Redemption Price for all such unredeemed shares, issue a promissory note (an “</w:t>
      </w:r>
      <w:r>
        <w:rPr>
          <w:rFonts w:ascii="Arial" w:cs="Arial" w:eastAsia="Arial" w:hAnsi="Arial"/>
          <w:sz w:val="14"/>
          <w:szCs w:val="14"/>
          <w:u w:val="single" w:color="auto"/>
          <w:color w:val="auto"/>
        </w:rPr>
        <w:t>SRN Redemption Note</w:t>
      </w:r>
      <w:r>
        <w:rPr>
          <w:rFonts w:ascii="Arial" w:cs="Arial" w:eastAsia="Arial" w:hAnsi="Arial"/>
          <w:sz w:val="14"/>
          <w:szCs w:val="14"/>
          <w:color w:val="auto"/>
        </w:rPr>
        <w:t xml:space="preserve">”) in favor of each holder of such shares for an amount equal to the SRN Redemption Price of all such shares held by such holder, the term of which SRN Redemption Note shall not exceed a period of two (2) years, and which will contemplate a payment schedule to be agreed upon among the Corporation and such holders, which will reflect that such SRN Redemption Note shall accrue interest such that the holder thereof shall achieve, on the date of payment in full, a sixteen and one half percent (16.5%) internal rate of return on the Original Issue Price of such shares of Series SRN Preferred since the date of original issuance of such shares of Series SRN Preferred as provided in </w:t>
      </w:r>
      <w:r>
        <w:rPr>
          <w:rFonts w:ascii="Arial" w:cs="Arial" w:eastAsia="Arial" w:hAnsi="Arial"/>
          <w:sz w:val="14"/>
          <w:szCs w:val="14"/>
          <w:u w:val="single" w:color="auto"/>
          <w:color w:val="auto"/>
        </w:rPr>
        <w:t>Section 3.5(a)</w:t>
      </w:r>
      <w:r>
        <w:rPr>
          <w:rFonts w:ascii="Arial" w:cs="Arial" w:eastAsia="Arial" w:hAnsi="Arial"/>
          <w:sz w:val="14"/>
          <w:szCs w:val="14"/>
          <w:color w:val="auto"/>
        </w:rPr>
        <w:t xml:space="preserve"> above.</w:t>
      </w:r>
    </w:p>
    <w:p>
      <w:pPr>
        <w:spacing w:after="0" w:line="147" w:lineRule="exact"/>
        <w:rPr>
          <w:rFonts w:ascii="Arial" w:cs="Arial" w:eastAsia="Arial" w:hAnsi="Arial"/>
          <w:sz w:val="14"/>
          <w:szCs w:val="14"/>
          <w:color w:val="auto"/>
        </w:rPr>
      </w:pPr>
    </w:p>
    <w:p>
      <w:pPr>
        <w:ind w:left="7" w:right="480" w:firstLine="1107"/>
        <w:spacing w:after="0" w:line="290" w:lineRule="auto"/>
        <w:tabs>
          <w:tab w:leader="none" w:pos="1684" w:val="left"/>
        </w:tabs>
        <w:numPr>
          <w:ilvl w:val="1"/>
          <w:numId w:val="172"/>
        </w:numPr>
        <w:rPr>
          <w:rFonts w:ascii="Arial" w:cs="Arial" w:eastAsia="Arial" w:hAnsi="Arial"/>
          <w:sz w:val="15"/>
          <w:szCs w:val="15"/>
          <w:color w:val="auto"/>
        </w:rPr>
      </w:pPr>
      <w:r>
        <w:rPr>
          <w:rFonts w:ascii="Arial" w:cs="Arial" w:eastAsia="Arial" w:hAnsi="Arial"/>
          <w:sz w:val="15"/>
          <w:szCs w:val="15"/>
          <w:color w:val="auto"/>
        </w:rPr>
        <w:t xml:space="preserve">Unless there is a default in the payment of the applicable Series SRN Redemption Price on the respective SRN Redemption Request Date, no share of Series SRN Preferred to be redeemed pursuant to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on such date shall be entitled to any</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120"/>
        <w:spacing w:after="0" w:line="274" w:lineRule="auto"/>
        <w:rPr>
          <w:sz w:val="20"/>
          <w:szCs w:val="20"/>
          <w:color w:val="auto"/>
        </w:rPr>
      </w:pPr>
      <w:r>
        <w:rPr>
          <w:rFonts w:ascii="Arial" w:cs="Arial" w:eastAsia="Arial" w:hAnsi="Arial"/>
          <w:sz w:val="15"/>
          <w:szCs w:val="15"/>
          <w:color w:val="auto"/>
        </w:rPr>
        <w:t>dividends declared after such SRN Redemption Request Date, and on such SRN Redemption Request Date all rights of the holder of such share as a stockholder of the Corporation by reason of the ownership of such share will cease, except the right to receive the applicable SRN Redemption Price for such share, upon presentation and surrender of the certificate representing such share and such share will not from and after such SRN Redemption Date be deemed to be outstanding.</w:t>
      </w:r>
    </w:p>
    <w:p>
      <w:pPr>
        <w:spacing w:after="0" w:line="152" w:lineRule="exact"/>
        <w:rPr>
          <w:sz w:val="20"/>
          <w:szCs w:val="20"/>
          <w:color w:val="auto"/>
        </w:rPr>
      </w:pPr>
    </w:p>
    <w:p>
      <w:pPr>
        <w:ind w:left="7" w:right="120" w:firstLine="1107"/>
        <w:spacing w:after="0" w:line="294" w:lineRule="auto"/>
        <w:tabs>
          <w:tab w:leader="none" w:pos="1687"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If at any time while the SRN Redemption Notes are outstanding the Corporation is required to pay, but has not yet paid the Redemption Price pursuant to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then any payment made by the Corporation to the holders of Senior Preferred Stock on account of the Redemption Price, or to the holders of an SRN Redemption Note on account thereof, shall be paid ratably among the holders of the Senior Preferred Stock and holders of the SRN Redemption Notes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in proportion to the amounts such holders are entitled to receive pursuant to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and the amounts of the SRN Redemption Notes issued pursuant to </w:t>
      </w:r>
      <w:r>
        <w:rPr>
          <w:rFonts w:ascii="Arial" w:cs="Arial" w:eastAsia="Arial" w:hAnsi="Arial"/>
          <w:sz w:val="14"/>
          <w:szCs w:val="14"/>
          <w:u w:val="single" w:color="auto"/>
          <w:color w:val="auto"/>
        </w:rPr>
        <w:t>Section 3.5</w:t>
      </w:r>
      <w:r>
        <w:rPr>
          <w:rFonts w:ascii="Arial" w:cs="Arial" w:eastAsia="Arial" w:hAnsi="Arial"/>
          <w:sz w:val="14"/>
          <w:szCs w:val="14"/>
          <w:color w:val="auto"/>
        </w:rPr>
        <w:t>, respectively</w:t>
      </w:r>
    </w:p>
    <w:p>
      <w:pPr>
        <w:spacing w:after="0" w:line="139" w:lineRule="exact"/>
        <w:rPr>
          <w:rFonts w:ascii="Arial" w:cs="Arial" w:eastAsia="Arial" w:hAnsi="Arial"/>
          <w:sz w:val="14"/>
          <w:szCs w:val="14"/>
          <w:color w:val="auto"/>
        </w:rPr>
      </w:pPr>
    </w:p>
    <w:p>
      <w:pPr>
        <w:ind w:left="7" w:right="240" w:firstLine="1107"/>
        <w:spacing w:after="0" w:line="269" w:lineRule="auto"/>
        <w:tabs>
          <w:tab w:leader="none" w:pos="168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Notwithstanding the foregoing, for so long as the Corporation is bound by or subject to a loan agreement or similar financing arrangement that has been approved by a majority of the members of the Board of Directors, including a majority of the Preferred Directors, and that restricts the ability of the Corporation to redeem shares of SRN Preferred Stock in accordance with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the rights of the holders of SRN Preferred Stock under this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shall be suspended and the Corporation shall not be required to redeem any shares of SRN Preferred Stock.</w:t>
      </w:r>
    </w:p>
    <w:p>
      <w:pPr>
        <w:spacing w:after="0" w:line="155"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4"/>
          <w:szCs w:val="14"/>
          <w:u w:val="single" w:color="auto"/>
          <w:color w:val="auto"/>
        </w:rPr>
        <w:t>Voting Rights.</w:t>
      </w:r>
    </w:p>
    <w:p>
      <w:pPr>
        <w:spacing w:after="0" w:line="199" w:lineRule="exact"/>
        <w:rPr>
          <w:sz w:val="20"/>
          <w:szCs w:val="20"/>
          <w:color w:val="auto"/>
        </w:rPr>
      </w:pPr>
    </w:p>
    <w:p>
      <w:pPr>
        <w:ind w:left="7" w:right="20" w:firstLine="1107"/>
        <w:spacing w:after="0" w:line="285" w:lineRule="auto"/>
        <w:tabs>
          <w:tab w:leader="none" w:pos="167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 xml:space="preserve">The holders of shares of Senior Preferred Stock shall be entitled to notice of any stockholders’ meeting and to vote upon any matter submitted to a stockholder for a vote, as though the Common Stock and Senior Preferred Stock constituted a single class of stock, except with respect to those matters on which the General Corporation Law requires that a vote must be by a separate class or classes or by separate series, as to which each such class or series shall have the right to vote in accordance with such law, and except as otherwise provided in this Certificate, including without limitation </w:t>
      </w:r>
      <w:r>
        <w:rPr>
          <w:rFonts w:ascii="Arial" w:cs="Arial" w:eastAsia="Arial" w:hAnsi="Arial"/>
          <w:sz w:val="14"/>
          <w:szCs w:val="14"/>
          <w:u w:val="single" w:color="auto"/>
          <w:color w:val="auto"/>
        </w:rPr>
        <w:t>Sections 3.6(b)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below. Holders of Senior Preferred Stock shall have that number of votes per share as is equal to the number of shares of Common Stock into which each such share of Senior Preferred Stock held by such holder is then convertible (based on the Conversion Price in effect at such time and, in the case of the Series E Preferred, disregarding the special conversion ratios set forth in </w:t>
      </w:r>
      <w:r>
        <w:rPr>
          <w:rFonts w:ascii="Arial" w:cs="Arial" w:eastAsia="Arial" w:hAnsi="Arial"/>
          <w:sz w:val="14"/>
          <w:szCs w:val="14"/>
          <w:u w:val="single" w:color="auto"/>
          <w:color w:val="auto"/>
        </w:rPr>
        <w:t>Subsections 3.3(a)(i)(1)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3.3(b)(i)(2)</w:t>
      </w:r>
      <w:r>
        <w:rPr>
          <w:rFonts w:ascii="Arial" w:cs="Arial" w:eastAsia="Arial" w:hAnsi="Arial"/>
          <w:sz w:val="14"/>
          <w:szCs w:val="14"/>
          <w:color w:val="auto"/>
        </w:rPr>
        <w:t xml:space="preserve">). Except as otherwise required by law or as provided in </w:t>
      </w:r>
      <w:r>
        <w:rPr>
          <w:rFonts w:ascii="Arial" w:cs="Arial" w:eastAsia="Arial" w:hAnsi="Arial"/>
          <w:sz w:val="14"/>
          <w:szCs w:val="14"/>
          <w:u w:val="single" w:color="auto"/>
          <w:color w:val="auto"/>
        </w:rPr>
        <w:t>Section 3.3(d)(vii)</w:t>
      </w:r>
      <w:r>
        <w:rPr>
          <w:rFonts w:ascii="Arial" w:cs="Arial" w:eastAsia="Arial" w:hAnsi="Arial"/>
          <w:sz w:val="14"/>
          <w:szCs w:val="14"/>
          <w:color w:val="auto"/>
        </w:rPr>
        <w:t>, the holders of Series SRN Preferred shall not be entitled to vote on any matter submitted to a stockholder for a vote.</w:t>
      </w:r>
    </w:p>
    <w:p>
      <w:pPr>
        <w:spacing w:after="0" w:line="147" w:lineRule="exact"/>
        <w:rPr>
          <w:rFonts w:ascii="Arial" w:cs="Arial" w:eastAsia="Arial" w:hAnsi="Arial"/>
          <w:sz w:val="14"/>
          <w:szCs w:val="14"/>
          <w:color w:val="auto"/>
        </w:rPr>
      </w:pPr>
    </w:p>
    <w:p>
      <w:pPr>
        <w:ind w:left="7" w:right="200" w:firstLine="1107"/>
        <w:spacing w:after="0" w:line="274" w:lineRule="auto"/>
        <w:tabs>
          <w:tab w:leader="none" w:pos="168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Any provision of the Bylaws of the Corporation to the contrary notwithstanding, the number of directors constituting the entire Board of Directors of the Corporation shall be fixed at eleven (11) and may not be increased without the prior consent of the holders of shares of Senior Preferred Stock representing at least sixty-six and two-thirds percent (66 2/3%) of the votes represented by all outstanding shares of Senior Preferred Stock voting together as a single class.</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9" w:lineRule="exact"/>
        <w:rPr>
          <w:sz w:val="20"/>
          <w:szCs w:val="20"/>
          <w:color w:val="auto"/>
        </w:rPr>
      </w:pPr>
    </w:p>
    <w:p>
      <w:pPr>
        <w:ind w:left="7" w:firstLine="1107"/>
        <w:spacing w:after="0" w:line="285" w:lineRule="auto"/>
        <w:tabs>
          <w:tab w:leader="none" w:pos="168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At all times during which shares of Senior Preferred Stock remain outstanding, the holders of the outstanding shares of Senior Preferred Stock shall have the exclusive right, separately from the Common Stock, to elect five (5) directors of the Corporation (collectively, the “</w:t>
      </w:r>
      <w:r>
        <w:rPr>
          <w:rFonts w:ascii="Arial" w:cs="Arial" w:eastAsia="Arial" w:hAnsi="Arial"/>
          <w:sz w:val="14"/>
          <w:szCs w:val="14"/>
          <w:u w:val="single" w:color="auto"/>
          <w:color w:val="auto"/>
        </w:rPr>
        <w:t>Preferred Directors</w:t>
      </w:r>
      <w:r>
        <w:rPr>
          <w:rFonts w:ascii="Arial" w:cs="Arial" w:eastAsia="Arial" w:hAnsi="Arial"/>
          <w:sz w:val="14"/>
          <w:szCs w:val="14"/>
          <w:color w:val="auto"/>
        </w:rPr>
        <w:t>”). Each Preferred Director shall be elected by the vote or written consent of the holders of shares of Senior Preferred Stock representing at least sixty-six and two-thirds percent (66 2/3%) of the votes represented by all outstanding shares of Senior Preferred Stock voting together as a single class. If any Preferred Director shall cease to serve as a director for any reason, another director elected by the holders of the Senior Preferred Stock shall replace such director. Any Preferred Director may be removed, with or without cause, and a replacement Preferred Director may be elected in his or her stead, at any time by the affirmative vote at a meeting of stockholders called for such purpose, or by written consent, of the holders of shares of Senior Preferred Stock representing at least sixty-six and two-thirds percent (66 2/3%) of the votes represented by all outstanding shares of Senior Preferred Stock voting together as a single class.</w:t>
      </w:r>
    </w:p>
    <w:p>
      <w:pPr>
        <w:spacing w:after="0" w:line="147" w:lineRule="exact"/>
        <w:rPr>
          <w:rFonts w:ascii="Arial" w:cs="Arial" w:eastAsia="Arial" w:hAnsi="Arial"/>
          <w:sz w:val="14"/>
          <w:szCs w:val="14"/>
          <w:color w:val="auto"/>
        </w:rPr>
      </w:pPr>
    </w:p>
    <w:p>
      <w:pPr>
        <w:ind w:left="7" w:right="140" w:firstLine="1107"/>
        <w:spacing w:after="0" w:line="290" w:lineRule="auto"/>
        <w:tabs>
          <w:tab w:leader="none" w:pos="168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holders of Senior Preferred Stock and the holders of Common Stock shall be entitled to vote upon the election of directors in accordance with the Fifth Amended and Restated Voting Agreement dated as of August 27, 2015, as it may be amended and/or restated from time to time.</w:t>
      </w:r>
    </w:p>
    <w:p>
      <w:pPr>
        <w:spacing w:after="0" w:line="140"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3.7</w:t>
      </w:r>
      <w:r>
        <w:rPr>
          <w:sz w:val="20"/>
          <w:szCs w:val="20"/>
          <w:color w:val="auto"/>
        </w:rPr>
        <w:tab/>
      </w:r>
      <w:r>
        <w:rPr>
          <w:rFonts w:ascii="Arial" w:cs="Arial" w:eastAsia="Arial" w:hAnsi="Arial"/>
          <w:sz w:val="14"/>
          <w:szCs w:val="14"/>
          <w:u w:val="single" w:color="auto"/>
          <w:color w:val="auto"/>
        </w:rPr>
        <w:t>Dividend Right.</w:t>
      </w:r>
    </w:p>
    <w:p>
      <w:pPr>
        <w:spacing w:after="0" w:line="199" w:lineRule="exact"/>
        <w:rPr>
          <w:sz w:val="20"/>
          <w:szCs w:val="20"/>
          <w:color w:val="auto"/>
        </w:rPr>
      </w:pPr>
    </w:p>
    <w:p>
      <w:pPr>
        <w:ind w:left="1667" w:hanging="553"/>
        <w:spacing w:after="0"/>
        <w:tabs>
          <w:tab w:leader="none" w:pos="1667" w:val="left"/>
        </w:tabs>
        <w:numPr>
          <w:ilvl w:val="1"/>
          <w:numId w:val="176"/>
        </w:numPr>
        <w:rPr>
          <w:rFonts w:ascii="Arial" w:cs="Arial" w:eastAsia="Arial" w:hAnsi="Arial"/>
          <w:sz w:val="15"/>
          <w:szCs w:val="15"/>
          <w:color w:val="auto"/>
        </w:rPr>
      </w:pPr>
      <w:r>
        <w:rPr>
          <w:rFonts w:ascii="Arial" w:cs="Arial" w:eastAsia="Arial" w:hAnsi="Arial"/>
          <w:sz w:val="15"/>
          <w:szCs w:val="15"/>
          <w:color w:val="auto"/>
        </w:rPr>
        <w:t>The holders of outstanding Senior Preferred Stock shall be entitled to receive cumulative dividends (the “</w:t>
      </w:r>
      <w:r>
        <w:rPr>
          <w:rFonts w:ascii="Arial" w:cs="Arial" w:eastAsia="Arial" w:hAnsi="Arial"/>
          <w:sz w:val="15"/>
          <w:szCs w:val="15"/>
          <w:u w:val="single" w:color="auto"/>
          <w:color w:val="auto"/>
        </w:rPr>
        <w:t>Accruing Dividends</w:t>
      </w:r>
      <w:r>
        <w:rPr>
          <w:rFonts w:ascii="Arial" w:cs="Arial" w:eastAsia="Arial" w:hAnsi="Arial"/>
          <w:sz w:val="15"/>
          <w:szCs w:val="15"/>
          <w:color w:val="auto"/>
        </w:rPr>
        <w:t>”) at an annual rate of</w:t>
      </w:r>
    </w:p>
    <w:p>
      <w:pPr>
        <w:spacing w:after="0" w:line="23" w:lineRule="exact"/>
        <w:rPr>
          <w:rFonts w:ascii="Arial" w:cs="Arial" w:eastAsia="Arial" w:hAnsi="Arial"/>
          <w:sz w:val="15"/>
          <w:szCs w:val="15"/>
          <w:color w:val="auto"/>
        </w:rPr>
      </w:pPr>
    </w:p>
    <w:p>
      <w:pPr>
        <w:ind w:left="7" w:hanging="7"/>
        <w:spacing w:after="0" w:line="298" w:lineRule="auto"/>
        <w:tabs>
          <w:tab w:leader="none" w:pos="192" w:val="left"/>
        </w:tabs>
        <w:numPr>
          <w:ilvl w:val="0"/>
          <w:numId w:val="177"/>
        </w:numPr>
        <w:rPr>
          <w:rFonts w:ascii="Arial" w:cs="Arial" w:eastAsia="Arial" w:hAnsi="Arial"/>
          <w:sz w:val="13"/>
          <w:szCs w:val="13"/>
          <w:color w:val="auto"/>
        </w:rPr>
      </w:pPr>
      <w:r>
        <w:rPr>
          <w:rFonts w:ascii="Arial" w:cs="Arial" w:eastAsia="Arial" w:hAnsi="Arial"/>
          <w:sz w:val="13"/>
          <w:szCs w:val="13"/>
          <w:color w:val="auto"/>
        </w:rPr>
        <w:t>$0.0579 per share of Series A Preferred (as appropriately adjusted for any recapitalizations, stock combinations, stock dividends, stock splits and the like with respect to the Series A Preferred), (ii) $0.1218 per share of Series B Preferred (as appropriately adjusted for any recapitalizations, stock combinations, stock dividends, stock splits and the like with respect to the Series B Preferred), (iii) $0.18 per share of Series C Preferred (as appropriately adjusted for any recapitalizations, stock combinations, stock dividends, stock splits and the like with respect to the Series C Preferred), (iv) $0.27 per share of Series D Preferred (as appropriately adjusted for any recapitalizations, stock combinations, stock dividends, stock splits and the like with respect to the Series D Preferred), and (v) $0.27 per share of Series E Preferred (as appropriately adjusted for any recapitalizations, stock combinations, stock dividends, stock splits and the like with respect to the Series E Preferred), which dividends shall accrue daily in arrears, whether or not such dividends are declared by the Board of Directors or paid.</w:t>
      </w:r>
    </w:p>
    <w:p>
      <w:pPr>
        <w:ind w:left="7" w:right="100"/>
        <w:spacing w:after="0" w:line="264" w:lineRule="auto"/>
        <w:rPr>
          <w:rFonts w:ascii="Arial" w:cs="Arial" w:eastAsia="Arial" w:hAnsi="Arial"/>
          <w:sz w:val="13"/>
          <w:szCs w:val="13"/>
          <w:color w:val="auto"/>
        </w:rPr>
      </w:pPr>
      <w:r>
        <w:rPr>
          <w:rFonts w:ascii="Arial" w:cs="Arial" w:eastAsia="Arial" w:hAnsi="Arial"/>
          <w:sz w:val="15"/>
          <w:szCs w:val="15"/>
          <w:color w:val="auto"/>
        </w:rPr>
        <w:t>The Accruing Dividends shall be payable when, as and if declared by the Board of Directors, out of any funds legally available therefor and prior and in preference to dividends to any other holder of capital stock of the Corporation. The Accruing Dividends owed to the holders of one series of Senior Preferred Stock shall not be paid unless the Accruing Dividends owed to the holders of the other series of Senior Preferred Stock are paid simultaneously therewith in proportion to the full amount of Accruing Dividends then owed. For the avoidance of doubt, Accruing Dividends shall cease to accrue upon the consummation of a Deemed Liquidation Event.</w:t>
      </w:r>
    </w:p>
    <w:p>
      <w:pPr>
        <w:sectPr>
          <w:pgSz w:w="11900" w:h="16838" w:orient="portrait"/>
          <w:cols w:equalWidth="0" w:num="1">
            <w:col w:w="11427"/>
          </w:cols>
          <w:pgMar w:left="233" w:top="129" w:right="239" w:bottom="0" w:gutter="0" w:footer="0" w:header="0"/>
        </w:sectPr>
      </w:pPr>
    </w:p>
    <w:bookmarkStart w:id="261" w:name="page262"/>
    <w:bookmarkEnd w:id="261"/>
    <w:p>
      <w:pPr>
        <w:ind w:right="240" w:firstLine="1107"/>
        <w:spacing w:after="0" w:line="290" w:lineRule="auto"/>
        <w:tabs>
          <w:tab w:leader="none" w:pos="1677"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holders of outstanding Preferred Stock shall be entitled to receive a dividend (determined on the basis of the number of shares of Common Stock into which such share of Preferred Stock is then convertible, disregarding, with respect to the Series E Preferred,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 xml:space="preserve">the special conversion ratios set forth in </w:t>
      </w:r>
      <w:r>
        <w:rPr>
          <w:rFonts w:ascii="Arial" w:cs="Arial" w:eastAsia="Arial" w:hAnsi="Arial"/>
          <w:sz w:val="15"/>
          <w:szCs w:val="15"/>
          <w:u w:val="single" w:color="auto"/>
          <w:color w:val="auto"/>
        </w:rPr>
        <w:t>Subsections 3.3(a)(i)(1)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3.3(b)(i)(2)</w:t>
      </w:r>
      <w:r>
        <w:rPr>
          <w:rFonts w:ascii="Arial" w:cs="Arial" w:eastAsia="Arial" w:hAnsi="Arial"/>
          <w:sz w:val="15"/>
          <w:szCs w:val="15"/>
          <w:color w:val="auto"/>
        </w:rPr>
        <w:t xml:space="preserve">) equal to any dividend paid on Common Stock, other than dividends comprised solely of shares of Common Stock. Any Accruing Dividends, whether or not declared, and any other declared but unpaid dividend shall be payable on liquidation and redemption in accordance with </w:t>
      </w:r>
      <w:r>
        <w:rPr>
          <w:rFonts w:ascii="Arial" w:cs="Arial" w:eastAsia="Arial" w:hAnsi="Arial"/>
          <w:sz w:val="15"/>
          <w:szCs w:val="15"/>
          <w:u w:val="single" w:color="auto"/>
          <w:color w:val="auto"/>
        </w:rPr>
        <w:t>Sections 3.2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Any declared but unpaid dividend, other than the Accruing Dividends (which for the avoidance of doubt shall be cancelled without payment on conversion), shall be payable on conversion in accordance with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55" w:lineRule="exact"/>
        <w:rPr>
          <w:sz w:val="20"/>
          <w:szCs w:val="20"/>
          <w:color w:val="auto"/>
        </w:rPr>
      </w:pPr>
    </w:p>
    <w:p>
      <w:pPr>
        <w:ind w:firstLine="557"/>
        <w:spacing w:after="0" w:line="290"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Covenants</w:t>
      </w:r>
      <w:r>
        <w:rPr>
          <w:rFonts w:ascii="Arial" w:cs="Arial" w:eastAsia="Arial" w:hAnsi="Arial"/>
          <w:sz w:val="15"/>
          <w:szCs w:val="15"/>
          <w:color w:val="auto"/>
        </w:rPr>
        <w:t xml:space="preserve">. In addition to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any vote which any series of Senior Preferred Stock may have under Delaware law, so long as any shares of Senior Preferred Stock shall be outstanding, the Corporation shall not (by merger, reclassification or otherwise):</w:t>
      </w:r>
    </w:p>
    <w:p>
      <w:pPr>
        <w:spacing w:after="0" w:line="140" w:lineRule="exact"/>
        <w:rPr>
          <w:sz w:val="20"/>
          <w:szCs w:val="20"/>
          <w:color w:val="auto"/>
        </w:rPr>
      </w:pPr>
    </w:p>
    <w:p>
      <w:pPr>
        <w:ind w:right="100" w:firstLine="1107"/>
        <w:spacing w:after="0" w:line="290" w:lineRule="auto"/>
        <w:tabs>
          <w:tab w:leader="none" w:pos="1669" w:val="left"/>
        </w:tabs>
        <w:numPr>
          <w:ilvl w:val="0"/>
          <w:numId w:val="179"/>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Senior Preferred Stock representing at least sixty-six and two-thirds percent (66 2/3%) of the votes represented by all outstanding shares of Senior Preferred Stock voting together as a single class:</w:t>
      </w:r>
    </w:p>
    <w:p>
      <w:pPr>
        <w:spacing w:after="0" w:line="140" w:lineRule="exact"/>
        <w:rPr>
          <w:rFonts w:ascii="Arial" w:cs="Arial" w:eastAsia="Arial" w:hAnsi="Arial"/>
          <w:sz w:val="15"/>
          <w:szCs w:val="15"/>
          <w:color w:val="auto"/>
        </w:rPr>
      </w:pPr>
    </w:p>
    <w:p>
      <w:pPr>
        <w:ind w:right="180" w:firstLine="1664"/>
        <w:spacing w:after="0" w:line="290" w:lineRule="auto"/>
        <w:tabs>
          <w:tab w:leader="none" w:pos="2246" w:val="left"/>
        </w:tabs>
        <w:numPr>
          <w:ilvl w:val="1"/>
          <w:numId w:val="179"/>
        </w:numPr>
        <w:rPr>
          <w:rFonts w:ascii="Arial" w:cs="Arial" w:eastAsia="Arial" w:hAnsi="Arial"/>
          <w:sz w:val="15"/>
          <w:szCs w:val="15"/>
          <w:color w:val="auto"/>
        </w:rPr>
      </w:pPr>
      <w:r>
        <w:rPr>
          <w:rFonts w:ascii="Arial" w:cs="Arial" w:eastAsia="Arial" w:hAnsi="Arial"/>
          <w:sz w:val="15"/>
          <w:szCs w:val="15"/>
          <w:color w:val="auto"/>
        </w:rPr>
        <w:t>authorize any sale, merger or consolidation of the Corporation or any subsidiary of the Corporation to, with or into any other corporation or entity (including, without limitation, a subsidiary of the Corporation);</w:t>
      </w:r>
    </w:p>
    <w:p>
      <w:pPr>
        <w:spacing w:after="0" w:line="140" w:lineRule="exact"/>
        <w:rPr>
          <w:rFonts w:ascii="Arial" w:cs="Arial" w:eastAsia="Arial" w:hAnsi="Arial"/>
          <w:sz w:val="15"/>
          <w:szCs w:val="15"/>
          <w:color w:val="auto"/>
        </w:rPr>
      </w:pPr>
    </w:p>
    <w:p>
      <w:pPr>
        <w:ind w:left="2240" w:hanging="576"/>
        <w:spacing w:after="0"/>
        <w:tabs>
          <w:tab w:leader="none" w:pos="224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effect any reincorporation or recapitalization of the Corporation or any subsidiary of the Corporation;</w:t>
      </w:r>
    </w:p>
    <w:p>
      <w:pPr>
        <w:spacing w:after="0" w:line="198" w:lineRule="exact"/>
        <w:rPr>
          <w:rFonts w:ascii="Arial" w:cs="Arial" w:eastAsia="Arial" w:hAnsi="Arial"/>
          <w:sz w:val="15"/>
          <w:szCs w:val="15"/>
          <w:color w:val="auto"/>
        </w:rPr>
      </w:pPr>
    </w:p>
    <w:p>
      <w:pPr>
        <w:ind w:right="520" w:firstLine="1664"/>
        <w:spacing w:after="0" w:line="290" w:lineRule="auto"/>
        <w:tabs>
          <w:tab w:leader="none" w:pos="2263"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effect any acquisition of all of the capital stock, or all or substantially all of the assets, of another entity where such acquisition results in the consolidation, for financial reporting purposes, of that entity into the results of operations of the Corporation;</w:t>
      </w:r>
    </w:p>
    <w:p>
      <w:pPr>
        <w:spacing w:after="0" w:line="140" w:lineRule="exact"/>
        <w:rPr>
          <w:rFonts w:ascii="Arial" w:cs="Arial" w:eastAsia="Arial" w:hAnsi="Arial"/>
          <w:sz w:val="15"/>
          <w:szCs w:val="15"/>
          <w:color w:val="auto"/>
        </w:rPr>
      </w:pPr>
    </w:p>
    <w:p>
      <w:pPr>
        <w:ind w:right="240" w:firstLine="1664"/>
        <w:spacing w:after="0" w:line="290" w:lineRule="auto"/>
        <w:tabs>
          <w:tab w:leader="none" w:pos="2242" w:val="left"/>
        </w:tabs>
        <w:numPr>
          <w:ilvl w:val="1"/>
          <w:numId w:val="179"/>
        </w:numPr>
        <w:rPr>
          <w:rFonts w:ascii="Arial" w:cs="Arial" w:eastAsia="Arial" w:hAnsi="Arial"/>
          <w:sz w:val="15"/>
          <w:szCs w:val="15"/>
          <w:color w:val="auto"/>
        </w:rPr>
      </w:pPr>
      <w:r>
        <w:rPr>
          <w:rFonts w:ascii="Arial" w:cs="Arial" w:eastAsia="Arial" w:hAnsi="Arial"/>
          <w:sz w:val="15"/>
          <w:szCs w:val="15"/>
          <w:color w:val="auto"/>
        </w:rPr>
        <w:t>authorize the sale or transfer of all or substantially all or any substantial part of the assets of the Corporation or any subsidiary of the Corporation other than in the course of ordinary business;</w:t>
      </w:r>
    </w:p>
    <w:p>
      <w:pPr>
        <w:spacing w:after="0" w:line="140" w:lineRule="exact"/>
        <w:rPr>
          <w:rFonts w:ascii="Arial" w:cs="Arial" w:eastAsia="Arial" w:hAnsi="Arial"/>
          <w:sz w:val="15"/>
          <w:szCs w:val="15"/>
          <w:color w:val="auto"/>
        </w:rPr>
      </w:pPr>
    </w:p>
    <w:p>
      <w:pPr>
        <w:ind w:left="2220" w:hanging="556"/>
        <w:spacing w:after="0"/>
        <w:tabs>
          <w:tab w:leader="none" w:pos="222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effect any liquidation, dissolution or winding up of the affairs of the Corporation or any subsidiary of the Corporation;</w:t>
      </w:r>
    </w:p>
    <w:p>
      <w:pPr>
        <w:spacing w:after="0" w:line="198" w:lineRule="exact"/>
        <w:rPr>
          <w:rFonts w:ascii="Arial" w:cs="Arial" w:eastAsia="Arial" w:hAnsi="Arial"/>
          <w:sz w:val="15"/>
          <w:szCs w:val="15"/>
          <w:color w:val="auto"/>
        </w:rPr>
      </w:pPr>
    </w:p>
    <w:p>
      <w:pPr>
        <w:ind w:right="60" w:firstLine="1664"/>
        <w:spacing w:after="0" w:line="269" w:lineRule="auto"/>
        <w:tabs>
          <w:tab w:leader="none" w:pos="2242" w:val="left"/>
        </w:tabs>
        <w:numPr>
          <w:ilvl w:val="1"/>
          <w:numId w:val="179"/>
        </w:numPr>
        <w:rPr>
          <w:rFonts w:ascii="Arial" w:cs="Arial" w:eastAsia="Arial" w:hAnsi="Arial"/>
          <w:sz w:val="15"/>
          <w:szCs w:val="15"/>
          <w:color w:val="auto"/>
        </w:rPr>
      </w:pPr>
      <w:r>
        <w:rPr>
          <w:rFonts w:ascii="Arial" w:cs="Arial" w:eastAsia="Arial" w:hAnsi="Arial"/>
          <w:sz w:val="15"/>
          <w:szCs w:val="15"/>
          <w:color w:val="auto"/>
        </w:rPr>
        <w:t xml:space="preserve">pay or declare any dividend or distribution on any shares of the Corporation’s capital stock (except Accruing Dividends or dividends payable solely in shares of Common Stock), or apply any of the Corporation’s assets to the redemption or repurchase of the Corporation’s capital stock (except for redemption of Preferred Stock as provided in </w:t>
      </w:r>
      <w:r>
        <w:rPr>
          <w:rFonts w:ascii="Arial" w:cs="Arial" w:eastAsia="Arial" w:hAnsi="Arial"/>
          <w:sz w:val="15"/>
          <w:szCs w:val="15"/>
          <w:u w:val="single" w:color="auto"/>
          <w:color w:val="auto"/>
        </w:rPr>
        <w:t>Sections 3.4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or the repurchase of securities from employees or consultants of the Corporation pursuant to restricted stock arrangements with individuals who have terminated their relationship with the Corporation);</w:t>
      </w:r>
    </w:p>
    <w:p>
      <w:pPr>
        <w:spacing w:after="0" w:line="155" w:lineRule="exact"/>
        <w:rPr>
          <w:rFonts w:ascii="Arial" w:cs="Arial" w:eastAsia="Arial" w:hAnsi="Arial"/>
          <w:sz w:val="15"/>
          <w:szCs w:val="15"/>
          <w:color w:val="auto"/>
        </w:rPr>
      </w:pPr>
    </w:p>
    <w:p>
      <w:pPr>
        <w:ind w:left="2240" w:hanging="576"/>
        <w:spacing w:after="0"/>
        <w:tabs>
          <w:tab w:leader="none" w:pos="224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increase or decrease the authorized number of directors constituting the Board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60" w:hanging="596"/>
        <w:spacing w:after="0"/>
        <w:tabs>
          <w:tab w:leader="none" w:pos="226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increase or decrease the authorized number of shares of Preferred Stock or Common Stock;</w:t>
      </w:r>
    </w:p>
    <w:p>
      <w:pPr>
        <w:spacing w:after="0" w:line="198" w:lineRule="exact"/>
        <w:rPr>
          <w:rFonts w:ascii="Arial" w:cs="Arial" w:eastAsia="Arial" w:hAnsi="Arial"/>
          <w:sz w:val="15"/>
          <w:szCs w:val="15"/>
          <w:color w:val="auto"/>
        </w:rPr>
      </w:pPr>
    </w:p>
    <w:p>
      <w:pPr>
        <w:ind w:left="2240" w:hanging="576"/>
        <w:spacing w:after="0"/>
        <w:tabs>
          <w:tab w:leader="none" w:pos="224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authorize, create or issue shares of any class or series of stock on parity or having preference over any series of the Senior Preferred Stock; or</w:t>
      </w:r>
    </w:p>
    <w:p>
      <w:pPr>
        <w:spacing w:after="0" w:line="210" w:lineRule="exact"/>
        <w:rPr>
          <w:rFonts w:ascii="Arial" w:cs="Arial" w:eastAsia="Arial" w:hAnsi="Arial"/>
          <w:sz w:val="14"/>
          <w:szCs w:val="14"/>
          <w:color w:val="auto"/>
        </w:rPr>
      </w:pPr>
    </w:p>
    <w:p>
      <w:pPr>
        <w:ind w:left="2220" w:hanging="556"/>
        <w:spacing w:after="0"/>
        <w:tabs>
          <w:tab w:leader="none" w:pos="222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amend or repeal any provision of, or add any provision to, the Corporation’s Certificate of Incorporation or Bylaws.</w:t>
      </w:r>
    </w:p>
    <w:p>
      <w:pPr>
        <w:spacing w:after="0" w:line="198" w:lineRule="exact"/>
        <w:rPr>
          <w:rFonts w:ascii="Arial" w:cs="Arial" w:eastAsia="Arial" w:hAnsi="Arial"/>
          <w:sz w:val="15"/>
          <w:szCs w:val="15"/>
          <w:color w:val="auto"/>
        </w:rPr>
      </w:pPr>
    </w:p>
    <w:p>
      <w:pPr>
        <w:ind w:firstLine="1107"/>
        <w:spacing w:after="0" w:line="266" w:lineRule="auto"/>
        <w:tabs>
          <w:tab w:leader="none" w:pos="1677" w:val="left"/>
        </w:tabs>
        <w:numPr>
          <w:ilvl w:val="0"/>
          <w:numId w:val="181"/>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Series A Preferred representing at least sixty-six and two-thirds percent (66 2/3%) of the votes represented by all outstanding shares of Series A Preferred (so long as any shares of Series A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A Preferred in a manner that adversely affects the Series A Preferred in a manner different from any other series of Tier II Preferred Stock;</w:t>
      </w:r>
    </w:p>
    <w:p>
      <w:pPr>
        <w:spacing w:after="0" w:line="158" w:lineRule="exact"/>
        <w:rPr>
          <w:rFonts w:ascii="Arial" w:cs="Arial" w:eastAsia="Arial" w:hAnsi="Arial"/>
          <w:sz w:val="15"/>
          <w:szCs w:val="15"/>
          <w:color w:val="auto"/>
        </w:rPr>
      </w:pPr>
    </w:p>
    <w:p>
      <w:pPr>
        <w:ind w:right="20" w:firstLine="1107"/>
        <w:spacing w:after="0" w:line="266" w:lineRule="auto"/>
        <w:tabs>
          <w:tab w:leader="none" w:pos="168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the Series B Preferred representing at least eighty percent (80%) of the votes represented by all outstanding shares of Series B Preferred (so long as any shares of Series B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B Preferred in a manner that adversely affects the Series B Preferred in a manner different from any other series of Tier II Preferred Stock;</w:t>
      </w:r>
    </w:p>
    <w:p>
      <w:pPr>
        <w:spacing w:after="0" w:line="158" w:lineRule="exact"/>
        <w:rPr>
          <w:rFonts w:ascii="Arial" w:cs="Arial" w:eastAsia="Arial" w:hAnsi="Arial"/>
          <w:sz w:val="15"/>
          <w:szCs w:val="15"/>
          <w:color w:val="auto"/>
        </w:rPr>
      </w:pPr>
    </w:p>
    <w:p>
      <w:pPr>
        <w:ind w:right="20" w:firstLine="1107"/>
        <w:spacing w:after="0" w:line="266" w:lineRule="auto"/>
        <w:tabs>
          <w:tab w:leader="none" w:pos="1677" w:val="left"/>
        </w:tabs>
        <w:numPr>
          <w:ilvl w:val="0"/>
          <w:numId w:val="181"/>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shares of Series C Preferred representing at least seventy-five percent (75%) of the votes represented by all outstanding shares of Series C Preferred (so long as any shares of Series C Preferred are outstanding) amend or repeal any provision of, or add any provision to, the Corporation’s Certificate of Incorporation or Bylaws or the certificate of incorporation or bylaws of any subsidiary of the Corporation if such action would change the preferences, rights, privileges or powers of, or the restrictions provided for the benefit of, the Series C Preferred in a manner that adversely affects the Series C Preferred in a manner different from any other series of Tier II Preferred Stock;</w:t>
      </w:r>
    </w:p>
    <w:p>
      <w:pPr>
        <w:spacing w:after="0" w:line="158" w:lineRule="exact"/>
        <w:rPr>
          <w:rFonts w:ascii="Arial" w:cs="Arial" w:eastAsia="Arial" w:hAnsi="Arial"/>
          <w:sz w:val="15"/>
          <w:szCs w:val="15"/>
          <w:color w:val="auto"/>
        </w:rPr>
      </w:pPr>
    </w:p>
    <w:p>
      <w:pPr>
        <w:ind w:right="200" w:firstLine="1107"/>
        <w:spacing w:after="0" w:line="322" w:lineRule="auto"/>
        <w:tabs>
          <w:tab w:leader="none" w:pos="16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without first obtaining the affirmative vote or written consent of the holders of shares of Series D Preferred representing at least sixty-six and two-thirds percent (66 2/3%) of the votes represented by all outstanding shares of Series D Preferred (so long as any shares of Series D Preferred are outstanding, amend or repeal any provision of, or add any provision to, the Corporation’s Certificate of Incorporation or Bylaws if such action would change the preferences, rights, privileges or powers of, or the restrictions provided for the benefit of, the Series D Preferred in a manner that adversely affects the Series D Preferred in a manner different from any other series of Tier II Preferred Stock;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1107"/>
        <w:spacing w:after="0" w:line="269" w:lineRule="auto"/>
        <w:tabs>
          <w:tab w:leader="none" w:pos="1675" w:val="left"/>
        </w:tabs>
        <w:numPr>
          <w:ilvl w:val="0"/>
          <w:numId w:val="182"/>
        </w:numPr>
        <w:rPr>
          <w:rFonts w:ascii="Arial" w:cs="Arial" w:eastAsia="Arial" w:hAnsi="Arial"/>
          <w:sz w:val="15"/>
          <w:szCs w:val="15"/>
          <w:color w:val="auto"/>
        </w:rPr>
      </w:pPr>
      <w:r>
        <w:rPr>
          <w:rFonts w:ascii="Arial" w:cs="Arial" w:eastAsia="Arial" w:hAnsi="Arial"/>
          <w:sz w:val="15"/>
          <w:szCs w:val="15"/>
          <w:color w:val="auto"/>
        </w:rPr>
        <w:t>without first obtaining the affirmative vote or written consent of the holders of shares of Series E Preferred representing a majority of the votes represented by all outstanding shares of Series E Preferred (so long as any shares of Series E Preferred are outstanding, amend or repeal any provision of, or add any provision to, the Corporation’s Certificate of Incorporation or Bylaws if such action would change the preferences, rights, privileges or powers of, or the restrictions provided for the benefit of, the Series E Preferred in a manner that adversely affects the Series E Preferred in a manner different from the Tier II Preferred Stock.</w:t>
      </w:r>
    </w:p>
    <w:p>
      <w:pPr>
        <w:spacing w:after="0" w:line="155" w:lineRule="exact"/>
        <w:rPr>
          <w:rFonts w:ascii="Arial" w:cs="Arial" w:eastAsia="Arial" w:hAnsi="Arial"/>
          <w:sz w:val="15"/>
          <w:szCs w:val="15"/>
          <w:color w:val="auto"/>
        </w:rPr>
      </w:pPr>
    </w:p>
    <w:p>
      <w:pPr>
        <w:ind w:right="20" w:firstLine="1107"/>
        <w:spacing w:after="0" w:line="266" w:lineRule="auto"/>
        <w:tabs>
          <w:tab w:leader="none" w:pos="168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For the avoidance of doubt, it is agreed that the neither authorization or issuance of a new series of Preferred Stock by the Corporation nor the amendment of the Corporation’s Certificate of Incorporation to include such new series of Preferred Stock in any definition relating to the Corporation’s Preferred Stock (including, without limitation, the definitions of Tier II Preferred Stock and/or Senior Preferred Stock) shall, on its own, be deemed to be a change in the preferences, rights, privileges, or powers of, or the restrictions provided for the benefit of the Series A Preferred, Series B Preferred, Series C Preferred, Series D Preferred or Series E Preferred, or to otherwise require a separate vote of any such series of Preferred Stock under Sections 3.8(b), (c), (d), (e) or (f).</w:t>
      </w:r>
    </w:p>
    <w:p>
      <w:pPr>
        <w:sectPr>
          <w:pgSz w:w="11900" w:h="16838" w:orient="portrait"/>
          <w:cols w:equalWidth="0" w:num="1">
            <w:col w:w="11440"/>
          </w:cols>
          <w:pgMar w:left="240" w:top="315" w:right="219" w:bottom="0" w:gutter="0" w:footer="0" w:header="0"/>
        </w:sectPr>
      </w:pPr>
    </w:p>
    <w:bookmarkStart w:id="262" w:name="page263"/>
    <w:bookmarkEnd w:id="262"/>
    <w:p>
      <w:pPr>
        <w:spacing w:after="0" w:line="13" w:lineRule="exact"/>
        <w:rPr>
          <w:sz w:val="20"/>
          <w:szCs w:val="20"/>
          <w:color w:val="auto"/>
        </w:rPr>
      </w:pPr>
    </w:p>
    <w:p>
      <w:pPr>
        <w:ind w:right="80" w:firstLine="557"/>
        <w:spacing w:after="0" w:line="290"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Converted, Redeemed or Otherwise Acquired Shares</w:t>
      </w:r>
      <w:r>
        <w:rPr>
          <w:rFonts w:ascii="Arial" w:cs="Arial" w:eastAsia="Arial" w:hAnsi="Arial"/>
          <w:sz w:val="15"/>
          <w:szCs w:val="15"/>
          <w:color w:val="auto"/>
        </w:rPr>
        <w:t xml:space="preserve">. Any share of Preferred Stock that is converted under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redeemed under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or otherwise acquired by the Corporation will be canceled and shall not be reissued, sold or transferred.</w:t>
      </w:r>
    </w:p>
    <w:p>
      <w:pPr>
        <w:spacing w:after="0" w:line="14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4"/>
          <w:szCs w:val="14"/>
          <w:u w:val="single" w:color="auto"/>
          <w:color w:val="auto"/>
        </w:rPr>
        <w:t>Residual Rights</w:t>
      </w:r>
      <w:r>
        <w:rPr>
          <w:rFonts w:ascii="Arial" w:cs="Arial" w:eastAsia="Arial" w:hAnsi="Arial"/>
          <w:sz w:val="14"/>
          <w:szCs w:val="14"/>
          <w:color w:val="auto"/>
        </w:rPr>
        <w:t>. All rights accruing to the outstanding shares of the Corporation not expressly provided for to the contrary shall be vested in the Common Stock.</w:t>
      </w:r>
    </w:p>
    <w:p>
      <w:pPr>
        <w:spacing w:after="0" w:line="199" w:lineRule="exact"/>
        <w:rPr>
          <w:sz w:val="20"/>
          <w:szCs w:val="20"/>
          <w:color w:val="auto"/>
        </w:rPr>
      </w:pPr>
    </w:p>
    <w:p>
      <w:pPr>
        <w:ind w:right="660" w:firstLine="557"/>
        <w:spacing w:after="0" w:line="290"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Notices to Holders of Series SRN Preferred</w:t>
      </w:r>
      <w:r>
        <w:rPr>
          <w:rFonts w:ascii="Arial" w:cs="Arial" w:eastAsia="Arial" w:hAnsi="Arial"/>
          <w:sz w:val="15"/>
          <w:szCs w:val="15"/>
          <w:color w:val="auto"/>
        </w:rPr>
        <w:t>. Notwithstanding anything to the contrary herein, each notice to holders of Series SRN Preferred to be provided hereunder shall be deemed effectively provided at the time any member of the Board of Directors designated by such holder shall receive such notice.</w:t>
      </w:r>
    </w:p>
    <w:p>
      <w:pPr>
        <w:spacing w:after="0" w:line="140" w:lineRule="exact"/>
        <w:rPr>
          <w:sz w:val="20"/>
          <w:szCs w:val="20"/>
          <w:color w:val="auto"/>
        </w:rPr>
      </w:pPr>
    </w:p>
    <w:p>
      <w:pPr>
        <w:ind w:right="20" w:firstLine="557"/>
        <w:spacing w:after="0" w:line="284" w:lineRule="auto"/>
        <w:rPr>
          <w:sz w:val="20"/>
          <w:szCs w:val="20"/>
          <w:color w:val="auto"/>
        </w:rPr>
      </w:pPr>
      <w:r>
        <w:rPr>
          <w:rFonts w:ascii="Arial" w:cs="Arial" w:eastAsia="Arial" w:hAnsi="Arial"/>
          <w:sz w:val="14"/>
          <w:szCs w:val="14"/>
          <w:color w:val="auto"/>
        </w:rPr>
        <w:t>FIFTH: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§291 of Title 8 of the Delaware Code or on the application of trustees in dissolution or of any receiver or receivers appointed for the Corporation under the provisions of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(3/4)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all the stockholders or class of stockholders, of the Corporation, as the case may be, and also on the Corporation.</w:t>
      </w:r>
    </w:p>
    <w:p>
      <w:pPr>
        <w:spacing w:after="0" w:line="199" w:lineRule="exact"/>
        <w:rPr>
          <w:sz w:val="20"/>
          <w:szCs w:val="20"/>
          <w:color w:val="auto"/>
        </w:rPr>
      </w:pPr>
    </w:p>
    <w:p>
      <w:pPr>
        <w:ind w:firstLine="557"/>
        <w:spacing w:after="0" w:line="266" w:lineRule="auto"/>
        <w:rPr>
          <w:sz w:val="20"/>
          <w:szCs w:val="20"/>
          <w:color w:val="auto"/>
        </w:rPr>
      </w:pPr>
      <w:r>
        <w:rPr>
          <w:rFonts w:ascii="Arial" w:cs="Arial" w:eastAsia="Arial" w:hAnsi="Arial"/>
          <w:sz w:val="15"/>
          <w:szCs w:val="15"/>
          <w:color w:val="auto"/>
        </w:rPr>
        <w:t>SIXTH: A director of this Corporation shall not be personally liable to the Corporation or its stockholders for monetary damages for the breach of any fiduciary duty as a director, except in the case of (a) any breach of the director’s duty of loyalty to the Corporation or its stockholders, (b) acts or omissions not in good faith or that involve intentional misconduct or a knowing violation of law, (c) under section 174 of the General Corporation Law or (d) for any transaction from which the director derives an improper personal benefit. Any repeal or modification of this Article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58" w:lineRule="exact"/>
        <w:rPr>
          <w:sz w:val="20"/>
          <w:szCs w:val="20"/>
          <w:color w:val="auto"/>
        </w:rPr>
      </w:pPr>
    </w:p>
    <w:p>
      <w:pPr>
        <w:ind w:firstLine="557"/>
        <w:spacing w:after="0" w:line="285" w:lineRule="auto"/>
        <w:rPr>
          <w:sz w:val="20"/>
          <w:szCs w:val="20"/>
          <w:color w:val="auto"/>
        </w:rPr>
      </w:pPr>
      <w:r>
        <w:rPr>
          <w:rFonts w:ascii="Arial" w:cs="Arial" w:eastAsia="Arial" w:hAnsi="Arial"/>
          <w:sz w:val="14"/>
          <w:szCs w:val="14"/>
          <w:color w:val="auto"/>
        </w:rPr>
        <w:t>SEVENTH: The Corporation shall, to the fullest extent permitted by Section 145 of the General Corporation Law, as amended from time to time, indemnify each person who was or is a party or is threatened to be made a party to any threatened, pending or completed action, suit or proceeding, whether civil, criminal, administrative or investigative, by reason of the fact that he or she is or was, or has agreed to become, a director or officer of the Corporation, or is or was serving, or has agreed to serve, at the request of the Corporation, as a director, general director, officer, partner, employee or trustee of, or in a similar capacity with, another corporation, limited liability company, partnership, joint venture, trust or other enterprise (including without limitation any employee benefit plan) (all such persons being referred to hereafter as an “</w:t>
      </w:r>
      <w:r>
        <w:rPr>
          <w:rFonts w:ascii="Arial" w:cs="Arial" w:eastAsia="Arial" w:hAnsi="Arial"/>
          <w:sz w:val="14"/>
          <w:szCs w:val="14"/>
          <w:u w:val="single" w:color="auto"/>
          <w:color w:val="auto"/>
        </w:rPr>
        <w:t>Indemnitee</w:t>
      </w:r>
      <w:r>
        <w:rPr>
          <w:rFonts w:ascii="Arial" w:cs="Arial" w:eastAsia="Arial" w:hAnsi="Arial"/>
          <w:sz w:val="14"/>
          <w:szCs w:val="14"/>
          <w:color w:val="auto"/>
        </w:rPr>
        <w:t>”), or by reason of any action alleged to have been taken or omitted in such capacity, against all expenses (including without limitation attorneys’ fees), judgments, fines and amounts paid in settlement actually and reasonably incurred by or on behalf of an Indemnitee in connection with such action, suit or proceeding and any appeal therefrom.</w:t>
      </w:r>
    </w:p>
    <w:p>
      <w:pPr>
        <w:spacing w:after="0" w:line="147" w:lineRule="exact"/>
        <w:rPr>
          <w:sz w:val="20"/>
          <w:szCs w:val="20"/>
          <w:color w:val="auto"/>
        </w:rPr>
      </w:pPr>
    </w:p>
    <w:p>
      <w:pPr>
        <w:ind w:right="160" w:firstLine="557"/>
        <w:spacing w:after="0" w:line="269" w:lineRule="auto"/>
        <w:rPr>
          <w:sz w:val="20"/>
          <w:szCs w:val="20"/>
          <w:color w:val="auto"/>
        </w:rPr>
      </w:pPr>
      <w:r>
        <w:rPr>
          <w:rFonts w:ascii="Arial" w:cs="Arial" w:eastAsia="Arial" w:hAnsi="Arial"/>
          <w:sz w:val="15"/>
          <w:szCs w:val="15"/>
          <w:color w:val="auto"/>
        </w:rPr>
        <w:t>The rights provided in this Article (i) shall not be deemed exclusive of any other rights to which an Indemnitee may be entitled under any law, agreement or vote of stockholders or disinterested directors or otherwise, and (ii) shall inure to the benefit of the heirs, executors and administrators of the Indemnitees.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55" w:lineRule="exact"/>
        <w:rPr>
          <w:sz w:val="20"/>
          <w:szCs w:val="20"/>
          <w:color w:val="auto"/>
        </w:rPr>
      </w:pPr>
    </w:p>
    <w:p>
      <w:pPr>
        <w:ind w:right="200" w:firstLine="557"/>
        <w:spacing w:after="0" w:line="274" w:lineRule="auto"/>
        <w:rPr>
          <w:sz w:val="20"/>
          <w:szCs w:val="20"/>
          <w:color w:val="auto"/>
        </w:rPr>
      </w:pPr>
      <w:r>
        <w:rPr>
          <w:rFonts w:ascii="Arial" w:cs="Arial" w:eastAsia="Arial" w:hAnsi="Arial"/>
          <w:sz w:val="15"/>
          <w:szCs w:val="15"/>
          <w:color w:val="auto"/>
        </w:rPr>
        <w:t>Any repeal or modification of the foregoing provisions of this Article shall not adversely affect any right or protection hereunder of any person in respect of any act or omission occurring prior to the time of such repeal or modification. The rights provided hereunder shall inure to the benefit of any Indemnitee and such person’s heirs, executors and administrators.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EIGHTH: Unless, and except to the extent that, the Bylaws of the Corporation shall so require, the election of directors of the Corporation need not be by written ballot.</w:t>
      </w:r>
    </w:p>
    <w:p>
      <w:pPr>
        <w:spacing w:after="0" w:line="210" w:lineRule="exact"/>
        <w:rPr>
          <w:sz w:val="20"/>
          <w:szCs w:val="20"/>
          <w:color w:val="auto"/>
        </w:rPr>
      </w:pPr>
    </w:p>
    <w:p>
      <w:pPr>
        <w:ind w:right="220" w:firstLine="557"/>
        <w:spacing w:after="0" w:line="290" w:lineRule="auto"/>
        <w:rPr>
          <w:sz w:val="20"/>
          <w:szCs w:val="20"/>
          <w:color w:val="auto"/>
        </w:rPr>
      </w:pPr>
      <w:r>
        <w:rPr>
          <w:rFonts w:ascii="Arial" w:cs="Arial" w:eastAsia="Arial" w:hAnsi="Arial"/>
          <w:sz w:val="15"/>
          <w:szCs w:val="15"/>
          <w:color w:val="auto"/>
        </w:rPr>
        <w:t>NINTH: Subject to any additional vote required by the Corporation’s Certificate of Incorporation or Bylaws, in furtherance and not in limitation of the powers conferred by statute, the Corporation hereby confers the power to adopt, amend or repeal the Bylaws of the Corporation upon the directors.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TENTH: Meetings of the stockholders may be held within or without the State of Delaware, as the Bylaws of the Corporation may provide.</w:t>
      </w:r>
    </w:p>
    <w:p>
      <w:pPr>
        <w:spacing w:after="0" w:line="199" w:lineRule="exact"/>
        <w:rPr>
          <w:sz w:val="20"/>
          <w:szCs w:val="20"/>
          <w:color w:val="auto"/>
        </w:rPr>
      </w:pPr>
    </w:p>
    <w:p>
      <w:pPr>
        <w:ind w:right="120" w:firstLine="557"/>
        <w:spacing w:after="0" w:line="290" w:lineRule="auto"/>
        <w:rPr>
          <w:sz w:val="20"/>
          <w:szCs w:val="20"/>
          <w:color w:val="auto"/>
        </w:rPr>
      </w:pPr>
      <w:r>
        <w:rPr>
          <w:rFonts w:ascii="Arial" w:cs="Arial" w:eastAsia="Arial" w:hAnsi="Arial"/>
          <w:sz w:val="15"/>
          <w:szCs w:val="15"/>
          <w:color w:val="auto"/>
        </w:rPr>
        <w:t>ELEVENTH: The books of the Corporation may be kept outside the State of Delaware at such place or places as may be designated in the Bylaws of the Corporation or from time to time by its directors.</w:t>
      </w:r>
    </w:p>
    <w:p>
      <w:pPr>
        <w:spacing w:after="0" w:line="140" w:lineRule="exact"/>
        <w:rPr>
          <w:sz w:val="20"/>
          <w:szCs w:val="20"/>
          <w:color w:val="auto"/>
        </w:rPr>
      </w:pPr>
    </w:p>
    <w:p>
      <w:pPr>
        <w:ind w:right="80" w:firstLine="557"/>
        <w:spacing w:after="0" w:line="266" w:lineRule="auto"/>
        <w:rPr>
          <w:sz w:val="20"/>
          <w:szCs w:val="20"/>
          <w:color w:val="auto"/>
        </w:rPr>
      </w:pPr>
      <w:r>
        <w:rPr>
          <w:rFonts w:ascii="Arial" w:cs="Arial" w:eastAsia="Arial" w:hAnsi="Arial"/>
          <w:sz w:val="15"/>
          <w:szCs w:val="15"/>
          <w:color w:val="auto"/>
        </w:rPr>
        <w:t>TWELFTH: In accordance with the provisions of Section 122(17) of the General Corporation Law, the Corporation renounces any interest or expectancy of the Corporation in, or in being offered an opportunity to participate in, any Excluded Opportunity. An “</w:t>
      </w:r>
      <w:r>
        <w:rPr>
          <w:rFonts w:ascii="Arial" w:cs="Arial" w:eastAsia="Arial" w:hAnsi="Arial"/>
          <w:sz w:val="15"/>
          <w:szCs w:val="15"/>
          <w:u w:val="single" w:color="auto"/>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any director or officer of the Corporation who is not an employee of the Corporation or any of its subsidiaries (collectively, “</w:t>
      </w:r>
      <w:r>
        <w:rPr>
          <w:rFonts w:ascii="Arial" w:cs="Arial" w:eastAsia="Arial" w:hAnsi="Arial"/>
          <w:sz w:val="15"/>
          <w:szCs w:val="15"/>
          <w:u w:val="single" w:color="auto"/>
          <w:color w:val="auto"/>
        </w:rPr>
        <w:t>Covered Persons</w:t>
      </w:r>
      <w:r>
        <w:rPr>
          <w:rFonts w:ascii="Arial" w:cs="Arial" w:eastAsia="Arial" w:hAnsi="Arial"/>
          <w:sz w:val="15"/>
          <w:szCs w:val="15"/>
          <w:color w:val="auto"/>
        </w:rPr>
        <w:t>”), unless such matter, transaction or interest is presented to, or acquired, created or developed by, or otherwise comes into the possession of, a Covered Person expressly and solely in such Covered Person’s capacity as a director or officer of the Corporation.</w:t>
      </w:r>
    </w:p>
    <w:p>
      <w:pPr>
        <w:spacing w:after="0" w:line="158" w:lineRule="exact"/>
        <w:rPr>
          <w:sz w:val="20"/>
          <w:szCs w:val="20"/>
          <w:color w:val="auto"/>
        </w:rPr>
      </w:pPr>
    </w:p>
    <w:p>
      <w:pPr>
        <w:ind w:right="460" w:firstLine="557"/>
        <w:spacing w:after="0" w:line="290" w:lineRule="auto"/>
        <w:rPr>
          <w:sz w:val="20"/>
          <w:szCs w:val="20"/>
          <w:color w:val="auto"/>
        </w:rPr>
      </w:pPr>
      <w:r>
        <w:rPr>
          <w:rFonts w:ascii="Arial" w:cs="Arial" w:eastAsia="Arial" w:hAnsi="Arial"/>
          <w:sz w:val="15"/>
          <w:szCs w:val="15"/>
          <w:color w:val="auto"/>
        </w:rPr>
        <w:t>THIRTEENTH: The Corporation reserves the right to amend or repeal any provision contained in this Fourth Amended and Restated Certificate of Incorporation, in the manner now or hereafter prescribed by statute, and all rights conferred upon a stockholder herein are granted subject to this reservation.</w:t>
      </w:r>
    </w:p>
    <w:p>
      <w:pPr>
        <w:spacing w:after="0" w:line="140" w:lineRule="exact"/>
        <w:rPr>
          <w:sz w:val="20"/>
          <w:szCs w:val="20"/>
          <w:color w:val="auto"/>
        </w:rPr>
      </w:pPr>
    </w:p>
    <w:p>
      <w:pPr>
        <w:jc w:val="center"/>
        <w:ind w:right="20"/>
        <w:spacing w:after="0"/>
        <w:tabs>
          <w:tab w:leader="none" w:pos="180" w:val="left"/>
          <w:tab w:leader="none" w:pos="160" w:val="left"/>
        </w:tabs>
        <w:rPr>
          <w:sz w:val="20"/>
          <w:szCs w:val="20"/>
          <w:color w:val="auto"/>
        </w:rPr>
      </w:pPr>
      <w:r>
        <w:rPr>
          <w:rFonts w:ascii="Arial" w:cs="Arial" w:eastAsia="Arial" w:hAnsi="Arial"/>
          <w:sz w:val="15"/>
          <w:szCs w:val="15"/>
          <w:color w:val="auto"/>
        </w:rPr>
        <w:t>*</w:t>
        <w:tab/>
        <w:t>*</w:t>
        <w:tab/>
        <w:t>*</w:t>
      </w:r>
    </w:p>
    <w:p>
      <w:pPr>
        <w:spacing w:after="0" w:line="199" w:lineRule="exact"/>
        <w:rPr>
          <w:sz w:val="20"/>
          <w:szCs w:val="20"/>
          <w:color w:val="auto"/>
        </w:rPr>
      </w:pPr>
    </w:p>
    <w:p>
      <w:pPr>
        <w:ind w:right="580" w:firstLine="1107"/>
        <w:spacing w:after="0" w:line="290" w:lineRule="auto"/>
        <w:tabs>
          <w:tab w:leader="none" w:pos="1671" w:val="left"/>
        </w:tabs>
        <w:numPr>
          <w:ilvl w:val="0"/>
          <w:numId w:val="183"/>
        </w:numPr>
        <w:rPr>
          <w:rFonts w:ascii="Arial" w:cs="Arial" w:eastAsia="Arial" w:hAnsi="Arial"/>
          <w:sz w:val="15"/>
          <w:szCs w:val="15"/>
          <w:b w:val="1"/>
          <w:bCs w:val="1"/>
          <w:color w:val="auto"/>
        </w:rPr>
      </w:pPr>
      <w:r>
        <w:rPr>
          <w:rFonts w:ascii="Arial" w:cs="Arial" w:eastAsia="Arial" w:hAnsi="Arial"/>
          <w:sz w:val="15"/>
          <w:szCs w:val="15"/>
          <w:color w:val="auto"/>
        </w:rPr>
        <w:t>That the foregoing amendment and restatement was approved by the holders of the requisite number of shares of this corporation in accordance with Section 228 of the General Corporation Law.</w:t>
      </w:r>
    </w:p>
    <w:p>
      <w:pPr>
        <w:spacing w:after="0" w:line="140" w:lineRule="exact"/>
        <w:rPr>
          <w:rFonts w:ascii="Arial" w:cs="Arial" w:eastAsia="Arial" w:hAnsi="Arial"/>
          <w:sz w:val="15"/>
          <w:szCs w:val="15"/>
          <w:b w:val="1"/>
          <w:bCs w:val="1"/>
          <w:color w:val="auto"/>
        </w:rPr>
      </w:pPr>
    </w:p>
    <w:p>
      <w:pPr>
        <w:ind w:right="280" w:firstLine="1107"/>
        <w:spacing w:after="0" w:line="290" w:lineRule="auto"/>
        <w:tabs>
          <w:tab w:leader="none" w:pos="1671" w:val="left"/>
        </w:tabs>
        <w:numPr>
          <w:ilvl w:val="0"/>
          <w:numId w:val="183"/>
        </w:numPr>
        <w:rPr>
          <w:rFonts w:ascii="Arial" w:cs="Arial" w:eastAsia="Arial" w:hAnsi="Arial"/>
          <w:sz w:val="15"/>
          <w:szCs w:val="15"/>
          <w:b w:val="1"/>
          <w:bCs w:val="1"/>
          <w:color w:val="auto"/>
        </w:rPr>
      </w:pPr>
      <w:r>
        <w:rPr>
          <w:rFonts w:ascii="Arial" w:cs="Arial" w:eastAsia="Arial" w:hAnsi="Arial"/>
          <w:sz w:val="15"/>
          <w:szCs w:val="15"/>
          <w:color w:val="auto"/>
        </w:rPr>
        <w:t>That this Fourth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firstLine="163"/>
        <w:spacing w:after="0" w:line="299"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Fourth Amended and Restated Certificate of Incorporation has been executed by a duly authorized officer of this corporation on this 27th day of</w:t>
      </w:r>
      <w:r>
        <w:rPr>
          <w:rFonts w:ascii="Arial" w:cs="Arial" w:eastAsia="Arial" w:hAnsi="Arial"/>
          <w:sz w:val="15"/>
          <w:szCs w:val="15"/>
          <w:b w:val="1"/>
          <w:bCs w:val="1"/>
          <w:color w:val="auto"/>
        </w:rPr>
        <w:t xml:space="preserve"> </w:t>
      </w:r>
      <w:r>
        <w:rPr>
          <w:rFonts w:ascii="Arial" w:cs="Arial" w:eastAsia="Arial" w:hAnsi="Arial"/>
          <w:sz w:val="15"/>
          <w:szCs w:val="15"/>
          <w:color w:val="auto"/>
        </w:rPr>
        <w:t>August, 2015.</w:t>
      </w:r>
    </w:p>
    <w:p>
      <w:pPr>
        <w:spacing w:after="0" w:line="31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5"/>
          <w:szCs w:val="15"/>
          <w:color w:val="auto"/>
        </w:rPr>
        <w:t>By:</w:t>
        <w:tab/>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15240</wp:posOffset>
            </wp:positionV>
            <wp:extent cx="3345815"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345815" cy="7620"/>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Werner Cautreels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President and CEO</w:t>
      </w:r>
    </w:p>
    <w:p>
      <w:pPr>
        <w:sectPr>
          <w:pgSz w:w="11900" w:h="16852" w:orient="portrait"/>
          <w:cols w:equalWidth="0" w:num="1">
            <w:col w:w="11440"/>
          </w:cols>
          <w:pgMar w:left="240" w:top="129" w:right="219" w:bottom="0" w:gutter="0" w:footer="0" w:header="0"/>
        </w:sectPr>
      </w:pPr>
    </w:p>
    <w:bookmarkStart w:id="263" w:name="page264"/>
    <w:bookmarkEnd w:id="263"/>
    <w:p>
      <w:pPr>
        <w:jc w:val="center"/>
        <w:spacing w:after="0"/>
        <w:rPr>
          <w:sz w:val="20"/>
          <w:szCs w:val="20"/>
          <w:color w:val="auto"/>
        </w:rPr>
      </w:pPr>
      <w:r>
        <w:rPr>
          <w:rFonts w:ascii="Arial" w:cs="Arial" w:eastAsia="Arial" w:hAnsi="Arial"/>
          <w:sz w:val="14"/>
          <w:szCs w:val="14"/>
          <w:i w:val="1"/>
          <w:iCs w:val="1"/>
          <w:color w:val="auto"/>
        </w:rPr>
        <w:t>-Signature Page to Fourth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196850</wp:posOffset>
            </wp:positionV>
            <wp:extent cx="7285990" cy="273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5"/>
          <w:szCs w:val="15"/>
          <w:b w:val="1"/>
          <w:bCs w:val="1"/>
          <w:color w:val="auto"/>
        </w:rPr>
        <w:t>Exhibit 3.2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BY-LAWS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8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5"/>
          <w:szCs w:val="15"/>
          <w:color w:val="auto"/>
        </w:rPr>
        <w:t>NAME</w:t>
      </w:r>
    </w:p>
    <w:p>
      <w:pPr>
        <w:spacing w:after="0" w:line="199"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The name of the corporation is Selecta Biosciences, Inc.</w:t>
      </w:r>
    </w:p>
    <w:p>
      <w:pPr>
        <w:spacing w:after="0" w:line="19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4"/>
          <w:szCs w:val="14"/>
          <w:color w:val="auto"/>
        </w:rPr>
        <w:t>OFFICES</w:t>
      </w:r>
    </w:p>
    <w:p>
      <w:pPr>
        <w:spacing w:after="0" w:line="199"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4"/>
          <w:szCs w:val="14"/>
          <w:u w:val="single" w:color="auto"/>
          <w:color w:val="auto"/>
        </w:rPr>
        <w:t>Registered Office</w:t>
      </w:r>
      <w:r>
        <w:rPr>
          <w:rFonts w:ascii="Arial" w:cs="Arial" w:eastAsia="Arial" w:hAnsi="Arial"/>
          <w:sz w:val="14"/>
          <w:szCs w:val="14"/>
          <w:color w:val="auto"/>
        </w:rPr>
        <w:t>. The registered office shall be in the City of Wilmington, County of New Castle, State of Delaware.</w:t>
      </w:r>
    </w:p>
    <w:p>
      <w:pPr>
        <w:spacing w:after="0" w:line="199" w:lineRule="exact"/>
        <w:rPr>
          <w:sz w:val="20"/>
          <w:szCs w:val="20"/>
          <w:color w:val="auto"/>
        </w:rPr>
      </w:pPr>
    </w:p>
    <w:p>
      <w:pPr>
        <w:ind w:right="200" w:firstLine="557"/>
        <w:spacing w:after="0" w:line="290"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Other Offices</w:t>
      </w:r>
      <w:r>
        <w:rPr>
          <w:rFonts w:ascii="Arial" w:cs="Arial" w:eastAsia="Arial" w:hAnsi="Arial"/>
          <w:sz w:val="15"/>
          <w:szCs w:val="15"/>
          <w:color w:val="auto"/>
        </w:rPr>
        <w:t>. The corporation may also have offices at such other places both within and without the State of Delaware as the board of directors may from time to time determine or the business of the corporation may require.</w:t>
      </w:r>
    </w:p>
    <w:p>
      <w:pPr>
        <w:spacing w:after="0" w:line="14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color w:val="auto"/>
        </w:rPr>
        <w:t>STOCKHOLDERS</w:t>
      </w:r>
    </w:p>
    <w:p>
      <w:pPr>
        <w:spacing w:after="0" w:line="199" w:lineRule="exact"/>
        <w:rPr>
          <w:sz w:val="20"/>
          <w:szCs w:val="20"/>
          <w:color w:val="auto"/>
        </w:rPr>
      </w:pPr>
    </w:p>
    <w:p>
      <w:pPr>
        <w:ind w:right="20" w:firstLine="557"/>
        <w:spacing w:after="0" w:line="282"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Location of Meetings</w:t>
      </w:r>
      <w:r>
        <w:rPr>
          <w:rFonts w:ascii="Arial" w:cs="Arial" w:eastAsia="Arial" w:hAnsi="Arial"/>
          <w:sz w:val="14"/>
          <w:szCs w:val="14"/>
          <w:color w:val="auto"/>
        </w:rPr>
        <w:t>. All meetings of the stockholders shall be held at such place either within or without the State of Delaware as shall be designated from time to time by the board of directors, or if not so designated, at the registered office of the corporation. Notwithstanding the foregoing, the board of directors may, in its sole discretion, determine that the meeting shall not be held at any place, but may instead be held solely by means of remote communication as authorized by Section 211(a)(2) of the Delaware General Corporation Law. If so authorized, and subject to such guidelines and procedures as the board of directors may adopt, stockholders and proxyholders not physically present at a meeting of stockholders may, by means of remote communication, participate in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Any adjourned session of any meeting shall be held at the place designated in the vote of adjournment.</w:t>
      </w:r>
    </w:p>
    <w:p>
      <w:pPr>
        <w:spacing w:after="0" w:line="151" w:lineRule="exact"/>
        <w:rPr>
          <w:sz w:val="20"/>
          <w:szCs w:val="20"/>
          <w:color w:val="auto"/>
        </w:rPr>
      </w:pPr>
    </w:p>
    <w:p>
      <w:pPr>
        <w:ind w:right="20" w:firstLine="557"/>
        <w:spacing w:after="0" w:line="26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Annual Meeting</w:t>
      </w:r>
      <w:r>
        <w:rPr>
          <w:rFonts w:ascii="Arial" w:cs="Arial" w:eastAsia="Arial" w:hAnsi="Arial"/>
          <w:sz w:val="15"/>
          <w:szCs w:val="15"/>
          <w:color w:val="auto"/>
        </w:rPr>
        <w:t>. The annual meeting of stockholders shall be held at 10:00 a.m. on the second Wednesday in May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at which they shall elect a board of directors and transact such other business as may be required by law or these by-laws or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7285990" cy="273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80" w:firstLine="557"/>
        <w:spacing w:after="0" w:line="26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Special Meeting in Place of Annual Meeting</w:t>
      </w:r>
      <w:r>
        <w:rPr>
          <w:rFonts w:ascii="Arial" w:cs="Arial" w:eastAsia="Arial" w:hAnsi="Arial"/>
          <w:sz w:val="15"/>
          <w:szCs w:val="15"/>
          <w:color w:val="auto"/>
        </w:rPr>
        <w:t>.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3.5.</w:t>
      </w:r>
    </w:p>
    <w:p>
      <w:pPr>
        <w:spacing w:after="0" w:line="161" w:lineRule="exact"/>
        <w:rPr>
          <w:sz w:val="20"/>
          <w:szCs w:val="20"/>
          <w:color w:val="auto"/>
        </w:rPr>
      </w:pPr>
    </w:p>
    <w:p>
      <w:pPr>
        <w:ind w:right="40" w:firstLine="557"/>
        <w:spacing w:after="0" w:line="294"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Notice of Annual Meeting</w:t>
      </w:r>
      <w:r>
        <w:rPr>
          <w:rFonts w:ascii="Arial" w:cs="Arial" w:eastAsia="Arial" w:hAnsi="Arial"/>
          <w:sz w:val="14"/>
          <w:szCs w:val="14"/>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in accordance with Section 5.2 by each stockholder entitled to such notice who did not receive such notice. Prompt notice of all action taken in connection with such waiver of notice shall be given to all stockholders not present or represented at such meeting.</w:t>
      </w:r>
    </w:p>
    <w:p>
      <w:pPr>
        <w:spacing w:after="0" w:line="140" w:lineRule="exact"/>
        <w:rPr>
          <w:sz w:val="20"/>
          <w:szCs w:val="20"/>
          <w:color w:val="auto"/>
        </w:rPr>
      </w:pPr>
    </w:p>
    <w:p>
      <w:pPr>
        <w:jc w:val="both"/>
        <w:ind w:right="40" w:firstLine="557"/>
        <w:spacing w:after="0" w:line="269"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Other Special Meetings</w:t>
      </w:r>
      <w:r>
        <w:rPr>
          <w:rFonts w:ascii="Arial" w:cs="Arial" w:eastAsia="Arial" w:hAnsi="Arial"/>
          <w:sz w:val="15"/>
          <w:szCs w:val="15"/>
          <w:color w:val="auto"/>
        </w:rPr>
        <w:t>. Special meetings of the stockholders, for any purpose or purposes, unless otherwise prescribed by law or by the certificate of incorporation, may be called by the president and shall be called by the president or secretary at the request in writing of a majority of the board of directors, or at the request in writing of the holders of at least ten percent of all capital stock of the corporation issued and outstanding and entitled to vote at such meeting. Such request shall state the purpose or purposes of the proposed meeting and business to be transacted at any special meeting of the stockholders.</w:t>
      </w:r>
    </w:p>
    <w:p>
      <w:pPr>
        <w:spacing w:after="0" w:line="155" w:lineRule="exact"/>
        <w:rPr>
          <w:sz w:val="20"/>
          <w:szCs w:val="20"/>
          <w:color w:val="auto"/>
        </w:rPr>
      </w:pPr>
    </w:p>
    <w:p>
      <w:pPr>
        <w:ind w:right="120" w:firstLine="557"/>
        <w:spacing w:after="0" w:line="294"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Notice of Special Meeting</w:t>
      </w:r>
      <w:r>
        <w:rPr>
          <w:rFonts w:ascii="Arial" w:cs="Arial" w:eastAsia="Arial" w:hAnsi="Arial"/>
          <w:sz w:val="14"/>
          <w:szCs w:val="14"/>
          <w:color w:val="auto"/>
        </w:rPr>
        <w:t>. Written notice of a special meeting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in accordance with Section 5.2 by each stockholder entitled to such notice who did not receive such notice. Prompt notice of all action taken in connection with such waiver of notice shall be given to all stockholders not present or represented at such meeting.</w:t>
      </w:r>
    </w:p>
    <w:p>
      <w:pPr>
        <w:spacing w:after="0" w:line="140" w:lineRule="exact"/>
        <w:rPr>
          <w:sz w:val="20"/>
          <w:szCs w:val="20"/>
          <w:color w:val="auto"/>
        </w:rPr>
      </w:pPr>
    </w:p>
    <w:p>
      <w:pPr>
        <w:ind w:right="160" w:firstLine="557"/>
        <w:spacing w:after="0" w:line="264"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Stockholder List</w:t>
      </w:r>
      <w:r>
        <w:rPr>
          <w:rFonts w:ascii="Arial" w:cs="Arial" w:eastAsia="Arial" w:hAnsi="Arial"/>
          <w:sz w:val="15"/>
          <w:szCs w:val="15"/>
          <w:color w:val="auto"/>
        </w:rPr>
        <w:t>.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examination of any stockholder during the entire meeting on a reasonably accessible electronic network, and the information required to access such list shall be provided with the notice of the meeting.</w:t>
      </w:r>
    </w:p>
    <w:p>
      <w:pPr>
        <w:spacing w:after="0" w:line="155" w:lineRule="exact"/>
        <w:rPr>
          <w:sz w:val="20"/>
          <w:szCs w:val="20"/>
          <w:color w:val="auto"/>
        </w:rPr>
      </w:pPr>
    </w:p>
    <w:p>
      <w:pPr>
        <w:ind w:right="220" w:firstLine="557"/>
        <w:spacing w:after="0" w:line="302" w:lineRule="auto"/>
        <w:rPr>
          <w:sz w:val="20"/>
          <w:szCs w:val="20"/>
          <w:color w:val="auto"/>
        </w:rPr>
      </w:pPr>
      <w:r>
        <w:rPr>
          <w:rFonts w:ascii="Arial" w:cs="Arial" w:eastAsia="Arial" w:hAnsi="Arial"/>
          <w:sz w:val="14"/>
          <w:szCs w:val="14"/>
          <w:color w:val="auto"/>
        </w:rPr>
        <w:t xml:space="preserve">3.8 </w:t>
      </w:r>
      <w:r>
        <w:rPr>
          <w:rFonts w:ascii="Arial" w:cs="Arial" w:eastAsia="Arial" w:hAnsi="Arial"/>
          <w:sz w:val="14"/>
          <w:szCs w:val="14"/>
          <w:u w:val="single" w:color="auto"/>
          <w:color w:val="auto"/>
        </w:rPr>
        <w:t>Quorum of Stockholders</w:t>
      </w:r>
      <w:r>
        <w:rPr>
          <w:rFonts w:ascii="Arial" w:cs="Arial" w:eastAsia="Arial" w:hAnsi="Arial"/>
          <w:sz w:val="14"/>
          <w:szCs w:val="14"/>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by the certificate of incorporation or by these by-laws. Except as otherwise provided by law, no stockholder present at a meeting may withhold his shares from the quorum count by declaring his shares absent from the meeting.</w:t>
      </w:r>
    </w:p>
    <w:p>
      <w:pPr>
        <w:spacing w:after="0" w:line="135" w:lineRule="exact"/>
        <w:rPr>
          <w:sz w:val="20"/>
          <w:szCs w:val="20"/>
          <w:color w:val="auto"/>
        </w:rPr>
      </w:pPr>
    </w:p>
    <w:p>
      <w:pPr>
        <w:ind w:right="40" w:firstLine="557"/>
        <w:spacing w:after="0" w:line="289" w:lineRule="auto"/>
        <w:rPr>
          <w:sz w:val="20"/>
          <w:szCs w:val="20"/>
          <w:color w:val="auto"/>
        </w:rPr>
      </w:pPr>
      <w:r>
        <w:rPr>
          <w:rFonts w:ascii="Arial" w:cs="Arial" w:eastAsia="Arial" w:hAnsi="Arial"/>
          <w:sz w:val="14"/>
          <w:szCs w:val="14"/>
          <w:color w:val="auto"/>
        </w:rPr>
        <w:t xml:space="preserve">3.9 </w:t>
      </w:r>
      <w:r>
        <w:rPr>
          <w:rFonts w:ascii="Arial" w:cs="Arial" w:eastAsia="Arial" w:hAnsi="Arial"/>
          <w:sz w:val="14"/>
          <w:szCs w:val="14"/>
          <w:u w:val="single" w:color="auto"/>
          <w:color w:val="auto"/>
        </w:rPr>
        <w:t>Adjournment</w:t>
      </w:r>
      <w:r>
        <w:rPr>
          <w:rFonts w:ascii="Arial" w:cs="Arial" w:eastAsia="Arial" w:hAnsi="Arial"/>
          <w:sz w:val="14"/>
          <w:szCs w:val="14"/>
          <w:color w:val="auto"/>
        </w:rPr>
        <w: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or, if no stockholder is present or represented by proxy, by any officer entitled to preside at or to act as secretary of such meeting.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ectPr>
          <w:pgSz w:w="11900" w:h="16838" w:orient="portrait"/>
          <w:cols w:equalWidth="0" w:num="1">
            <w:col w:w="11440"/>
          </w:cols>
          <w:pgMar w:left="240" w:top="332" w:right="219" w:bottom="0" w:gutter="0" w:footer="0" w:header="0"/>
        </w:sectPr>
      </w:pPr>
    </w:p>
    <w:bookmarkStart w:id="265" w:name="page266"/>
    <w:bookmarkEnd w:id="265"/>
    <w:p>
      <w:pPr>
        <w:spacing w:after="0" w:line="73" w:lineRule="exact"/>
        <w:rPr>
          <w:sz w:val="20"/>
          <w:szCs w:val="20"/>
          <w:color w:val="auto"/>
        </w:rPr>
      </w:pPr>
    </w:p>
    <w:p>
      <w:pPr>
        <w:ind w:left="7" w:right="80" w:firstLine="557"/>
        <w:spacing w:after="0" w:line="262"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Proxy Representation</w:t>
      </w:r>
      <w:r>
        <w:rPr>
          <w:rFonts w:ascii="Arial" w:cs="Arial" w:eastAsia="Arial" w:hAnsi="Arial"/>
          <w:sz w:val="15"/>
          <w:szCs w:val="15"/>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provided by law, a revocable proxy shall be deemed revoked if the stockholder is present at the meeting for which the proxy was given.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65" w:lineRule="exact"/>
        <w:rPr>
          <w:sz w:val="20"/>
          <w:szCs w:val="20"/>
          <w:color w:val="auto"/>
        </w:rPr>
      </w:pPr>
    </w:p>
    <w:p>
      <w:pPr>
        <w:ind w:left="7" w:right="120" w:firstLine="557"/>
        <w:spacing w:after="0" w:line="274"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Inspectors</w:t>
      </w:r>
      <w:r>
        <w:rPr>
          <w:rFonts w:ascii="Arial" w:cs="Arial" w:eastAsia="Arial" w:hAnsi="Arial"/>
          <w:sz w:val="15"/>
          <w:szCs w:val="15"/>
          <w:color w:val="auto"/>
        </w:rPr>
        <w:t>. The directors or the person presiding at the meeting may, but need not unless required by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100"/>
        <w:spacing w:after="0" w:line="294" w:lineRule="auto"/>
        <w:rPr>
          <w:sz w:val="20"/>
          <w:szCs w:val="20"/>
          <w:color w:val="auto"/>
        </w:rPr>
      </w:pPr>
      <w:r>
        <w:rPr>
          <w:rFonts w:ascii="Arial" w:cs="Arial" w:eastAsia="Arial" w:hAnsi="Arial"/>
          <w:sz w:val="14"/>
          <w:szCs w:val="14"/>
          <w:color w:val="auto"/>
        </w:rPr>
        <w:t>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140" w:lineRule="exact"/>
        <w:rPr>
          <w:sz w:val="20"/>
          <w:szCs w:val="20"/>
          <w:color w:val="auto"/>
        </w:rPr>
      </w:pPr>
    </w:p>
    <w:p>
      <w:pPr>
        <w:ind w:left="7" w:right="80" w:firstLine="557"/>
        <w:spacing w:after="0" w:line="269"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Action by Vote</w:t>
      </w:r>
      <w:r>
        <w:rPr>
          <w:rFonts w:ascii="Arial" w:cs="Arial" w:eastAsia="Arial" w:hAnsi="Arial"/>
          <w:sz w:val="15"/>
          <w:szCs w:val="15"/>
          <w:color w:val="auto"/>
        </w:rPr>
        <w:t>.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55" w:lineRule="exact"/>
        <w:rPr>
          <w:sz w:val="20"/>
          <w:szCs w:val="20"/>
          <w:color w:val="auto"/>
        </w:rPr>
      </w:pPr>
    </w:p>
    <w:p>
      <w:pPr>
        <w:ind w:left="7" w:right="20" w:firstLine="557"/>
        <w:spacing w:after="0" w:line="266"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Action Without Meetings</w:t>
      </w:r>
      <w:r>
        <w:rPr>
          <w:rFonts w:ascii="Arial" w:cs="Arial" w:eastAsia="Arial" w:hAnsi="Arial"/>
          <w:sz w:val="15"/>
          <w:szCs w:val="15"/>
          <w:color w:val="auto"/>
        </w:rPr>
        <w:t>.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58" w:lineRule="exact"/>
        <w:rPr>
          <w:sz w:val="20"/>
          <w:szCs w:val="20"/>
          <w:color w:val="auto"/>
        </w:rPr>
      </w:pPr>
    </w:p>
    <w:p>
      <w:pPr>
        <w:ind w:left="7" w:firstLine="557"/>
        <w:spacing w:after="0" w:line="269" w:lineRule="auto"/>
        <w:rPr>
          <w:sz w:val="20"/>
          <w:szCs w:val="20"/>
          <w:color w:val="auto"/>
        </w:rPr>
      </w:pPr>
      <w:r>
        <w:rPr>
          <w:rFonts w:ascii="Arial" w:cs="Arial" w:eastAsia="Arial" w:hAnsi="Arial"/>
          <w:sz w:val="15"/>
          <w:szCs w:val="15"/>
          <w:color w:val="auto"/>
        </w:rPr>
        <w:t xml:space="preserve">3.14 </w:t>
      </w:r>
      <w:r>
        <w:rPr>
          <w:rFonts w:ascii="Arial" w:cs="Arial" w:eastAsia="Arial" w:hAnsi="Arial"/>
          <w:sz w:val="15"/>
          <w:szCs w:val="15"/>
          <w:u w:val="single" w:color="auto"/>
          <w:color w:val="auto"/>
        </w:rPr>
        <w:t>Organization</w:t>
      </w:r>
      <w:r>
        <w:rPr>
          <w:rFonts w:ascii="Arial" w:cs="Arial" w:eastAsia="Arial" w:hAnsi="Arial"/>
          <w:sz w:val="15"/>
          <w:szCs w:val="15"/>
          <w:color w:val="auto"/>
        </w:rPr>
        <w:t>. Meetings of stockholders shall be presided over by the chairperson of the board of directors, if any, or in his absence by the president, or in his absence by a vice president, or in the absence of the foregoing persons by a chairperson chosen at the meeting by the board. The secretary shall act as secretary of the meeting, but in his absence the chairperson of the meeting may appoint any person to act as secretary of the meeting. The chairperson of the meeting shall announce at the meeting of stockholders the date and time of the opening and the closing of the polls for each matter upon which the stockholders will vote.</w:t>
      </w:r>
    </w:p>
    <w:p>
      <w:pPr>
        <w:spacing w:after="0" w:line="155" w:lineRule="exact"/>
        <w:rPr>
          <w:sz w:val="20"/>
          <w:szCs w:val="20"/>
          <w:color w:val="auto"/>
        </w:rPr>
      </w:pPr>
    </w:p>
    <w:p>
      <w:pPr>
        <w:ind w:left="7" w:right="20" w:firstLine="557"/>
        <w:spacing w:after="0" w:line="279" w:lineRule="auto"/>
        <w:rPr>
          <w:sz w:val="20"/>
          <w:szCs w:val="20"/>
          <w:color w:val="auto"/>
        </w:rPr>
      </w:pPr>
      <w:r>
        <w:rPr>
          <w:rFonts w:ascii="Arial" w:cs="Arial" w:eastAsia="Arial" w:hAnsi="Arial"/>
          <w:sz w:val="14"/>
          <w:szCs w:val="14"/>
          <w:color w:val="auto"/>
        </w:rPr>
        <w:t xml:space="preserve">3.15 </w:t>
      </w:r>
      <w:r>
        <w:rPr>
          <w:rFonts w:ascii="Arial" w:cs="Arial" w:eastAsia="Arial" w:hAnsi="Arial"/>
          <w:sz w:val="14"/>
          <w:szCs w:val="14"/>
          <w:u w:val="single" w:color="auto"/>
          <w:color w:val="auto"/>
        </w:rPr>
        <w:t>Conduct of Meetings</w:t>
      </w:r>
      <w:r>
        <w:rPr>
          <w:rFonts w:ascii="Arial" w:cs="Arial" w:eastAsia="Arial" w:hAnsi="Arial"/>
          <w:sz w:val="14"/>
          <w:szCs w:val="14"/>
          <w:color w:val="auto"/>
        </w:rPr>
        <w:t>. The board of directors of the corporation may adopt by resolution such rules and regulations for the conduct of the meeting of stockholders as it shall deem appropriate. Except to the extent inconsistent with such rules and regulations as adopted by the board of directors, the chairperson of any meeting of stockholders shall have the right and authority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the establishment of an agenda or order of business for the meeting; (ii) rules and procedures for maintaining order at the meeting and the safety of those present;</w:t>
      </w:r>
    </w:p>
    <w:p>
      <w:pPr>
        <w:spacing w:after="0" w:line="3" w:lineRule="exact"/>
        <w:rPr>
          <w:sz w:val="20"/>
          <w:szCs w:val="20"/>
          <w:color w:val="auto"/>
        </w:rPr>
      </w:pPr>
    </w:p>
    <w:p>
      <w:pPr>
        <w:ind w:left="7" w:right="240" w:hanging="7"/>
        <w:spacing w:after="0" w:line="276" w:lineRule="auto"/>
        <w:tabs>
          <w:tab w:leader="none" w:pos="278" w:val="left"/>
        </w:tabs>
        <w:numPr>
          <w:ilvl w:val="0"/>
          <w:numId w:val="184"/>
        </w:numPr>
        <w:rPr>
          <w:rFonts w:ascii="Arial" w:cs="Arial" w:eastAsia="Arial" w:hAnsi="Arial"/>
          <w:sz w:val="15"/>
          <w:szCs w:val="15"/>
          <w:color w:val="auto"/>
        </w:rPr>
      </w:pPr>
      <w:r>
        <w:rPr>
          <w:rFonts w:ascii="Arial" w:cs="Arial" w:eastAsia="Arial" w:hAnsi="Arial"/>
          <w:sz w:val="15"/>
          <w:szCs w:val="15"/>
          <w:color w:val="auto"/>
        </w:rPr>
        <w:t>limitations on attendance at or participation in the meeting to stockholders of record of the corporation, their duly authorized and constituted proxies or such other persons as the chairperson of the meeting shall determine; (iv) restrictions</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220"/>
        <w:spacing w:after="0" w:line="274" w:lineRule="auto"/>
        <w:rPr>
          <w:sz w:val="20"/>
          <w:szCs w:val="20"/>
          <w:color w:val="auto"/>
        </w:rPr>
      </w:pPr>
      <w:r>
        <w:rPr>
          <w:rFonts w:ascii="Arial" w:cs="Arial" w:eastAsia="Arial" w:hAnsi="Arial"/>
          <w:sz w:val="15"/>
          <w:szCs w:val="15"/>
          <w:color w:val="auto"/>
        </w:rPr>
        <w:t>on entry to the meeting after the time fixed for the commencement thereof; and (v) limitations on the time allotted to questions or comments by participants. Unless and to the extent determined by the board of directors or the chairperson of the meeting, meetings of stockholders shall not be required to be held in accordance with the rules of parliamentary procedure.</w:t>
      </w:r>
    </w:p>
    <w:p>
      <w:pPr>
        <w:spacing w:after="0" w:line="152" w:lineRule="exact"/>
        <w:rPr>
          <w:sz w:val="20"/>
          <w:szCs w:val="20"/>
          <w:color w:val="auto"/>
        </w:rPr>
      </w:pPr>
    </w:p>
    <w:p>
      <w:pPr>
        <w:ind w:left="547"/>
        <w:spacing w:after="0"/>
        <w:tabs>
          <w:tab w:leader="none" w:pos="1367"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4"/>
          <w:szCs w:val="14"/>
          <w:color w:val="auto"/>
        </w:rPr>
        <w:t>DIRECTORS</w:t>
      </w:r>
    </w:p>
    <w:p>
      <w:pPr>
        <w:spacing w:after="0" w:line="199" w:lineRule="exact"/>
        <w:rPr>
          <w:sz w:val="20"/>
          <w:szCs w:val="20"/>
          <w:color w:val="auto"/>
        </w:rPr>
      </w:pPr>
    </w:p>
    <w:p>
      <w:pPr>
        <w:ind w:left="7" w:right="20" w:firstLine="557"/>
        <w:spacing w:after="0" w:line="266"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Number</w:t>
      </w:r>
      <w:r>
        <w:rPr>
          <w:rFonts w:ascii="Arial" w:cs="Arial" w:eastAsia="Arial" w:hAnsi="Arial"/>
          <w:sz w:val="15"/>
          <w:szCs w:val="15"/>
          <w:color w:val="auto"/>
        </w:rPr>
        <w:t>. The number of directors which shall constitute the whole board shall not be less than one. The first board shall consist of three directors. Thereafter, the stockholders at the annual meeting shall determine the number of directors, and the number of directors may be increased or decreased at any time or from time to time by the stockholders or by the directors by vote of a majority of directors then in office, except that any such decrease by vote of the directors shall only be made to eliminate vacancies existing by reason of the death, resignation or removal of one or more directors. The directors shall be elected at the annual meeting of the stockholders, except as provided in these by-laws. Directors need not be stockholders.</w:t>
      </w:r>
    </w:p>
    <w:p>
      <w:pPr>
        <w:spacing w:after="0" w:line="158" w:lineRule="exact"/>
        <w:rPr>
          <w:sz w:val="20"/>
          <w:szCs w:val="20"/>
          <w:color w:val="auto"/>
        </w:rPr>
      </w:pPr>
    </w:p>
    <w:p>
      <w:pPr>
        <w:ind w:left="7" w:right="100" w:firstLine="557"/>
        <w:spacing w:after="0" w:line="29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Tenure</w:t>
      </w:r>
      <w:r>
        <w:rPr>
          <w:rFonts w:ascii="Arial" w:cs="Arial" w:eastAsia="Arial" w:hAnsi="Arial"/>
          <w:sz w:val="15"/>
          <w:szCs w:val="15"/>
          <w:color w:val="auto"/>
        </w:rPr>
        <w:t>.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140" w:lineRule="exact"/>
        <w:rPr>
          <w:sz w:val="20"/>
          <w:szCs w:val="20"/>
          <w:color w:val="auto"/>
        </w:rPr>
      </w:pPr>
    </w:p>
    <w:p>
      <w:pPr>
        <w:ind w:left="7" w:right="120" w:firstLine="557"/>
        <w:spacing w:after="0" w:line="328"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Powers</w:t>
      </w:r>
      <w:r>
        <w:rPr>
          <w:rFonts w:ascii="Arial" w:cs="Arial" w:eastAsia="Arial" w:hAnsi="Arial"/>
          <w:sz w:val="14"/>
          <w:szCs w:val="14"/>
          <w:color w:val="auto"/>
        </w:rPr>
        <w:t>.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17" w:lineRule="exact"/>
        <w:rPr>
          <w:sz w:val="20"/>
          <w:szCs w:val="20"/>
          <w:color w:val="auto"/>
        </w:rPr>
      </w:pPr>
    </w:p>
    <w:p>
      <w:pPr>
        <w:ind w:left="7" w:right="20" w:firstLine="557"/>
        <w:spacing w:after="0" w:line="264"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Vacancies</w:t>
      </w:r>
      <w:r>
        <w:rPr>
          <w:rFonts w:ascii="Arial" w:cs="Arial" w:eastAsia="Arial" w:hAnsi="Arial"/>
          <w:sz w:val="15"/>
          <w:szCs w:val="15"/>
          <w:color w:val="auto"/>
        </w:rPr>
        <w:t>.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in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61" w:lineRule="exact"/>
        <w:rPr>
          <w:sz w:val="20"/>
          <w:szCs w:val="20"/>
          <w:color w:val="auto"/>
        </w:rPr>
      </w:pPr>
    </w:p>
    <w:p>
      <w:pPr>
        <w:ind w:left="7" w:right="40" w:firstLine="557"/>
        <w:spacing w:after="0" w:line="264"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Committees</w:t>
      </w:r>
      <w:r>
        <w:rPr>
          <w:rFonts w:ascii="Arial" w:cs="Arial" w:eastAsia="Arial" w:hAnsi="Arial"/>
          <w:sz w:val="15"/>
          <w:szCs w:val="15"/>
          <w:color w:val="auto"/>
        </w:rPr>
        <w:t>.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240"/>
        <w:spacing w:after="0" w:line="328" w:lineRule="auto"/>
        <w:rPr>
          <w:sz w:val="20"/>
          <w:szCs w:val="20"/>
          <w:color w:val="auto"/>
        </w:rPr>
      </w:pPr>
      <w:r>
        <w:rPr>
          <w:rFonts w:ascii="Arial" w:cs="Arial" w:eastAsia="Arial" w:hAnsi="Arial"/>
          <w:sz w:val="14"/>
          <w:szCs w:val="14"/>
          <w:color w:val="auto"/>
        </w:rPr>
        <w:t>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w:t>
      </w:r>
    </w:p>
    <w:p>
      <w:pPr>
        <w:sectPr>
          <w:pgSz w:w="11900" w:h="16911" w:orient="portrait"/>
          <w:cols w:equalWidth="0" w:num="1">
            <w:col w:w="11447"/>
          </w:cols>
          <w:pgMar w:left="233" w:top="129" w:right="219" w:bottom="0" w:gutter="0" w:footer="0" w:header="0"/>
        </w:sectPr>
      </w:pPr>
    </w:p>
    <w:bookmarkStart w:id="266" w:name="page267"/>
    <w:bookmarkEnd w:id="266"/>
    <w:p>
      <w:pPr>
        <w:ind w:right="100"/>
        <w:spacing w:after="0" w:line="274" w:lineRule="auto"/>
        <w:rPr>
          <w:sz w:val="20"/>
          <w:szCs w:val="20"/>
          <w:color w:val="auto"/>
        </w:rPr>
      </w:pPr>
      <w:r>
        <w:rPr>
          <w:rFonts w:ascii="Arial" w:cs="Arial" w:eastAsia="Arial" w:hAnsi="Arial"/>
          <w:sz w:val="15"/>
          <w:szCs w:val="15"/>
          <w:color w:val="auto"/>
        </w:rPr>
        <w:t>disqualified member. Except as the board of directors may otherwise determine, any committee may make, alter and repeal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52" w:lineRule="exact"/>
        <w:rPr>
          <w:sz w:val="20"/>
          <w:szCs w:val="20"/>
          <w:color w:val="auto"/>
        </w:rPr>
      </w:pPr>
    </w:p>
    <w:p>
      <w:pPr>
        <w:jc w:val="both"/>
        <w:ind w:right="320" w:firstLine="557"/>
        <w:spacing w:after="0" w:line="274"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Regular Meeting</w:t>
      </w:r>
      <w:r>
        <w:rPr>
          <w:rFonts w:ascii="Arial" w:cs="Arial" w:eastAsia="Arial" w:hAnsi="Arial"/>
          <w:sz w:val="15"/>
          <w:szCs w:val="15"/>
          <w:color w:val="auto"/>
        </w:rPr>
        <w:t>.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52" w:lineRule="exact"/>
        <w:rPr>
          <w:sz w:val="20"/>
          <w:szCs w:val="20"/>
          <w:color w:val="auto"/>
        </w:rPr>
      </w:pPr>
    </w:p>
    <w:p>
      <w:pPr>
        <w:ind w:firstLine="557"/>
        <w:spacing w:after="0" w:line="274"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Special Meetings</w:t>
      </w:r>
      <w:r>
        <w:rPr>
          <w:rFonts w:ascii="Arial" w:cs="Arial" w:eastAsia="Arial" w:hAnsi="Arial"/>
          <w:sz w:val="15"/>
          <w:szCs w:val="15"/>
          <w:color w:val="auto"/>
        </w:rPr>
        <w:t>. Special meetings of the board of directors may be held at any time and at any place within or without the State of Delaware designated in the notice of the meeting, when called by the president, or by one-third or more in number of the directors, reasonable notice thereof being given to each director by the secretary or by the president or by any one of the directors calling the meeting.</w:t>
      </w:r>
    </w:p>
    <w:p>
      <w:pPr>
        <w:spacing w:after="0" w:line="152" w:lineRule="exact"/>
        <w:rPr>
          <w:sz w:val="20"/>
          <w:szCs w:val="20"/>
          <w:color w:val="auto"/>
        </w:rPr>
      </w:pPr>
    </w:p>
    <w:p>
      <w:pPr>
        <w:ind w:right="80" w:firstLine="557"/>
        <w:spacing w:after="0" w:line="266"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Notice</w:t>
      </w:r>
      <w:r>
        <w:rPr>
          <w:rFonts w:ascii="Arial" w:cs="Arial" w:eastAsia="Arial" w:hAnsi="Arial"/>
          <w:sz w:val="15"/>
          <w:szCs w:val="15"/>
          <w:color w:val="auto"/>
        </w:rPr>
        <w:t>. It shall be reasonable and sufficient notice to a director to send notice by mail at least forty-eight hours or by telegram or telecopy or other form of electronic transmission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58" w:lineRule="exact"/>
        <w:rPr>
          <w:sz w:val="20"/>
          <w:szCs w:val="20"/>
          <w:color w:val="auto"/>
        </w:rPr>
      </w:pPr>
    </w:p>
    <w:p>
      <w:pPr>
        <w:ind w:right="20" w:firstLine="557"/>
        <w:spacing w:after="0" w:line="302"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Quorum</w:t>
      </w:r>
      <w:r>
        <w:rPr>
          <w:rFonts w:ascii="Arial" w:cs="Arial" w:eastAsia="Arial" w:hAnsi="Arial"/>
          <w:sz w:val="14"/>
          <w:szCs w:val="14"/>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35" w:lineRule="exact"/>
        <w:rPr>
          <w:sz w:val="20"/>
          <w:szCs w:val="20"/>
          <w:color w:val="auto"/>
        </w:rPr>
      </w:pPr>
    </w:p>
    <w:p>
      <w:pPr>
        <w:ind w:right="260" w:firstLine="557"/>
        <w:spacing w:after="0" w:line="290"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Action by Vote</w:t>
      </w:r>
      <w:r>
        <w:rPr>
          <w:rFonts w:ascii="Arial" w:cs="Arial" w:eastAsia="Arial" w:hAnsi="Arial"/>
          <w:sz w:val="15"/>
          <w:szCs w:val="15"/>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4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4.11</w:t>
      </w:r>
      <w:r>
        <w:rPr>
          <w:sz w:val="20"/>
          <w:szCs w:val="20"/>
          <w:color w:val="auto"/>
        </w:rPr>
        <w:tab/>
      </w:r>
      <w:r>
        <w:rPr>
          <w:rFonts w:ascii="Arial" w:cs="Arial" w:eastAsia="Arial" w:hAnsi="Arial"/>
          <w:sz w:val="14"/>
          <w:szCs w:val="14"/>
          <w:u w:val="single" w:color="auto"/>
          <w:color w:val="auto"/>
        </w:rPr>
        <w:t>Action Without a Meeting</w:t>
      </w:r>
      <w:r>
        <w:rPr>
          <w:rFonts w:ascii="Arial" w:cs="Arial" w:eastAsia="Arial" w:hAnsi="Arial"/>
          <w:sz w:val="14"/>
          <w:szCs w:val="14"/>
          <w:color w:val="auto"/>
        </w:rPr>
        <w:t>. Unless otherwise restricted by the certificate of incorporation or these by-laws, any action required or permitted to be taken at any meeting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152" w:lineRule="exact"/>
        <w:rPr>
          <w:sz w:val="20"/>
          <w:szCs w:val="20"/>
          <w:color w:val="auto"/>
        </w:rPr>
      </w:pPr>
    </w:p>
    <w:p>
      <w:pPr>
        <w:ind w:right="40" w:firstLine="557"/>
        <w:spacing w:after="0" w:line="274"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Participation in Meetings by Conference Telephone</w:t>
      </w:r>
      <w:r>
        <w:rPr>
          <w:rFonts w:ascii="Arial" w:cs="Arial" w:eastAsia="Arial" w:hAnsi="Arial"/>
          <w:sz w:val="15"/>
          <w:szCs w:val="15"/>
          <w:color w:val="auto"/>
        </w:rPr>
        <w:t>.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152" w:lineRule="exact"/>
        <w:rPr>
          <w:sz w:val="20"/>
          <w:szCs w:val="20"/>
          <w:color w:val="auto"/>
        </w:rPr>
      </w:pPr>
    </w:p>
    <w:p>
      <w:pPr>
        <w:ind w:right="80" w:firstLine="557"/>
        <w:spacing w:after="0" w:line="266" w:lineRule="auto"/>
        <w:rPr>
          <w:sz w:val="20"/>
          <w:szCs w:val="20"/>
          <w:color w:val="auto"/>
        </w:rPr>
      </w:pPr>
      <w:r>
        <w:rPr>
          <w:rFonts w:ascii="Arial" w:cs="Arial" w:eastAsia="Arial" w:hAnsi="Arial"/>
          <w:sz w:val="15"/>
          <w:szCs w:val="15"/>
          <w:color w:val="auto"/>
        </w:rPr>
        <w:t xml:space="preserve">4.13 </w:t>
      </w:r>
      <w:r>
        <w:rPr>
          <w:rFonts w:ascii="Arial" w:cs="Arial" w:eastAsia="Arial" w:hAnsi="Arial"/>
          <w:sz w:val="15"/>
          <w:szCs w:val="15"/>
          <w:u w:val="single" w:color="auto"/>
          <w:color w:val="auto"/>
        </w:rPr>
        <w:t>Compensation</w:t>
      </w:r>
      <w:r>
        <w:rPr>
          <w:rFonts w:ascii="Arial" w:cs="Arial" w:eastAsia="Arial" w:hAnsi="Arial"/>
          <w:sz w:val="15"/>
          <w:szCs w:val="15"/>
          <w:color w:val="auto"/>
        </w:rPr>
        <w:t>.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5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4.14</w:t>
      </w:r>
      <w:r>
        <w:rPr>
          <w:sz w:val="20"/>
          <w:szCs w:val="20"/>
          <w:color w:val="auto"/>
        </w:rPr>
        <w:tab/>
      </w:r>
      <w:r>
        <w:rPr>
          <w:rFonts w:ascii="Arial" w:cs="Arial" w:eastAsia="Arial" w:hAnsi="Arial"/>
          <w:sz w:val="14"/>
          <w:szCs w:val="14"/>
          <w:u w:val="single" w:color="auto"/>
          <w:color w:val="auto"/>
        </w:rPr>
        <w:t>Interested Directors and Officers</w:t>
      </w:r>
      <w:r>
        <w:rPr>
          <w:rFonts w:ascii="Arial" w:cs="Arial" w:eastAsia="Arial" w:hAnsi="Arial"/>
          <w:sz w:val="14"/>
          <w:szCs w:val="14"/>
          <w:color w:val="auto"/>
        </w:rPr>
        <w:t>.</w:t>
      </w:r>
    </w:p>
    <w:p>
      <w:pPr>
        <w:spacing w:after="0" w:line="199" w:lineRule="exact"/>
        <w:rPr>
          <w:sz w:val="20"/>
          <w:szCs w:val="20"/>
          <w:color w:val="auto"/>
        </w:rPr>
      </w:pPr>
    </w:p>
    <w:p>
      <w:pPr>
        <w:ind w:right="300" w:firstLine="1107"/>
        <w:spacing w:after="0" w:line="269" w:lineRule="auto"/>
        <w:tabs>
          <w:tab w:leader="none" w:pos="166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55" w:lineRule="exact"/>
        <w:rPr>
          <w:rFonts w:ascii="Arial" w:cs="Arial" w:eastAsia="Arial" w:hAnsi="Arial"/>
          <w:sz w:val="15"/>
          <w:szCs w:val="15"/>
          <w:color w:val="auto"/>
        </w:rPr>
      </w:pPr>
    </w:p>
    <w:p>
      <w:pPr>
        <w:ind w:right="80" w:firstLine="1664"/>
        <w:spacing w:after="0" w:line="274" w:lineRule="auto"/>
        <w:tabs>
          <w:tab w:leader="none" w:pos="2791" w:val="left"/>
        </w:tabs>
        <w:numPr>
          <w:ilvl w:val="1"/>
          <w:numId w:val="185"/>
        </w:numPr>
        <w:rPr>
          <w:rFonts w:ascii="Arial" w:cs="Arial" w:eastAsia="Arial" w:hAnsi="Arial"/>
          <w:sz w:val="15"/>
          <w:szCs w:val="15"/>
          <w:color w:val="auto"/>
        </w:rPr>
      </w:pPr>
      <w:r>
        <w:rPr>
          <w:rFonts w:ascii="Arial" w:cs="Arial" w:eastAsia="Arial" w:hAnsi="Arial"/>
          <w:sz w:val="15"/>
          <w:szCs w:val="15"/>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51" w:lineRule="exact"/>
        <w:rPr>
          <w:rFonts w:ascii="Arial" w:cs="Arial" w:eastAsia="Arial" w:hAnsi="Arial"/>
          <w:sz w:val="15"/>
          <w:szCs w:val="15"/>
          <w:color w:val="auto"/>
        </w:rPr>
      </w:pPr>
    </w:p>
    <w:p>
      <w:pPr>
        <w:ind w:right="400" w:firstLine="1664"/>
        <w:spacing w:after="0" w:line="290" w:lineRule="auto"/>
        <w:tabs>
          <w:tab w:leader="none" w:pos="2791" w:val="left"/>
        </w:tabs>
        <w:numPr>
          <w:ilvl w:val="1"/>
          <w:numId w:val="185"/>
        </w:numPr>
        <w:rPr>
          <w:rFonts w:ascii="Arial" w:cs="Arial" w:eastAsia="Arial" w:hAnsi="Arial"/>
          <w:sz w:val="15"/>
          <w:szCs w:val="15"/>
          <w:color w:val="auto"/>
        </w:rPr>
      </w:pPr>
      <w:r>
        <w:rPr>
          <w:rFonts w:ascii="Arial" w:cs="Arial" w:eastAsia="Arial" w:hAnsi="Arial"/>
          <w:sz w:val="15"/>
          <w:szCs w:val="15"/>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40" w:lineRule="exact"/>
        <w:rPr>
          <w:rFonts w:ascii="Arial" w:cs="Arial" w:eastAsia="Arial" w:hAnsi="Arial"/>
          <w:sz w:val="15"/>
          <w:szCs w:val="15"/>
          <w:color w:val="auto"/>
        </w:rPr>
      </w:pPr>
    </w:p>
    <w:p>
      <w:pPr>
        <w:ind w:left="2780" w:hanging="1116"/>
        <w:spacing w:after="0"/>
        <w:tabs>
          <w:tab w:leader="none" w:pos="2780" w:val="left"/>
        </w:tabs>
        <w:numPr>
          <w:ilvl w:val="1"/>
          <w:numId w:val="185"/>
        </w:numPr>
        <w:rPr>
          <w:rFonts w:ascii="Arial" w:cs="Arial" w:eastAsia="Arial" w:hAnsi="Arial"/>
          <w:sz w:val="14"/>
          <w:szCs w:val="14"/>
          <w:color w:val="auto"/>
        </w:rPr>
      </w:pPr>
      <w:r>
        <w:rPr>
          <w:rFonts w:ascii="Arial" w:cs="Arial" w:eastAsia="Arial" w:hAnsi="Arial"/>
          <w:sz w:val="14"/>
          <w:szCs w:val="14"/>
          <w:color w:val="auto"/>
        </w:rPr>
        <w:t>The contract or transaction is fair as to the corporation as of the time it is authorized, approved or ratified by the board of directors, a</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committee thereof, or the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9" w:lineRule="exact"/>
        <w:rPr>
          <w:sz w:val="20"/>
          <w:szCs w:val="20"/>
          <w:color w:val="auto"/>
        </w:rPr>
      </w:pPr>
    </w:p>
    <w:p>
      <w:pPr>
        <w:ind w:right="340" w:firstLine="1107"/>
        <w:spacing w:after="0" w:line="290" w:lineRule="auto"/>
        <w:tabs>
          <w:tab w:leader="none" w:pos="1677" w:val="left"/>
        </w:tabs>
        <w:numPr>
          <w:ilvl w:val="0"/>
          <w:numId w:val="186"/>
        </w:numPr>
        <w:rPr>
          <w:rFonts w:ascii="Arial" w:cs="Arial" w:eastAsia="Arial" w:hAnsi="Arial"/>
          <w:sz w:val="15"/>
          <w:szCs w:val="15"/>
          <w:color w:val="auto"/>
        </w:rPr>
      </w:pPr>
      <w:r>
        <w:rPr>
          <w:rFonts w:ascii="Arial" w:cs="Arial" w:eastAsia="Arial" w:hAnsi="Arial"/>
          <w:sz w:val="15"/>
          <w:szCs w:val="15"/>
          <w:color w:val="auto"/>
        </w:rPr>
        <w:t>Common or interested directors may be counted in determining the presence of a quorum at a meeting of the board of directors or of a committee which authorizes the contract or transaction.</w:t>
      </w:r>
    </w:p>
    <w:p>
      <w:pPr>
        <w:spacing w:after="0" w:line="140" w:lineRule="exact"/>
        <w:rPr>
          <w:sz w:val="20"/>
          <w:szCs w:val="20"/>
          <w:color w:val="auto"/>
        </w:rPr>
      </w:pPr>
    </w:p>
    <w:p>
      <w:pPr>
        <w:ind w:right="60" w:firstLine="557"/>
        <w:spacing w:after="0" w:line="285" w:lineRule="auto"/>
        <w:rPr>
          <w:sz w:val="20"/>
          <w:szCs w:val="20"/>
          <w:color w:val="auto"/>
        </w:rPr>
      </w:pPr>
      <w:r>
        <w:rPr>
          <w:rFonts w:ascii="Arial" w:cs="Arial" w:eastAsia="Arial" w:hAnsi="Arial"/>
          <w:sz w:val="14"/>
          <w:szCs w:val="14"/>
          <w:color w:val="auto"/>
        </w:rPr>
        <w:t xml:space="preserve">4.15 </w:t>
      </w:r>
      <w:r>
        <w:rPr>
          <w:rFonts w:ascii="Arial" w:cs="Arial" w:eastAsia="Arial" w:hAnsi="Arial"/>
          <w:sz w:val="14"/>
          <w:szCs w:val="14"/>
          <w:u w:val="single" w:color="auto"/>
          <w:color w:val="auto"/>
        </w:rPr>
        <w:t>Resignation or Removal of Directors</w:t>
      </w:r>
      <w:r>
        <w:rPr>
          <w:rFonts w:ascii="Arial" w:cs="Arial" w:eastAsia="Arial" w:hAnsi="Arial"/>
          <w:sz w:val="14"/>
          <w:szCs w:val="14"/>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no director removed shall have any right to receive compensation as such director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4"/>
          <w:szCs w:val="14"/>
          <w:color w:val="auto"/>
        </w:rPr>
        <w:t>NOTICES</w:t>
      </w:r>
    </w:p>
    <w:p>
      <w:pPr>
        <w:spacing w:after="0" w:line="199" w:lineRule="exact"/>
        <w:rPr>
          <w:sz w:val="20"/>
          <w:szCs w:val="20"/>
          <w:color w:val="auto"/>
        </w:rPr>
      </w:pPr>
    </w:p>
    <w:p>
      <w:pPr>
        <w:ind w:firstLine="557"/>
        <w:spacing w:after="0" w:line="284"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Form of Notice</w:t>
      </w:r>
      <w:r>
        <w:rPr>
          <w:rFonts w:ascii="Arial" w:cs="Arial" w:eastAsia="Arial" w:hAnsi="Arial"/>
          <w:sz w:val="14"/>
          <w:szCs w:val="14"/>
          <w:color w:val="auto"/>
        </w:rPr>
        <w:t>. Whenever, under the provisions of law,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Notice may also be given to any stockholder and to any director by any form of electronic transmission, to the same extent permitted by Section 232 of the Delaware General Corporation Law with respect to stockholders, and will be deemed given at the time provided therein. Oral notice or other in-hand delivery (in person or by telephone) shall be deemed given at the time it is actually given.</w:t>
      </w:r>
    </w:p>
    <w:p>
      <w:pPr>
        <w:sectPr>
          <w:pgSz w:w="11900" w:h="16838" w:orient="portrait"/>
          <w:cols w:equalWidth="0" w:num="1">
            <w:col w:w="11420"/>
          </w:cols>
          <w:pgMar w:left="240" w:top="129" w:right="239" w:bottom="0" w:gutter="0" w:footer="0" w:header="0"/>
        </w:sectPr>
      </w:pPr>
    </w:p>
    <w:bookmarkStart w:id="267" w:name="page268"/>
    <w:bookmarkEnd w:id="267"/>
    <w:p>
      <w:pPr>
        <w:spacing w:after="0" w:line="51" w:lineRule="exact"/>
        <w:rPr>
          <w:sz w:val="20"/>
          <w:szCs w:val="20"/>
          <w:color w:val="auto"/>
        </w:rPr>
      </w:pPr>
    </w:p>
    <w:p>
      <w:pPr>
        <w:ind w:right="360" w:firstLine="557"/>
        <w:spacing w:after="0" w:line="266"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Waiver of Notice</w:t>
      </w:r>
      <w:r>
        <w:rPr>
          <w:rFonts w:ascii="Arial" w:cs="Arial" w:eastAsia="Arial" w:hAnsi="Arial"/>
          <w:sz w:val="15"/>
          <w:szCs w:val="15"/>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4"/>
          <w:szCs w:val="14"/>
          <w:color w:val="auto"/>
        </w:rPr>
        <w:t>OFFICERS AND AGENTS</w:t>
      </w:r>
    </w:p>
    <w:p>
      <w:pPr>
        <w:spacing w:after="0" w:line="199" w:lineRule="exact"/>
        <w:rPr>
          <w:sz w:val="20"/>
          <w:szCs w:val="20"/>
          <w:color w:val="auto"/>
        </w:rPr>
      </w:pPr>
    </w:p>
    <w:p>
      <w:pPr>
        <w:ind w:right="160" w:firstLine="557"/>
        <w:spacing w:after="0" w:line="294"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Enumeration; Qualification</w:t>
      </w:r>
      <w:r>
        <w:rPr>
          <w:rFonts w:ascii="Arial" w:cs="Arial" w:eastAsia="Arial" w:hAnsi="Arial"/>
          <w:sz w:val="14"/>
          <w:szCs w:val="14"/>
          <w:color w:val="auto"/>
        </w:rPr>
        <w:t>. The officers of the corporation shall be a president, a treasurer, a secretary and such other officers, if any, as the board of directors from time to time may in its discretion elect or appoint including without limitation a chairperson of the board of directors and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40" w:lineRule="exact"/>
        <w:rPr>
          <w:sz w:val="20"/>
          <w:szCs w:val="20"/>
          <w:color w:val="auto"/>
        </w:rPr>
      </w:pPr>
    </w:p>
    <w:p>
      <w:pPr>
        <w:ind w:right="280" w:firstLine="557"/>
        <w:spacing w:after="0" w:line="32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Powers</w:t>
      </w:r>
      <w:r>
        <w:rPr>
          <w:rFonts w:ascii="Arial" w:cs="Arial" w:eastAsia="Arial" w:hAnsi="Arial"/>
          <w:sz w:val="14"/>
          <w:szCs w:val="14"/>
          <w:color w:val="auto"/>
        </w:rPr>
        <w:t>.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17" w:lineRule="exact"/>
        <w:rPr>
          <w:sz w:val="20"/>
          <w:szCs w:val="20"/>
          <w:color w:val="auto"/>
        </w:rPr>
      </w:pPr>
    </w:p>
    <w:p>
      <w:pPr>
        <w:ind w:right="80" w:firstLine="557"/>
        <w:spacing w:after="0" w:line="274"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Election</w:t>
      </w:r>
      <w:r>
        <w:rPr>
          <w:rFonts w:ascii="Arial" w:cs="Arial" w:eastAsia="Arial" w:hAnsi="Arial"/>
          <w:sz w:val="15"/>
          <w:szCs w:val="15"/>
          <w:color w:val="auto"/>
        </w:rPr>
        <w:t>. The board of directors at its first meeting after each annual meeting of stockholders shall choose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152" w:lineRule="exact"/>
        <w:rPr>
          <w:sz w:val="20"/>
          <w:szCs w:val="20"/>
          <w:color w:val="auto"/>
        </w:rPr>
      </w:pPr>
    </w:p>
    <w:p>
      <w:pPr>
        <w:ind w:right="140" w:firstLine="557"/>
        <w:spacing w:after="0" w:line="269"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Tenure</w:t>
      </w:r>
      <w:r>
        <w:rPr>
          <w:rFonts w:ascii="Arial" w:cs="Arial" w:eastAsia="Arial" w:hAnsi="Arial"/>
          <w:sz w:val="15"/>
          <w:szCs w:val="15"/>
          <w:color w:val="auto"/>
        </w:rPr>
        <w:t>.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155" w:lineRule="exact"/>
        <w:rPr>
          <w:sz w:val="20"/>
          <w:szCs w:val="20"/>
          <w:color w:val="auto"/>
        </w:rPr>
      </w:pPr>
    </w:p>
    <w:p>
      <w:pPr>
        <w:ind w:right="40" w:firstLine="557"/>
        <w:spacing w:after="0" w:line="269"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Chairperson of the Board of Directors</w:t>
      </w:r>
      <w:r>
        <w:rPr>
          <w:rFonts w:ascii="Arial" w:cs="Arial" w:eastAsia="Arial" w:hAnsi="Arial"/>
          <w:sz w:val="15"/>
          <w:szCs w:val="15"/>
          <w:color w:val="auto"/>
        </w:rPr>
        <w:t>. The chairperson of the board of directors, if any, shall have such duties and powers as shall be designated from time to time by the board of directors. Unless the board of directors otherwise specifies, the chairperson of the board, or if there is none the president, shall preside, or designate the person who shall preside, at all meetings of the stockholders and of the board of directors. References in these by-laws to a chairperson shall include references to persons designated by the board of directors with the title chairman, chairwoman or chair or any similar title.</w:t>
      </w:r>
    </w:p>
    <w:p>
      <w:pPr>
        <w:spacing w:after="0" w:line="155" w:lineRule="exact"/>
        <w:rPr>
          <w:sz w:val="20"/>
          <w:szCs w:val="20"/>
          <w:color w:val="auto"/>
        </w:rPr>
      </w:pPr>
    </w:p>
    <w:p>
      <w:pPr>
        <w:ind w:right="40" w:firstLine="557"/>
        <w:spacing w:after="0" w:line="269"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President and Vice Presidents</w:t>
      </w:r>
      <w:r>
        <w:rPr>
          <w:rFonts w:ascii="Arial" w:cs="Arial" w:eastAsia="Arial" w:hAnsi="Arial"/>
          <w:sz w:val="15"/>
          <w:szCs w:val="15"/>
          <w:color w:val="auto"/>
        </w:rPr>
        <w:t>. The president shall be the chief executive officer and shall have direct and active charge of all business operations of the corporation and shall have general supervision of the entire business of the corporation, subject to the control of the board of directors. As provided in Section 6.5, in the absence of the chairperson of the board of directors, the president shall preside at all meetings of the stockholders and of the board of directors at which the president is present, except as otherwise voted by the board of directors.</w:t>
      </w:r>
    </w:p>
    <w:p>
      <w:pPr>
        <w:spacing w:after="0" w:line="155" w:lineRule="exact"/>
        <w:rPr>
          <w:sz w:val="20"/>
          <w:szCs w:val="20"/>
          <w:color w:val="auto"/>
        </w:rPr>
      </w:pPr>
    </w:p>
    <w:p>
      <w:pPr>
        <w:ind w:right="180" w:firstLine="557"/>
        <w:spacing w:after="0" w:line="290" w:lineRule="auto"/>
        <w:rPr>
          <w:sz w:val="20"/>
          <w:szCs w:val="20"/>
          <w:color w:val="auto"/>
        </w:rPr>
      </w:pPr>
      <w:r>
        <w:rPr>
          <w:rFonts w:ascii="Arial" w:cs="Arial" w:eastAsia="Arial" w:hAnsi="Arial"/>
          <w:sz w:val="15"/>
          <w:szCs w:val="15"/>
          <w:color w:val="auto"/>
        </w:rPr>
        <w:t>The president or treasurer shall execute bonds, mortgages and other contracts requiring a seal, under the seal of the corporation, except where required or permitted by law to be otherwise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signed and executed and except where the signing and execution thereof shall be expressly delegated by the board of directors to some other officer or agent of the corporation.</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vice presidents shall have such duties and powers as shall be designated from time to time by the board of directors or by the president.</w:t>
      </w:r>
    </w:p>
    <w:p>
      <w:pPr>
        <w:spacing w:after="0" w:line="199" w:lineRule="exact"/>
        <w:rPr>
          <w:sz w:val="20"/>
          <w:szCs w:val="20"/>
          <w:color w:val="auto"/>
        </w:rPr>
      </w:pPr>
    </w:p>
    <w:p>
      <w:pPr>
        <w:ind w:right="300" w:firstLine="557"/>
        <w:spacing w:after="0" w:line="290"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Treasurer and Assistant Treasurers</w:t>
      </w:r>
      <w:r>
        <w:rPr>
          <w:rFonts w:ascii="Arial" w:cs="Arial" w:eastAsia="Arial" w:hAnsi="Arial"/>
          <w:sz w:val="15"/>
          <w:szCs w:val="15"/>
          <w:color w:val="auto"/>
        </w:rPr>
        <w:t>. The treasurer shall be the chief financial officer of the corporation and shall be in charge of its funds and valuable papers, and shall have such other duties and powers as may be assigned to him from time to time by the board of directors or by the president.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assistant treasurers shall have such duties and powers as shall be designated from time to time by the board of directors, the president or the treasurer.</w:t>
      </w:r>
    </w:p>
    <w:p>
      <w:pPr>
        <w:spacing w:after="0" w:line="199"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6.8</w:t>
      </w:r>
      <w:r>
        <w:rPr>
          <w:sz w:val="20"/>
          <w:szCs w:val="20"/>
          <w:color w:val="auto"/>
        </w:rPr>
        <w:tab/>
      </w:r>
      <w:r>
        <w:rPr>
          <w:rFonts w:ascii="Arial" w:cs="Arial" w:eastAsia="Arial" w:hAnsi="Arial"/>
          <w:sz w:val="14"/>
          <w:szCs w:val="14"/>
          <w:u w:val="single" w:color="auto"/>
          <w:color w:val="auto"/>
        </w:rPr>
        <w:t>Secretary and Assistant Secretaries</w:t>
      </w:r>
      <w:r>
        <w:rPr>
          <w:rFonts w:ascii="Arial" w:cs="Arial" w:eastAsia="Arial" w:hAnsi="Arial"/>
          <w:sz w:val="14"/>
          <w:szCs w:val="14"/>
          <w:color w:val="auto"/>
        </w:rPr>
        <w:t>. The secretary shall record all proceedings of the stockholders, of the board of directors and of committees of the board of</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directors in a book or series of books to be kept therefor and shall file therein all writings of, or related to, action by stockholder or director consent. In the absence of the secretary from any meeting, an assistant secretary, or if there is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The secretary shall have such other duties and powers as may from time to time be designated by the board of directors or the president.</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assistant secretaries shall have such duties and powers as shall be designated from time to time by the board of directors, the president or the secretary.</w:t>
      </w:r>
    </w:p>
    <w:p>
      <w:pPr>
        <w:spacing w:after="0" w:line="199" w:lineRule="exact"/>
        <w:rPr>
          <w:sz w:val="20"/>
          <w:szCs w:val="20"/>
          <w:color w:val="auto"/>
        </w:rPr>
      </w:pPr>
    </w:p>
    <w:p>
      <w:pPr>
        <w:ind w:right="40" w:firstLine="557"/>
        <w:spacing w:after="0" w:line="263"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Resignation and Removal</w:t>
      </w:r>
      <w:r>
        <w:rPr>
          <w:rFonts w:ascii="Arial" w:cs="Arial" w:eastAsia="Arial" w:hAnsi="Arial"/>
          <w:sz w:val="15"/>
          <w:szCs w:val="15"/>
          <w:color w:val="auto"/>
        </w:rPr>
        <w:t>.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no officer removed shall have any right to any compensation as such officer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62" w:lineRule="exact"/>
        <w:rPr>
          <w:sz w:val="20"/>
          <w:szCs w:val="20"/>
          <w:color w:val="auto"/>
        </w:rPr>
      </w:pPr>
    </w:p>
    <w:p>
      <w:pPr>
        <w:jc w:val="both"/>
        <w:ind w:right="60" w:firstLine="557"/>
        <w:spacing w:after="0" w:line="274"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Vacancies</w:t>
      </w:r>
      <w:r>
        <w:rPr>
          <w:rFonts w:ascii="Arial" w:cs="Arial" w:eastAsia="Arial" w:hAnsi="Arial"/>
          <w:sz w:val="15"/>
          <w:szCs w:val="15"/>
          <w:color w:val="auto"/>
        </w:rPr>
        <w:t>. 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president, the treasurer and the secretary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until his successor is chosen and qualified, or in each case until he sooner dies, resigns, is removed or becomes disqualified.</w:t>
      </w:r>
    </w:p>
    <w:p>
      <w:pPr>
        <w:spacing w:after="0" w:line="19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4"/>
          <w:szCs w:val="14"/>
          <w:color w:val="auto"/>
        </w:rPr>
        <w:t>CAPITAL STOCK</w:t>
      </w:r>
    </w:p>
    <w:p>
      <w:pPr>
        <w:spacing w:after="0" w:line="199" w:lineRule="exact"/>
        <w:rPr>
          <w:sz w:val="20"/>
          <w:szCs w:val="20"/>
          <w:color w:val="auto"/>
        </w:rPr>
      </w:pPr>
    </w:p>
    <w:p>
      <w:pPr>
        <w:ind w:right="120" w:firstLine="557"/>
        <w:spacing w:after="0" w:line="294"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Stock Certificates</w:t>
      </w:r>
      <w:r>
        <w:rPr>
          <w:rFonts w:ascii="Arial" w:cs="Arial" w:eastAsia="Arial" w:hAnsi="Arial"/>
          <w:sz w:val="14"/>
          <w:szCs w:val="14"/>
          <w:color w:val="auto"/>
        </w:rPr>
        <w:t>.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(i) the chairperson of the board of directors or the president or a vice-president and (ii) the treasurer or an assistant treasurer or the secretary or an assistant secretary. Any or all of the signatures on the certificate may be a facsimile. In case an officer, transfer agent or registrar who has signed or whose facsimile signature has been placed on such certificate</w:t>
      </w:r>
    </w:p>
    <w:p>
      <w:pPr>
        <w:sectPr>
          <w:pgSz w:w="11900" w:h="16889" w:orient="portrait"/>
          <w:cols w:equalWidth="0" w:num="1">
            <w:col w:w="11440"/>
          </w:cols>
          <w:pgMar w:left="240" w:top="129" w:right="219" w:bottom="0" w:gutter="0" w:footer="0" w:header="0"/>
        </w:sectPr>
      </w:pPr>
    </w:p>
    <w:bookmarkStart w:id="268" w:name="page269"/>
    <w:bookmarkEnd w:id="268"/>
    <w:p>
      <w:pPr>
        <w:ind w:right="480"/>
        <w:spacing w:after="0" w:line="290" w:lineRule="auto"/>
        <w:rPr>
          <w:sz w:val="20"/>
          <w:szCs w:val="20"/>
          <w:color w:val="auto"/>
        </w:rPr>
      </w:pPr>
      <w:r>
        <w:rPr>
          <w:rFonts w:ascii="Arial" w:cs="Arial" w:eastAsia="Arial" w:hAnsi="Arial"/>
          <w:sz w:val="15"/>
          <w:szCs w:val="15"/>
          <w:color w:val="auto"/>
        </w:rPr>
        <w:t>shall have ceased to be such officer, transfer agent or registrar before such certificate is issued, it may be issued by the corporation with the same effect as if he were such officer, transfer agent, or registrar at the time of its issue.</w:t>
      </w:r>
    </w:p>
    <w:p>
      <w:pPr>
        <w:spacing w:after="0" w:line="140" w:lineRule="exact"/>
        <w:rPr>
          <w:sz w:val="20"/>
          <w:szCs w:val="20"/>
          <w:color w:val="auto"/>
        </w:rPr>
      </w:pPr>
    </w:p>
    <w:p>
      <w:pPr>
        <w:ind w:right="160" w:firstLine="557"/>
        <w:spacing w:after="0" w:line="289"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Lost Certificates</w:t>
      </w:r>
      <w:r>
        <w:rPr>
          <w:rFonts w:ascii="Arial" w:cs="Arial" w:eastAsia="Arial" w:hAnsi="Arial"/>
          <w:sz w:val="14"/>
          <w:szCs w:val="14"/>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45"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4"/>
          <w:szCs w:val="14"/>
          <w:color w:val="auto"/>
        </w:rPr>
        <w:t>TRANSFER OF SHARES OF STOCK</w:t>
      </w:r>
    </w:p>
    <w:p>
      <w:pPr>
        <w:spacing w:after="0" w:line="199" w:lineRule="exact"/>
        <w:rPr>
          <w:sz w:val="20"/>
          <w:szCs w:val="20"/>
          <w:color w:val="auto"/>
        </w:rPr>
      </w:pPr>
    </w:p>
    <w:p>
      <w:pPr>
        <w:ind w:right="60" w:firstLine="557"/>
        <w:spacing w:after="0" w:line="263"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Transfer on Books</w:t>
      </w:r>
      <w:r>
        <w:rPr>
          <w:rFonts w:ascii="Arial" w:cs="Arial" w:eastAsia="Arial" w:hAnsi="Arial"/>
          <w:sz w:val="15"/>
          <w:szCs w:val="15"/>
          <w:color w:val="auto"/>
        </w:rPr>
        <w:t>.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 shall be the duty of each stockholder to notify the corporation of his post office address.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9</w:t>
      </w:r>
      <w:r>
        <w:rPr>
          <w:sz w:val="20"/>
          <w:szCs w:val="20"/>
          <w:color w:val="auto"/>
        </w:rPr>
        <w:tab/>
      </w:r>
      <w:r>
        <w:rPr>
          <w:rFonts w:ascii="Arial" w:cs="Arial" w:eastAsia="Arial" w:hAnsi="Arial"/>
          <w:sz w:val="14"/>
          <w:szCs w:val="14"/>
          <w:color w:val="auto"/>
        </w:rPr>
        <w:t>GENERAL PROVISIONS</w:t>
      </w:r>
    </w:p>
    <w:p>
      <w:pPr>
        <w:spacing w:after="0" w:line="199" w:lineRule="exact"/>
        <w:rPr>
          <w:sz w:val="20"/>
          <w:szCs w:val="20"/>
          <w:color w:val="auto"/>
        </w:rPr>
      </w:pPr>
    </w:p>
    <w:p>
      <w:pPr>
        <w:ind w:right="120" w:firstLine="557"/>
        <w:spacing w:after="0" w:line="264"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Record Date</w:t>
      </w:r>
      <w:r>
        <w:rPr>
          <w:rFonts w:ascii="Arial" w:cs="Arial" w:eastAsia="Arial" w:hAnsi="Arial"/>
          <w:sz w:val="15"/>
          <w:szCs w:val="15"/>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161" w:lineRule="exact"/>
        <w:rPr>
          <w:sz w:val="20"/>
          <w:szCs w:val="20"/>
          <w:color w:val="auto"/>
        </w:rPr>
      </w:pPr>
    </w:p>
    <w:p>
      <w:pPr>
        <w:ind w:right="360" w:firstLine="1107"/>
        <w:spacing w:after="0" w:line="328" w:lineRule="auto"/>
        <w:tabs>
          <w:tab w:leader="none" w:pos="166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16" w:lineRule="exact"/>
        <w:rPr>
          <w:rFonts w:ascii="Arial" w:cs="Arial" w:eastAsia="Arial" w:hAnsi="Arial"/>
          <w:sz w:val="14"/>
          <w:szCs w:val="14"/>
          <w:color w:val="auto"/>
        </w:rPr>
      </w:pPr>
    </w:p>
    <w:p>
      <w:pPr>
        <w:ind w:right="120" w:firstLine="1107"/>
        <w:spacing w:after="0" w:line="290" w:lineRule="auto"/>
        <w:tabs>
          <w:tab w:leader="none" w:pos="1677"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140" w:lineRule="exact"/>
        <w:rPr>
          <w:rFonts w:ascii="Arial" w:cs="Arial" w:eastAsia="Arial" w:hAnsi="Arial"/>
          <w:sz w:val="15"/>
          <w:szCs w:val="15"/>
          <w:color w:val="auto"/>
        </w:rPr>
      </w:pPr>
    </w:p>
    <w:p>
      <w:pPr>
        <w:ind w:right="300" w:firstLine="1107"/>
        <w:spacing w:after="0" w:line="290" w:lineRule="auto"/>
        <w:tabs>
          <w:tab w:leader="none" w:pos="168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record date for determining stockholders for any other purpose shall be at the close of business on the day on which the board of directors adopts the resolution relating to such purpose.</w:t>
      </w:r>
    </w:p>
    <w:p>
      <w:pPr>
        <w:spacing w:after="0" w:line="140" w:lineRule="exact"/>
        <w:rPr>
          <w:sz w:val="20"/>
          <w:szCs w:val="20"/>
          <w:color w:val="auto"/>
        </w:rPr>
      </w:pPr>
    </w:p>
    <w:p>
      <w:pPr>
        <w:ind w:right="360" w:firstLine="557"/>
        <w:spacing w:after="0" w:line="290"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Dividends</w:t>
      </w:r>
      <w:r>
        <w:rPr>
          <w:rFonts w:ascii="Arial" w:cs="Arial" w:eastAsia="Arial" w:hAnsi="Arial"/>
          <w:sz w:val="15"/>
          <w:szCs w:val="15"/>
          <w:color w:val="auto"/>
        </w:rPr>
        <w:t>.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40" w:lineRule="exact"/>
        <w:rPr>
          <w:sz w:val="20"/>
          <w:szCs w:val="20"/>
          <w:color w:val="auto"/>
        </w:rPr>
      </w:pPr>
    </w:p>
    <w:p>
      <w:pPr>
        <w:ind w:right="160" w:firstLine="557"/>
        <w:spacing w:after="0" w:line="269"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Payment of Dividends</w:t>
      </w:r>
      <w:r>
        <w:rPr>
          <w:rFonts w:ascii="Arial" w:cs="Arial" w:eastAsia="Arial" w:hAnsi="Arial"/>
          <w:sz w:val="15"/>
          <w:szCs w:val="15"/>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55" w:lineRule="exact"/>
        <w:rPr>
          <w:sz w:val="20"/>
          <w:szCs w:val="20"/>
          <w:color w:val="auto"/>
        </w:rPr>
      </w:pPr>
    </w:p>
    <w:p>
      <w:pPr>
        <w:ind w:right="380" w:firstLine="557"/>
        <w:spacing w:after="0" w:line="290"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Checks</w:t>
      </w:r>
      <w:r>
        <w:rPr>
          <w:rFonts w:ascii="Arial" w:cs="Arial" w:eastAsia="Arial" w:hAnsi="Arial"/>
          <w:sz w:val="15"/>
          <w:szCs w:val="15"/>
          <w:color w:val="auto"/>
        </w:rPr>
        <w:t>. All checks or demands for money and notes of the corporation shall be signed by such officer or officers or such other person or persons as the board of directors may from time to time designate.</w:t>
      </w:r>
    </w:p>
    <w:p>
      <w:pPr>
        <w:spacing w:after="0" w:line="140" w:lineRule="exact"/>
        <w:rPr>
          <w:sz w:val="20"/>
          <w:szCs w:val="20"/>
          <w:color w:val="auto"/>
        </w:rPr>
      </w:pPr>
    </w:p>
    <w:p>
      <w:pPr>
        <w:ind w:right="520" w:firstLine="557"/>
        <w:spacing w:after="0" w:line="290" w:lineRule="auto"/>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corporation shall begin on the first of January in each year and shall end on the last day of December next following, unless otherwise determined by the board of directors.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557"/>
        <w:spacing w:after="0" w:line="274" w:lineRule="auto"/>
        <w:rPr>
          <w:sz w:val="20"/>
          <w:szCs w:val="20"/>
          <w:color w:val="auto"/>
        </w:rPr>
      </w:pPr>
      <w:r>
        <w:rPr>
          <w:rFonts w:ascii="Arial" w:cs="Arial" w:eastAsia="Arial" w:hAnsi="Arial"/>
          <w:sz w:val="15"/>
          <w:szCs w:val="15"/>
          <w:color w:val="auto"/>
        </w:rPr>
        <w:t xml:space="preserve">9.6 </w:t>
      </w:r>
      <w:r>
        <w:rPr>
          <w:rFonts w:ascii="Arial" w:cs="Arial" w:eastAsia="Arial" w:hAnsi="Arial"/>
          <w:sz w:val="15"/>
          <w:szCs w:val="15"/>
          <w:u w:val="single" w:color="auto"/>
          <w:color w:val="auto"/>
        </w:rPr>
        <w:t>Seal</w:t>
      </w:r>
      <w:r>
        <w:rPr>
          <w:rFonts w:ascii="Arial" w:cs="Arial" w:eastAsia="Arial" w:hAnsi="Arial"/>
          <w:sz w:val="15"/>
          <w:szCs w:val="15"/>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52"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10</w:t>
        <w:tab/>
        <w:t>INDEMNIFICATION</w:t>
      </w:r>
    </w:p>
    <w:p>
      <w:pPr>
        <w:spacing w:after="0" w:line="199" w:lineRule="exact"/>
        <w:rPr>
          <w:sz w:val="20"/>
          <w:szCs w:val="20"/>
          <w:color w:val="auto"/>
        </w:rPr>
      </w:pPr>
    </w:p>
    <w:p>
      <w:pPr>
        <w:ind w:firstLine="557"/>
        <w:spacing w:after="0" w:line="280" w:lineRule="auto"/>
        <w:rPr>
          <w:sz w:val="20"/>
          <w:szCs w:val="20"/>
          <w:color w:val="auto"/>
        </w:rPr>
      </w:pPr>
      <w:r>
        <w:rPr>
          <w:rFonts w:ascii="Arial" w:cs="Arial" w:eastAsia="Arial" w:hAnsi="Arial"/>
          <w:sz w:val="14"/>
          <w:szCs w:val="14"/>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Delaware General Corporation Law. In furtherance of and not in limitation of the foregoing, the corporation shall advance expenses, including attorneys’ fees,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advances if it shall ultimately be determined that he is not entitled to be indemnified by the corporation. The corporation shall have the power to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has the power to indemnify such person under the Delaware General Corporation Law. Notwithstanding the foregoing, the Corporation shall not be required to indemnify or advance expenses to any person in connection with any action, suit, proceeding, claim or counterclaim initiated by or on behalf of such person. Any repeal or modification of the provisions of this Section 10 shall only be prospective and shall not adversely affect any right or protection of any director, officer, employee or agent of the Corporation existing or in effect with respect to an act or omission occurring prior to the time of such repeal or modification (i.e., any right or protection provided under this Section 10 shall be deemed to vest at the time that the act or omission occurred, irrespective of when and whether a proceeding challenging such act or omission is first threatened or commenced). The provisions of this Section 10 are in addition to, and do not limit, amend, alter, change, repeal or modify, the indemnification rights set forth in the Corporation’s certificate of incorporation, as amended.</w:t>
      </w:r>
    </w:p>
    <w:p>
      <w:pPr>
        <w:spacing w:after="0" w:line="156"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11</w:t>
        <w:tab/>
        <w:t>AMENDMENTS</w:t>
      </w:r>
    </w:p>
    <w:p>
      <w:pPr>
        <w:spacing w:after="0" w:line="199" w:lineRule="exact"/>
        <w:rPr>
          <w:sz w:val="20"/>
          <w:szCs w:val="20"/>
          <w:color w:val="auto"/>
        </w:rPr>
      </w:pPr>
    </w:p>
    <w:p>
      <w:pPr>
        <w:ind w:right="40" w:firstLine="557"/>
        <w:spacing w:after="0" w:line="269" w:lineRule="auto"/>
        <w:rPr>
          <w:sz w:val="20"/>
          <w:szCs w:val="20"/>
          <w:color w:val="auto"/>
        </w:rPr>
      </w:pPr>
      <w:r>
        <w:rPr>
          <w:rFonts w:ascii="Arial" w:cs="Arial" w:eastAsia="Arial" w:hAnsi="Arial"/>
          <w:sz w:val="15"/>
          <w:szCs w:val="15"/>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1440"/>
          </w:cols>
          <w:pgMar w:left="240" w:top="129" w:right="219" w:bottom="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78740</wp:posOffset>
            </wp:positionV>
            <wp:extent cx="7285990"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5"/>
          <w:szCs w:val="15"/>
          <w:b w:val="1"/>
          <w:bCs w:val="1"/>
          <w:color w:val="auto"/>
        </w:rPr>
        <w:t>Exhibit 10.1</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2008 Stock Incentive Plan</w:t>
      </w:r>
    </w:p>
    <w:p>
      <w:pPr>
        <w:spacing w:after="0" w:line="199" w:lineRule="exact"/>
        <w:rPr>
          <w:sz w:val="20"/>
          <w:szCs w:val="20"/>
          <w:color w:val="auto"/>
        </w:rPr>
      </w:pPr>
    </w:p>
    <w:p>
      <w:pPr>
        <w:ind w:left="547" w:hanging="547"/>
        <w:spacing w:after="0"/>
        <w:tabs>
          <w:tab w:leader="none" w:pos="547" w:val="left"/>
        </w:tabs>
        <w:numPr>
          <w:ilvl w:val="0"/>
          <w:numId w:val="188"/>
        </w:numPr>
        <w:rPr>
          <w:rFonts w:ascii="Arial" w:cs="Arial" w:eastAsia="Arial" w:hAnsi="Arial"/>
          <w:sz w:val="15"/>
          <w:szCs w:val="15"/>
          <w:b w:val="1"/>
          <w:bCs w:val="1"/>
          <w:color w:val="auto"/>
        </w:rPr>
      </w:pPr>
      <w:r>
        <w:rPr>
          <w:rFonts w:ascii="Arial" w:cs="Arial" w:eastAsia="Arial" w:hAnsi="Arial"/>
          <w:sz w:val="15"/>
          <w:szCs w:val="15"/>
          <w:b w:val="1"/>
          <w:bCs w:val="1"/>
          <w:color w:val="auto"/>
        </w:rPr>
        <w:t>Purpose.</w:t>
      </w:r>
    </w:p>
    <w:p>
      <w:pPr>
        <w:spacing w:after="0" w:line="205" w:lineRule="exact"/>
        <w:rPr>
          <w:sz w:val="20"/>
          <w:szCs w:val="20"/>
          <w:color w:val="auto"/>
        </w:rPr>
      </w:pPr>
    </w:p>
    <w:p>
      <w:pPr>
        <w:ind w:left="7" w:right="120" w:firstLine="557"/>
        <w:spacing w:after="0" w:line="263" w:lineRule="auto"/>
        <w:rPr>
          <w:sz w:val="20"/>
          <w:szCs w:val="20"/>
          <w:color w:val="auto"/>
        </w:rPr>
      </w:pPr>
      <w:r>
        <w:rPr>
          <w:rFonts w:ascii="Arial" w:cs="Arial" w:eastAsia="Arial" w:hAnsi="Arial"/>
          <w:sz w:val="15"/>
          <w:szCs w:val="15"/>
          <w:color w:val="auto"/>
        </w:rPr>
        <w:t>The purpose of this plan (the “</w:t>
      </w:r>
      <w:r>
        <w:rPr>
          <w:rFonts w:ascii="Arial" w:cs="Arial" w:eastAsia="Arial" w:hAnsi="Arial"/>
          <w:sz w:val="15"/>
          <w:szCs w:val="15"/>
          <w:u w:val="single" w:color="auto"/>
          <w:color w:val="auto"/>
        </w:rPr>
        <w:t>Plan</w:t>
      </w:r>
      <w:r>
        <w:rPr>
          <w:rFonts w:ascii="Arial" w:cs="Arial" w:eastAsia="Arial" w:hAnsi="Arial"/>
          <w:sz w:val="15"/>
          <w:szCs w:val="15"/>
          <w:color w:val="auto"/>
        </w:rPr>
        <w:t>”) is to secure for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its shareholders the benefits arising from capital stock ownership by employees, officers and directors of, and consultants or advisors to, the Company and its parent and subsidiary corporations who are expected to contribute to the Company’s future growth and success. Under the Plan recipients may be awarded both (i) Options (as defined in Section 2.1) to purchase the Company’s common stock, par value $0.0001 (“</w:t>
      </w:r>
      <w:r>
        <w:rPr>
          <w:rFonts w:ascii="Arial" w:cs="Arial" w:eastAsia="Arial" w:hAnsi="Arial"/>
          <w:sz w:val="15"/>
          <w:szCs w:val="15"/>
          <w:u w:val="single" w:color="auto"/>
          <w:color w:val="auto"/>
        </w:rPr>
        <w:t>Common Stock</w:t>
      </w:r>
      <w:r>
        <w:rPr>
          <w:rFonts w:ascii="Arial" w:cs="Arial" w:eastAsia="Arial" w:hAnsi="Arial"/>
          <w:sz w:val="15"/>
          <w:szCs w:val="15"/>
          <w:color w:val="auto"/>
        </w:rPr>
        <w:t>”) and (ii) shares of the Company’s Common Stock (“</w:t>
      </w:r>
      <w:r>
        <w:rPr>
          <w:rFonts w:ascii="Arial" w:cs="Arial" w:eastAsia="Arial" w:hAnsi="Arial"/>
          <w:sz w:val="15"/>
          <w:szCs w:val="15"/>
          <w:u w:val="single" w:color="auto"/>
          <w:color w:val="auto"/>
        </w:rPr>
        <w:t>Restricted Stock Awards</w:t>
      </w:r>
      <w:r>
        <w:rPr>
          <w:rFonts w:ascii="Arial" w:cs="Arial" w:eastAsia="Arial" w:hAnsi="Arial"/>
          <w:sz w:val="15"/>
          <w:szCs w:val="15"/>
          <w:color w:val="auto"/>
        </w:rPr>
        <w:t>”). Except where the context otherwise requires, the term “</w:t>
      </w:r>
      <w:r>
        <w:rPr>
          <w:rFonts w:ascii="Arial" w:cs="Arial" w:eastAsia="Arial" w:hAnsi="Arial"/>
          <w:sz w:val="15"/>
          <w:szCs w:val="15"/>
          <w:u w:val="single" w:color="auto"/>
          <w:color w:val="auto"/>
        </w:rPr>
        <w:t>Company</w:t>
      </w:r>
      <w:r>
        <w:rPr>
          <w:rFonts w:ascii="Arial" w:cs="Arial" w:eastAsia="Arial" w:hAnsi="Arial"/>
          <w:sz w:val="15"/>
          <w:szCs w:val="15"/>
          <w:color w:val="auto"/>
        </w:rPr>
        <w:t>” shall include any parent and all present and future subsidiaries of the Company as defined in Sections 424(e) and 424(f) of the Internal Revenue Code of 1986, as amended or replaced from time to time (the “</w:t>
      </w:r>
      <w:r>
        <w:rPr>
          <w:rFonts w:ascii="Arial" w:cs="Arial" w:eastAsia="Arial" w:hAnsi="Arial"/>
          <w:sz w:val="15"/>
          <w:szCs w:val="15"/>
          <w:u w:val="single" w:color="auto"/>
          <w:color w:val="auto"/>
        </w:rPr>
        <w:t>Code</w:t>
      </w:r>
      <w:r>
        <w:rPr>
          <w:rFonts w:ascii="Arial" w:cs="Arial" w:eastAsia="Arial" w:hAnsi="Arial"/>
          <w:sz w:val="15"/>
          <w:szCs w:val="15"/>
          <w:color w:val="auto"/>
        </w:rPr>
        <w:t>”). Those provisions of the Plan which make express reference to Section 422 of the Code shall apply only to Incentive Stock Options (as that term is defined below).</w:t>
      </w:r>
    </w:p>
    <w:p>
      <w:pPr>
        <w:spacing w:after="0" w:line="156" w:lineRule="exact"/>
        <w:rPr>
          <w:sz w:val="20"/>
          <w:szCs w:val="20"/>
          <w:color w:val="auto"/>
        </w:rPr>
      </w:pPr>
    </w:p>
    <w:p>
      <w:pPr>
        <w:ind w:left="547" w:hanging="547"/>
        <w:spacing w:after="0"/>
        <w:tabs>
          <w:tab w:leader="none" w:pos="547"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color w:val="auto"/>
        </w:rPr>
        <w:t>Types of Awards and Administration.</w:t>
      </w:r>
    </w:p>
    <w:p>
      <w:pPr>
        <w:spacing w:after="0" w:line="198" w:lineRule="exact"/>
        <w:rPr>
          <w:rFonts w:ascii="Arial" w:cs="Arial" w:eastAsia="Arial" w:hAnsi="Arial"/>
          <w:sz w:val="15"/>
          <w:szCs w:val="15"/>
          <w:b w:val="1"/>
          <w:bCs w:val="1"/>
          <w:color w:val="auto"/>
        </w:rPr>
      </w:pPr>
    </w:p>
    <w:p>
      <w:pPr>
        <w:ind w:left="1107" w:right="20" w:hanging="557"/>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2.1</w:t>
      </w:r>
      <w:r>
        <w:rPr>
          <w:rFonts w:ascii="Arial" w:cs="Arial" w:eastAsia="Arial" w:hAnsi="Arial"/>
          <w:sz w:val="15"/>
          <w:szCs w:val="15"/>
          <w:b w:val="1"/>
          <w:bCs w:val="1"/>
          <w:color w:val="auto"/>
        </w:rPr>
        <w:t xml:space="preserve">Options. </w:t>
      </w:r>
      <w:r>
        <w:rPr>
          <w:rFonts w:ascii="Arial" w:cs="Arial" w:eastAsia="Arial" w:hAnsi="Arial"/>
          <w:sz w:val="15"/>
          <w:szCs w:val="15"/>
          <w:color w:val="auto"/>
        </w:rPr>
        <w:t>Options granted pursuant to the Plan (“</w:t>
      </w:r>
      <w:r>
        <w:rPr>
          <w:rFonts w:ascii="Arial" w:cs="Arial" w:eastAsia="Arial" w:hAnsi="Arial"/>
          <w:sz w:val="15"/>
          <w:szCs w:val="15"/>
          <w:u w:val="single" w:color="auto"/>
          <w:color w:val="auto"/>
        </w:rPr>
        <w:t>Options</w:t>
      </w:r>
      <w:r>
        <w:rPr>
          <w:rFonts w:ascii="Arial" w:cs="Arial" w:eastAsia="Arial" w:hAnsi="Arial"/>
          <w:sz w:val="15"/>
          <w:szCs w:val="15"/>
          <w:color w:val="auto"/>
        </w:rPr>
        <w:t>”) shall be authorized by action of the Board of Directors of Selecta Biosciences, Inc. (the “</w:t>
      </w:r>
      <w:r>
        <w:rPr>
          <w:rFonts w:ascii="Arial" w:cs="Arial" w:eastAsia="Arial" w:hAnsi="Arial"/>
          <w:sz w:val="15"/>
          <w:szCs w:val="15"/>
          <w:u w:val="single" w:color="auto"/>
          <w:color w:val="auto"/>
        </w:rPr>
        <w:t>Board</w:t>
      </w:r>
      <w:r>
        <w:rPr>
          <w:rFonts w:ascii="Arial" w:cs="Arial" w:eastAsia="Arial" w:hAnsi="Arial"/>
          <w:sz w:val="15"/>
          <w:szCs w:val="15"/>
          <w:color w:val="auto"/>
        </w:rPr>
        <w:t>” or “</w:t>
      </w:r>
      <w:r>
        <w:rPr>
          <w:rFonts w:ascii="Arial" w:cs="Arial" w:eastAsia="Arial" w:hAnsi="Arial"/>
          <w:sz w:val="15"/>
          <w:szCs w:val="15"/>
          <w:u w:val="single" w:color="auto"/>
          <w:color w:val="auto"/>
        </w:rPr>
        <w:t>Board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of Directors</w:t>
      </w:r>
      <w:r>
        <w:rPr>
          <w:rFonts w:ascii="Arial" w:cs="Arial" w:eastAsia="Arial" w:hAnsi="Arial"/>
          <w:sz w:val="15"/>
          <w:szCs w:val="15"/>
          <w:color w:val="auto"/>
        </w:rPr>
        <w:t>”) and may be either incentive stock options (“</w:t>
      </w:r>
      <w:r>
        <w:rPr>
          <w:rFonts w:ascii="Arial" w:cs="Arial" w:eastAsia="Arial" w:hAnsi="Arial"/>
          <w:sz w:val="15"/>
          <w:szCs w:val="15"/>
          <w:u w:val="single" w:color="auto"/>
          <w:color w:val="auto"/>
        </w:rPr>
        <w:t>Incentive Stock Options</w:t>
      </w:r>
      <w:r>
        <w:rPr>
          <w:rFonts w:ascii="Arial" w:cs="Arial" w:eastAsia="Arial" w:hAnsi="Arial"/>
          <w:sz w:val="15"/>
          <w:szCs w:val="15"/>
          <w:color w:val="auto"/>
        </w:rPr>
        <w:t>”) meeting the requirements of Section 422 of the Code or non-statutory Options which are not intended to meet the requirements of Section 422.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153" w:lineRule="exact"/>
        <w:rPr>
          <w:sz w:val="20"/>
          <w:szCs w:val="20"/>
          <w:color w:val="auto"/>
        </w:rPr>
      </w:pPr>
    </w:p>
    <w:p>
      <w:pPr>
        <w:ind w:left="2227" w:right="100" w:hanging="556"/>
        <w:spacing w:after="0" w:line="288" w:lineRule="auto"/>
        <w:tabs>
          <w:tab w:leader="none" w:pos="2207"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4"/>
          <w:szCs w:val="14"/>
          <w:b w:val="1"/>
          <w:bCs w:val="1"/>
          <w:color w:val="auto"/>
        </w:rPr>
        <w:t xml:space="preserve">Incentive Stock Options. </w:t>
      </w:r>
      <w:r>
        <w:rPr>
          <w:rFonts w:ascii="Arial" w:cs="Arial" w:eastAsia="Arial" w:hAnsi="Arial"/>
          <w:sz w:val="14"/>
          <w:szCs w:val="14"/>
          <w:color w:val="auto"/>
        </w:rPr>
        <w:t>All Options when granted are intended to be non-statutory Options, unless the applicable Option Agreement (as defined</w:t>
      </w:r>
      <w:r>
        <w:rPr>
          <w:rFonts w:ascii="Arial" w:cs="Arial" w:eastAsia="Arial" w:hAnsi="Arial"/>
          <w:sz w:val="14"/>
          <w:szCs w:val="14"/>
          <w:b w:val="1"/>
          <w:bCs w:val="1"/>
          <w:color w:val="auto"/>
        </w:rPr>
        <w:t xml:space="preserve"> </w:t>
      </w:r>
      <w:r>
        <w:rPr>
          <w:rFonts w:ascii="Arial" w:cs="Arial" w:eastAsia="Arial" w:hAnsi="Arial"/>
          <w:sz w:val="14"/>
          <w:szCs w:val="14"/>
          <w:color w:val="auto"/>
        </w:rPr>
        <w:t>in Section 5.1) explicitly states that the Option is intended to be an Incentive Stock Option.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Common Stock with an aggregate fair market value (determined as of the respective date or dates of grant) of more than $100,000. If an</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27" w:right="40"/>
        <w:spacing w:after="0" w:line="302" w:lineRule="auto"/>
        <w:rPr>
          <w:sz w:val="20"/>
          <w:szCs w:val="20"/>
          <w:color w:val="auto"/>
        </w:rPr>
      </w:pPr>
      <w:r>
        <w:rPr>
          <w:rFonts w:ascii="Arial" w:cs="Arial" w:eastAsia="Arial" w:hAnsi="Arial"/>
          <w:sz w:val="14"/>
          <w:szCs w:val="14"/>
          <w:color w:val="auto"/>
        </w:rPr>
        <w:t>Option is intended to be an Incentive Stock Option, and if for any reason such Option (or any portion thereof) shall not qualify as an Incentive Stock Option, then, to the extent of such nonqualification, such Option (or portion thereof) shall be regarded as a non-statutory Option appropriately granted under the Plan provided that such Option (or portion thereof) otherwise meets the Plan’s requirements relating to non-statutory Options.</w:t>
      </w:r>
    </w:p>
    <w:p>
      <w:pPr>
        <w:spacing w:after="0" w:line="129" w:lineRule="exact"/>
        <w:rPr>
          <w:sz w:val="20"/>
          <w:szCs w:val="20"/>
          <w:color w:val="auto"/>
        </w:rPr>
      </w:pPr>
    </w:p>
    <w:p>
      <w:pPr>
        <w:ind w:left="1107" w:right="100" w:hanging="556"/>
        <w:spacing w:after="0" w:line="278" w:lineRule="auto"/>
        <w:tabs>
          <w:tab w:leader="none" w:pos="1087"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b w:val="1"/>
          <w:bCs w:val="1"/>
          <w:color w:val="auto"/>
        </w:rPr>
        <w:t xml:space="preserve">Restricted Stock Awards. </w:t>
      </w:r>
      <w:r>
        <w:rPr>
          <w:rFonts w:ascii="Arial" w:cs="Arial" w:eastAsia="Arial" w:hAnsi="Arial"/>
          <w:sz w:val="15"/>
          <w:szCs w:val="15"/>
          <w:color w:val="auto"/>
        </w:rPr>
        <w:t>The Board in its discretion may grant Restricted Stock Awards, entitling the recipient to acquire, for a purchase price determined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shares of Common Stock subject to such restrictions and conditions as the Board may determine at the time of grant (“</w:t>
      </w:r>
      <w:r>
        <w:rPr>
          <w:rFonts w:ascii="Arial" w:cs="Arial" w:eastAsia="Arial" w:hAnsi="Arial"/>
          <w:sz w:val="15"/>
          <w:szCs w:val="15"/>
          <w:u w:val="single" w:color="auto"/>
          <w:color w:val="auto"/>
        </w:rPr>
        <w:t>Restricted Stock</w:t>
      </w:r>
      <w:r>
        <w:rPr>
          <w:rFonts w:ascii="Arial" w:cs="Arial" w:eastAsia="Arial" w:hAnsi="Arial"/>
          <w:sz w:val="15"/>
          <w:szCs w:val="15"/>
          <w:color w:val="auto"/>
        </w:rPr>
        <w:t>”), including continued employment and/or achievement of pre-established performance goals and objectives.</w:t>
      </w:r>
    </w:p>
    <w:p>
      <w:pPr>
        <w:spacing w:after="0" w:line="143" w:lineRule="exact"/>
        <w:rPr>
          <w:sz w:val="20"/>
          <w:szCs w:val="20"/>
          <w:color w:val="auto"/>
        </w:rPr>
      </w:pPr>
    </w:p>
    <w:p>
      <w:pPr>
        <w:ind w:left="1107" w:right="20" w:hanging="556"/>
        <w:spacing w:after="0" w:line="262" w:lineRule="auto"/>
        <w:tabs>
          <w:tab w:leader="none" w:pos="1087"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Plan shall be administered by the Board, whose construction and interpretation of the terms and provisions of the Plan shall be final and</w:t>
      </w:r>
      <w:r>
        <w:rPr>
          <w:rFonts w:ascii="Arial" w:cs="Arial" w:eastAsia="Arial" w:hAnsi="Arial"/>
          <w:sz w:val="15"/>
          <w:szCs w:val="15"/>
          <w:b w:val="1"/>
          <w:bCs w:val="1"/>
          <w:color w:val="auto"/>
        </w:rPr>
        <w:t xml:space="preserve"> </w:t>
      </w:r>
      <w:r>
        <w:rPr>
          <w:rFonts w:ascii="Arial" w:cs="Arial" w:eastAsia="Arial" w:hAnsi="Arial"/>
          <w:sz w:val="15"/>
          <w:szCs w:val="15"/>
          <w:color w:val="auto"/>
        </w:rPr>
        <w:t>conclusive. The Board may in its sole discretion issue Restricted Stock and grant Options and issue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Arial" w:cs="Arial" w:eastAsia="Arial" w:hAnsi="Arial"/>
          <w:sz w:val="15"/>
          <w:szCs w:val="15"/>
          <w:u w:val="single" w:color="auto"/>
          <w:color w:val="auto"/>
        </w:rPr>
        <w:t>Committee</w:t>
      </w:r>
      <w:r>
        <w:rPr>
          <w:rFonts w:ascii="Arial" w:cs="Arial" w:eastAsia="Arial" w:hAnsi="Arial"/>
          <w:sz w:val="15"/>
          <w:szCs w:val="15"/>
          <w:color w:val="auto"/>
        </w:rPr>
        <w:t>”) appointed by the Board, and if the Committee is so appointed all references to the Board in the Plan shall mean and relate to such Committee, other than references to the Board in this sentence and in Section 18 (as to amendment or termination of the Plan) and Section 21.</w:t>
      </w:r>
    </w:p>
    <w:p>
      <w:pPr>
        <w:spacing w:after="0" w:line="157" w:lineRule="exact"/>
        <w:rPr>
          <w:sz w:val="20"/>
          <w:szCs w:val="20"/>
          <w:color w:val="auto"/>
        </w:rPr>
      </w:pPr>
    </w:p>
    <w:p>
      <w:pPr>
        <w:ind w:left="547" w:hanging="547"/>
        <w:spacing w:after="0"/>
        <w:tabs>
          <w:tab w:leader="none" w:pos="547"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Eligibility.</w:t>
      </w:r>
    </w:p>
    <w:p>
      <w:pPr>
        <w:spacing w:after="0" w:line="205" w:lineRule="exact"/>
        <w:rPr>
          <w:sz w:val="20"/>
          <w:szCs w:val="20"/>
          <w:color w:val="auto"/>
        </w:rPr>
      </w:pPr>
    </w:p>
    <w:p>
      <w:pPr>
        <w:ind w:left="7" w:right="280" w:firstLine="557"/>
        <w:spacing w:after="0" w:line="328" w:lineRule="auto"/>
        <w:rPr>
          <w:sz w:val="20"/>
          <w:szCs w:val="20"/>
          <w:color w:val="auto"/>
        </w:rPr>
      </w:pPr>
      <w:r>
        <w:rPr>
          <w:rFonts w:ascii="Arial" w:cs="Arial" w:eastAsia="Arial" w:hAnsi="Arial"/>
          <w:sz w:val="14"/>
          <w:szCs w:val="14"/>
          <w:color w:val="auto"/>
        </w:rPr>
        <w:t xml:space="preserve">Options may be granted, and Restricted Stock may be issued, to persons who are, at the time of such grant or issuance, employees, officers or directors of, or consultants or advisors to,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class of persons to whom Incentive Stock Options may be granted shall be limited to employees of the Company.</w:t>
      </w:r>
    </w:p>
    <w:p>
      <w:pPr>
        <w:spacing w:after="0" w:line="111" w:lineRule="exact"/>
        <w:rPr>
          <w:sz w:val="20"/>
          <w:szCs w:val="20"/>
          <w:color w:val="auto"/>
        </w:rPr>
      </w:pPr>
    </w:p>
    <w:p>
      <w:pPr>
        <w:ind w:left="1107" w:right="320" w:hanging="556"/>
        <w:spacing w:after="0" w:line="299" w:lineRule="auto"/>
        <w:tabs>
          <w:tab w:leader="none" w:pos="1087"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b w:val="1"/>
          <w:bCs w:val="1"/>
          <w:color w:val="auto"/>
        </w:rPr>
        <w:t>10% Shareholder</w:t>
      </w:r>
      <w:r>
        <w:rPr>
          <w:rFonts w:ascii="Arial" w:cs="Arial" w:eastAsia="Arial" w:hAnsi="Arial"/>
          <w:sz w:val="15"/>
          <w:szCs w:val="15"/>
          <w:color w:val="auto"/>
        </w:rPr>
        <w:t>. If any employee to whom an Incentive Stock Option is to be granted is, at the time of the grant of such Option, the owner of stock possessing</w:t>
      </w:r>
      <w:r>
        <w:rPr>
          <w:rFonts w:ascii="Arial" w:cs="Arial" w:eastAsia="Arial" w:hAnsi="Arial"/>
          <w:sz w:val="15"/>
          <w:szCs w:val="15"/>
          <w:b w:val="1"/>
          <w:bCs w:val="1"/>
          <w:color w:val="auto"/>
        </w:rPr>
        <w:t xml:space="preserve"> </w:t>
      </w:r>
      <w:r>
        <w:rPr>
          <w:rFonts w:ascii="Arial" w:cs="Arial" w:eastAsia="Arial" w:hAnsi="Arial"/>
          <w:sz w:val="15"/>
          <w:szCs w:val="15"/>
          <w:color w:val="auto"/>
        </w:rPr>
        <w:t>more than 10% of the total combined voting power of all classes of stock of the</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107" w:right="120"/>
        <w:spacing w:after="0" w:line="274" w:lineRule="auto"/>
        <w:rPr>
          <w:sz w:val="20"/>
          <w:szCs w:val="20"/>
          <w:color w:val="auto"/>
        </w:rPr>
      </w:pPr>
      <w:r>
        <w:rPr>
          <w:rFonts w:ascii="Arial" w:cs="Arial" w:eastAsia="Arial" w:hAnsi="Arial"/>
          <w:sz w:val="15"/>
          <w:szCs w:val="15"/>
          <w:color w:val="auto"/>
        </w:rPr>
        <w:t>Company (after taking into account the attribution of stock ownership rules of Section 424(d) of the Code) (a “</w:t>
      </w:r>
      <w:r>
        <w:rPr>
          <w:rFonts w:ascii="Arial" w:cs="Arial" w:eastAsia="Arial" w:hAnsi="Arial"/>
          <w:sz w:val="15"/>
          <w:szCs w:val="15"/>
          <w:u w:val="single" w:color="auto"/>
          <w:color w:val="auto"/>
        </w:rPr>
        <w:t>Greater Than 10% Shareholder</w:t>
      </w:r>
      <w:r>
        <w:rPr>
          <w:rFonts w:ascii="Arial" w:cs="Arial" w:eastAsia="Arial" w:hAnsi="Arial"/>
          <w:sz w:val="15"/>
          <w:szCs w:val="15"/>
          <w:color w:val="auto"/>
        </w:rPr>
        <w:t>”), any Incentive Stock Option granted to such individual must: (i) have an exercise price per share of not less than 110% of the fair market value of one share of Common Stock at the time of grant; and (ii) expire by its terms not more than five years from the date of grant.</w:t>
      </w:r>
    </w:p>
    <w:p>
      <w:pPr>
        <w:spacing w:after="0" w:line="146" w:lineRule="exact"/>
        <w:rPr>
          <w:sz w:val="20"/>
          <w:szCs w:val="20"/>
          <w:color w:val="auto"/>
        </w:rPr>
      </w:pPr>
    </w:p>
    <w:p>
      <w:pPr>
        <w:ind w:left="547" w:hanging="547"/>
        <w:spacing w:after="0"/>
        <w:tabs>
          <w:tab w:leader="none" w:pos="547"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Stock Subject to Plan.</w:t>
      </w:r>
    </w:p>
    <w:p>
      <w:pPr>
        <w:spacing w:after="0" w:line="205" w:lineRule="exact"/>
        <w:rPr>
          <w:sz w:val="20"/>
          <w:szCs w:val="20"/>
          <w:color w:val="auto"/>
        </w:rPr>
      </w:pPr>
    </w:p>
    <w:p>
      <w:pPr>
        <w:ind w:left="7" w:right="20" w:firstLine="557"/>
        <w:spacing w:after="0" w:line="264" w:lineRule="auto"/>
        <w:rPr>
          <w:sz w:val="20"/>
          <w:szCs w:val="20"/>
          <w:color w:val="auto"/>
        </w:rPr>
      </w:pPr>
      <w:r>
        <w:rPr>
          <w:rFonts w:ascii="Arial" w:cs="Arial" w:eastAsia="Arial" w:hAnsi="Arial"/>
          <w:sz w:val="15"/>
          <w:szCs w:val="15"/>
          <w:color w:val="auto"/>
        </w:rPr>
        <w:t>Subject to adjustment as provided in Section 14.2 below, the maximum number of shares of Common Stock which may be issued under the Plan is 330,000 shares.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issued upon exercise of an Option are tendered to the Company in payment of the exercise price of an Option, such tendered shares shall again be available for subsequent Option grants or Restricted Stock Awards under the Plan.</w:t>
      </w:r>
    </w:p>
    <w:p>
      <w:pPr>
        <w:spacing w:after="0" w:line="155" w:lineRule="exact"/>
        <w:rPr>
          <w:sz w:val="20"/>
          <w:szCs w:val="20"/>
          <w:color w:val="auto"/>
        </w:rPr>
      </w:pPr>
    </w:p>
    <w:p>
      <w:pPr>
        <w:ind w:left="547" w:hanging="547"/>
        <w:spacing w:after="0"/>
        <w:tabs>
          <w:tab w:leader="none" w:pos="547"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Forms of Restricted Stock Agreements and Option Agreements.</w:t>
      </w:r>
    </w:p>
    <w:p>
      <w:pPr>
        <w:spacing w:after="0" w:line="198" w:lineRule="exact"/>
        <w:rPr>
          <w:rFonts w:ascii="Arial" w:cs="Arial" w:eastAsia="Arial" w:hAnsi="Arial"/>
          <w:sz w:val="15"/>
          <w:szCs w:val="15"/>
          <w:b w:val="1"/>
          <w:bCs w:val="1"/>
          <w:color w:val="auto"/>
        </w:rPr>
      </w:pPr>
    </w:p>
    <w:p>
      <w:pPr>
        <w:ind w:left="1107" w:right="360" w:hanging="557"/>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5"/>
          <w:szCs w:val="15"/>
          <w:b w:val="1"/>
          <w:bCs w:val="1"/>
          <w:color w:val="auto"/>
        </w:rPr>
        <w:t xml:space="preserve">Option Agreement. </w:t>
      </w:r>
      <w:r>
        <w:rPr>
          <w:rFonts w:ascii="Arial" w:cs="Arial" w:eastAsia="Arial" w:hAnsi="Arial"/>
          <w:sz w:val="15"/>
          <w:szCs w:val="15"/>
          <w:color w:val="auto"/>
        </w:rPr>
        <w:t>Each recipient of an Option shall execute an option agreement (“</w:t>
      </w:r>
      <w:r>
        <w:rPr>
          <w:rFonts w:ascii="Arial" w:cs="Arial" w:eastAsia="Arial" w:hAnsi="Arial"/>
          <w:sz w:val="15"/>
          <w:szCs w:val="15"/>
          <w:u w:val="single" w:color="auto"/>
          <w:color w:val="auto"/>
        </w:rPr>
        <w:t>Option Agreement</w:t>
      </w:r>
      <w:r>
        <w:rPr>
          <w:rFonts w:ascii="Arial" w:cs="Arial" w:eastAsia="Arial" w:hAnsi="Arial"/>
          <w:sz w:val="15"/>
          <w:szCs w:val="15"/>
          <w:color w:val="auto"/>
        </w:rPr>
        <w:t>”) in such form not inconsistent with the Plan as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by the Board of Directors. Such Option Agreements may differ among recipients.</w:t>
      </w:r>
    </w:p>
    <w:p>
      <w:pPr>
        <w:sectPr>
          <w:pgSz w:w="11900" w:h="16838" w:orient="portrait"/>
          <w:cols w:equalWidth="0" w:num="1">
            <w:col w:w="11447"/>
          </w:cols>
          <w:pgMar w:left="233" w:top="331" w:right="219" w:bottom="0" w:gutter="0" w:footer="0" w:header="0"/>
        </w:sectPr>
      </w:pPr>
    </w:p>
    <w:bookmarkStart w:id="271" w:name="page272"/>
    <w:bookmarkEnd w:id="271"/>
    <w:p>
      <w:pPr>
        <w:ind w:left="1107" w:right="20" w:hanging="556"/>
        <w:spacing w:after="0" w:line="299" w:lineRule="auto"/>
        <w:tabs>
          <w:tab w:leader="none" w:pos="1087"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b w:val="1"/>
          <w:bCs w:val="1"/>
          <w:color w:val="auto"/>
        </w:rPr>
        <w:t xml:space="preserve">Restricted Stock Agreement. </w:t>
      </w:r>
      <w:r>
        <w:rPr>
          <w:rFonts w:ascii="Arial" w:cs="Arial" w:eastAsia="Arial" w:hAnsi="Arial"/>
          <w:sz w:val="15"/>
          <w:szCs w:val="15"/>
          <w:color w:val="auto"/>
        </w:rPr>
        <w:t>Each recipient of a grant of Restricted Stock shall execute an agreement (“</w:t>
      </w: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in such form not inconsistent</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Plan as may be approved by the Board of Directors. Such Restricted Stock Agreements may differ among recipients.</w:t>
      </w:r>
    </w:p>
    <w:p>
      <w:pPr>
        <w:spacing w:after="0" w:line="127" w:lineRule="exact"/>
        <w:rPr>
          <w:sz w:val="20"/>
          <w:szCs w:val="20"/>
          <w:color w:val="auto"/>
        </w:rPr>
      </w:pPr>
    </w:p>
    <w:p>
      <w:pPr>
        <w:ind w:left="1107" w:right="160" w:hanging="556"/>
        <w:spacing w:after="0" w:line="286" w:lineRule="auto"/>
        <w:tabs>
          <w:tab w:leader="none" w:pos="1087"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b w:val="1"/>
          <w:bCs w:val="1"/>
          <w:color w:val="auto"/>
        </w:rPr>
        <w:t xml:space="preserve">“Lock-Up” Agreement. </w:t>
      </w:r>
      <w:r>
        <w:rPr>
          <w:rFonts w:ascii="Arial" w:cs="Arial" w:eastAsia="Arial" w:hAnsi="Arial"/>
          <w:sz w:val="14"/>
          <w:szCs w:val="14"/>
          <w:color w:val="auto"/>
        </w:rPr>
        <w:t>Unless the Board specifies otherwise, each Restricted Stock Agreement and Option Agreement shall provide that upon the request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the managing underwriter(s) of any offering of securities of the Company that is the subject of a registration statement filed under the United States Securities Act of 1933, as amended from time to time (the “Act”), the holder of any Option or the purchaser of any Restricted Stock shall, in connection therewith, agree in writing (in such form as the Company or such managing underwriter(s) shall request) to the general effect that for a period of time (not to exceed 180 days, plus such additional number of days (not to exceed 35) as may reasonably be requested to enable the underwriter(s) of such offering to comply with Rule 2711(f) of the Financial Industry Regulatory Authority or any amendment or successor thereto) from the effective date of the registration statement under the Act for such offering, the holder or purchaser will not sell, make any short sale of, loan, grant any option for the purchase of, or otherwise</w:t>
      </w:r>
    </w:p>
    <w:p>
      <w:pPr>
        <w:spacing w:after="0" w:line="14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dispose of any shares of the common stock of the Company owned or controlled by him or her.</w:t>
      </w:r>
    </w:p>
    <w:p>
      <w:pPr>
        <w:spacing w:after="0" w:line="193" w:lineRule="exact"/>
        <w:rPr>
          <w:sz w:val="20"/>
          <w:szCs w:val="20"/>
          <w:color w:val="auto"/>
        </w:rPr>
      </w:pPr>
    </w:p>
    <w:p>
      <w:pPr>
        <w:ind w:left="547" w:hanging="547"/>
        <w:spacing w:after="0"/>
        <w:tabs>
          <w:tab w:leader="none" w:pos="547"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Purchase Price.</w:t>
      </w:r>
    </w:p>
    <w:p>
      <w:pPr>
        <w:spacing w:after="0" w:line="198" w:lineRule="exact"/>
        <w:rPr>
          <w:rFonts w:ascii="Arial" w:cs="Arial" w:eastAsia="Arial" w:hAnsi="Arial"/>
          <w:sz w:val="15"/>
          <w:szCs w:val="15"/>
          <w:b w:val="1"/>
          <w:bCs w:val="1"/>
          <w:color w:val="auto"/>
        </w:rPr>
      </w:pPr>
    </w:p>
    <w:p>
      <w:pPr>
        <w:ind w:left="1107" w:right="40" w:hanging="557"/>
        <w:spacing w:after="0" w:line="340" w:lineRule="auto"/>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3"/>
          <w:szCs w:val="13"/>
          <w:b w:val="1"/>
          <w:bCs w:val="1"/>
          <w:color w:val="auto"/>
        </w:rPr>
        <w:t xml:space="preserve">General. </w:t>
      </w:r>
      <w:r>
        <w:rPr>
          <w:rFonts w:ascii="Arial" w:cs="Arial" w:eastAsia="Arial" w:hAnsi="Arial"/>
          <w:sz w:val="13"/>
          <w:szCs w:val="13"/>
          <w:color w:val="auto"/>
        </w:rPr>
        <w:t>The purchase price per share of Restricted Stock and per share of stock deliverable upon the exercise of an Option shall be determined by the Board,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07" w:lineRule="exact"/>
        <w:rPr>
          <w:rFonts w:ascii="Arial" w:cs="Arial" w:eastAsia="Arial" w:hAnsi="Arial"/>
          <w:sz w:val="15"/>
          <w:szCs w:val="15"/>
          <w:b w:val="1"/>
          <w:bCs w:val="1"/>
          <w:color w:val="auto"/>
        </w:rPr>
      </w:pPr>
    </w:p>
    <w:p>
      <w:pPr>
        <w:ind w:left="1107" w:right="40" w:hanging="557"/>
        <w:spacing w:after="0" w:line="337" w:lineRule="auto"/>
        <w:rPr>
          <w:rFonts w:ascii="Arial" w:cs="Arial" w:eastAsia="Arial" w:hAnsi="Arial"/>
          <w:sz w:val="15"/>
          <w:szCs w:val="15"/>
          <w:b w:val="1"/>
          <w:bCs w:val="1"/>
          <w:color w:val="auto"/>
        </w:rPr>
      </w:pPr>
      <w:r>
        <w:rPr>
          <w:rFonts w:ascii="Arial" w:cs="Arial" w:eastAsia="Arial" w:hAnsi="Arial"/>
          <w:sz w:val="15"/>
          <w:szCs w:val="15"/>
          <w:color w:val="auto"/>
        </w:rPr>
        <w:t>6.2</w:t>
      </w:r>
      <w:r>
        <w:rPr>
          <w:rFonts w:ascii="Arial" w:cs="Arial" w:eastAsia="Arial" w:hAnsi="Arial"/>
          <w:sz w:val="14"/>
          <w:szCs w:val="14"/>
          <w:b w:val="1"/>
          <w:bCs w:val="1"/>
          <w:color w:val="auto"/>
        </w:rPr>
        <w:t xml:space="preserve">Payment of Purchase Price. </w:t>
      </w:r>
      <w:r>
        <w:rPr>
          <w:rFonts w:ascii="Arial" w:cs="Arial" w:eastAsia="Arial" w:hAnsi="Arial"/>
          <w:sz w:val="14"/>
          <w:szCs w:val="14"/>
          <w:color w:val="auto"/>
        </w:rPr>
        <w:t>Option Agreements may provide for the payment of the exercise price by delivery of cash or a check to the order of the Company in an</w:t>
      </w:r>
      <w:r>
        <w:rPr>
          <w:rFonts w:ascii="Arial" w:cs="Arial" w:eastAsia="Arial" w:hAnsi="Arial"/>
          <w:sz w:val="14"/>
          <w:szCs w:val="14"/>
          <w:b w:val="1"/>
          <w:bCs w:val="1"/>
          <w:color w:val="auto"/>
        </w:rPr>
        <w:t xml:space="preserve"> </w:t>
      </w:r>
      <w:r>
        <w:rPr>
          <w:rFonts w:ascii="Arial" w:cs="Arial" w:eastAsia="Arial" w:hAnsi="Arial"/>
          <w:sz w:val="14"/>
          <w:szCs w:val="14"/>
          <w:color w:val="auto"/>
        </w:rPr>
        <w:t>amount equal to the exercise price of such Options, or, to the extent provided in the applicable Option Agreement, by one of the following methods:</w:t>
      </w:r>
    </w:p>
    <w:p>
      <w:pPr>
        <w:spacing w:after="0" w:line="110" w:lineRule="exact"/>
        <w:rPr>
          <w:rFonts w:ascii="Arial" w:cs="Arial" w:eastAsia="Arial" w:hAnsi="Arial"/>
          <w:sz w:val="15"/>
          <w:szCs w:val="15"/>
          <w:b w:val="1"/>
          <w:bCs w:val="1"/>
          <w:color w:val="auto"/>
        </w:rPr>
      </w:pPr>
    </w:p>
    <w:p>
      <w:pPr>
        <w:ind w:left="547" w:right="200" w:firstLine="1124"/>
        <w:spacing w:after="0" w:line="290" w:lineRule="auto"/>
        <w:tabs>
          <w:tab w:leader="none" w:pos="1885" w:val="left"/>
        </w:tabs>
        <w:numPr>
          <w:ilvl w:val="1"/>
          <w:numId w:val="193"/>
        </w:numPr>
        <w:rPr>
          <w:rFonts w:ascii="Arial" w:cs="Arial" w:eastAsia="Arial" w:hAnsi="Arial"/>
          <w:sz w:val="15"/>
          <w:szCs w:val="15"/>
          <w:color w:val="auto"/>
        </w:rPr>
      </w:pPr>
      <w:r>
        <w:rPr>
          <w:rFonts w:ascii="Arial" w:cs="Arial" w:eastAsia="Arial" w:hAnsi="Arial"/>
          <w:sz w:val="15"/>
          <w:szCs w:val="15"/>
          <w:color w:val="auto"/>
        </w:rPr>
        <w:t>with the consent of the Board by delivery to the Company of shares of Common Stock; such surrendered shares shall have a fair market value equal in amount to the exercise price of the Options being exercised,</w:t>
      </w:r>
    </w:p>
    <w:p>
      <w:pPr>
        <w:spacing w:after="0" w:line="140" w:lineRule="exact"/>
        <w:rPr>
          <w:rFonts w:ascii="Arial" w:cs="Arial" w:eastAsia="Arial" w:hAnsi="Arial"/>
          <w:sz w:val="15"/>
          <w:szCs w:val="15"/>
          <w:color w:val="auto"/>
        </w:rPr>
      </w:pPr>
    </w:p>
    <w:p>
      <w:pPr>
        <w:ind w:left="547" w:right="220" w:firstLine="1124"/>
        <w:spacing w:after="0" w:line="274" w:lineRule="auto"/>
        <w:tabs>
          <w:tab w:leader="none" w:pos="1889" w:val="left"/>
        </w:tabs>
        <w:numPr>
          <w:ilvl w:val="1"/>
          <w:numId w:val="193"/>
        </w:numPr>
        <w:rPr>
          <w:rFonts w:ascii="Arial" w:cs="Arial" w:eastAsia="Arial" w:hAnsi="Arial"/>
          <w:sz w:val="15"/>
          <w:szCs w:val="15"/>
          <w:color w:val="auto"/>
        </w:rPr>
      </w:pPr>
      <w:r>
        <w:rPr>
          <w:rFonts w:ascii="Arial" w:cs="Arial" w:eastAsia="Arial" w:hAnsi="Arial"/>
          <w:sz w:val="15"/>
          <w:szCs w:val="15"/>
          <w:color w:val="auto"/>
        </w:rPr>
        <w:t xml:space="preserve">with the consent of the Board a personal recourse note issued by the optionee to the Company in a principal amount equal to such aggregate exercise price and with such other terms, including interest rate and maturity, as the Company may determine in its discretion;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interest rate borne by such note shall not be less than the lowest applicable federal rate, as defined in Section 1274(d) of the Code,</w:t>
      </w:r>
    </w:p>
    <w:p>
      <w:pPr>
        <w:spacing w:after="0" w:line="151" w:lineRule="exact"/>
        <w:rPr>
          <w:rFonts w:ascii="Arial" w:cs="Arial" w:eastAsia="Arial" w:hAnsi="Arial"/>
          <w:sz w:val="15"/>
          <w:szCs w:val="15"/>
          <w:color w:val="auto"/>
        </w:rPr>
      </w:pPr>
    </w:p>
    <w:p>
      <w:pPr>
        <w:ind w:left="547" w:right="20" w:firstLine="1124"/>
        <w:spacing w:after="0" w:line="274" w:lineRule="auto"/>
        <w:tabs>
          <w:tab w:leader="none" w:pos="1932" w:val="left"/>
        </w:tabs>
        <w:numPr>
          <w:ilvl w:val="1"/>
          <w:numId w:val="193"/>
        </w:numPr>
        <w:rPr>
          <w:rFonts w:ascii="Arial" w:cs="Arial" w:eastAsia="Arial" w:hAnsi="Arial"/>
          <w:sz w:val="15"/>
          <w:szCs w:val="15"/>
          <w:color w:val="auto"/>
        </w:rPr>
      </w:pPr>
      <w:r>
        <w:rPr>
          <w:rFonts w:ascii="Arial" w:cs="Arial" w:eastAsia="Arial" w:hAnsi="Arial"/>
          <w:sz w:val="15"/>
          <w:szCs w:val="15"/>
          <w:color w:val="auto"/>
        </w:rPr>
        <w:t>with the consent of the Board if the class of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151" w:lineRule="exact"/>
        <w:rPr>
          <w:rFonts w:ascii="Arial" w:cs="Arial" w:eastAsia="Arial" w:hAnsi="Arial"/>
          <w:sz w:val="15"/>
          <w:szCs w:val="15"/>
          <w:color w:val="auto"/>
        </w:rPr>
      </w:pPr>
    </w:p>
    <w:p>
      <w:pPr>
        <w:ind w:left="547" w:right="200" w:firstLine="1124"/>
        <w:spacing w:after="0" w:line="290" w:lineRule="auto"/>
        <w:tabs>
          <w:tab w:leader="none" w:pos="1923" w:val="left"/>
        </w:tabs>
        <w:numPr>
          <w:ilvl w:val="1"/>
          <w:numId w:val="193"/>
        </w:numPr>
        <w:rPr>
          <w:rFonts w:ascii="Arial" w:cs="Arial" w:eastAsia="Arial" w:hAnsi="Arial"/>
          <w:sz w:val="15"/>
          <w:szCs w:val="15"/>
          <w:color w:val="auto"/>
        </w:rPr>
      </w:pPr>
      <w:r>
        <w:rPr>
          <w:rFonts w:ascii="Arial" w:cs="Arial" w:eastAsia="Arial" w:hAnsi="Arial"/>
          <w:sz w:val="15"/>
          <w:szCs w:val="15"/>
          <w:color w:val="auto"/>
        </w:rPr>
        <w:t>with the consent of the Board by reducing the number of Option shares otherwise issuable to the optionee upon exercise of the Option by a number of shares of Common Stock having a fair market value equal to such aggregate exercise price</w:t>
      </w:r>
      <w:r>
        <w:rPr>
          <w:rFonts w:ascii="Arial" w:cs="Arial" w:eastAsia="Arial" w:hAnsi="Arial"/>
          <w:sz w:val="15"/>
          <w:szCs w:val="15"/>
          <w:b w:val="1"/>
          <w:bCs w:val="1"/>
          <w:color w:val="auto"/>
        </w:rPr>
        <w:t>,</w:t>
      </w:r>
    </w:p>
    <w:p>
      <w:pPr>
        <w:spacing w:after="0" w:line="140" w:lineRule="exact"/>
        <w:rPr>
          <w:rFonts w:ascii="Arial" w:cs="Arial" w:eastAsia="Arial" w:hAnsi="Arial"/>
          <w:sz w:val="15"/>
          <w:szCs w:val="15"/>
          <w:color w:val="auto"/>
        </w:rPr>
      </w:pPr>
    </w:p>
    <w:p>
      <w:pPr>
        <w:ind w:left="1887" w:hanging="216"/>
        <w:spacing w:after="0"/>
        <w:tabs>
          <w:tab w:leader="none" w:pos="1887" w:val="left"/>
        </w:tabs>
        <w:numPr>
          <w:ilvl w:val="1"/>
          <w:numId w:val="193"/>
        </w:numPr>
        <w:rPr>
          <w:rFonts w:ascii="Arial" w:cs="Arial" w:eastAsia="Arial" w:hAnsi="Arial"/>
          <w:sz w:val="15"/>
          <w:szCs w:val="15"/>
          <w:color w:val="auto"/>
        </w:rPr>
      </w:pPr>
      <w:r>
        <w:rPr>
          <w:rFonts w:ascii="Arial" w:cs="Arial" w:eastAsia="Arial" w:hAnsi="Arial"/>
          <w:sz w:val="15"/>
          <w:szCs w:val="15"/>
          <w:color w:val="auto"/>
        </w:rPr>
        <w:t>with the consent of the Board by any combination of such methods of payment.</w:t>
      </w:r>
    </w:p>
    <w:p>
      <w:pPr>
        <w:spacing w:after="0" w:line="199" w:lineRule="exact"/>
        <w:rPr>
          <w:sz w:val="20"/>
          <w:szCs w:val="20"/>
          <w:color w:val="auto"/>
        </w:rPr>
      </w:pPr>
    </w:p>
    <w:p>
      <w:pPr>
        <w:ind w:left="7" w:right="40" w:firstLine="557"/>
        <w:spacing w:after="0" w:line="274" w:lineRule="auto"/>
        <w:rPr>
          <w:sz w:val="20"/>
          <w:szCs w:val="20"/>
          <w:color w:val="auto"/>
        </w:rPr>
      </w:pPr>
      <w:r>
        <w:rPr>
          <w:rFonts w:ascii="Arial" w:cs="Arial" w:eastAsia="Arial" w:hAnsi="Arial"/>
          <w:sz w:val="15"/>
          <w:szCs w:val="15"/>
          <w:color w:val="auto"/>
        </w:rPr>
        <w:t>The fair market value of any shares of the Company’s Common Stock or other non-cash consideration which may be delivered upon exercise of an Option shall be determined by the Board of Directors. Restricted Stock Agreements may provide for the payment of any purchase price in any manner approved by the Board of Directors at the time of authorizing the issuance thereof.</w:t>
      </w:r>
    </w:p>
    <w:p>
      <w:pPr>
        <w:spacing w:after="0" w:line="152"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7" w:hanging="547"/>
        <w:spacing w:after="0"/>
        <w:tabs>
          <w:tab w:leader="none" w:pos="547" w:val="left"/>
        </w:tabs>
        <w:numPr>
          <w:ilvl w:val="0"/>
          <w:numId w:val="194"/>
        </w:numPr>
        <w:rPr>
          <w:rFonts w:ascii="Arial" w:cs="Arial" w:eastAsia="Arial" w:hAnsi="Arial"/>
          <w:sz w:val="15"/>
          <w:szCs w:val="15"/>
          <w:b w:val="1"/>
          <w:bCs w:val="1"/>
          <w:color w:val="auto"/>
        </w:rPr>
      </w:pPr>
      <w:r>
        <w:rPr>
          <w:rFonts w:ascii="Arial" w:cs="Arial" w:eastAsia="Arial" w:hAnsi="Arial"/>
          <w:sz w:val="15"/>
          <w:szCs w:val="15"/>
          <w:b w:val="1"/>
          <w:bCs w:val="1"/>
          <w:color w:val="auto"/>
        </w:rPr>
        <w:t>Option Period.</w:t>
      </w:r>
    </w:p>
    <w:p>
      <w:pPr>
        <w:spacing w:after="0" w:line="205" w:lineRule="exact"/>
        <w:rPr>
          <w:sz w:val="20"/>
          <w:szCs w:val="20"/>
          <w:color w:val="auto"/>
        </w:rPr>
      </w:pPr>
    </w:p>
    <w:p>
      <w:pPr>
        <w:jc w:val="both"/>
        <w:ind w:left="7" w:right="280" w:firstLine="557"/>
        <w:spacing w:after="0" w:line="302" w:lineRule="auto"/>
        <w:rPr>
          <w:sz w:val="20"/>
          <w:szCs w:val="20"/>
          <w:color w:val="auto"/>
        </w:rPr>
      </w:pPr>
      <w:r>
        <w:rPr>
          <w:rFonts w:ascii="Arial" w:cs="Arial" w:eastAsia="Arial" w:hAnsi="Arial"/>
          <w:sz w:val="14"/>
          <w:szCs w:val="14"/>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pacing w:after="0" w:line="129" w:lineRule="exact"/>
        <w:rPr>
          <w:sz w:val="20"/>
          <w:szCs w:val="20"/>
          <w:color w:val="auto"/>
        </w:rPr>
      </w:pPr>
    </w:p>
    <w:p>
      <w:pPr>
        <w:ind w:left="547" w:hanging="547"/>
        <w:spacing w:after="0"/>
        <w:tabs>
          <w:tab w:leader="none" w:pos="547"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Exercise of Options.</w:t>
      </w:r>
    </w:p>
    <w:p>
      <w:pPr>
        <w:spacing w:after="0" w:line="198" w:lineRule="exact"/>
        <w:rPr>
          <w:rFonts w:ascii="Arial" w:cs="Arial" w:eastAsia="Arial" w:hAnsi="Arial"/>
          <w:sz w:val="15"/>
          <w:szCs w:val="15"/>
          <w:b w:val="1"/>
          <w:bCs w:val="1"/>
          <w:color w:val="auto"/>
        </w:rPr>
      </w:pPr>
    </w:p>
    <w:p>
      <w:pPr>
        <w:ind w:left="1107" w:hanging="557"/>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8.1</w:t>
      </w:r>
      <w:r>
        <w:rPr>
          <w:rFonts w:ascii="Arial" w:cs="Arial" w:eastAsia="Arial" w:hAnsi="Arial"/>
          <w:sz w:val="15"/>
          <w:szCs w:val="15"/>
          <w:b w:val="1"/>
          <w:bCs w:val="1"/>
          <w:color w:val="auto"/>
        </w:rPr>
        <w:t xml:space="preserve">General. </w:t>
      </w:r>
      <w:r>
        <w:rPr>
          <w:rFonts w:ascii="Arial" w:cs="Arial" w:eastAsia="Arial" w:hAnsi="Arial"/>
          <w:sz w:val="15"/>
          <w:szCs w:val="15"/>
          <w:color w:val="auto"/>
        </w:rPr>
        <w:t>Each Option shall be exercisable either in full or in installments at such time or times and during such period as shall be set forth in the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43" w:lineRule="exact"/>
        <w:rPr>
          <w:rFonts w:ascii="Arial" w:cs="Arial" w:eastAsia="Arial" w:hAnsi="Arial"/>
          <w:sz w:val="15"/>
          <w:szCs w:val="15"/>
          <w:b w:val="1"/>
          <w:bCs w:val="1"/>
          <w:color w:val="auto"/>
        </w:rPr>
      </w:pPr>
    </w:p>
    <w:p>
      <w:pPr>
        <w:ind w:left="1107" w:hanging="557"/>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8.2</w:t>
      </w:r>
      <w:r>
        <w:rPr>
          <w:rFonts w:ascii="Arial" w:cs="Arial" w:eastAsia="Arial" w:hAnsi="Arial"/>
          <w:sz w:val="15"/>
          <w:szCs w:val="15"/>
          <w:b w:val="1"/>
          <w:bCs w:val="1"/>
          <w:color w:val="auto"/>
        </w:rPr>
        <w:t xml:space="preserve">Notice of Exercise. </w:t>
      </w:r>
      <w:r>
        <w:rPr>
          <w:rFonts w:ascii="Arial" w:cs="Arial" w:eastAsia="Arial" w:hAnsi="Arial"/>
          <w:sz w:val="15"/>
          <w:szCs w:val="15"/>
          <w:color w:val="auto"/>
        </w:rPr>
        <w:t>An Option may be exercised by the optionee by delivering to the Company on any business day a written notice specifying the 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of Common Stock the optionee then desires to purchase and specifying the address to which the certificates for such shares are to be mailed (the “</w:t>
      </w:r>
      <w:r>
        <w:rPr>
          <w:rFonts w:ascii="Arial" w:cs="Arial" w:eastAsia="Arial" w:hAnsi="Arial"/>
          <w:sz w:val="15"/>
          <w:szCs w:val="15"/>
          <w:u w:val="single" w:color="auto"/>
          <w:color w:val="auto"/>
        </w:rPr>
        <w:t>Notice</w:t>
      </w:r>
      <w:r>
        <w:rPr>
          <w:rFonts w:ascii="Arial" w:cs="Arial" w:eastAsia="Arial" w:hAnsi="Arial"/>
          <w:sz w:val="15"/>
          <w:szCs w:val="15"/>
          <w:color w:val="auto"/>
        </w:rPr>
        <w:t>”), accompanied by payment for such shares. In addition, the Company may require any individual to whom an Option is granted, as a condition of exercising such Option, to give written assurances in a substance and form satisfactory to the Company to the effect that such individual is acquiring the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52" w:lineRule="exact"/>
        <w:rPr>
          <w:rFonts w:ascii="Arial" w:cs="Arial" w:eastAsia="Arial" w:hAnsi="Arial"/>
          <w:sz w:val="15"/>
          <w:szCs w:val="15"/>
          <w:b w:val="1"/>
          <w:bCs w:val="1"/>
          <w:color w:val="auto"/>
        </w:rPr>
      </w:pPr>
    </w:p>
    <w:p>
      <w:pPr>
        <w:ind w:left="1107" w:right="20" w:hanging="557"/>
        <w:spacing w:after="0" w:line="271" w:lineRule="auto"/>
        <w:rPr>
          <w:rFonts w:ascii="Arial" w:cs="Arial" w:eastAsia="Arial" w:hAnsi="Arial"/>
          <w:sz w:val="15"/>
          <w:szCs w:val="15"/>
          <w:b w:val="1"/>
          <w:bCs w:val="1"/>
          <w:color w:val="auto"/>
        </w:rPr>
      </w:pPr>
      <w:r>
        <w:rPr>
          <w:rFonts w:ascii="Arial" w:cs="Arial" w:eastAsia="Arial" w:hAnsi="Arial"/>
          <w:sz w:val="15"/>
          <w:szCs w:val="15"/>
          <w:color w:val="auto"/>
        </w:rPr>
        <w:t>8.3</w:t>
      </w:r>
      <w:r>
        <w:rPr>
          <w:rFonts w:ascii="Arial" w:cs="Arial" w:eastAsia="Arial" w:hAnsi="Arial"/>
          <w:sz w:val="15"/>
          <w:szCs w:val="15"/>
          <w:b w:val="1"/>
          <w:bCs w:val="1"/>
          <w:color w:val="auto"/>
        </w:rPr>
        <w:t xml:space="preserve">Delivery. </w:t>
      </w:r>
      <w:r>
        <w:rPr>
          <w:rFonts w:ascii="Arial" w:cs="Arial" w:eastAsia="Arial" w:hAnsi="Arial"/>
          <w:sz w:val="15"/>
          <w:szCs w:val="15"/>
          <w:color w:val="auto"/>
        </w:rPr>
        <w:t>As promptly as practicable after receipt of such written notification and payment, the Company shall deliver or cause to be delivered to the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149" w:lineRule="exact"/>
        <w:rPr>
          <w:rFonts w:ascii="Arial" w:cs="Arial" w:eastAsia="Arial" w:hAnsi="Arial"/>
          <w:sz w:val="15"/>
          <w:szCs w:val="15"/>
          <w:b w:val="1"/>
          <w:bCs w:val="1"/>
          <w:color w:val="auto"/>
        </w:rPr>
      </w:pPr>
    </w:p>
    <w:p>
      <w:pPr>
        <w:ind w:left="547" w:hanging="547"/>
        <w:spacing w:after="0"/>
        <w:tabs>
          <w:tab w:leader="none" w:pos="547"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Transferability of Options.</w:t>
      </w:r>
    </w:p>
    <w:p>
      <w:pPr>
        <w:spacing w:after="0" w:line="205" w:lineRule="exact"/>
        <w:rPr>
          <w:sz w:val="20"/>
          <w:szCs w:val="20"/>
          <w:color w:val="auto"/>
        </w:rPr>
      </w:pPr>
    </w:p>
    <w:p>
      <w:pPr>
        <w:ind w:left="7" w:right="100" w:firstLine="557"/>
        <w:spacing w:after="0" w:line="274" w:lineRule="auto"/>
        <w:rPr>
          <w:sz w:val="20"/>
          <w:szCs w:val="20"/>
          <w:color w:val="auto"/>
        </w:rPr>
      </w:pPr>
      <w:r>
        <w:rPr>
          <w:rFonts w:ascii="Arial" w:cs="Arial" w:eastAsia="Arial" w:hAnsi="Arial"/>
          <w:sz w:val="15"/>
          <w:szCs w:val="15"/>
          <w:color w:val="auto"/>
        </w:rPr>
        <w:t>No Incentive Stock Option shall be assignable or transferable by the person to whom it is granted, either voluntarily or by operation of law, except by will or the laws of descent and distribution, and during the life of an optionee, an Incentive Stock Option shall be exercisable only by the optionee. The Board may, in its discretion, determine the extent to which a non-statutory Option shall be transferable.</w:t>
      </w:r>
    </w:p>
    <w:p>
      <w:pPr>
        <w:spacing w:after="0" w:line="152"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7" w:right="520" w:hanging="547"/>
        <w:spacing w:after="0" w:line="299" w:lineRule="auto"/>
        <w:tabs>
          <w:tab w:leader="none" w:pos="543"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Employment; Disability; Death. </w:t>
      </w:r>
      <w:r>
        <w:rPr>
          <w:rFonts w:ascii="Arial" w:cs="Arial" w:eastAsia="Arial" w:hAnsi="Arial"/>
          <w:sz w:val="15"/>
          <w:szCs w:val="15"/>
          <w:color w:val="auto"/>
        </w:rPr>
        <w:t>Except as may be otherwise expressly provided in the terms and conditions of the Option Agreement, Options shall</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terminate on the earliest to occur of:</w:t>
      </w:r>
    </w:p>
    <w:p>
      <w:pPr>
        <w:spacing w:after="0" w:line="133" w:lineRule="exact"/>
        <w:rPr>
          <w:rFonts w:ascii="Arial" w:cs="Arial" w:eastAsia="Arial" w:hAnsi="Arial"/>
          <w:sz w:val="15"/>
          <w:szCs w:val="15"/>
          <w:b w:val="1"/>
          <w:bCs w:val="1"/>
          <w:color w:val="auto"/>
        </w:rPr>
      </w:pPr>
    </w:p>
    <w:p>
      <w:pPr>
        <w:ind w:left="1687" w:hanging="573"/>
        <w:spacing w:after="0"/>
        <w:tabs>
          <w:tab w:leader="none" w:pos="1687" w:val="left"/>
        </w:tabs>
        <w:numPr>
          <w:ilvl w:val="1"/>
          <w:numId w:val="196"/>
        </w:numPr>
        <w:rPr>
          <w:rFonts w:ascii="Arial" w:cs="Arial" w:eastAsia="Arial" w:hAnsi="Arial"/>
          <w:sz w:val="15"/>
          <w:szCs w:val="15"/>
          <w:color w:val="auto"/>
        </w:rPr>
      </w:pPr>
      <w:r>
        <w:rPr>
          <w:rFonts w:ascii="Arial" w:cs="Arial" w:eastAsia="Arial" w:hAnsi="Arial"/>
          <w:sz w:val="15"/>
          <w:szCs w:val="15"/>
          <w:color w:val="auto"/>
        </w:rPr>
        <w:t>the date of expiration thereof;</w:t>
      </w:r>
    </w:p>
    <w:p>
      <w:pPr>
        <w:sectPr>
          <w:pgSz w:w="11900" w:h="16838" w:orient="portrait"/>
          <w:cols w:equalWidth="0" w:num="1">
            <w:col w:w="11407"/>
          </w:cols>
          <w:pgMar w:left="233" w:top="123" w:right="259" w:bottom="0" w:gutter="0" w:footer="0" w:header="0"/>
        </w:sectPr>
      </w:pPr>
    </w:p>
    <w:bookmarkStart w:id="272" w:name="page273"/>
    <w:bookmarkEnd w:id="272"/>
    <w:p>
      <w:pPr>
        <w:ind w:left="1707" w:hanging="593"/>
        <w:spacing w:after="0"/>
        <w:tabs>
          <w:tab w:leader="none" w:pos="1707" w:val="left"/>
        </w:tabs>
        <w:numPr>
          <w:ilvl w:val="0"/>
          <w:numId w:val="197"/>
        </w:numPr>
        <w:rPr>
          <w:rFonts w:ascii="Arial" w:cs="Arial" w:eastAsia="Arial" w:hAnsi="Arial"/>
          <w:sz w:val="14"/>
          <w:szCs w:val="14"/>
          <w:color w:val="auto"/>
        </w:rPr>
      </w:pPr>
      <w:r>
        <w:rPr>
          <w:rFonts w:ascii="Arial" w:cs="Arial" w:eastAsia="Arial" w:hAnsi="Arial"/>
          <w:sz w:val="14"/>
          <w:szCs w:val="14"/>
          <w:color w:val="auto"/>
        </w:rPr>
        <w:t>90 days after termination of the optionee’s employment with, or provision of services to, the Company by the Company for Cause (as hereinafter defined);</w:t>
      </w:r>
    </w:p>
    <w:p>
      <w:pPr>
        <w:spacing w:after="0" w:line="210" w:lineRule="exact"/>
        <w:rPr>
          <w:rFonts w:ascii="Arial" w:cs="Arial" w:eastAsia="Arial" w:hAnsi="Arial"/>
          <w:sz w:val="14"/>
          <w:szCs w:val="14"/>
          <w:color w:val="auto"/>
        </w:rPr>
      </w:pPr>
    </w:p>
    <w:p>
      <w:pPr>
        <w:ind w:left="1667" w:right="140" w:hanging="553"/>
        <w:spacing w:after="0" w:line="290" w:lineRule="auto"/>
        <w:tabs>
          <w:tab w:leader="none" w:pos="1702" w:val="left"/>
        </w:tabs>
        <w:numPr>
          <w:ilvl w:val="0"/>
          <w:numId w:val="197"/>
        </w:numPr>
        <w:rPr>
          <w:rFonts w:ascii="Arial" w:cs="Arial" w:eastAsia="Arial" w:hAnsi="Arial"/>
          <w:sz w:val="15"/>
          <w:szCs w:val="15"/>
          <w:color w:val="auto"/>
        </w:rPr>
      </w:pPr>
      <w:r>
        <w:rPr>
          <w:rFonts w:ascii="Arial" w:cs="Arial" w:eastAsia="Arial" w:hAnsi="Arial"/>
          <w:sz w:val="15"/>
          <w:szCs w:val="15"/>
          <w:color w:val="auto"/>
        </w:rPr>
        <w:t>90 days after the date of voluntary termination of the optionee’s employment with, or provision of services to, the Company by the optionee (other than for death or permanent disability as defined below); or</w:t>
      </w:r>
    </w:p>
    <w:p>
      <w:pPr>
        <w:spacing w:after="0" w:line="140" w:lineRule="exact"/>
        <w:rPr>
          <w:rFonts w:ascii="Arial" w:cs="Arial" w:eastAsia="Arial" w:hAnsi="Arial"/>
          <w:sz w:val="15"/>
          <w:szCs w:val="15"/>
          <w:color w:val="auto"/>
        </w:rPr>
      </w:pPr>
    </w:p>
    <w:p>
      <w:pPr>
        <w:ind w:left="1667" w:right="20" w:hanging="553"/>
        <w:spacing w:after="0" w:line="290" w:lineRule="auto"/>
        <w:tabs>
          <w:tab w:leader="none" w:pos="1681" w:val="left"/>
        </w:tabs>
        <w:numPr>
          <w:ilvl w:val="0"/>
          <w:numId w:val="197"/>
        </w:numPr>
        <w:rPr>
          <w:rFonts w:ascii="Arial" w:cs="Arial" w:eastAsia="Arial" w:hAnsi="Arial"/>
          <w:sz w:val="15"/>
          <w:szCs w:val="15"/>
          <w:color w:val="auto"/>
        </w:rPr>
      </w:pPr>
      <w:r>
        <w:rPr>
          <w:rFonts w:ascii="Arial" w:cs="Arial" w:eastAsia="Arial" w:hAnsi="Arial"/>
          <w:sz w:val="15"/>
          <w:szCs w:val="15"/>
          <w:color w:val="auto"/>
        </w:rPr>
        <w:t>90 days after the date of termination of the optionee’s employment with, or provision of services to, the Company by the Company without Cause (other than for death or permanent disability as defined below).</w:t>
      </w:r>
    </w:p>
    <w:p>
      <w:pPr>
        <w:spacing w:after="0" w:line="140" w:lineRule="exact"/>
        <w:rPr>
          <w:sz w:val="20"/>
          <w:szCs w:val="20"/>
          <w:color w:val="auto"/>
        </w:rPr>
      </w:pPr>
    </w:p>
    <w:p>
      <w:pPr>
        <w:ind w:left="7" w:right="180"/>
        <w:spacing w:after="0" w:line="290" w:lineRule="auto"/>
        <w:rPr>
          <w:sz w:val="20"/>
          <w:szCs w:val="20"/>
          <w:color w:val="auto"/>
        </w:rPr>
      </w:pPr>
      <w:r>
        <w:rPr>
          <w:rFonts w:ascii="Arial" w:cs="Arial" w:eastAsia="Arial" w:hAnsi="Arial"/>
          <w:sz w:val="15"/>
          <w:szCs w:val="15"/>
          <w:color w:val="auto"/>
        </w:rPr>
        <w:t>Until the date on which the Option so expires, the optionee may exercise that portion of his or her Option which is exercisable at the time of termination of the employment or service relationship.</w:t>
      </w:r>
    </w:p>
    <w:p>
      <w:pPr>
        <w:spacing w:after="0" w:line="140" w:lineRule="exact"/>
        <w:rPr>
          <w:sz w:val="20"/>
          <w:szCs w:val="20"/>
          <w:color w:val="auto"/>
        </w:rPr>
      </w:pPr>
    </w:p>
    <w:p>
      <w:pPr>
        <w:jc w:val="both"/>
        <w:ind w:left="7" w:right="520" w:firstLine="557"/>
        <w:spacing w:after="0" w:line="274" w:lineRule="auto"/>
        <w:rPr>
          <w:sz w:val="20"/>
          <w:szCs w:val="20"/>
          <w:color w:val="auto"/>
        </w:rPr>
      </w:pPr>
      <w:r>
        <w:rPr>
          <w:rFonts w:ascii="Arial" w:cs="Arial" w:eastAsia="Arial" w:hAnsi="Arial"/>
          <w:sz w:val="15"/>
          <w:szCs w:val="15"/>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52" w:lineRule="exact"/>
        <w:rPr>
          <w:sz w:val="20"/>
          <w:szCs w:val="20"/>
          <w:color w:val="auto"/>
        </w:rPr>
      </w:pPr>
    </w:p>
    <w:p>
      <w:pPr>
        <w:ind w:left="547"/>
        <w:spacing w:after="0"/>
        <w:rPr>
          <w:sz w:val="20"/>
          <w:szCs w:val="20"/>
          <w:color w:val="auto"/>
        </w:rPr>
      </w:pPr>
      <w:r>
        <w:rPr>
          <w:rFonts w:ascii="Arial" w:cs="Arial" w:eastAsia="Arial" w:hAnsi="Arial"/>
          <w:sz w:val="13"/>
          <w:szCs w:val="13"/>
          <w:color w:val="auto"/>
        </w:rPr>
        <w:t>For purposes of this Section 10, the term “</w:t>
      </w:r>
      <w:r>
        <w:rPr>
          <w:rFonts w:ascii="Arial" w:cs="Arial" w:eastAsia="Arial" w:hAnsi="Arial"/>
          <w:sz w:val="13"/>
          <w:szCs w:val="13"/>
          <w:u w:val="single" w:color="auto"/>
          <w:color w:val="auto"/>
        </w:rPr>
        <w:t>Cause</w:t>
      </w:r>
      <w:r>
        <w:rPr>
          <w:rFonts w:ascii="Arial" w:cs="Arial" w:eastAsia="Arial" w:hAnsi="Arial"/>
          <w:sz w:val="13"/>
          <w:szCs w:val="13"/>
          <w:color w:val="auto"/>
        </w:rPr>
        <w:t>” shall mean (a) any material breach by the optionee of any agreement to which the optionee and the Company are both parties,</w:t>
      </w:r>
    </w:p>
    <w:p>
      <w:pPr>
        <w:spacing w:after="0" w:line="46" w:lineRule="exact"/>
        <w:rPr>
          <w:sz w:val="20"/>
          <w:szCs w:val="20"/>
          <w:color w:val="auto"/>
        </w:rPr>
      </w:pPr>
    </w:p>
    <w:p>
      <w:pPr>
        <w:ind w:left="7" w:right="160" w:hanging="7"/>
        <w:spacing w:after="0" w:line="267" w:lineRule="auto"/>
        <w:tabs>
          <w:tab w:leader="none" w:pos="226"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w:t>
      </w:r>
    </w:p>
    <w:p>
      <w:pPr>
        <w:spacing w:after="0" w:line="157" w:lineRule="exact"/>
        <w:rPr>
          <w:sz w:val="20"/>
          <w:szCs w:val="20"/>
          <w:color w:val="auto"/>
        </w:rPr>
      </w:pPr>
    </w:p>
    <w:p>
      <w:pPr>
        <w:ind w:left="7" w:right="100" w:firstLine="557"/>
        <w:spacing w:after="0" w:line="264" w:lineRule="auto"/>
        <w:rPr>
          <w:sz w:val="20"/>
          <w:szCs w:val="20"/>
          <w:color w:val="auto"/>
        </w:rPr>
      </w:pPr>
      <w:r>
        <w:rPr>
          <w:rFonts w:ascii="Arial" w:cs="Arial" w:eastAsia="Arial" w:hAnsi="Arial"/>
          <w:sz w:val="15"/>
          <w:szCs w:val="15"/>
          <w:color w:val="auto"/>
        </w:rPr>
        <w:t>In the event of the permanent and total disability or death of an optionee while in an employment or other relationship with the Company and before the date of expiration of such option, such option shall terminate on the earlier of such date of expiration or one (1) year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4"/>
          <w:szCs w:val="14"/>
          <w:color w:val="auto"/>
        </w:rPr>
        <w:t>continuous period of not less than 12 months; permanent and total disability shall be determined in accordance with Section 22(e)(3) of the Code and the regulations issued thereunder.</w:t>
      </w:r>
    </w:p>
    <w:p>
      <w:pPr>
        <w:spacing w:after="0" w:line="204" w:lineRule="exact"/>
        <w:rPr>
          <w:sz w:val="20"/>
          <w:szCs w:val="20"/>
          <w:color w:val="auto"/>
        </w:rPr>
      </w:pPr>
    </w:p>
    <w:p>
      <w:pPr>
        <w:ind w:left="547" w:right="100" w:hanging="547"/>
        <w:spacing w:after="0" w:line="278" w:lineRule="auto"/>
        <w:tabs>
          <w:tab w:leader="none" w:pos="535"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as a Shareholder. </w:t>
      </w:r>
      <w:r>
        <w:rPr>
          <w:rFonts w:ascii="Arial" w:cs="Arial" w:eastAsia="Arial" w:hAnsi="Arial"/>
          <w:sz w:val="15"/>
          <w:szCs w:val="15"/>
          <w:color w:val="auto"/>
        </w:rPr>
        <w:t>The holder of an Option shall have no rights as a shareholder with respect to any shares covered by the Option (including, without limitation, any</w:t>
      </w:r>
      <w:r>
        <w:rPr>
          <w:rFonts w:ascii="Arial" w:cs="Arial" w:eastAsia="Arial" w:hAnsi="Arial"/>
          <w:sz w:val="15"/>
          <w:szCs w:val="15"/>
          <w:b w:val="1"/>
          <w:bCs w:val="1"/>
          <w:color w:val="auto"/>
        </w:rPr>
        <w:t xml:space="preserve"> </w:t>
      </w:r>
      <w:r>
        <w:rPr>
          <w:rFonts w:ascii="Arial" w:cs="Arial" w:eastAsia="Arial" w:hAnsi="Arial"/>
          <w:sz w:val="15"/>
          <w:szCs w:val="15"/>
          <w:color w:val="auto"/>
        </w:rPr>
        <w:t>rights to receive dividends or non-cash distributions with respect to such shares) until the date of issue of a stock certificate to him or her for such shares. No adjustment shall be made for dividends or other rights for which the record date is prior to the date such stock certificate is issued.</w:t>
      </w:r>
    </w:p>
    <w:p>
      <w:pPr>
        <w:spacing w:after="0" w:line="143" w:lineRule="exact"/>
        <w:rPr>
          <w:rFonts w:ascii="Arial" w:cs="Arial" w:eastAsia="Arial" w:hAnsi="Arial"/>
          <w:sz w:val="15"/>
          <w:szCs w:val="15"/>
          <w:b w:val="1"/>
          <w:bCs w:val="1"/>
          <w:color w:val="auto"/>
        </w:rPr>
      </w:pPr>
    </w:p>
    <w:p>
      <w:pPr>
        <w:ind w:left="547" w:right="140" w:hanging="547"/>
        <w:spacing w:after="0" w:line="292" w:lineRule="auto"/>
        <w:tabs>
          <w:tab w:leader="none" w:pos="543" w:val="left"/>
        </w:tabs>
        <w:numPr>
          <w:ilvl w:val="0"/>
          <w:numId w:val="19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Additional Provisions. </w:t>
      </w:r>
      <w:r>
        <w:rPr>
          <w:rFonts w:ascii="Arial" w:cs="Arial" w:eastAsia="Arial" w:hAnsi="Arial"/>
          <w:sz w:val="14"/>
          <w:szCs w:val="14"/>
          <w:color w:val="auto"/>
        </w:rPr>
        <w:t>The Board of Directors may, in its sole discretion, include additional provisions in Restricted Stock Agreements and Option Agreements,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without limitation, restrictions on transfer, rights of the Company to repurchase shares of Restricted Stock or shares of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34" w:lineRule="exact"/>
        <w:rPr>
          <w:rFonts w:ascii="Arial" w:cs="Arial" w:eastAsia="Arial" w:hAnsi="Arial"/>
          <w:sz w:val="14"/>
          <w:szCs w:val="14"/>
          <w:b w:val="1"/>
          <w:bCs w:val="1"/>
          <w:color w:val="auto"/>
        </w:rPr>
      </w:pPr>
    </w:p>
    <w:p>
      <w:pPr>
        <w:ind w:left="547" w:right="420" w:hanging="547"/>
        <w:spacing w:after="0" w:line="299" w:lineRule="auto"/>
        <w:tabs>
          <w:tab w:leader="none" w:pos="543"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Acceleration, Extension, Etc. </w:t>
      </w:r>
      <w:r>
        <w:rPr>
          <w:rFonts w:ascii="Arial" w:cs="Arial" w:eastAsia="Arial" w:hAnsi="Arial"/>
          <w:sz w:val="15"/>
          <w:szCs w:val="15"/>
          <w:color w:val="auto"/>
        </w:rPr>
        <w:t>The Board of Directors may, in its sole discretion, (i) accelerate the date or dates on which all or any particular Option or Options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exercised or (ii) extend the period or periods of time during which all, or any particular, Option or Options may be exercised.</w:t>
      </w:r>
    </w:p>
    <w:p>
      <w:pPr>
        <w:spacing w:after="0" w:line="127" w:lineRule="exact"/>
        <w:rPr>
          <w:rFonts w:ascii="Arial" w:cs="Arial" w:eastAsia="Arial" w:hAnsi="Arial"/>
          <w:sz w:val="15"/>
          <w:szCs w:val="15"/>
          <w:b w:val="1"/>
          <w:bCs w:val="1"/>
          <w:color w:val="auto"/>
        </w:rPr>
      </w:pPr>
    </w:p>
    <w:p>
      <w:pPr>
        <w:ind w:left="547" w:hanging="547"/>
        <w:spacing w:after="0"/>
        <w:tabs>
          <w:tab w:leader="none" w:pos="547"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Adjustment Upon Changes in Capitalization</w:t>
      </w:r>
    </w:p>
    <w:p>
      <w:pPr>
        <w:spacing w:after="0" w:line="198" w:lineRule="exact"/>
        <w:rPr>
          <w:rFonts w:ascii="Arial" w:cs="Arial" w:eastAsia="Arial" w:hAnsi="Arial"/>
          <w:sz w:val="15"/>
          <w:szCs w:val="15"/>
          <w:b w:val="1"/>
          <w:bCs w:val="1"/>
          <w:color w:val="auto"/>
        </w:rPr>
      </w:pPr>
    </w:p>
    <w:p>
      <w:pPr>
        <w:ind w:left="1107" w:right="20" w:hanging="557"/>
        <w:spacing w:after="0" w:line="268" w:lineRule="auto"/>
        <w:rPr>
          <w:rFonts w:ascii="Arial" w:cs="Arial" w:eastAsia="Arial" w:hAnsi="Arial"/>
          <w:sz w:val="15"/>
          <w:szCs w:val="15"/>
          <w:b w:val="1"/>
          <w:bCs w:val="1"/>
          <w:color w:val="auto"/>
        </w:rPr>
      </w:pPr>
      <w:r>
        <w:rPr>
          <w:rFonts w:ascii="Arial" w:cs="Arial" w:eastAsia="Arial" w:hAnsi="Arial"/>
          <w:sz w:val="15"/>
          <w:szCs w:val="15"/>
          <w:color w:val="auto"/>
        </w:rPr>
        <w:t xml:space="preserve">14.1 </w:t>
      </w:r>
      <w:r>
        <w:rPr>
          <w:rFonts w:ascii="Arial" w:cs="Arial" w:eastAsia="Arial" w:hAnsi="Arial"/>
          <w:sz w:val="15"/>
          <w:szCs w:val="15"/>
          <w:b w:val="1"/>
          <w:bCs w:val="1"/>
          <w:color w:val="auto"/>
        </w:rPr>
        <w:t>No Effect of Options upon Certain Corporate Transactions.</w:t>
      </w:r>
      <w:r>
        <w:rPr>
          <w:rFonts w:ascii="Arial" w:cs="Arial" w:eastAsia="Arial" w:hAnsi="Arial"/>
          <w:sz w:val="15"/>
          <w:szCs w:val="15"/>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Common Stock,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51" w:lineRule="exact"/>
        <w:rPr>
          <w:rFonts w:ascii="Arial" w:cs="Arial" w:eastAsia="Arial" w:hAnsi="Arial"/>
          <w:sz w:val="15"/>
          <w:szCs w:val="15"/>
          <w:b w:val="1"/>
          <w:bCs w:val="1"/>
          <w:color w:val="auto"/>
        </w:rPr>
      </w:pPr>
    </w:p>
    <w:p>
      <w:pPr>
        <w:ind w:left="1107" w:right="80" w:hanging="557"/>
        <w:spacing w:after="0" w:line="297" w:lineRule="auto"/>
        <w:rPr>
          <w:rFonts w:ascii="Arial" w:cs="Arial" w:eastAsia="Arial" w:hAnsi="Arial"/>
          <w:sz w:val="15"/>
          <w:szCs w:val="15"/>
          <w:b w:val="1"/>
          <w:bCs w:val="1"/>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Adjustment Provisions.</w:t>
      </w:r>
      <w:r>
        <w:rPr>
          <w:rFonts w:ascii="Arial" w:cs="Arial" w:eastAsia="Arial" w:hAnsi="Arial"/>
          <w:sz w:val="14"/>
          <w:szCs w:val="14"/>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Common Stock are increased, decreased or exchanged for a different number or kind of shares or other securities of the Company, or (ii) additional shares or new or different shares or other securities of the Company or other non-cash assets are distributed with respect to such shares of Common Stock or other securities, an appropriate</w:t>
      </w:r>
    </w:p>
    <w:p>
      <w:pPr>
        <w:spacing w:after="0" w:line="13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9" w:lineRule="exact"/>
        <w:rPr>
          <w:sz w:val="20"/>
          <w:szCs w:val="20"/>
          <w:color w:val="auto"/>
        </w:rPr>
      </w:pPr>
    </w:p>
    <w:p>
      <w:pPr>
        <w:ind w:left="1107" w:right="80"/>
        <w:spacing w:after="0" w:line="289" w:lineRule="auto"/>
        <w:rPr>
          <w:sz w:val="20"/>
          <w:szCs w:val="20"/>
          <w:color w:val="auto"/>
        </w:rPr>
      </w:pPr>
      <w:r>
        <w:rPr>
          <w:rFonts w:ascii="Arial" w:cs="Arial" w:eastAsia="Arial" w:hAnsi="Arial"/>
          <w:sz w:val="14"/>
          <w:szCs w:val="14"/>
          <w:color w:val="auto"/>
        </w:rPr>
        <w:t>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Common Stock immediately prior to the event requiring adjustment would own as a result of the event.</w:t>
      </w:r>
    </w:p>
    <w:p>
      <w:pPr>
        <w:spacing w:after="0" w:line="139" w:lineRule="exact"/>
        <w:rPr>
          <w:sz w:val="20"/>
          <w:szCs w:val="20"/>
          <w:color w:val="auto"/>
        </w:rPr>
      </w:pPr>
    </w:p>
    <w:p>
      <w:pPr>
        <w:ind w:left="1107" w:right="40" w:hanging="556"/>
        <w:spacing w:after="0" w:line="271" w:lineRule="auto"/>
        <w:tabs>
          <w:tab w:leader="none" w:pos="1087"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5"/>
          <w:szCs w:val="15"/>
          <w:b w:val="1"/>
          <w:bCs w:val="1"/>
          <w:color w:val="auto"/>
        </w:rPr>
        <w:t xml:space="preserve">No Adjustment in Certain Cases. </w:t>
      </w:r>
      <w:r>
        <w:rPr>
          <w:rFonts w:ascii="Arial" w:cs="Arial" w:eastAsia="Arial" w:hAnsi="Arial"/>
          <w:sz w:val="15"/>
          <w:szCs w:val="15"/>
          <w:color w:val="auto"/>
        </w:rPr>
        <w:t>Except as hereinbefore expressly provided, the issue by the Company of shares of stock of any class, or securities convertible into</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stock of any class, for cash or property or for labor or services, either upon direct sale or upon the exercise of rights or warrants to subscribe therefore, or upon conversion of shares or obligations of the Company convertible into such shares or other securities, shall not affect, and no adjustment by reason thereof shall be made with respect to, the number or price of shares of Common Stock then subject to outstanding options.</w:t>
      </w:r>
    </w:p>
    <w:p>
      <w:pPr>
        <w:spacing w:after="0" w:line="149" w:lineRule="exact"/>
        <w:rPr>
          <w:sz w:val="20"/>
          <w:szCs w:val="20"/>
          <w:color w:val="auto"/>
        </w:rPr>
      </w:pPr>
    </w:p>
    <w:p>
      <w:pPr>
        <w:ind w:left="1107" w:right="280" w:hanging="556"/>
        <w:spacing w:after="0" w:line="278" w:lineRule="auto"/>
        <w:tabs>
          <w:tab w:leader="none" w:pos="1087" w:val="left"/>
        </w:tabs>
        <w:rPr>
          <w:sz w:val="20"/>
          <w:szCs w:val="20"/>
          <w:color w:val="auto"/>
        </w:rPr>
      </w:pPr>
      <w:r>
        <w:rPr>
          <w:rFonts w:ascii="Arial" w:cs="Arial" w:eastAsia="Arial" w:hAnsi="Arial"/>
          <w:sz w:val="15"/>
          <w:szCs w:val="15"/>
          <w:color w:val="auto"/>
        </w:rPr>
        <w:t>14.4</w:t>
      </w:r>
      <w:r>
        <w:rPr>
          <w:sz w:val="20"/>
          <w:szCs w:val="20"/>
          <w:color w:val="auto"/>
        </w:rPr>
        <w:tab/>
      </w:r>
      <w:r>
        <w:rPr>
          <w:rFonts w:ascii="Arial" w:cs="Arial" w:eastAsia="Arial" w:hAnsi="Arial"/>
          <w:sz w:val="15"/>
          <w:szCs w:val="15"/>
          <w:b w:val="1"/>
          <w:bCs w:val="1"/>
          <w:color w:val="auto"/>
        </w:rPr>
        <w:t xml:space="preserve">Board Authority to Make Adjustments. </w:t>
      </w:r>
      <w:r>
        <w:rPr>
          <w:rFonts w:ascii="Arial" w:cs="Arial" w:eastAsia="Arial" w:hAnsi="Arial"/>
          <w:sz w:val="15"/>
          <w:szCs w:val="15"/>
          <w:color w:val="auto"/>
        </w:rPr>
        <w:t>Any adjustments under this Section 14 will be made by the Board of Directors, whose determination as to what</w:t>
      </w:r>
      <w:r>
        <w:rPr>
          <w:rFonts w:ascii="Arial" w:cs="Arial" w:eastAsia="Arial" w:hAnsi="Arial"/>
          <w:sz w:val="15"/>
          <w:szCs w:val="15"/>
          <w:b w:val="1"/>
          <w:bCs w:val="1"/>
          <w:color w:val="auto"/>
        </w:rPr>
        <w:t xml:space="preserve"> </w:t>
      </w:r>
      <w:r>
        <w:rPr>
          <w:rFonts w:ascii="Arial" w:cs="Arial" w:eastAsia="Arial" w:hAnsi="Arial"/>
          <w:sz w:val="15"/>
          <w:szCs w:val="15"/>
          <w:color w:val="auto"/>
        </w:rPr>
        <w:t>adjustments, if any, will be made and the extent thereof will be final, binding and conclusive. No fractional shares will be issued under the Plan on account of any such adjustments.</w:t>
      </w:r>
    </w:p>
    <w:p>
      <w:pPr>
        <w:spacing w:after="0" w:line="143" w:lineRule="exact"/>
        <w:rPr>
          <w:sz w:val="20"/>
          <w:szCs w:val="20"/>
          <w:color w:val="auto"/>
        </w:rPr>
      </w:pPr>
    </w:p>
    <w:p>
      <w:pPr>
        <w:ind w:left="547" w:hanging="547"/>
        <w:spacing w:after="0"/>
        <w:tabs>
          <w:tab w:leader="none" w:pos="547" w:val="left"/>
        </w:tabs>
        <w:numPr>
          <w:ilvl w:val="0"/>
          <w:numId w:val="200"/>
        </w:numPr>
        <w:rPr>
          <w:rFonts w:ascii="Arial" w:cs="Arial" w:eastAsia="Arial" w:hAnsi="Arial"/>
          <w:sz w:val="15"/>
          <w:szCs w:val="15"/>
          <w:b w:val="1"/>
          <w:bCs w:val="1"/>
          <w:color w:val="auto"/>
        </w:rPr>
      </w:pPr>
      <w:r>
        <w:rPr>
          <w:rFonts w:ascii="Arial" w:cs="Arial" w:eastAsia="Arial" w:hAnsi="Arial"/>
          <w:sz w:val="15"/>
          <w:szCs w:val="15"/>
          <w:b w:val="1"/>
          <w:bCs w:val="1"/>
          <w:color w:val="auto"/>
        </w:rPr>
        <w:t>Effect of Certain Transactions</w:t>
      </w:r>
      <w:r>
        <w:rPr>
          <w:rFonts w:ascii="Arial" w:cs="Arial" w:eastAsia="Arial" w:hAnsi="Arial"/>
          <w:sz w:val="15"/>
          <w:szCs w:val="15"/>
          <w:color w:val="auto"/>
        </w:rPr>
        <w:t>.</w:t>
      </w:r>
    </w:p>
    <w:p>
      <w:pPr>
        <w:spacing w:after="0" w:line="198" w:lineRule="exact"/>
        <w:rPr>
          <w:rFonts w:ascii="Arial" w:cs="Arial" w:eastAsia="Arial" w:hAnsi="Arial"/>
          <w:sz w:val="15"/>
          <w:szCs w:val="15"/>
          <w:b w:val="1"/>
          <w:bCs w:val="1"/>
          <w:color w:val="auto"/>
        </w:rPr>
      </w:pPr>
    </w:p>
    <w:p>
      <w:pPr>
        <w:ind w:left="1107" w:right="80" w:hanging="557"/>
        <w:spacing w:after="0" w:line="285" w:lineRule="auto"/>
        <w:rPr>
          <w:rFonts w:ascii="Arial" w:cs="Arial" w:eastAsia="Arial" w:hAnsi="Arial"/>
          <w:sz w:val="15"/>
          <w:szCs w:val="15"/>
          <w:b w:val="1"/>
          <w:bCs w:val="1"/>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General.</w:t>
      </w:r>
      <w:r>
        <w:rPr>
          <w:rFonts w:ascii="Arial" w:cs="Arial" w:eastAsia="Arial" w:hAnsi="Arial"/>
          <w:sz w:val="14"/>
          <w:szCs w:val="14"/>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“Change in Control Transaction”),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w:t>
      </w:r>
    </w:p>
    <w:p>
      <w:pPr>
        <w:sectPr>
          <w:pgSz w:w="11900" w:h="16838" w:orient="portrait"/>
          <w:cols w:equalWidth="0" w:num="1">
            <w:col w:w="11447"/>
          </w:cols>
          <w:pgMar w:left="233" w:top="315" w:right="219" w:bottom="0" w:gutter="0" w:footer="0" w:header="0"/>
        </w:sectPr>
      </w:pPr>
    </w:p>
    <w:bookmarkStart w:id="273" w:name="page274"/>
    <w:bookmarkEnd w:id="273"/>
    <w:p>
      <w:pPr>
        <w:spacing w:after="0" w:line="59" w:lineRule="exact"/>
        <w:rPr>
          <w:sz w:val="20"/>
          <w:szCs w:val="20"/>
          <w:color w:val="auto"/>
        </w:rPr>
      </w:pPr>
    </w:p>
    <w:p>
      <w:pPr>
        <w:ind w:left="1107" w:right="400"/>
        <w:spacing w:after="0" w:line="290" w:lineRule="auto"/>
        <w:rPr>
          <w:sz w:val="20"/>
          <w:szCs w:val="20"/>
          <w:color w:val="auto"/>
        </w:rPr>
      </w:pP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any such Options substituted for Incentive Stock Options shall meet the requirements of Section 424(a) of the Code, (ii) upon written notice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optionees, provide that all unexercised</w:t>
      </w:r>
    </w:p>
    <w:p>
      <w:pPr>
        <w:spacing w:after="0" w:line="14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7" w:right="40"/>
        <w:spacing w:after="0" w:line="281" w:lineRule="auto"/>
        <w:rPr>
          <w:sz w:val="20"/>
          <w:szCs w:val="20"/>
          <w:color w:val="auto"/>
        </w:rPr>
      </w:pPr>
      <w:r>
        <w:rPr>
          <w:rFonts w:ascii="Arial" w:cs="Arial" w:eastAsia="Arial" w:hAnsi="Arial"/>
          <w:sz w:val="14"/>
          <w:szCs w:val="14"/>
          <w:color w:val="auto"/>
        </w:rPr>
        <w:t>Options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Common Stock will receive upon consummation of the Change in Control Transaction (the “Per Share Transaction Price”) times the number of shares of Common Stock subject to outstanding vested Options (to the 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Arial" w:cs="Arial" w:eastAsia="Arial" w:hAnsi="Arial"/>
          <w:sz w:val="14"/>
          <w:szCs w:val="14"/>
          <w:u w:val="single" w:color="auto"/>
          <w:color w:val="auto"/>
        </w:rPr>
        <w:t>Unrelated Third Party</w:t>
      </w:r>
      <w:r>
        <w:rPr>
          <w:rFonts w:ascii="Arial" w:cs="Arial" w:eastAsia="Arial" w:hAnsi="Arial"/>
          <w:sz w:val="14"/>
          <w:szCs w:val="14"/>
          <w:color w:val="auto"/>
        </w:rPr>
        <w:t>” shall mean any person who is not, on the date of adoption of this Plan by the Board, a holder of stock of any class or preference or any stock option of the Company.</w:t>
      </w:r>
    </w:p>
    <w:p>
      <w:pPr>
        <w:spacing w:after="0" w:line="149" w:lineRule="exact"/>
        <w:rPr>
          <w:sz w:val="20"/>
          <w:szCs w:val="20"/>
          <w:color w:val="auto"/>
        </w:rPr>
      </w:pPr>
    </w:p>
    <w:p>
      <w:pPr>
        <w:ind w:left="1107" w:right="60" w:hanging="556"/>
        <w:spacing w:after="0" w:line="271" w:lineRule="auto"/>
        <w:tabs>
          <w:tab w:leader="none" w:pos="1087"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5"/>
          <w:szCs w:val="15"/>
          <w:b w:val="1"/>
          <w:bCs w:val="1"/>
          <w:color w:val="auto"/>
        </w:rPr>
        <w:t xml:space="preserve">Substitute Options. </w:t>
      </w:r>
      <w:r>
        <w:rPr>
          <w:rFonts w:ascii="Arial" w:cs="Arial" w:eastAsia="Arial" w:hAnsi="Arial"/>
          <w:sz w:val="15"/>
          <w:szCs w:val="15"/>
          <w:color w:val="auto"/>
        </w:rPr>
        <w:t>The Company may grant Options in substitution for options held by employees of another corporation who become employees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49" w:lineRule="exact"/>
        <w:rPr>
          <w:sz w:val="20"/>
          <w:szCs w:val="20"/>
          <w:color w:val="auto"/>
        </w:rPr>
      </w:pPr>
    </w:p>
    <w:p>
      <w:pPr>
        <w:ind w:left="1107" w:right="180" w:hanging="556"/>
        <w:spacing w:after="0" w:line="271" w:lineRule="auto"/>
        <w:tabs>
          <w:tab w:leader="none" w:pos="1087" w:val="left"/>
        </w:tabs>
        <w:rPr>
          <w:sz w:val="20"/>
          <w:szCs w:val="20"/>
          <w:color w:val="auto"/>
        </w:rPr>
      </w:pPr>
      <w:r>
        <w:rPr>
          <w:rFonts w:ascii="Arial" w:cs="Arial" w:eastAsia="Arial" w:hAnsi="Arial"/>
          <w:sz w:val="15"/>
          <w:szCs w:val="15"/>
          <w:color w:val="auto"/>
        </w:rPr>
        <w:t>15.3</w:t>
      </w:r>
      <w:r>
        <w:rPr>
          <w:sz w:val="20"/>
          <w:szCs w:val="20"/>
          <w:color w:val="auto"/>
        </w:rPr>
        <w:tab/>
      </w: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In the event of a business combination or other transaction of the type detailed in Section 15.1, any securities, cash or other property received in</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49" w:lineRule="exact"/>
        <w:rPr>
          <w:sz w:val="20"/>
          <w:szCs w:val="20"/>
          <w:color w:val="auto"/>
        </w:rPr>
      </w:pPr>
    </w:p>
    <w:p>
      <w:pPr>
        <w:ind w:left="547" w:right="80" w:hanging="547"/>
        <w:spacing w:after="0" w:line="278" w:lineRule="auto"/>
        <w:tabs>
          <w:tab w:leader="none" w:pos="543" w:val="left"/>
        </w:tabs>
        <w:numPr>
          <w:ilvl w:val="0"/>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Special Employment Rights. </w:t>
      </w:r>
      <w:r>
        <w:rPr>
          <w:rFonts w:ascii="Arial" w:cs="Arial" w:eastAsia="Arial" w:hAnsi="Arial"/>
          <w:sz w:val="15"/>
          <w:szCs w:val="15"/>
          <w:color w:val="auto"/>
        </w:rPr>
        <w:t>Nothing contained in the Plan or in any Option or Restricted Stock Agreement shall confer upon any optionee or holder of 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any right with respect to the continuation of his or her employment by the Company or interfere in any way with the right of the Company at any time to terminate such employment or to increase or decrease the compensation of such person.</w:t>
      </w:r>
    </w:p>
    <w:p>
      <w:pPr>
        <w:spacing w:after="0" w:line="149"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7" w:right="220" w:hanging="547"/>
        <w:spacing w:after="0" w:line="271" w:lineRule="auto"/>
        <w:tabs>
          <w:tab w:leader="none" w:pos="543"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Employee Benefits. </w:t>
      </w:r>
      <w:r>
        <w:rPr>
          <w:rFonts w:ascii="Arial" w:cs="Arial" w:eastAsia="Arial" w:hAnsi="Arial"/>
          <w:sz w:val="15"/>
          <w:szCs w:val="15"/>
          <w:color w:val="auto"/>
        </w:rPr>
        <w:t>The amount of any compensation deemed to be received by an employee as a result of the issuance of shares of Restricted Stock or the grant or</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an Option or the sale of shares received upon such award or exercise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49" w:lineRule="exact"/>
        <w:rPr>
          <w:rFonts w:ascii="Arial" w:cs="Arial" w:eastAsia="Arial" w:hAnsi="Arial"/>
          <w:sz w:val="15"/>
          <w:szCs w:val="15"/>
          <w:b w:val="1"/>
          <w:bCs w:val="1"/>
          <w:color w:val="auto"/>
        </w:rPr>
      </w:pPr>
    </w:p>
    <w:p>
      <w:pPr>
        <w:ind w:left="547" w:hanging="547"/>
        <w:spacing w:after="0"/>
        <w:tabs>
          <w:tab w:leader="none" w:pos="547"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Amendment of the Plan.</w:t>
      </w:r>
    </w:p>
    <w:p>
      <w:pPr>
        <w:spacing w:after="0" w:line="204" w:lineRule="exact"/>
        <w:rPr>
          <w:rFonts w:ascii="Arial" w:cs="Arial" w:eastAsia="Arial" w:hAnsi="Arial"/>
          <w:sz w:val="15"/>
          <w:szCs w:val="15"/>
          <w:b w:val="1"/>
          <w:bCs w:val="1"/>
          <w:color w:val="auto"/>
        </w:rPr>
      </w:pPr>
    </w:p>
    <w:p>
      <w:pPr>
        <w:ind w:left="1107" w:right="20" w:hanging="557"/>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 class of persons eligible to receive Options under the Plan, no Options granted pursuant to such amendments shall be deemed to be Incentive Stock Options and no Incentive Stock Options shall be issued pursuant to such amendments thereafter.</w:t>
      </w:r>
    </w:p>
    <w:p>
      <w:pPr>
        <w:spacing w:after="0" w:line="155" w:lineRule="exact"/>
        <w:rPr>
          <w:rFonts w:ascii="Arial" w:cs="Arial" w:eastAsia="Arial" w:hAnsi="Arial"/>
          <w:sz w:val="15"/>
          <w:szCs w:val="15"/>
          <w:b w:val="1"/>
          <w:bCs w:val="1"/>
          <w:color w:val="auto"/>
        </w:rPr>
      </w:pPr>
    </w:p>
    <w:p>
      <w:pPr>
        <w:ind w:left="1107" w:right="80" w:hanging="557"/>
        <w:spacing w:after="0" w:line="274" w:lineRule="auto"/>
        <w:rPr>
          <w:rFonts w:ascii="Arial" w:cs="Arial" w:eastAsia="Arial" w:hAnsi="Arial"/>
          <w:sz w:val="15"/>
          <w:szCs w:val="15"/>
          <w:b w:val="1"/>
          <w:bCs w:val="1"/>
          <w:color w:val="auto"/>
        </w:rPr>
      </w:pPr>
      <w:r>
        <w:rPr>
          <w:rFonts w:ascii="Arial" w:cs="Arial" w:eastAsia="Arial" w:hAnsi="Arial"/>
          <w:sz w:val="15"/>
          <w:szCs w:val="15"/>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145" w:lineRule="exact"/>
        <w:rPr>
          <w:rFonts w:ascii="Arial" w:cs="Arial" w:eastAsia="Arial" w:hAnsi="Arial"/>
          <w:sz w:val="15"/>
          <w:szCs w:val="15"/>
          <w:b w:val="1"/>
          <w:bCs w:val="1"/>
          <w:color w:val="auto"/>
        </w:rPr>
      </w:pPr>
    </w:p>
    <w:p>
      <w:pPr>
        <w:ind w:left="547" w:right="20" w:hanging="547"/>
        <w:spacing w:after="0" w:line="284" w:lineRule="auto"/>
        <w:tabs>
          <w:tab w:leader="none" w:pos="543" w:val="left"/>
        </w:tabs>
        <w:numPr>
          <w:ilvl w:val="0"/>
          <w:numId w:val="20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Withholding. </w:t>
      </w:r>
      <w:r>
        <w:rPr>
          <w:rFonts w:ascii="Arial" w:cs="Arial" w:eastAsia="Arial" w:hAnsi="Arial"/>
          <w:sz w:val="14"/>
          <w:szCs w:val="14"/>
          <w:color w:val="auto"/>
        </w:rPr>
        <w:t>The Company shall have the right to deduct from payments of any kind otherwise due to the optionee or recipient of Restricted Stock, any federal, state or local</w:t>
      </w:r>
      <w:r>
        <w:rPr>
          <w:rFonts w:ascii="Arial" w:cs="Arial" w:eastAsia="Arial" w:hAnsi="Arial"/>
          <w:sz w:val="14"/>
          <w:szCs w:val="14"/>
          <w:b w:val="1"/>
          <w:bCs w:val="1"/>
          <w:color w:val="auto"/>
        </w:rPr>
        <w:t xml:space="preserve"> </w:t>
      </w:r>
      <w:r>
        <w:rPr>
          <w:rFonts w:ascii="Arial" w:cs="Arial" w:eastAsia="Arial" w:hAnsi="Arial"/>
          <w:sz w:val="14"/>
          <w:szCs w:val="14"/>
          <w:color w:val="auto"/>
        </w:rPr>
        <w:t>taxes of any kind required by law to be withheld with respect to issuance of any shares of Restricted Stock or shares issued upon exercise of Options. Prior to delivery of any Common Stock pursuant to the terms of this Plan, the Board has the right to require that the optionee or recipient of Restricted Stock remit to the Company an amount sufficient to satisfy any minimum tax withholding obligation. Subject to the prior approval of the Company, which may be withheld by the Company in its sole discretion, the obligor may elect to satisfy any minimum withholding obligations, in whole or in part, (i) by causing the Company to withhold shares of Common Stock otherwise issuable, or (ii) by delivering to the Company a sufficient number of shares of Common Stock. The shares so withheld shall have a fair market value equal to such minimum withholding obligation. The fair market value of the shares used to satisfy such minimum withholding obligation shall be determined by the Company as of the date that the amount of tax to be withheld is to be determined. A person who has made an election pursuant to this Section 19 may only satisfy his or her withholding obligation with shares of Common Stock which are not subject to any repurchase, forfeiture, unfulfilled vesting or other similar restrictions.</w:t>
      </w:r>
    </w:p>
    <w:p>
      <w:pPr>
        <w:spacing w:after="0" w:line="142" w:lineRule="exact"/>
        <w:rPr>
          <w:rFonts w:ascii="Arial" w:cs="Arial" w:eastAsia="Arial" w:hAnsi="Arial"/>
          <w:sz w:val="14"/>
          <w:szCs w:val="14"/>
          <w:b w:val="1"/>
          <w:bCs w:val="1"/>
          <w:color w:val="auto"/>
        </w:rPr>
      </w:pPr>
    </w:p>
    <w:p>
      <w:pPr>
        <w:ind w:left="547" w:hanging="547"/>
        <w:spacing w:after="0"/>
        <w:tabs>
          <w:tab w:leader="none" w:pos="547"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Effective Date and Duration of the Plan.</w:t>
      </w:r>
    </w:p>
    <w:p>
      <w:pPr>
        <w:spacing w:after="0" w:line="198"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 xml:space="preserve">20.1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The Plan shall become effective when adopted by the Board of Directors. If shareholder approval is not obtained within twelve months after the</w:t>
      </w:r>
    </w:p>
    <w:p>
      <w:pPr>
        <w:spacing w:after="0" w:line="21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7" w:right="60"/>
        <w:spacing w:after="0" w:line="264" w:lineRule="auto"/>
        <w:rPr>
          <w:sz w:val="20"/>
          <w:szCs w:val="20"/>
          <w:color w:val="auto"/>
        </w:rPr>
      </w:pPr>
      <w:r>
        <w:rPr>
          <w:rFonts w:ascii="Arial" w:cs="Arial" w:eastAsia="Arial" w:hAnsi="Arial"/>
          <w:sz w:val="15"/>
          <w:szCs w:val="15"/>
          <w:color w:val="auto"/>
        </w:rPr>
        <w:t>date of the Board’s adoption of the Plan, no Options previously granted under the Plan shall be deemed to be Incentive Stock Options and no Incentive Stock Options shall be granted thereafter. 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155" w:lineRule="exact"/>
        <w:rPr>
          <w:sz w:val="20"/>
          <w:szCs w:val="20"/>
          <w:color w:val="auto"/>
        </w:rPr>
      </w:pPr>
    </w:p>
    <w:p>
      <w:pPr>
        <w:ind w:left="1107" w:right="200" w:hanging="556"/>
        <w:spacing w:after="0" w:line="299" w:lineRule="auto"/>
        <w:tabs>
          <w:tab w:leader="none" w:pos="1087" w:val="left"/>
        </w:tabs>
        <w:rPr>
          <w:sz w:val="20"/>
          <w:szCs w:val="20"/>
          <w:color w:val="auto"/>
        </w:rPr>
      </w:pPr>
      <w:r>
        <w:rPr>
          <w:rFonts w:ascii="Arial" w:cs="Arial" w:eastAsia="Arial" w:hAnsi="Arial"/>
          <w:sz w:val="15"/>
          <w:szCs w:val="15"/>
          <w:color w:val="auto"/>
        </w:rPr>
        <w:t>20.2</w:t>
      </w:r>
      <w:r>
        <w:rPr>
          <w:sz w:val="20"/>
          <w:szCs w:val="20"/>
          <w:color w:val="auto"/>
        </w:rPr>
        <w:tab/>
      </w:r>
      <w:r>
        <w:rPr>
          <w:rFonts w:ascii="Arial" w:cs="Arial" w:eastAsia="Arial" w:hAnsi="Arial"/>
          <w:sz w:val="15"/>
          <w:szCs w:val="15"/>
          <w:b w:val="1"/>
          <w:bCs w:val="1"/>
          <w:color w:val="auto"/>
        </w:rPr>
        <w:t xml:space="preserve">Termination. </w:t>
      </w:r>
      <w:r>
        <w:rPr>
          <w:rFonts w:ascii="Arial" w:cs="Arial" w:eastAsia="Arial" w:hAnsi="Arial"/>
          <w:sz w:val="15"/>
          <w:szCs w:val="15"/>
          <w:color w:val="auto"/>
        </w:rPr>
        <w:t>Unless sooner terminated by action of the Board of Directors, the Plan shall terminate upon the close of business on the day next preceding the tenth</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of the date of its adoption by the Board of Directors.</w:t>
      </w:r>
    </w:p>
    <w:p>
      <w:pPr>
        <w:spacing w:after="0" w:line="127" w:lineRule="exact"/>
        <w:rPr>
          <w:sz w:val="20"/>
          <w:szCs w:val="20"/>
          <w:color w:val="auto"/>
        </w:rPr>
      </w:pPr>
    </w:p>
    <w:p>
      <w:pPr>
        <w:ind w:left="547" w:hanging="547"/>
        <w:spacing w:after="0" w:line="312" w:lineRule="auto"/>
        <w:tabs>
          <w:tab w:leader="none" w:pos="543" w:val="left"/>
        </w:tabs>
        <w:numPr>
          <w:ilvl w:val="0"/>
          <w:numId w:val="2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Requirements of Law. </w:t>
      </w:r>
      <w:r>
        <w:rPr>
          <w:rFonts w:ascii="Arial" w:cs="Arial" w:eastAsia="Arial" w:hAnsi="Arial"/>
          <w:sz w:val="13"/>
          <w:szCs w:val="13"/>
          <w:color w:val="auto"/>
        </w:rPr>
        <w:t>The Company shall not be required to sell or issue any shares under any Option or Restricted Stock Agreement if the issuance of such shares shall</w:t>
      </w:r>
      <w:r>
        <w:rPr>
          <w:rFonts w:ascii="Arial" w:cs="Arial" w:eastAsia="Arial" w:hAnsi="Arial"/>
          <w:sz w:val="13"/>
          <w:szCs w:val="13"/>
          <w:b w:val="1"/>
          <w:bCs w:val="1"/>
          <w:color w:val="auto"/>
        </w:rPr>
        <w:t xml:space="preserve"> </w:t>
      </w:r>
      <w:r>
        <w:rPr>
          <w:rFonts w:ascii="Arial" w:cs="Arial" w:eastAsia="Arial" w:hAnsi="Arial"/>
          <w:sz w:val="13"/>
          <w:szCs w:val="13"/>
          <w:color w:val="auto"/>
        </w:rPr>
        <w:t>constitute a violation by the optionee, the Restricted Stock Award recipient, or by the Company of any provisions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w:t>
      </w:r>
    </w:p>
    <w:p>
      <w:pPr>
        <w:sectPr>
          <w:pgSz w:w="11900" w:h="16897" w:orient="portrait"/>
          <w:cols w:equalWidth="0" w:num="1">
            <w:col w:w="11427"/>
          </w:cols>
          <w:pgMar w:left="233" w:top="129" w:right="239" w:bottom="0" w:gutter="0" w:footer="0" w:header="0"/>
        </w:sectPr>
      </w:pPr>
    </w:p>
    <w:bookmarkStart w:id="274" w:name="page275"/>
    <w:bookmarkEnd w:id="274"/>
    <w:p>
      <w:pPr>
        <w:ind w:left="547" w:right="120"/>
        <w:spacing w:after="0" w:line="269" w:lineRule="auto"/>
        <w:rPr>
          <w:sz w:val="20"/>
          <w:szCs w:val="20"/>
          <w:color w:val="auto"/>
        </w:rPr>
      </w:pPr>
      <w:r>
        <w:rPr>
          <w:rFonts w:ascii="Arial" w:cs="Arial" w:eastAsia="Arial" w:hAnsi="Arial"/>
          <w:sz w:val="15"/>
          <w:szCs w:val="15"/>
          <w:color w:val="auto"/>
        </w:rPr>
        <w:t>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or the issuance of shares pursuant thereto to comply with any law or regulation of any governmental authority.</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7" w:right="60" w:hanging="547"/>
        <w:spacing w:after="0" w:line="307" w:lineRule="auto"/>
        <w:tabs>
          <w:tab w:leader="none" w:pos="543" w:val="left"/>
        </w:tabs>
        <w:numPr>
          <w:ilvl w:val="0"/>
          <w:numId w:val="2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Non-Exclusivity of this Plan; Non-Uniform Determinations. </w:t>
      </w:r>
      <w:r>
        <w:rPr>
          <w:rFonts w:ascii="Arial" w:cs="Arial" w:eastAsia="Arial" w:hAnsi="Arial"/>
          <w:sz w:val="14"/>
          <w:szCs w:val="14"/>
          <w:color w:val="auto"/>
        </w:rPr>
        <w:t>Neither the adoption of this Plan by the Board of Directors nor the approval of this Plan by the stockholders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31" w:lineRule="exact"/>
        <w:rPr>
          <w:sz w:val="20"/>
          <w:szCs w:val="20"/>
          <w:color w:val="auto"/>
        </w:rPr>
      </w:pPr>
    </w:p>
    <w:p>
      <w:pPr>
        <w:ind w:left="547" w:right="100" w:firstLine="557"/>
        <w:spacing w:after="0" w:line="264" w:lineRule="auto"/>
        <w:rPr>
          <w:sz w:val="20"/>
          <w:szCs w:val="20"/>
          <w:color w:val="auto"/>
        </w:rPr>
      </w:pPr>
      <w:r>
        <w:rPr>
          <w:rFonts w:ascii="Arial" w:cs="Arial" w:eastAsia="Arial" w:hAnsi="Arial"/>
          <w:sz w:val="15"/>
          <w:szCs w:val="15"/>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55" w:lineRule="exact"/>
        <w:rPr>
          <w:sz w:val="20"/>
          <w:szCs w:val="20"/>
          <w:color w:val="auto"/>
        </w:rPr>
      </w:pPr>
    </w:p>
    <w:p>
      <w:pPr>
        <w:ind w:left="547" w:right="380" w:hanging="547"/>
        <w:spacing w:after="0" w:line="299" w:lineRule="auto"/>
        <w:tabs>
          <w:tab w:leader="none" w:pos="543"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This Plan and each Option or Restricted Stock Agreement shall be governed by the laws of The Commonwealth of Massachusetts, without regard to its</w:t>
      </w:r>
      <w:r>
        <w:rPr>
          <w:rFonts w:ascii="Arial" w:cs="Arial" w:eastAsia="Arial" w:hAnsi="Arial"/>
          <w:sz w:val="15"/>
          <w:szCs w:val="15"/>
          <w:b w:val="1"/>
          <w:bCs w:val="1"/>
          <w:color w:val="auto"/>
        </w:rPr>
        <w:t xml:space="preserve"> </w:t>
      </w:r>
      <w:r>
        <w:rPr>
          <w:rFonts w:ascii="Arial" w:cs="Arial" w:eastAsia="Arial" w:hAnsi="Arial"/>
          <w:sz w:val="15"/>
          <w:szCs w:val="15"/>
          <w:color w:val="auto"/>
        </w:rPr>
        <w:t>principles of conflicts of law.</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INCENTIVE STOCK OPTION</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Granted by</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 (the “</w:t>
      </w:r>
      <w:r>
        <w:rPr>
          <w:rFonts w:ascii="Arial" w:cs="Arial" w:eastAsia="Arial" w:hAnsi="Arial"/>
          <w:sz w:val="15"/>
          <w:szCs w:val="15"/>
          <w:b w:val="1"/>
          <w:bCs w:val="1"/>
          <w:u w:val="single" w:color="auto"/>
          <w:color w:val="auto"/>
        </w:rPr>
        <w:t>Company</w:t>
      </w:r>
      <w:r>
        <w:rPr>
          <w:rFonts w:ascii="Arial" w:cs="Arial" w:eastAsia="Arial" w:hAnsi="Arial"/>
          <w:sz w:val="15"/>
          <w:szCs w:val="15"/>
          <w:b w:val="1"/>
          <w:bCs w:val="1"/>
          <w:color w:val="auto"/>
        </w:rPr>
        <w:t>”)</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Under the 2008 Stock Incentive Plan</w:t>
      </w:r>
    </w:p>
    <w:p>
      <w:pPr>
        <w:spacing w:after="0" w:line="199" w:lineRule="exact"/>
        <w:rPr>
          <w:sz w:val="20"/>
          <w:szCs w:val="20"/>
          <w:color w:val="auto"/>
        </w:rPr>
      </w:pPr>
    </w:p>
    <w:p>
      <w:pPr>
        <w:ind w:left="7" w:right="80" w:firstLine="557"/>
        <w:spacing w:after="0" w:line="269" w:lineRule="auto"/>
        <w:rPr>
          <w:sz w:val="20"/>
          <w:szCs w:val="20"/>
          <w:color w:val="auto"/>
        </w:rPr>
      </w:pPr>
      <w:r>
        <w:rPr>
          <w:rFonts w:ascii="Arial" w:cs="Arial" w:eastAsia="Arial" w:hAnsi="Arial"/>
          <w:sz w:val="15"/>
          <w:szCs w:val="15"/>
          <w:color w:val="auto"/>
        </w:rPr>
        <w:t>This Option is and shall be subject in every respect to the provisions of the Company’s 2008 Stock Incentive Plan, as amended from time to time, which is incorporated herein by reference and made a part hereof. The holder of this Option (the “</w:t>
      </w:r>
      <w:r>
        <w:rPr>
          <w:rFonts w:ascii="Arial" w:cs="Arial" w:eastAsia="Arial" w:hAnsi="Arial"/>
          <w:sz w:val="15"/>
          <w:szCs w:val="15"/>
          <w:u w:val="single" w:color="auto"/>
          <w:color w:val="auto"/>
        </w:rPr>
        <w:t>Holder</w:t>
      </w:r>
      <w:r>
        <w:rPr>
          <w:rFonts w:ascii="Arial" w:cs="Arial" w:eastAsia="Arial" w:hAnsi="Arial"/>
          <w:sz w:val="15"/>
          <w:szCs w:val="15"/>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1.</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Name of Holder:</w:t>
            </w:r>
          </w:p>
        </w:tc>
        <w:tc>
          <w:tcPr>
            <w:tcW w:w="1520" w:type="dxa"/>
            <w:vAlign w:val="bottom"/>
          </w:tcPr>
          <w:p>
            <w:pPr>
              <w:ind w:left="260"/>
              <w:spacing w:after="0"/>
              <w:rPr>
                <w:sz w:val="20"/>
                <w:szCs w:val="20"/>
                <w:color w:val="auto"/>
              </w:rPr>
            </w:pPr>
            <w:r>
              <w:rPr>
                <w:rFonts w:ascii="Arial" w:cs="Arial" w:eastAsia="Arial" w:hAnsi="Arial"/>
                <w:sz w:val="15"/>
                <w:szCs w:val="15"/>
                <w:color w:val="auto"/>
                <w:w w:val="95"/>
              </w:rPr>
              <w:t>[Name of Optionee]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2.</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Date of Grant:</w:t>
            </w:r>
          </w:p>
        </w:tc>
        <w:tc>
          <w:tcPr>
            <w:tcW w:w="1520" w:type="dxa"/>
            <w:vAlign w:val="bottom"/>
          </w:tcPr>
          <w:p>
            <w:pPr>
              <w:ind w:left="260"/>
              <w:spacing w:after="0"/>
              <w:rPr>
                <w:sz w:val="20"/>
                <w:szCs w:val="20"/>
                <w:color w:val="auto"/>
              </w:rPr>
            </w:pPr>
            <w:r>
              <w:rPr>
                <w:rFonts w:ascii="Arial" w:cs="Arial" w:eastAsia="Arial" w:hAnsi="Arial"/>
                <w:sz w:val="15"/>
                <w:szCs w:val="15"/>
                <w:color w:val="auto"/>
              </w:rPr>
              <w:t>[Date]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3.</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Vesting Start Date:</w:t>
            </w:r>
          </w:p>
        </w:tc>
        <w:tc>
          <w:tcPr>
            <w:tcW w:w="1520" w:type="dxa"/>
            <w:vAlign w:val="bottom"/>
          </w:tcPr>
          <w:p>
            <w:pPr>
              <w:ind w:left="260"/>
              <w:spacing w:after="0"/>
              <w:rPr>
                <w:sz w:val="20"/>
                <w:szCs w:val="20"/>
                <w:color w:val="auto"/>
              </w:rPr>
            </w:pPr>
            <w:r>
              <w:rPr>
                <w:rFonts w:ascii="Arial" w:cs="Arial" w:eastAsia="Arial" w:hAnsi="Arial"/>
                <w:sz w:val="15"/>
                <w:szCs w:val="15"/>
                <w:color w:val="auto"/>
              </w:rPr>
              <w:t>[Date of Hire]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4.</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w w:val="98"/>
              </w:rPr>
              <w:t>Maximum number of shares for which this Option is exercisable:</w:t>
            </w:r>
          </w:p>
        </w:tc>
        <w:tc>
          <w:tcPr>
            <w:tcW w:w="1520" w:type="dxa"/>
            <w:vAlign w:val="bottom"/>
          </w:tcPr>
          <w:p>
            <w:pPr>
              <w:ind w:left="260"/>
              <w:spacing w:after="0"/>
              <w:rPr>
                <w:sz w:val="20"/>
                <w:szCs w:val="20"/>
                <w:color w:val="auto"/>
              </w:rPr>
            </w:pPr>
            <w:r>
              <w:rPr>
                <w:rFonts w:ascii="Arial" w:cs="Arial" w:eastAsia="Arial" w:hAnsi="Arial"/>
                <w:sz w:val="15"/>
                <w:szCs w:val="15"/>
                <w:color w:val="auto"/>
              </w:rPr>
              <w:t>[number]</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5.</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Exercise (purchase) price per share:</w:t>
            </w:r>
          </w:p>
        </w:tc>
        <w:tc>
          <w:tcPr>
            <w:tcW w:w="1520" w:type="dxa"/>
            <w:vAlign w:val="bottom"/>
          </w:tcPr>
          <w:p>
            <w:pPr>
              <w:ind w:left="260"/>
              <w:spacing w:after="0"/>
              <w:rPr>
                <w:sz w:val="20"/>
                <w:szCs w:val="20"/>
                <w:color w:val="auto"/>
              </w:rPr>
            </w:pPr>
            <w:r>
              <w:rPr>
                <w:rFonts w:ascii="Arial" w:cs="Arial" w:eastAsia="Arial" w:hAnsi="Arial"/>
                <w:sz w:val="15"/>
                <w:szCs w:val="15"/>
                <w:color w:val="auto"/>
              </w:rPr>
              <w:t>[$ . ]</w:t>
            </w:r>
          </w:p>
        </w:tc>
      </w:tr>
    </w:tbl>
    <w:p>
      <w:pPr>
        <w:spacing w:after="0" w:line="170" w:lineRule="exact"/>
        <w:rPr>
          <w:sz w:val="20"/>
          <w:szCs w:val="20"/>
          <w:color w:val="auto"/>
        </w:rPr>
      </w:pPr>
    </w:p>
    <w:p>
      <w:pPr>
        <w:ind w:left="547" w:hanging="547"/>
        <w:spacing w:after="0"/>
        <w:tabs>
          <w:tab w:leader="none" w:pos="547" w:val="left"/>
        </w:tabs>
        <w:numPr>
          <w:ilvl w:val="0"/>
          <w:numId w:val="206"/>
        </w:numPr>
        <w:rPr>
          <w:rFonts w:ascii="Arial" w:cs="Arial" w:eastAsia="Arial" w:hAnsi="Arial"/>
          <w:sz w:val="15"/>
          <w:szCs w:val="15"/>
          <w:color w:val="auto"/>
        </w:rPr>
      </w:pPr>
      <w:r>
        <w:rPr>
          <w:rFonts w:ascii="Arial" w:cs="Arial" w:eastAsia="Arial" w:hAnsi="Arial"/>
          <w:sz w:val="15"/>
          <w:szCs w:val="15"/>
          <w:b w:val="1"/>
          <w:bCs w:val="1"/>
          <w:color w:val="auto"/>
        </w:rPr>
        <w:t>Payment method:</w:t>
      </w:r>
    </w:p>
    <w:p>
      <w:pPr>
        <w:spacing w:after="0" w:line="204" w:lineRule="exact"/>
        <w:rPr>
          <w:rFonts w:ascii="Arial" w:cs="Arial" w:eastAsia="Arial" w:hAnsi="Arial"/>
          <w:sz w:val="15"/>
          <w:szCs w:val="15"/>
          <w:color w:val="auto"/>
        </w:rPr>
      </w:pPr>
    </w:p>
    <w:p>
      <w:pPr>
        <w:ind w:left="1107" w:hanging="550"/>
        <w:spacing w:after="0" w:line="290" w:lineRule="auto"/>
        <w:tabs>
          <w:tab w:leader="none" w:pos="1126" w:val="left"/>
        </w:tabs>
        <w:numPr>
          <w:ilvl w:val="1"/>
          <w:numId w:val="206"/>
        </w:numPr>
        <w:rPr>
          <w:rFonts w:ascii="Arial" w:cs="Arial" w:eastAsia="Arial" w:hAnsi="Arial"/>
          <w:sz w:val="15"/>
          <w:szCs w:val="15"/>
          <w:color w:val="auto"/>
        </w:rPr>
      </w:pPr>
      <w:r>
        <w:rPr>
          <w:rFonts w:ascii="Arial" w:cs="Arial" w:eastAsia="Arial" w:hAnsi="Arial"/>
          <w:sz w:val="15"/>
          <w:szCs w:val="15"/>
          <w:color w:val="auto"/>
        </w:rPr>
        <w:t>a personal, certified or bank check or postal money order payable to the order of the Company for an amount equal to the exercise price of the shares being purchased; or</w:t>
      </w:r>
    </w:p>
    <w:p>
      <w:pPr>
        <w:spacing w:after="0" w:line="140" w:lineRule="exact"/>
        <w:rPr>
          <w:rFonts w:ascii="Arial" w:cs="Arial" w:eastAsia="Arial" w:hAnsi="Arial"/>
          <w:sz w:val="15"/>
          <w:szCs w:val="15"/>
          <w:color w:val="auto"/>
        </w:rPr>
      </w:pPr>
    </w:p>
    <w:p>
      <w:pPr>
        <w:ind w:left="1147" w:hanging="590"/>
        <w:spacing w:after="0"/>
        <w:tabs>
          <w:tab w:leader="none" w:pos="1147" w:val="left"/>
        </w:tabs>
        <w:numPr>
          <w:ilvl w:val="1"/>
          <w:numId w:val="206"/>
        </w:numPr>
        <w:rPr>
          <w:rFonts w:ascii="Arial" w:cs="Arial" w:eastAsia="Arial" w:hAnsi="Arial"/>
          <w:sz w:val="15"/>
          <w:szCs w:val="15"/>
          <w:color w:val="auto"/>
        </w:rPr>
      </w:pPr>
      <w:r>
        <w:rPr>
          <w:rFonts w:ascii="Arial" w:cs="Arial" w:eastAsia="Arial" w:hAnsi="Arial"/>
          <w:sz w:val="15"/>
          <w:szCs w:val="15"/>
          <w:color w:val="auto"/>
        </w:rPr>
        <w:t>with the consent of the Company, any of the other methods set forth in the Plan.</w:t>
      </w:r>
    </w:p>
    <w:p>
      <w:pPr>
        <w:spacing w:after="0" w:line="193" w:lineRule="exact"/>
        <w:rPr>
          <w:sz w:val="20"/>
          <w:szCs w:val="20"/>
          <w:color w:val="auto"/>
        </w:rPr>
      </w:pPr>
    </w:p>
    <w:p>
      <w:pPr>
        <w:ind w:left="7"/>
        <w:spacing w:after="0"/>
        <w:tabs>
          <w:tab w:leader="none" w:pos="527" w:val="left"/>
          <w:tab w:leader="none" w:pos="5347"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5"/>
          <w:szCs w:val="15"/>
          <w:b w:val="1"/>
          <w:bCs w:val="1"/>
          <w:color w:val="auto"/>
        </w:rPr>
        <w:t>Expiration Date of Option:</w:t>
      </w:r>
      <w:r>
        <w:rPr>
          <w:sz w:val="20"/>
          <w:szCs w:val="20"/>
          <w:color w:val="auto"/>
        </w:rPr>
        <w:tab/>
      </w:r>
      <w:r>
        <w:rPr>
          <w:rFonts w:ascii="Arial" w:cs="Arial" w:eastAsia="Arial" w:hAnsi="Arial"/>
          <w:sz w:val="14"/>
          <w:szCs w:val="14"/>
          <w:color w:val="auto"/>
        </w:rPr>
        <w:t>[Grant Date + 10 years]</w:t>
      </w:r>
    </w:p>
    <w:p>
      <w:pPr>
        <w:spacing w:after="0" w:line="199" w:lineRule="exact"/>
        <w:rPr>
          <w:sz w:val="20"/>
          <w:szCs w:val="20"/>
          <w:color w:val="auto"/>
        </w:rPr>
      </w:pPr>
    </w:p>
    <w:p>
      <w:pPr>
        <w:ind w:left="547" w:right="140" w:hanging="547"/>
        <w:spacing w:after="0" w:line="271" w:lineRule="auto"/>
        <w:tabs>
          <w:tab w:leader="none" w:pos="547" w:val="left"/>
        </w:tabs>
        <w:numPr>
          <w:ilvl w:val="0"/>
          <w:numId w:val="207"/>
        </w:numPr>
        <w:rPr>
          <w:rFonts w:ascii="Arial" w:cs="Arial" w:eastAsia="Arial" w:hAnsi="Arial"/>
          <w:sz w:val="15"/>
          <w:szCs w:val="15"/>
          <w:color w:val="auto"/>
        </w:rPr>
      </w:pPr>
      <w:r>
        <w:rPr>
          <w:rFonts w:ascii="Arial" w:cs="Arial" w:eastAsia="Arial" w:hAnsi="Arial"/>
          <w:sz w:val="15"/>
          <w:szCs w:val="15"/>
          <w:b w:val="1"/>
          <w:bCs w:val="1"/>
          <w:color w:val="auto"/>
        </w:rPr>
        <w:t xml:space="preserve">Vesting Schedule: </w:t>
      </w:r>
      <w:r>
        <w:rPr>
          <w:rFonts w:ascii="Arial" w:cs="Arial" w:eastAsia="Arial" w:hAnsi="Arial"/>
          <w:sz w:val="15"/>
          <w:szCs w:val="15"/>
          <w:color w:val="auto"/>
        </w:rPr>
        <w:t>This Option shall become exercisable for 25% of the maximum number of shares granted on the first anniversary of the Vesting Start Date,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become exercisable for an additional 2.0833% on the last day of each month thereafter until the Option is fully vested,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Option shall be deemed to be fully vested immediately prior to the consummation of a Qualified Sale (as defined below)]. All vesting shall cease upon the date of termination of employment or provision of services.</w:t>
      </w:r>
    </w:p>
    <w:p>
      <w:pPr>
        <w:spacing w:after="0" w:line="155" w:lineRule="exact"/>
        <w:rPr>
          <w:rFonts w:ascii="Arial" w:cs="Arial" w:eastAsia="Arial" w:hAnsi="Arial"/>
          <w:sz w:val="15"/>
          <w:szCs w:val="15"/>
          <w:color w:val="auto"/>
        </w:rPr>
      </w:pPr>
    </w:p>
    <w:p>
      <w:pPr>
        <w:ind w:left="547" w:right="460"/>
        <w:spacing w:after="0" w:line="290"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Sale</w:t>
      </w:r>
      <w:r>
        <w:rPr>
          <w:rFonts w:ascii="Arial" w:cs="Arial" w:eastAsia="Arial" w:hAnsi="Arial"/>
          <w:sz w:val="15"/>
          <w:szCs w:val="15"/>
          <w:color w:val="auto"/>
        </w:rPr>
        <w:t>” shall mean the sale of all or substantially all of assets or issued and outstanding capital stock of the Company, or merger or consolidation involving the Company in which stockholders of the Company immediately before such merger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5" w:lineRule="exact"/>
        <w:rPr>
          <w:rFonts w:ascii="Arial" w:cs="Arial" w:eastAsia="Arial" w:hAnsi="Arial"/>
          <w:sz w:val="15"/>
          <w:szCs w:val="15"/>
          <w:color w:val="auto"/>
        </w:rPr>
      </w:pPr>
    </w:p>
    <w:p>
      <w:pPr>
        <w:ind w:left="547" w:right="240"/>
        <w:spacing w:after="0" w:line="328" w:lineRule="auto"/>
        <w:rPr>
          <w:rFonts w:ascii="Arial" w:cs="Arial" w:eastAsia="Arial" w:hAnsi="Arial"/>
          <w:sz w:val="15"/>
          <w:szCs w:val="15"/>
          <w:color w:val="auto"/>
        </w:rPr>
      </w:pPr>
      <w:r>
        <w:rPr>
          <w:rFonts w:ascii="Arial" w:cs="Arial" w:eastAsia="Arial" w:hAnsi="Arial"/>
          <w:sz w:val="14"/>
          <w:szCs w:val="14"/>
          <w:color w:val="auto"/>
        </w:rPr>
        <w:t>consolidation do not own immediately after such merger or consolidation capital stock or other equity interests of the surviving corporation or entity representing more than fifty percent in voting power of capital stock or other equity interests of such surviving corporation or entity outstanding immediately after such merger or consolidation.]</w:t>
      </w:r>
    </w:p>
    <w:p>
      <w:pPr>
        <w:spacing w:after="0" w:line="116" w:lineRule="exact"/>
        <w:rPr>
          <w:rFonts w:ascii="Arial" w:cs="Arial" w:eastAsia="Arial" w:hAnsi="Arial"/>
          <w:sz w:val="15"/>
          <w:szCs w:val="15"/>
          <w:color w:val="auto"/>
        </w:rPr>
      </w:pPr>
    </w:p>
    <w:p>
      <w:pPr>
        <w:ind w:left="547" w:right="20"/>
        <w:spacing w:after="0" w:line="269" w:lineRule="auto"/>
        <w:rPr>
          <w:rFonts w:ascii="Arial" w:cs="Arial" w:eastAsia="Arial" w:hAnsi="Arial"/>
          <w:sz w:val="15"/>
          <w:szCs w:val="15"/>
          <w:color w:val="auto"/>
        </w:rPr>
      </w:pPr>
      <w:r>
        <w:rPr>
          <w:rFonts w:ascii="Arial" w:cs="Arial" w:eastAsia="Arial" w:hAnsi="Arial"/>
          <w:sz w:val="15"/>
          <w:szCs w:val="15"/>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stock restriction agreement containing a “reverse vesting” schedule effectively equivalent to the Vesting Schedule set forth herein, pursuant to which the Holder agrees to sell back any unvested shares at cost should he or she leave the employ of the Company prior to full vesting.</w:t>
      </w:r>
    </w:p>
    <w:p>
      <w:pPr>
        <w:spacing w:after="0" w:line="149" w:lineRule="exact"/>
        <w:rPr>
          <w:rFonts w:ascii="Arial" w:cs="Arial" w:eastAsia="Arial" w:hAnsi="Arial"/>
          <w:sz w:val="15"/>
          <w:szCs w:val="15"/>
          <w:color w:val="auto"/>
        </w:rPr>
      </w:pPr>
    </w:p>
    <w:p>
      <w:pPr>
        <w:ind w:left="547" w:hanging="547"/>
        <w:spacing w:after="0"/>
        <w:tabs>
          <w:tab w:leader="none" w:pos="547" w:val="left"/>
        </w:tabs>
        <w:numPr>
          <w:ilvl w:val="0"/>
          <w:numId w:val="207"/>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Employment. </w:t>
      </w:r>
      <w:r>
        <w:rPr>
          <w:rFonts w:ascii="Arial" w:cs="Arial" w:eastAsia="Arial" w:hAnsi="Arial"/>
          <w:sz w:val="15"/>
          <w:szCs w:val="15"/>
          <w:color w:val="auto"/>
        </w:rPr>
        <w:t>This Option shall terminate on the earliest to occur of:</w:t>
      </w:r>
    </w:p>
    <w:p>
      <w:pPr>
        <w:spacing w:after="0" w:line="204" w:lineRule="exact"/>
        <w:rPr>
          <w:rFonts w:ascii="Arial" w:cs="Arial" w:eastAsia="Arial" w:hAnsi="Arial"/>
          <w:sz w:val="15"/>
          <w:szCs w:val="15"/>
          <w:color w:val="auto"/>
        </w:rPr>
      </w:pPr>
    </w:p>
    <w:p>
      <w:pPr>
        <w:ind w:left="1127" w:hanging="570"/>
        <w:spacing w:after="0"/>
        <w:tabs>
          <w:tab w:leader="none" w:pos="1127"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date of expiration thereof;</w:t>
      </w:r>
    </w:p>
    <w:p>
      <w:pPr>
        <w:spacing w:after="0" w:line="198" w:lineRule="exact"/>
        <w:rPr>
          <w:rFonts w:ascii="Arial" w:cs="Arial" w:eastAsia="Arial" w:hAnsi="Arial"/>
          <w:sz w:val="15"/>
          <w:szCs w:val="15"/>
          <w:color w:val="auto"/>
        </w:rPr>
      </w:pPr>
    </w:p>
    <w:p>
      <w:pPr>
        <w:ind w:left="1147" w:hanging="590"/>
        <w:spacing w:after="0"/>
        <w:tabs>
          <w:tab w:leader="none" w:pos="1147" w:val="left"/>
        </w:tabs>
        <w:numPr>
          <w:ilvl w:val="1"/>
          <w:numId w:val="207"/>
        </w:numPr>
        <w:rPr>
          <w:rFonts w:ascii="Arial" w:cs="Arial" w:eastAsia="Arial" w:hAnsi="Arial"/>
          <w:sz w:val="15"/>
          <w:szCs w:val="15"/>
          <w:color w:val="auto"/>
        </w:rPr>
      </w:pPr>
      <w:r>
        <w:rPr>
          <w:rFonts w:ascii="Arial" w:cs="Arial" w:eastAsia="Arial" w:hAnsi="Arial"/>
          <w:sz w:val="15"/>
          <w:szCs w:val="15"/>
          <w:color w:val="auto"/>
        </w:rPr>
        <w:t>90 days after termination of the Holder’s employment with or services to the Company by the Company for Cause (as defined in the Plan);</w:t>
      </w:r>
    </w:p>
    <w:p>
      <w:pPr>
        <w:spacing w:after="0" w:line="198" w:lineRule="exact"/>
        <w:rPr>
          <w:rFonts w:ascii="Arial" w:cs="Arial" w:eastAsia="Arial" w:hAnsi="Arial"/>
          <w:sz w:val="15"/>
          <w:szCs w:val="15"/>
          <w:color w:val="auto"/>
        </w:rPr>
      </w:pPr>
    </w:p>
    <w:p>
      <w:pPr>
        <w:ind w:left="1147" w:hanging="590"/>
        <w:spacing w:after="0"/>
        <w:tabs>
          <w:tab w:leader="none" w:pos="1147" w:val="left"/>
        </w:tabs>
        <w:numPr>
          <w:ilvl w:val="1"/>
          <w:numId w:val="207"/>
        </w:numPr>
        <w:rPr>
          <w:rFonts w:ascii="Arial" w:cs="Arial" w:eastAsia="Arial" w:hAnsi="Arial"/>
          <w:sz w:val="14"/>
          <w:szCs w:val="14"/>
          <w:color w:val="auto"/>
        </w:rPr>
      </w:pPr>
      <w:r>
        <w:rPr>
          <w:rFonts w:ascii="Arial" w:cs="Arial" w:eastAsia="Arial" w:hAnsi="Arial"/>
          <w:sz w:val="14"/>
          <w:szCs w:val="14"/>
          <w:color w:val="auto"/>
        </w:rPr>
        <w:t>90 days after the date of voluntary termination of employment or services by the Holder (other than for death or permanent disability as defined in the Plan); or</w:t>
      </w:r>
    </w:p>
    <w:p>
      <w:pPr>
        <w:spacing w:after="0" w:line="210" w:lineRule="exact"/>
        <w:rPr>
          <w:rFonts w:ascii="Arial" w:cs="Arial" w:eastAsia="Arial" w:hAnsi="Arial"/>
          <w:sz w:val="14"/>
          <w:szCs w:val="14"/>
          <w:color w:val="auto"/>
        </w:rPr>
      </w:pPr>
    </w:p>
    <w:p>
      <w:pPr>
        <w:ind w:left="1107" w:right="100" w:hanging="550"/>
        <w:spacing w:after="0" w:line="290" w:lineRule="auto"/>
        <w:tabs>
          <w:tab w:leader="none" w:pos="1122" w:val="left"/>
        </w:tabs>
        <w:numPr>
          <w:ilvl w:val="1"/>
          <w:numId w:val="207"/>
        </w:numPr>
        <w:rPr>
          <w:rFonts w:ascii="Arial" w:cs="Arial" w:eastAsia="Arial" w:hAnsi="Arial"/>
          <w:sz w:val="15"/>
          <w:szCs w:val="15"/>
          <w:color w:val="auto"/>
        </w:rPr>
      </w:pPr>
      <w:r>
        <w:rPr>
          <w:rFonts w:ascii="Arial" w:cs="Arial" w:eastAsia="Arial" w:hAnsi="Arial"/>
          <w:sz w:val="15"/>
          <w:szCs w:val="15"/>
          <w:color w:val="auto"/>
        </w:rPr>
        <w:t>90 days after the date of termination of the Holder’s employment with or services to the Company by the Company without Cause (other than for death or permanent disability as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-2478405</wp:posOffset>
            </wp:positionV>
            <wp:extent cx="7285990"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9" w:right="219" w:bottom="0" w:gutter="0" w:footer="0" w:header="0"/>
        </w:sectPr>
      </w:pPr>
    </w:p>
    <w:bookmarkStart w:id="275" w:name="page276"/>
    <w:bookmarkEnd w:id="275"/>
    <w:p>
      <w:pPr>
        <w:spacing w:after="0" w:line="61" w:lineRule="exact"/>
        <w:rPr>
          <w:sz w:val="20"/>
          <w:szCs w:val="20"/>
          <w:color w:val="auto"/>
        </w:rPr>
      </w:pPr>
    </w:p>
    <w:p>
      <w:pPr>
        <w:ind w:left="547" w:right="500" w:hanging="547"/>
        <w:spacing w:after="0" w:line="299" w:lineRule="auto"/>
        <w:tabs>
          <w:tab w:leader="none" w:pos="543"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Company’s Right of First Refusal. </w:t>
      </w:r>
      <w:r>
        <w:rPr>
          <w:rFonts w:ascii="Arial" w:cs="Arial" w:eastAsia="Arial" w:hAnsi="Arial"/>
          <w:sz w:val="15"/>
          <w:szCs w:val="15"/>
          <w:color w:val="auto"/>
        </w:rPr>
        <w:t>Prior to the effective date of a registration statement covering shares of the Company’s Common Stock, any shares of stock issued</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exercise of this Option shall be subject to the Company’s right of first refusal as set forth at Appendix A.</w:t>
      </w:r>
    </w:p>
    <w:p>
      <w:pPr>
        <w:spacing w:after="0" w:line="127" w:lineRule="exact"/>
        <w:rPr>
          <w:rFonts w:ascii="Arial" w:cs="Arial" w:eastAsia="Arial" w:hAnsi="Arial"/>
          <w:sz w:val="15"/>
          <w:szCs w:val="15"/>
          <w:color w:val="auto"/>
        </w:rPr>
      </w:pPr>
    </w:p>
    <w:p>
      <w:pPr>
        <w:ind w:left="547" w:right="100" w:hanging="547"/>
        <w:spacing w:after="0" w:line="271" w:lineRule="auto"/>
        <w:tabs>
          <w:tab w:leader="none" w:pos="537"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Lock-Up Agreement. </w:t>
      </w:r>
      <w:r>
        <w:rPr>
          <w:rFonts w:ascii="Arial" w:cs="Arial" w:eastAsia="Arial" w:hAnsi="Arial"/>
          <w:sz w:val="15"/>
          <w:szCs w:val="15"/>
          <w:color w:val="auto"/>
        </w:rPr>
        <w:t>The Holder agrees for a period of up to 180 days from the effective date of any registration of securities of the Company under the Securities Act of</w:t>
      </w:r>
      <w:r>
        <w:rPr>
          <w:rFonts w:ascii="Arial" w:cs="Arial" w:eastAsia="Arial" w:hAnsi="Arial"/>
          <w:sz w:val="15"/>
          <w:szCs w:val="15"/>
          <w:b w:val="1"/>
          <w:bCs w:val="1"/>
          <w:color w:val="auto"/>
        </w:rPr>
        <w:t xml:space="preserve"> </w:t>
      </w:r>
      <w:r>
        <w:rPr>
          <w:rFonts w:ascii="Arial" w:cs="Arial" w:eastAsia="Arial" w:hAnsi="Arial"/>
          <w:sz w:val="15"/>
          <w:szCs w:val="15"/>
          <w:color w:val="auto"/>
        </w:rPr>
        <w:t>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upon request of the Company or underwriters managing any underwritten offering of the Company’s securities, not to sell, make any short sale of, loan, grant any option for the purchase of, or otherwise dispose of any shares issued pursuant to the exercise of this Option, without the prior written consent of the Company and such underwriters.</w:t>
      </w:r>
    </w:p>
    <w:p>
      <w:pPr>
        <w:spacing w:after="0" w:line="149" w:lineRule="exact"/>
        <w:rPr>
          <w:rFonts w:ascii="Arial" w:cs="Arial" w:eastAsia="Arial" w:hAnsi="Arial"/>
          <w:sz w:val="15"/>
          <w:szCs w:val="15"/>
          <w:color w:val="auto"/>
        </w:rPr>
      </w:pPr>
    </w:p>
    <w:p>
      <w:pPr>
        <w:ind w:left="547" w:right="600" w:hanging="547"/>
        <w:spacing w:after="0" w:line="299" w:lineRule="auto"/>
        <w:tabs>
          <w:tab w:leader="none" w:pos="543"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Company’s obligation to deliver shares shall be subject to the Holder’s satisfaction of any federal, state and local income and employment tax</w:t>
      </w:r>
      <w:r>
        <w:rPr>
          <w:rFonts w:ascii="Arial" w:cs="Arial" w:eastAsia="Arial" w:hAnsi="Arial"/>
          <w:sz w:val="15"/>
          <w:szCs w:val="15"/>
          <w:b w:val="1"/>
          <w:bCs w:val="1"/>
          <w:color w:val="auto"/>
        </w:rPr>
        <w:t xml:space="preserve"> </w:t>
      </w:r>
      <w:r>
        <w:rPr>
          <w:rFonts w:ascii="Arial" w:cs="Arial" w:eastAsia="Arial" w:hAnsi="Arial"/>
          <w:sz w:val="15"/>
          <w:szCs w:val="15"/>
          <w:color w:val="auto"/>
        </w:rPr>
        <w:t>withholding requirements.</w:t>
      </w:r>
    </w:p>
    <w:p>
      <w:pPr>
        <w:spacing w:after="0" w:line="127" w:lineRule="exact"/>
        <w:rPr>
          <w:rFonts w:ascii="Arial" w:cs="Arial" w:eastAsia="Arial" w:hAnsi="Arial"/>
          <w:sz w:val="15"/>
          <w:szCs w:val="15"/>
          <w:color w:val="auto"/>
        </w:rPr>
      </w:pPr>
    </w:p>
    <w:p>
      <w:pPr>
        <w:ind w:left="547" w:right="200" w:hanging="547"/>
        <w:spacing w:after="0" w:line="382" w:lineRule="auto"/>
        <w:tabs>
          <w:tab w:leader="none" w:pos="543" w:val="left"/>
        </w:tabs>
        <w:numPr>
          <w:ilvl w:val="0"/>
          <w:numId w:val="208"/>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Any notice to be given to the Company hereunder shall be deemed sufficient if addressed to the Company and delivered to the office of the Company, Selecta</w:t>
      </w:r>
      <w:r>
        <w:rPr>
          <w:rFonts w:ascii="Arial" w:cs="Arial" w:eastAsia="Arial" w:hAnsi="Arial"/>
          <w:sz w:val="13"/>
          <w:szCs w:val="13"/>
          <w:b w:val="1"/>
          <w:bCs w:val="1"/>
          <w:color w:val="auto"/>
        </w:rPr>
        <w:t xml:space="preserve"> </w:t>
      </w:r>
      <w:r>
        <w:rPr>
          <w:rFonts w:ascii="Arial" w:cs="Arial" w:eastAsia="Arial" w:hAnsi="Arial"/>
          <w:sz w:val="13"/>
          <w:szCs w:val="13"/>
          <w:color w:val="auto"/>
        </w:rPr>
        <w:t>Biosciences, Inc., 480 Arsenal Street, Building One, Watertown, MA 02472, to the attention of the President, or such other address as the Company may hereafter designate.</w:t>
      </w:r>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7" w:right="100"/>
        <w:spacing w:after="0" w:line="290" w:lineRule="auto"/>
        <w:rPr>
          <w:sz w:val="20"/>
          <w:szCs w:val="20"/>
          <w:color w:val="auto"/>
        </w:rPr>
      </w:pPr>
      <w:r>
        <w:rPr>
          <w:rFonts w:ascii="Arial" w:cs="Arial" w:eastAsia="Arial" w:hAnsi="Arial"/>
          <w:sz w:val="15"/>
          <w:szCs w:val="15"/>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140"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Option, or caused this Option to be executed, as of the Date of Grant.</w:t>
      </w:r>
    </w:p>
    <w:p>
      <w:pPr>
        <w:spacing w:after="0" w:line="199"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Selecta Biosciences, Inc.</w:t>
      </w:r>
    </w:p>
    <w:p>
      <w:pPr>
        <w:spacing w:after="0" w:line="385"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15240</wp:posOffset>
            </wp:positionV>
            <wp:extent cx="332359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323590" cy="7620"/>
                    </a:xfrm>
                    <a:prstGeom prst="rect">
                      <a:avLst/>
                    </a:prstGeom>
                    <a:noFill/>
                  </pic:spPr>
                </pic:pic>
              </a:graphicData>
            </a:graphic>
          </wp:anchor>
        </w:drawing>
      </w:r>
    </w:p>
    <w:p>
      <w:pPr>
        <w:spacing w:after="0" w:line="5"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[Robert L. Bratzler, President]</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363283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[Optionee]</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APPENDIX A</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u w:val="single" w:color="auto"/>
          <w:color w:val="auto"/>
        </w:rPr>
        <w:t>Right of First Refusal</w:t>
      </w:r>
    </w:p>
    <w:p>
      <w:pPr>
        <w:spacing w:after="0" w:line="199" w:lineRule="exact"/>
        <w:rPr>
          <w:sz w:val="20"/>
          <w:szCs w:val="20"/>
          <w:color w:val="auto"/>
        </w:rPr>
      </w:pPr>
    </w:p>
    <w:p>
      <w:pPr>
        <w:ind w:left="7" w:right="100" w:firstLine="550"/>
        <w:spacing w:after="0" w:line="266" w:lineRule="auto"/>
        <w:tabs>
          <w:tab w:leader="none" w:pos="1121"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Prior to the effective date of a registration statement under the Securities Act, covering any shares of the Company’s Common Stock and until such time as the Company shall have effected a public offering of its Common Stock registered under the Securities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58" w:lineRule="exact"/>
        <w:rPr>
          <w:rFonts w:ascii="Arial" w:cs="Arial" w:eastAsia="Arial" w:hAnsi="Arial"/>
          <w:sz w:val="15"/>
          <w:szCs w:val="15"/>
          <w:color w:val="auto"/>
        </w:rPr>
      </w:pPr>
    </w:p>
    <w:p>
      <w:pPr>
        <w:jc w:val="both"/>
        <w:ind w:left="7" w:right="200" w:firstLine="550"/>
        <w:spacing w:after="0" w:line="274" w:lineRule="auto"/>
        <w:tabs>
          <w:tab w:leader="none" w:pos="1121"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Notice of Intended Transfer</w:t>
      </w:r>
      <w:r>
        <w:rPr>
          <w:rFonts w:ascii="Arial" w:cs="Arial" w:eastAsia="Arial" w:hAnsi="Arial"/>
          <w:sz w:val="15"/>
          <w:szCs w:val="15"/>
          <w:color w:val="auto"/>
        </w:rPr>
        <w:t>. The notice shall state the number of shares offered, the name of the person 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51" w:lineRule="exact"/>
        <w:rPr>
          <w:rFonts w:ascii="Arial" w:cs="Arial" w:eastAsia="Arial" w:hAnsi="Arial"/>
          <w:sz w:val="15"/>
          <w:szCs w:val="15"/>
          <w:color w:val="auto"/>
        </w:rPr>
      </w:pPr>
    </w:p>
    <w:p>
      <w:pPr>
        <w:ind w:left="7" w:right="20" w:firstLine="550"/>
        <w:spacing w:after="0" w:line="264" w:lineRule="auto"/>
        <w:tabs>
          <w:tab w:leader="none" w:pos="1121"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Company to Accept or Decline Within 30 Days</w:t>
      </w:r>
      <w:r>
        <w:rPr>
          <w:rFonts w:ascii="Arial" w:cs="Arial" w:eastAsia="Arial" w:hAnsi="Arial"/>
          <w:sz w:val="15"/>
          <w:szCs w:val="15"/>
          <w:color w:val="auto"/>
        </w:rPr>
        <w:t>. The Company may accept the offer as to all, but not less than all, such shares by notifying the Holder in writing within 30 days after receipt of such notice of its acceptance of the offer. If the offer is accepted, the Company shall have 60 days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61" w:lineRule="exact"/>
        <w:rPr>
          <w:rFonts w:ascii="Arial" w:cs="Arial" w:eastAsia="Arial" w:hAnsi="Arial"/>
          <w:sz w:val="15"/>
          <w:szCs w:val="15"/>
          <w:color w:val="auto"/>
        </w:rPr>
      </w:pPr>
    </w:p>
    <w:p>
      <w:pPr>
        <w:jc w:val="both"/>
        <w:ind w:left="7" w:right="100" w:firstLine="550"/>
        <w:spacing w:after="0" w:line="274" w:lineRule="auto"/>
        <w:tabs>
          <w:tab w:leader="none" w:pos="1121"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Transferred Shares to Remain Subject to Right of First Refusal</w:t>
      </w:r>
      <w:r>
        <w:rPr>
          <w:rFonts w:ascii="Arial" w:cs="Arial" w:eastAsia="Arial" w:hAnsi="Arial"/>
          <w:sz w:val="15"/>
          <w:szCs w:val="15"/>
          <w:color w:val="auto"/>
        </w:rPr>
        <w:t>. Shares that are so transferred to such 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51" w:lineRule="exact"/>
        <w:rPr>
          <w:rFonts w:ascii="Arial" w:cs="Arial" w:eastAsia="Arial" w:hAnsi="Arial"/>
          <w:sz w:val="15"/>
          <w:szCs w:val="15"/>
          <w:color w:val="auto"/>
        </w:rPr>
      </w:pPr>
    </w:p>
    <w:p>
      <w:pPr>
        <w:ind w:left="7" w:firstLine="550"/>
        <w:spacing w:after="0" w:line="289" w:lineRule="auto"/>
        <w:tabs>
          <w:tab w:leader="none" w:pos="1121"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t>Remedies of Company</w:t>
      </w:r>
      <w:r>
        <w:rPr>
          <w:rFonts w:ascii="Arial" w:cs="Arial" w:eastAsia="Arial" w:hAnsi="Arial"/>
          <w:sz w:val="14"/>
          <w:szCs w:val="14"/>
          <w:color w:val="auto"/>
        </w:rPr>
        <w:t>. No sale, assignment, pledge or transfer of any of the shares covered by this 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160"/>
        <w:spacing w:after="0" w:line="290" w:lineRule="auto"/>
        <w:rPr>
          <w:sz w:val="20"/>
          <w:szCs w:val="20"/>
          <w:color w:val="auto"/>
        </w:rPr>
      </w:pPr>
      <w:r>
        <w:rPr>
          <w:rFonts w:ascii="Arial" w:cs="Arial" w:eastAsia="Arial" w:hAnsi="Arial"/>
          <w:sz w:val="15"/>
          <w:szCs w:val="15"/>
          <w:color w:val="auto"/>
        </w:rPr>
        <w:t>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0" w:lineRule="exact"/>
        <w:rPr>
          <w:sz w:val="20"/>
          <w:szCs w:val="20"/>
          <w:color w:val="auto"/>
        </w:rPr>
      </w:pPr>
    </w:p>
    <w:p>
      <w:pPr>
        <w:ind w:left="7" w:right="20" w:firstLine="550"/>
        <w:spacing w:after="0" w:line="269" w:lineRule="auto"/>
        <w:tabs>
          <w:tab w:leader="none" w:pos="1121"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Shares Subject to Right of First Refusal</w:t>
      </w:r>
      <w:r>
        <w:rPr>
          <w:rFonts w:ascii="Arial" w:cs="Arial" w:eastAsia="Arial" w:hAnsi="Arial"/>
          <w:sz w:val="15"/>
          <w:szCs w:val="15"/>
          <w:color w:val="auto"/>
        </w:rPr>
        <w:t>. For purposes of the Right of First Refusal pursuant to this Appendix A, the term “shares” shall mean any and all new, substituted or additional securities or other property issued to the Holder, by reason of his or her ownership of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55" w:lineRule="exact"/>
        <w:rPr>
          <w:rFonts w:ascii="Arial" w:cs="Arial" w:eastAsia="Arial" w:hAnsi="Arial"/>
          <w:sz w:val="15"/>
          <w:szCs w:val="15"/>
          <w:color w:val="auto"/>
        </w:rPr>
      </w:pPr>
    </w:p>
    <w:p>
      <w:pPr>
        <w:ind w:left="7" w:right="380" w:firstLine="550"/>
        <w:spacing w:after="0" w:line="290" w:lineRule="auto"/>
        <w:tabs>
          <w:tab w:leader="none" w:pos="1121"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Legends on Stock Certificates</w:t>
      </w:r>
      <w:r>
        <w:rPr>
          <w:rFonts w:ascii="Arial" w:cs="Arial" w:eastAsia="Arial" w:hAnsi="Arial"/>
          <w:sz w:val="15"/>
          <w:szCs w:val="15"/>
          <w:color w:val="auto"/>
        </w:rPr>
        <w:t>. Any certificate representing shares of stock subject to the provisions of this Appendix A may have endorsed thereon one or more legends, substantially as follows:</w:t>
      </w:r>
    </w:p>
    <w:p>
      <w:pPr>
        <w:spacing w:after="0" w:line="140" w:lineRule="exact"/>
        <w:rPr>
          <w:rFonts w:ascii="Arial" w:cs="Arial" w:eastAsia="Arial" w:hAnsi="Arial"/>
          <w:sz w:val="15"/>
          <w:szCs w:val="15"/>
          <w:color w:val="auto"/>
        </w:rPr>
      </w:pPr>
    </w:p>
    <w:p>
      <w:pPr>
        <w:ind w:left="1527" w:right="60" w:hanging="413"/>
        <w:spacing w:after="0" w:line="274" w:lineRule="auto"/>
        <w:tabs>
          <w:tab w:leader="none" w:pos="1546" w:val="left"/>
        </w:tabs>
        <w:numPr>
          <w:ilvl w:val="1"/>
          <w:numId w:val="210"/>
        </w:numPr>
        <w:rPr>
          <w:rFonts w:ascii="Arial" w:cs="Arial" w:eastAsia="Arial" w:hAnsi="Arial"/>
          <w:sz w:val="15"/>
          <w:szCs w:val="15"/>
          <w:color w:val="auto"/>
        </w:rPr>
      </w:pPr>
      <w:r>
        <w:rPr>
          <w:rFonts w:ascii="Arial" w:cs="Arial" w:eastAsia="Arial" w:hAnsi="Arial"/>
          <w:sz w:val="15"/>
          <w:szCs w:val="15"/>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ectPr>
          <w:pgSz w:w="11900" w:h="16900" w:orient="portrait"/>
          <w:cols w:equalWidth="0" w:num="1">
            <w:col w:w="11447"/>
          </w:cols>
          <w:pgMar w:left="233" w:top="123" w:right="219" w:bottom="0" w:gutter="0" w:footer="0" w:header="0"/>
        </w:sectPr>
      </w:pPr>
    </w:p>
    <w:bookmarkStart w:id="276" w:name="page277"/>
    <w:bookmarkEnd w:id="276"/>
    <w:p>
      <w:pPr>
        <w:spacing w:after="0" w:line="80" w:lineRule="exact"/>
        <w:rPr>
          <w:sz w:val="20"/>
          <w:szCs w:val="20"/>
          <w:color w:val="auto"/>
        </w:rPr>
      </w:pPr>
    </w:p>
    <w:p>
      <w:pPr>
        <w:jc w:val="both"/>
        <w:ind w:left="1527" w:right="60" w:hanging="413"/>
        <w:spacing w:after="0" w:line="274" w:lineRule="auto"/>
        <w:tabs>
          <w:tab w:leader="none" w:pos="1554" w:val="left"/>
        </w:tabs>
        <w:numPr>
          <w:ilvl w:val="1"/>
          <w:numId w:val="211"/>
        </w:numPr>
        <w:rPr>
          <w:rFonts w:ascii="Arial" w:cs="Arial" w:eastAsia="Arial" w:hAnsi="Arial"/>
          <w:sz w:val="15"/>
          <w:szCs w:val="15"/>
          <w:color w:val="auto"/>
        </w:rPr>
      </w:pPr>
      <w:r>
        <w:rPr>
          <w:rFonts w:ascii="Arial" w:cs="Arial" w:eastAsia="Arial" w:hAnsi="Arial"/>
          <w:sz w:val="15"/>
          <w:szCs w:val="15"/>
          <w:color w:val="auto"/>
        </w:rPr>
        <w:t>“The shares of stock represented by this certificate have not been registered under the Securities Act of 1933 or under the securities laws of any state and may not be pledged, hypothecated, sold or otherwise transferred except upon such registration or upon receipt by the Company of an opinion of counsel satisfactory to the Company, in form and substance satisfactory to the Company, that such registration is not required.”</w:t>
      </w:r>
    </w:p>
    <w:p>
      <w:pPr>
        <w:spacing w:after="0" w:line="151" w:lineRule="exact"/>
        <w:rPr>
          <w:rFonts w:ascii="Arial" w:cs="Arial" w:eastAsia="Arial" w:hAnsi="Arial"/>
          <w:sz w:val="15"/>
          <w:szCs w:val="15"/>
          <w:color w:val="auto"/>
        </w:rPr>
      </w:pPr>
    </w:p>
    <w:p>
      <w:pPr>
        <w:ind w:left="7" w:right="40" w:firstLine="550"/>
        <w:spacing w:after="0" w:line="290" w:lineRule="auto"/>
        <w:tabs>
          <w:tab w:leader="none" w:pos="1121"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Right of First Refusal to Lapse Upon Registration</w:t>
      </w:r>
      <w:r>
        <w:rPr>
          <w:rFonts w:ascii="Arial" w:cs="Arial" w:eastAsia="Arial" w:hAnsi="Arial"/>
          <w:sz w:val="15"/>
          <w:szCs w:val="15"/>
          <w:color w:val="auto"/>
        </w:rPr>
        <w:t>. The restrictions imposed by this Appendix A shall terminate in all respects upon the effective date of a registration statement under the Securities Act covering any of the Company’s Common Stock.</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NON-STATUTORY STOCK OPTION</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Granted by</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 (the “</w:t>
      </w:r>
      <w:r>
        <w:rPr>
          <w:rFonts w:ascii="Arial" w:cs="Arial" w:eastAsia="Arial" w:hAnsi="Arial"/>
          <w:sz w:val="15"/>
          <w:szCs w:val="15"/>
          <w:b w:val="1"/>
          <w:bCs w:val="1"/>
          <w:u w:val="single" w:color="auto"/>
          <w:color w:val="auto"/>
        </w:rPr>
        <w:t>Company</w:t>
      </w:r>
      <w:r>
        <w:rPr>
          <w:rFonts w:ascii="Arial" w:cs="Arial" w:eastAsia="Arial" w:hAnsi="Arial"/>
          <w:sz w:val="15"/>
          <w:szCs w:val="15"/>
          <w:b w:val="1"/>
          <w:bCs w:val="1"/>
          <w:color w:val="auto"/>
        </w:rPr>
        <w:t>”)</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Under the 2008 Stock Incentive Plan</w:t>
      </w:r>
    </w:p>
    <w:p>
      <w:pPr>
        <w:spacing w:after="0" w:line="199" w:lineRule="exact"/>
        <w:rPr>
          <w:sz w:val="20"/>
          <w:szCs w:val="20"/>
          <w:color w:val="auto"/>
        </w:rPr>
      </w:pPr>
    </w:p>
    <w:p>
      <w:pPr>
        <w:ind w:left="7" w:right="80" w:firstLine="557"/>
        <w:spacing w:after="0" w:line="269" w:lineRule="auto"/>
        <w:rPr>
          <w:sz w:val="20"/>
          <w:szCs w:val="20"/>
          <w:color w:val="auto"/>
        </w:rPr>
      </w:pPr>
      <w:r>
        <w:rPr>
          <w:rFonts w:ascii="Arial" w:cs="Arial" w:eastAsia="Arial" w:hAnsi="Arial"/>
          <w:sz w:val="15"/>
          <w:szCs w:val="15"/>
          <w:color w:val="auto"/>
        </w:rPr>
        <w:t>This Option is and shall be subject in every respect to the provisions of the Company’s 2008 Stock Incentive Plan, as amended from time to time, which is incorporated herein by reference and made a part hereof. The holder of this Option (the “</w:t>
      </w:r>
      <w:r>
        <w:rPr>
          <w:rFonts w:ascii="Arial" w:cs="Arial" w:eastAsia="Arial" w:hAnsi="Arial"/>
          <w:sz w:val="15"/>
          <w:szCs w:val="15"/>
          <w:u w:val="single" w:color="auto"/>
          <w:color w:val="auto"/>
        </w:rPr>
        <w:t>Holder</w:t>
      </w:r>
      <w:r>
        <w:rPr>
          <w:rFonts w:ascii="Arial" w:cs="Arial" w:eastAsia="Arial" w:hAnsi="Arial"/>
          <w:sz w:val="15"/>
          <w:szCs w:val="15"/>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1.</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Name of Holder:</w:t>
            </w:r>
          </w:p>
        </w:tc>
        <w:tc>
          <w:tcPr>
            <w:tcW w:w="2120" w:type="dxa"/>
            <w:vAlign w:val="bottom"/>
          </w:tcPr>
          <w:p>
            <w:pPr>
              <w:ind w:left="260"/>
              <w:spacing w:after="0"/>
              <w:rPr>
                <w:sz w:val="20"/>
                <w:szCs w:val="20"/>
                <w:color w:val="auto"/>
              </w:rPr>
            </w:pPr>
            <w:r>
              <w:rPr>
                <w:rFonts w:ascii="Arial" w:cs="Arial" w:eastAsia="Arial" w:hAnsi="Arial"/>
                <w:sz w:val="15"/>
                <w:szCs w:val="15"/>
                <w:color w:val="auto"/>
              </w:rPr>
              <w:t>[Name of Optionee]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2.</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Date of Grant:</w:t>
            </w:r>
          </w:p>
        </w:tc>
        <w:tc>
          <w:tcPr>
            <w:tcW w:w="2120" w:type="dxa"/>
            <w:vAlign w:val="bottom"/>
          </w:tcPr>
          <w:p>
            <w:pPr>
              <w:ind w:left="260"/>
              <w:spacing w:after="0"/>
              <w:rPr>
                <w:sz w:val="20"/>
                <w:szCs w:val="20"/>
                <w:color w:val="auto"/>
              </w:rPr>
            </w:pPr>
            <w:r>
              <w:rPr>
                <w:rFonts w:ascii="Arial" w:cs="Arial" w:eastAsia="Arial" w:hAnsi="Arial"/>
                <w:sz w:val="15"/>
                <w:szCs w:val="15"/>
                <w:color w:val="auto"/>
              </w:rPr>
              <w:t>[Date]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3.</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Vesting Start Date:</w:t>
            </w:r>
          </w:p>
        </w:tc>
        <w:tc>
          <w:tcPr>
            <w:tcW w:w="2120" w:type="dxa"/>
            <w:vAlign w:val="bottom"/>
          </w:tcPr>
          <w:p>
            <w:pPr>
              <w:ind w:left="260"/>
              <w:spacing w:after="0"/>
              <w:rPr>
                <w:sz w:val="20"/>
                <w:szCs w:val="20"/>
                <w:color w:val="auto"/>
              </w:rPr>
            </w:pPr>
            <w:r>
              <w:rPr>
                <w:rFonts w:ascii="Arial" w:cs="Arial" w:eastAsia="Arial" w:hAnsi="Arial"/>
                <w:sz w:val="15"/>
                <w:szCs w:val="15"/>
                <w:color w:val="auto"/>
                <w:w w:val="96"/>
              </w:rPr>
              <w:t>[Date of Hire / Date of Grant]</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4.</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w w:val="98"/>
              </w:rPr>
              <w:t>Maximum number of shares for which this Option is exercisable:</w:t>
            </w:r>
          </w:p>
        </w:tc>
        <w:tc>
          <w:tcPr>
            <w:tcW w:w="2120" w:type="dxa"/>
            <w:vAlign w:val="bottom"/>
          </w:tcPr>
          <w:p>
            <w:pPr>
              <w:ind w:left="260"/>
              <w:spacing w:after="0"/>
              <w:rPr>
                <w:sz w:val="20"/>
                <w:szCs w:val="20"/>
                <w:color w:val="auto"/>
              </w:rPr>
            </w:pPr>
            <w:r>
              <w:rPr>
                <w:rFonts w:ascii="Arial" w:cs="Arial" w:eastAsia="Arial" w:hAnsi="Arial"/>
                <w:sz w:val="15"/>
                <w:szCs w:val="15"/>
                <w:color w:val="auto"/>
              </w:rPr>
              <w:t>[number]</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5.</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Exercise (purchase) price per share:</w:t>
            </w:r>
          </w:p>
        </w:tc>
        <w:tc>
          <w:tcPr>
            <w:tcW w:w="2120" w:type="dxa"/>
            <w:vAlign w:val="bottom"/>
          </w:tcPr>
          <w:p>
            <w:pPr>
              <w:ind w:left="260"/>
              <w:spacing w:after="0"/>
              <w:rPr>
                <w:sz w:val="20"/>
                <w:szCs w:val="20"/>
                <w:color w:val="auto"/>
              </w:rPr>
            </w:pPr>
            <w:r>
              <w:rPr>
                <w:rFonts w:ascii="Arial" w:cs="Arial" w:eastAsia="Arial" w:hAnsi="Arial"/>
                <w:sz w:val="15"/>
                <w:szCs w:val="15"/>
                <w:color w:val="auto"/>
              </w:rPr>
              <w:t>[$ . ]</w:t>
            </w:r>
          </w:p>
        </w:tc>
      </w:tr>
    </w:tbl>
    <w:p>
      <w:pPr>
        <w:spacing w:after="0" w:line="170" w:lineRule="exact"/>
        <w:rPr>
          <w:sz w:val="20"/>
          <w:szCs w:val="20"/>
          <w:color w:val="auto"/>
        </w:rPr>
      </w:pPr>
    </w:p>
    <w:p>
      <w:pPr>
        <w:ind w:left="547" w:hanging="547"/>
        <w:spacing w:after="0"/>
        <w:tabs>
          <w:tab w:leader="none" w:pos="547" w:val="left"/>
        </w:tabs>
        <w:numPr>
          <w:ilvl w:val="0"/>
          <w:numId w:val="213"/>
        </w:numPr>
        <w:rPr>
          <w:rFonts w:ascii="Arial" w:cs="Arial" w:eastAsia="Arial" w:hAnsi="Arial"/>
          <w:sz w:val="15"/>
          <w:szCs w:val="15"/>
          <w:color w:val="auto"/>
        </w:rPr>
      </w:pPr>
      <w:r>
        <w:rPr>
          <w:rFonts w:ascii="Arial" w:cs="Arial" w:eastAsia="Arial" w:hAnsi="Arial"/>
          <w:sz w:val="15"/>
          <w:szCs w:val="15"/>
          <w:b w:val="1"/>
          <w:bCs w:val="1"/>
          <w:color w:val="auto"/>
        </w:rPr>
        <w:t>Payment method:</w:t>
      </w:r>
    </w:p>
    <w:p>
      <w:pPr>
        <w:spacing w:after="0" w:line="204" w:lineRule="exact"/>
        <w:rPr>
          <w:rFonts w:ascii="Arial" w:cs="Arial" w:eastAsia="Arial" w:hAnsi="Arial"/>
          <w:sz w:val="15"/>
          <w:szCs w:val="15"/>
          <w:color w:val="auto"/>
        </w:rPr>
      </w:pPr>
    </w:p>
    <w:p>
      <w:pPr>
        <w:ind w:left="1107" w:hanging="550"/>
        <w:spacing w:after="0" w:line="290" w:lineRule="auto"/>
        <w:tabs>
          <w:tab w:leader="none" w:pos="1126" w:val="left"/>
        </w:tabs>
        <w:numPr>
          <w:ilvl w:val="1"/>
          <w:numId w:val="213"/>
        </w:numPr>
        <w:rPr>
          <w:rFonts w:ascii="Arial" w:cs="Arial" w:eastAsia="Arial" w:hAnsi="Arial"/>
          <w:sz w:val="15"/>
          <w:szCs w:val="15"/>
          <w:color w:val="auto"/>
        </w:rPr>
      </w:pPr>
      <w:r>
        <w:rPr>
          <w:rFonts w:ascii="Arial" w:cs="Arial" w:eastAsia="Arial" w:hAnsi="Arial"/>
          <w:sz w:val="15"/>
          <w:szCs w:val="15"/>
          <w:color w:val="auto"/>
        </w:rPr>
        <w:t>a personal, certified or bank check or postal money order payable to the order of the Company for an amount equal to the exercise price of the shares being purchased; or</w:t>
      </w:r>
    </w:p>
    <w:p>
      <w:pPr>
        <w:spacing w:after="0" w:line="140" w:lineRule="exact"/>
        <w:rPr>
          <w:rFonts w:ascii="Arial" w:cs="Arial" w:eastAsia="Arial" w:hAnsi="Arial"/>
          <w:sz w:val="15"/>
          <w:szCs w:val="15"/>
          <w:color w:val="auto"/>
        </w:rPr>
      </w:pPr>
    </w:p>
    <w:p>
      <w:pPr>
        <w:ind w:left="1147" w:hanging="590"/>
        <w:spacing w:after="0"/>
        <w:tabs>
          <w:tab w:leader="none" w:pos="1147" w:val="left"/>
        </w:tabs>
        <w:numPr>
          <w:ilvl w:val="1"/>
          <w:numId w:val="213"/>
        </w:numPr>
        <w:rPr>
          <w:rFonts w:ascii="Arial" w:cs="Arial" w:eastAsia="Arial" w:hAnsi="Arial"/>
          <w:sz w:val="15"/>
          <w:szCs w:val="15"/>
          <w:color w:val="auto"/>
        </w:rPr>
      </w:pPr>
      <w:r>
        <w:rPr>
          <w:rFonts w:ascii="Arial" w:cs="Arial" w:eastAsia="Arial" w:hAnsi="Arial"/>
          <w:sz w:val="15"/>
          <w:szCs w:val="15"/>
          <w:color w:val="auto"/>
        </w:rPr>
        <w:t>with the consent of the Company, any of the other methods set forth in the Plan.</w:t>
      </w:r>
    </w:p>
    <w:p>
      <w:pPr>
        <w:spacing w:after="0" w:line="193" w:lineRule="exact"/>
        <w:rPr>
          <w:sz w:val="20"/>
          <w:szCs w:val="20"/>
          <w:color w:val="auto"/>
        </w:rPr>
      </w:pPr>
    </w:p>
    <w:p>
      <w:pPr>
        <w:ind w:left="7"/>
        <w:spacing w:after="0"/>
        <w:tabs>
          <w:tab w:leader="none" w:pos="527" w:val="left"/>
          <w:tab w:leader="none" w:pos="5347"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5"/>
          <w:szCs w:val="15"/>
          <w:b w:val="1"/>
          <w:bCs w:val="1"/>
          <w:color w:val="auto"/>
        </w:rPr>
        <w:t>Expiration Date of Option:</w:t>
      </w:r>
      <w:r>
        <w:rPr>
          <w:sz w:val="20"/>
          <w:szCs w:val="20"/>
          <w:color w:val="auto"/>
        </w:rPr>
        <w:tab/>
      </w:r>
      <w:r>
        <w:rPr>
          <w:rFonts w:ascii="Arial" w:cs="Arial" w:eastAsia="Arial" w:hAnsi="Arial"/>
          <w:sz w:val="14"/>
          <w:szCs w:val="14"/>
          <w:color w:val="auto"/>
        </w:rPr>
        <w:t>[Grant Date + 10 years]</w:t>
      </w:r>
    </w:p>
    <w:p>
      <w:pPr>
        <w:spacing w:after="0" w:line="199" w:lineRule="exact"/>
        <w:rPr>
          <w:sz w:val="20"/>
          <w:szCs w:val="20"/>
          <w:color w:val="auto"/>
        </w:rPr>
      </w:pPr>
    </w:p>
    <w:p>
      <w:pPr>
        <w:ind w:left="547" w:right="140" w:hanging="547"/>
        <w:spacing w:after="0" w:line="271" w:lineRule="auto"/>
        <w:tabs>
          <w:tab w:leader="none" w:pos="547"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 xml:space="preserve">Vesting Schedule: </w:t>
      </w:r>
      <w:r>
        <w:rPr>
          <w:rFonts w:ascii="Arial" w:cs="Arial" w:eastAsia="Arial" w:hAnsi="Arial"/>
          <w:sz w:val="15"/>
          <w:szCs w:val="15"/>
          <w:color w:val="auto"/>
        </w:rPr>
        <w:t>This Option shall become exercisable for 2.0833% of the maximum number of shares granted on [last day of month of Vesting Start Date],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become exercisable for an additional 2.0833% on the last day of each month thereafter until the Option is fully vested,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Option shall be deemed to be fully vested immediately prior to the consummation of a Qualified Sale (as defined below)]. All vesting shall cease upon the date of termination of employment or provision of services.</w:t>
      </w:r>
    </w:p>
    <w:p>
      <w:pPr>
        <w:spacing w:after="0" w:line="155" w:lineRule="exact"/>
        <w:rPr>
          <w:rFonts w:ascii="Arial" w:cs="Arial" w:eastAsia="Arial" w:hAnsi="Arial"/>
          <w:sz w:val="15"/>
          <w:szCs w:val="15"/>
          <w:color w:val="auto"/>
        </w:rPr>
      </w:pPr>
    </w:p>
    <w:p>
      <w:pPr>
        <w:ind w:left="547" w:right="460"/>
        <w:spacing w:after="0" w:line="290"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Sale</w:t>
      </w:r>
      <w:r>
        <w:rPr>
          <w:rFonts w:ascii="Arial" w:cs="Arial" w:eastAsia="Arial" w:hAnsi="Arial"/>
          <w:sz w:val="15"/>
          <w:szCs w:val="15"/>
          <w:color w:val="auto"/>
        </w:rPr>
        <w:t>” shall mean the sale of all or substantially all of assets or issued and outstanding capital stock of the Company, or merger or consolidation involving the Company in which stockholders of the Company immediately before such merger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5" w:lineRule="exact"/>
        <w:rPr>
          <w:rFonts w:ascii="Arial" w:cs="Arial" w:eastAsia="Arial" w:hAnsi="Arial"/>
          <w:sz w:val="15"/>
          <w:szCs w:val="15"/>
          <w:color w:val="auto"/>
        </w:rPr>
      </w:pPr>
    </w:p>
    <w:p>
      <w:pPr>
        <w:ind w:left="547" w:right="240"/>
        <w:spacing w:after="0" w:line="328" w:lineRule="auto"/>
        <w:rPr>
          <w:rFonts w:ascii="Arial" w:cs="Arial" w:eastAsia="Arial" w:hAnsi="Arial"/>
          <w:sz w:val="15"/>
          <w:szCs w:val="15"/>
          <w:color w:val="auto"/>
        </w:rPr>
      </w:pPr>
      <w:r>
        <w:rPr>
          <w:rFonts w:ascii="Arial" w:cs="Arial" w:eastAsia="Arial" w:hAnsi="Arial"/>
          <w:sz w:val="14"/>
          <w:szCs w:val="14"/>
          <w:color w:val="auto"/>
        </w:rPr>
        <w:t>consolidation do not own immediately after such merger or consolidation capital stock or other equity interests of the surviving corporation or entity representing more than fifty percent in voting power of capital stock or other equity interests of such surviving corporation or entity outstanding immediately after such merger or consolidation.]</w:t>
      </w:r>
    </w:p>
    <w:p>
      <w:pPr>
        <w:spacing w:after="0" w:line="116" w:lineRule="exact"/>
        <w:rPr>
          <w:rFonts w:ascii="Arial" w:cs="Arial" w:eastAsia="Arial" w:hAnsi="Arial"/>
          <w:sz w:val="15"/>
          <w:szCs w:val="15"/>
          <w:color w:val="auto"/>
        </w:rPr>
      </w:pPr>
    </w:p>
    <w:p>
      <w:pPr>
        <w:ind w:left="547" w:right="20"/>
        <w:spacing w:after="0" w:line="269" w:lineRule="auto"/>
        <w:rPr>
          <w:rFonts w:ascii="Arial" w:cs="Arial" w:eastAsia="Arial" w:hAnsi="Arial"/>
          <w:sz w:val="15"/>
          <w:szCs w:val="15"/>
          <w:color w:val="auto"/>
        </w:rPr>
      </w:pPr>
      <w:r>
        <w:rPr>
          <w:rFonts w:ascii="Arial" w:cs="Arial" w:eastAsia="Arial" w:hAnsi="Arial"/>
          <w:sz w:val="15"/>
          <w:szCs w:val="15"/>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stock restriction agreement containing a “reverse vesting” schedule effectively equivalent to the Vesting Schedule set forth herein, pursuant to which the Holder agrees to sell back any unvested shares at cost should he or she leave the employ of the Company prior to full vesting.</w:t>
      </w:r>
    </w:p>
    <w:p>
      <w:pPr>
        <w:spacing w:after="0" w:line="149" w:lineRule="exact"/>
        <w:rPr>
          <w:rFonts w:ascii="Arial" w:cs="Arial" w:eastAsia="Arial" w:hAnsi="Arial"/>
          <w:sz w:val="15"/>
          <w:szCs w:val="15"/>
          <w:color w:val="auto"/>
        </w:rPr>
      </w:pPr>
    </w:p>
    <w:p>
      <w:pPr>
        <w:ind w:left="547" w:hanging="547"/>
        <w:spacing w:after="0"/>
        <w:tabs>
          <w:tab w:leader="none" w:pos="547"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Employment. </w:t>
      </w:r>
      <w:r>
        <w:rPr>
          <w:rFonts w:ascii="Arial" w:cs="Arial" w:eastAsia="Arial" w:hAnsi="Arial"/>
          <w:sz w:val="15"/>
          <w:szCs w:val="15"/>
          <w:color w:val="auto"/>
        </w:rPr>
        <w:t>This Option shall terminate on the earliest to occur of:</w:t>
      </w:r>
    </w:p>
    <w:p>
      <w:pPr>
        <w:spacing w:after="0" w:line="204" w:lineRule="exact"/>
        <w:rPr>
          <w:rFonts w:ascii="Arial" w:cs="Arial" w:eastAsia="Arial" w:hAnsi="Arial"/>
          <w:sz w:val="15"/>
          <w:szCs w:val="15"/>
          <w:color w:val="auto"/>
        </w:rPr>
      </w:pPr>
    </w:p>
    <w:p>
      <w:pPr>
        <w:ind w:left="1127" w:hanging="570"/>
        <w:spacing w:after="0"/>
        <w:tabs>
          <w:tab w:leader="none" w:pos="1127"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date of expiration thereof;</w:t>
      </w:r>
    </w:p>
    <w:p>
      <w:pPr>
        <w:spacing w:after="0" w:line="198" w:lineRule="exact"/>
        <w:rPr>
          <w:rFonts w:ascii="Arial" w:cs="Arial" w:eastAsia="Arial" w:hAnsi="Arial"/>
          <w:sz w:val="15"/>
          <w:szCs w:val="15"/>
          <w:color w:val="auto"/>
        </w:rPr>
      </w:pPr>
    </w:p>
    <w:p>
      <w:pPr>
        <w:ind w:left="1107" w:right="220" w:hanging="550"/>
        <w:spacing w:after="0" w:line="290" w:lineRule="auto"/>
        <w:tabs>
          <w:tab w:leader="none" w:pos="1134" w:val="left"/>
        </w:tabs>
        <w:numPr>
          <w:ilvl w:val="1"/>
          <w:numId w:val="214"/>
        </w:numPr>
        <w:rPr>
          <w:rFonts w:ascii="Arial" w:cs="Arial" w:eastAsia="Arial" w:hAnsi="Arial"/>
          <w:sz w:val="15"/>
          <w:szCs w:val="15"/>
          <w:color w:val="auto"/>
        </w:rPr>
      </w:pPr>
      <w:r>
        <w:rPr>
          <w:rFonts w:ascii="Arial" w:cs="Arial" w:eastAsia="Arial" w:hAnsi="Arial"/>
          <w:sz w:val="15"/>
          <w:szCs w:val="15"/>
          <w:color w:val="auto"/>
        </w:rPr>
        <w:t>90 days after termination of the Holder’s employment with or services to the Company for any reason other than for death or permanent disability as defined in the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-2006600</wp:posOffset>
            </wp:positionV>
            <wp:extent cx="7285990" cy="273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0" w:lineRule="exact"/>
        <w:rPr>
          <w:sz w:val="20"/>
          <w:szCs w:val="20"/>
          <w:color w:val="auto"/>
        </w:rPr>
      </w:pPr>
    </w:p>
    <w:p>
      <w:pPr>
        <w:ind w:left="1127" w:hanging="570"/>
        <w:spacing w:after="0"/>
        <w:tabs>
          <w:tab w:leader="none" w:pos="1127" w:val="left"/>
        </w:tabs>
        <w:numPr>
          <w:ilvl w:val="1"/>
          <w:numId w:val="215"/>
        </w:numPr>
        <w:rPr>
          <w:rFonts w:ascii="Arial" w:cs="Arial" w:eastAsia="Arial" w:hAnsi="Arial"/>
          <w:sz w:val="15"/>
          <w:szCs w:val="15"/>
          <w:color w:val="auto"/>
        </w:rPr>
      </w:pPr>
      <w:r>
        <w:rPr>
          <w:rFonts w:ascii="Arial" w:cs="Arial" w:eastAsia="Arial" w:hAnsi="Arial"/>
          <w:sz w:val="15"/>
          <w:szCs w:val="15"/>
          <w:color w:val="auto"/>
        </w:rPr>
        <w:t>one year following the date of Holder’s death or permanent disability as defined in the Plan.</w:t>
      </w:r>
    </w:p>
    <w:p>
      <w:pPr>
        <w:spacing w:after="0" w:line="192" w:lineRule="exact"/>
        <w:rPr>
          <w:rFonts w:ascii="Arial" w:cs="Arial" w:eastAsia="Arial" w:hAnsi="Arial"/>
          <w:sz w:val="15"/>
          <w:szCs w:val="15"/>
          <w:color w:val="auto"/>
        </w:rPr>
      </w:pPr>
    </w:p>
    <w:p>
      <w:pPr>
        <w:ind w:left="547" w:right="500" w:hanging="547"/>
        <w:spacing w:after="0" w:line="299" w:lineRule="auto"/>
        <w:tabs>
          <w:tab w:leader="none" w:pos="543" w:val="left"/>
        </w:tabs>
        <w:numPr>
          <w:ilvl w:val="0"/>
          <w:numId w:val="216"/>
        </w:numPr>
        <w:rPr>
          <w:rFonts w:ascii="Arial" w:cs="Arial" w:eastAsia="Arial" w:hAnsi="Arial"/>
          <w:sz w:val="15"/>
          <w:szCs w:val="15"/>
          <w:color w:val="auto"/>
        </w:rPr>
      </w:pPr>
      <w:r>
        <w:rPr>
          <w:rFonts w:ascii="Arial" w:cs="Arial" w:eastAsia="Arial" w:hAnsi="Arial"/>
          <w:sz w:val="15"/>
          <w:szCs w:val="15"/>
          <w:b w:val="1"/>
          <w:bCs w:val="1"/>
          <w:color w:val="auto"/>
        </w:rPr>
        <w:t xml:space="preserve">Company’s Right of First Refusal. </w:t>
      </w:r>
      <w:r>
        <w:rPr>
          <w:rFonts w:ascii="Arial" w:cs="Arial" w:eastAsia="Arial" w:hAnsi="Arial"/>
          <w:sz w:val="15"/>
          <w:szCs w:val="15"/>
          <w:color w:val="auto"/>
        </w:rPr>
        <w:t>Prior to the effective date of a registration statement covering shares of the Company’s Common Stock, any shares of stock issued</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exercise of this Option shall be subject to the Company’s right of first refusal as set forth at Appendix A.</w:t>
      </w:r>
    </w:p>
    <w:p>
      <w:pPr>
        <w:spacing w:after="0" w:line="127" w:lineRule="exact"/>
        <w:rPr>
          <w:rFonts w:ascii="Arial" w:cs="Arial" w:eastAsia="Arial" w:hAnsi="Arial"/>
          <w:sz w:val="15"/>
          <w:szCs w:val="15"/>
          <w:color w:val="auto"/>
        </w:rPr>
      </w:pPr>
    </w:p>
    <w:p>
      <w:pPr>
        <w:ind w:left="547" w:right="100" w:hanging="547"/>
        <w:spacing w:after="0" w:line="271" w:lineRule="auto"/>
        <w:tabs>
          <w:tab w:leader="none" w:pos="537" w:val="left"/>
        </w:tabs>
        <w:numPr>
          <w:ilvl w:val="0"/>
          <w:numId w:val="216"/>
        </w:numPr>
        <w:rPr>
          <w:rFonts w:ascii="Arial" w:cs="Arial" w:eastAsia="Arial" w:hAnsi="Arial"/>
          <w:sz w:val="15"/>
          <w:szCs w:val="15"/>
          <w:color w:val="auto"/>
        </w:rPr>
      </w:pPr>
      <w:r>
        <w:rPr>
          <w:rFonts w:ascii="Arial" w:cs="Arial" w:eastAsia="Arial" w:hAnsi="Arial"/>
          <w:sz w:val="15"/>
          <w:szCs w:val="15"/>
          <w:b w:val="1"/>
          <w:bCs w:val="1"/>
          <w:color w:val="auto"/>
        </w:rPr>
        <w:t xml:space="preserve">Lock-Up Agreement. </w:t>
      </w:r>
      <w:r>
        <w:rPr>
          <w:rFonts w:ascii="Arial" w:cs="Arial" w:eastAsia="Arial" w:hAnsi="Arial"/>
          <w:sz w:val="15"/>
          <w:szCs w:val="15"/>
          <w:color w:val="auto"/>
        </w:rPr>
        <w:t>The Holder agrees for a period of up to 180 days from the effective date of any registration of securities of the Company under the Securities Act of</w:t>
      </w:r>
      <w:r>
        <w:rPr>
          <w:rFonts w:ascii="Arial" w:cs="Arial" w:eastAsia="Arial" w:hAnsi="Arial"/>
          <w:sz w:val="15"/>
          <w:szCs w:val="15"/>
          <w:b w:val="1"/>
          <w:bCs w:val="1"/>
          <w:color w:val="auto"/>
        </w:rPr>
        <w:t xml:space="preserve"> </w:t>
      </w:r>
      <w:r>
        <w:rPr>
          <w:rFonts w:ascii="Arial" w:cs="Arial" w:eastAsia="Arial" w:hAnsi="Arial"/>
          <w:sz w:val="15"/>
          <w:szCs w:val="15"/>
          <w:color w:val="auto"/>
        </w:rPr>
        <w:t>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upon request of the Company or underwriters managing any underwritten offering of the Company’s securities, not to sell, make any short sale of, loan, grant any option for the purchase of, or otherwise dispose of any shares issued pursuant to the exercise of this Option, without the prior written consent of the Company and such underwriters.</w:t>
      </w:r>
    </w:p>
    <w:p>
      <w:pPr>
        <w:spacing w:after="0" w:line="149" w:lineRule="exact"/>
        <w:rPr>
          <w:rFonts w:ascii="Arial" w:cs="Arial" w:eastAsia="Arial" w:hAnsi="Arial"/>
          <w:sz w:val="15"/>
          <w:szCs w:val="15"/>
          <w:color w:val="auto"/>
        </w:rPr>
      </w:pPr>
    </w:p>
    <w:p>
      <w:pPr>
        <w:ind w:left="547" w:right="600" w:hanging="547"/>
        <w:spacing w:after="0" w:line="299" w:lineRule="auto"/>
        <w:tabs>
          <w:tab w:leader="none" w:pos="543" w:val="left"/>
        </w:tabs>
        <w:numPr>
          <w:ilvl w:val="0"/>
          <w:numId w:val="216"/>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Company’s obligation to deliver shares shall be subject to the Holder’s satisfaction of any federal, state and local income and employment tax</w:t>
      </w:r>
      <w:r>
        <w:rPr>
          <w:rFonts w:ascii="Arial" w:cs="Arial" w:eastAsia="Arial" w:hAnsi="Arial"/>
          <w:sz w:val="15"/>
          <w:szCs w:val="15"/>
          <w:b w:val="1"/>
          <w:bCs w:val="1"/>
          <w:color w:val="auto"/>
        </w:rPr>
        <w:t xml:space="preserve"> </w:t>
      </w:r>
      <w:r>
        <w:rPr>
          <w:rFonts w:ascii="Arial" w:cs="Arial" w:eastAsia="Arial" w:hAnsi="Arial"/>
          <w:sz w:val="15"/>
          <w:szCs w:val="15"/>
          <w:color w:val="auto"/>
        </w:rPr>
        <w:t>withholding requirements.</w:t>
      </w:r>
    </w:p>
    <w:p>
      <w:pPr>
        <w:spacing w:after="0" w:line="13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7" w:right="200" w:hanging="547"/>
        <w:spacing w:after="0" w:line="382" w:lineRule="auto"/>
        <w:tabs>
          <w:tab w:leader="none" w:pos="543" w:val="left"/>
        </w:tabs>
        <w:numPr>
          <w:ilvl w:val="0"/>
          <w:numId w:val="217"/>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Any notice to be given to the Company hereunder shall be deemed sufficient if addressed to the Company and delivered to the office of the Company, Selecta</w:t>
      </w:r>
      <w:r>
        <w:rPr>
          <w:rFonts w:ascii="Arial" w:cs="Arial" w:eastAsia="Arial" w:hAnsi="Arial"/>
          <w:sz w:val="13"/>
          <w:szCs w:val="13"/>
          <w:b w:val="1"/>
          <w:bCs w:val="1"/>
          <w:color w:val="auto"/>
        </w:rPr>
        <w:t xml:space="preserve"> </w:t>
      </w:r>
      <w:r>
        <w:rPr>
          <w:rFonts w:ascii="Arial" w:cs="Arial" w:eastAsia="Arial" w:hAnsi="Arial"/>
          <w:sz w:val="13"/>
          <w:szCs w:val="13"/>
          <w:color w:val="auto"/>
        </w:rPr>
        <w:t>Biosciences, Inc., 480 Arsenal Street, Building One, Watertown, MA 02472, to the attention of the President, or such other address as the Company may hereafter designate.</w:t>
      </w:r>
    </w:p>
    <w:p>
      <w:pPr>
        <w:sectPr>
          <w:pgSz w:w="11900" w:h="16918" w:orient="portrait"/>
          <w:cols w:equalWidth="0" w:num="1">
            <w:col w:w="11447"/>
          </w:cols>
          <w:pgMar w:left="233" w:top="314" w:right="219" w:bottom="0" w:gutter="0" w:footer="0" w:header="0"/>
        </w:sectPr>
      </w:pPr>
    </w:p>
    <w:bookmarkStart w:id="277" w:name="page278"/>
    <w:bookmarkEnd w:id="277"/>
    <w:p>
      <w:pPr>
        <w:ind w:left="540" w:right="100"/>
        <w:spacing w:after="0" w:line="290" w:lineRule="auto"/>
        <w:rPr>
          <w:sz w:val="20"/>
          <w:szCs w:val="20"/>
          <w:color w:val="auto"/>
        </w:rPr>
      </w:pPr>
      <w:r>
        <w:rPr>
          <w:rFonts w:ascii="Arial" w:cs="Arial" w:eastAsia="Arial" w:hAnsi="Arial"/>
          <w:sz w:val="15"/>
          <w:szCs w:val="15"/>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Option, or caused this Option to be executed, as of the Date of Grant.</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5"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15240</wp:posOffset>
            </wp:positionV>
            <wp:extent cx="3338195"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338195" cy="762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[Robert L. Bratzler, President]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3632835"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[Optionee]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Right of First Refusal</w:t>
      </w:r>
    </w:p>
    <w:p>
      <w:pPr>
        <w:spacing w:after="0" w:line="199" w:lineRule="exact"/>
        <w:rPr>
          <w:sz w:val="20"/>
          <w:szCs w:val="20"/>
          <w:color w:val="auto"/>
        </w:rPr>
      </w:pPr>
    </w:p>
    <w:p>
      <w:pPr>
        <w:ind w:right="100" w:firstLine="550"/>
        <w:spacing w:after="0" w:line="266" w:lineRule="auto"/>
        <w:tabs>
          <w:tab w:leader="none" w:pos="1114"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Prior to the effective date of a registration statement under the Securities Act, covering any shares of the Company’s Common Stock and until such time as the Company shall have effected a public offering of its Common Stock registered under the Securities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58" w:lineRule="exact"/>
        <w:rPr>
          <w:rFonts w:ascii="Arial" w:cs="Arial" w:eastAsia="Arial" w:hAnsi="Arial"/>
          <w:sz w:val="15"/>
          <w:szCs w:val="15"/>
          <w:color w:val="auto"/>
        </w:rPr>
      </w:pPr>
    </w:p>
    <w:p>
      <w:pPr>
        <w:jc w:val="both"/>
        <w:ind w:right="200" w:firstLine="550"/>
        <w:spacing w:after="0" w:line="274" w:lineRule="auto"/>
        <w:tabs>
          <w:tab w:leader="none" w:pos="1114"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Notice of Intended Transfer</w:t>
      </w:r>
      <w:r>
        <w:rPr>
          <w:rFonts w:ascii="Arial" w:cs="Arial" w:eastAsia="Arial" w:hAnsi="Arial"/>
          <w:sz w:val="15"/>
          <w:szCs w:val="15"/>
          <w:color w:val="auto"/>
        </w:rPr>
        <w:t>. The notice shall state the number of shares offered, the name of the person 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51" w:lineRule="exact"/>
        <w:rPr>
          <w:rFonts w:ascii="Arial" w:cs="Arial" w:eastAsia="Arial" w:hAnsi="Arial"/>
          <w:sz w:val="15"/>
          <w:szCs w:val="15"/>
          <w:color w:val="auto"/>
        </w:rPr>
      </w:pPr>
    </w:p>
    <w:p>
      <w:pPr>
        <w:ind w:right="20" w:firstLine="550"/>
        <w:spacing w:after="0" w:line="264" w:lineRule="auto"/>
        <w:tabs>
          <w:tab w:leader="none" w:pos="1114"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Company to Accept or Decline Within 30 Days</w:t>
      </w:r>
      <w:r>
        <w:rPr>
          <w:rFonts w:ascii="Arial" w:cs="Arial" w:eastAsia="Arial" w:hAnsi="Arial"/>
          <w:sz w:val="15"/>
          <w:szCs w:val="15"/>
          <w:color w:val="auto"/>
        </w:rPr>
        <w:t>. The Company may accept the offer as to all, but not less than all, such shares by notifying the Holder in writing within 30 days after receipt of such notice of its acceptance of the offer. If the offer is accepted, the Company shall have 60 days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61" w:lineRule="exact"/>
        <w:rPr>
          <w:rFonts w:ascii="Arial" w:cs="Arial" w:eastAsia="Arial" w:hAnsi="Arial"/>
          <w:sz w:val="15"/>
          <w:szCs w:val="15"/>
          <w:color w:val="auto"/>
        </w:rPr>
      </w:pPr>
    </w:p>
    <w:p>
      <w:pPr>
        <w:jc w:val="both"/>
        <w:ind w:right="100" w:firstLine="550"/>
        <w:spacing w:after="0" w:line="274" w:lineRule="auto"/>
        <w:tabs>
          <w:tab w:leader="none" w:pos="1114"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Transferred Shares to Remain Subject to Right of First Refusal</w:t>
      </w:r>
      <w:r>
        <w:rPr>
          <w:rFonts w:ascii="Arial" w:cs="Arial" w:eastAsia="Arial" w:hAnsi="Arial"/>
          <w:sz w:val="15"/>
          <w:szCs w:val="15"/>
          <w:color w:val="auto"/>
        </w:rPr>
        <w:t>. Shares that are so transferred to such 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51" w:lineRule="exact"/>
        <w:rPr>
          <w:rFonts w:ascii="Arial" w:cs="Arial" w:eastAsia="Arial" w:hAnsi="Arial"/>
          <w:sz w:val="15"/>
          <w:szCs w:val="15"/>
          <w:color w:val="auto"/>
        </w:rPr>
      </w:pPr>
    </w:p>
    <w:p>
      <w:pPr>
        <w:ind w:firstLine="550"/>
        <w:spacing w:after="0" w:line="289" w:lineRule="auto"/>
        <w:tabs>
          <w:tab w:leader="none" w:pos="1114"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Remedies of Company</w:t>
      </w:r>
      <w:r>
        <w:rPr>
          <w:rFonts w:ascii="Arial" w:cs="Arial" w:eastAsia="Arial" w:hAnsi="Arial"/>
          <w:sz w:val="14"/>
          <w:szCs w:val="14"/>
          <w:color w:val="auto"/>
        </w:rPr>
        <w:t>. No sale, assignment, pledge or transfer of any of the shares covered by this 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0" w:lineRule="exact"/>
        <w:rPr>
          <w:sz w:val="20"/>
          <w:szCs w:val="20"/>
          <w:color w:val="auto"/>
        </w:rPr>
      </w:pPr>
    </w:p>
    <w:p>
      <w:pPr>
        <w:ind w:right="20" w:firstLine="550"/>
        <w:spacing w:after="0" w:line="269" w:lineRule="auto"/>
        <w:tabs>
          <w:tab w:leader="none" w:pos="1114"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Shares Subject to Right of First Refusal</w:t>
      </w:r>
      <w:r>
        <w:rPr>
          <w:rFonts w:ascii="Arial" w:cs="Arial" w:eastAsia="Arial" w:hAnsi="Arial"/>
          <w:sz w:val="15"/>
          <w:szCs w:val="15"/>
          <w:color w:val="auto"/>
        </w:rPr>
        <w:t>. For purposes of the Right of First Refusal pursuant to this Appendix A, the term “shares” shall mean any and all new, substituted or additional securities or other property issued to the Holder, by reason of his or her ownership of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55" w:lineRule="exact"/>
        <w:rPr>
          <w:rFonts w:ascii="Arial" w:cs="Arial" w:eastAsia="Arial" w:hAnsi="Arial"/>
          <w:sz w:val="15"/>
          <w:szCs w:val="15"/>
          <w:color w:val="auto"/>
        </w:rPr>
      </w:pPr>
    </w:p>
    <w:p>
      <w:pPr>
        <w:ind w:right="380" w:firstLine="550"/>
        <w:spacing w:after="0" w:line="290" w:lineRule="auto"/>
        <w:tabs>
          <w:tab w:leader="none" w:pos="1114"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Legends on Stock Certificates</w:t>
      </w:r>
      <w:r>
        <w:rPr>
          <w:rFonts w:ascii="Arial" w:cs="Arial" w:eastAsia="Arial" w:hAnsi="Arial"/>
          <w:sz w:val="15"/>
          <w:szCs w:val="15"/>
          <w:color w:val="auto"/>
        </w:rPr>
        <w:t>. Any certificate representing shares of stock subject to the provisions of this Appendix A may have endorsed thereon one or more legends, substantially as follows:</w:t>
      </w:r>
    </w:p>
    <w:p>
      <w:pPr>
        <w:spacing w:after="0" w:line="140" w:lineRule="exact"/>
        <w:rPr>
          <w:rFonts w:ascii="Arial" w:cs="Arial" w:eastAsia="Arial" w:hAnsi="Arial"/>
          <w:sz w:val="15"/>
          <w:szCs w:val="15"/>
          <w:color w:val="auto"/>
        </w:rPr>
      </w:pPr>
    </w:p>
    <w:p>
      <w:pPr>
        <w:ind w:left="1520" w:right="60" w:hanging="413"/>
        <w:spacing w:after="0" w:line="274" w:lineRule="auto"/>
        <w:tabs>
          <w:tab w:leader="none" w:pos="1538" w:val="left"/>
        </w:tabs>
        <w:numPr>
          <w:ilvl w:val="1"/>
          <w:numId w:val="219"/>
        </w:numPr>
        <w:rPr>
          <w:rFonts w:ascii="Arial" w:cs="Arial" w:eastAsia="Arial" w:hAnsi="Arial"/>
          <w:sz w:val="15"/>
          <w:szCs w:val="15"/>
          <w:color w:val="auto"/>
        </w:rPr>
      </w:pPr>
      <w:r>
        <w:rPr>
          <w:rFonts w:ascii="Arial" w:cs="Arial" w:eastAsia="Arial" w:hAnsi="Arial"/>
          <w:sz w:val="15"/>
          <w:szCs w:val="15"/>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51" w:lineRule="exact"/>
        <w:rPr>
          <w:rFonts w:ascii="Arial" w:cs="Arial" w:eastAsia="Arial" w:hAnsi="Arial"/>
          <w:sz w:val="15"/>
          <w:szCs w:val="15"/>
          <w:color w:val="auto"/>
        </w:rPr>
      </w:pPr>
    </w:p>
    <w:p>
      <w:pPr>
        <w:jc w:val="both"/>
        <w:ind w:left="1520" w:right="60" w:hanging="413"/>
        <w:spacing w:after="0" w:line="274" w:lineRule="auto"/>
        <w:tabs>
          <w:tab w:leader="none" w:pos="1547"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“The shares of stock represented by this certificate have not been registered under the Securities Act of 1933 or under the securities laws of any state and may not be pledged, hypothecated, sold or otherwise transferred except upon such registration or upon receipt by the Company of an opinion of counsel satisfactory to the Company, in form and substance satisfactory to the Company, that such registration is not required.”</w:t>
      </w:r>
    </w:p>
    <w:p>
      <w:pPr>
        <w:spacing w:after="0" w:line="151" w:lineRule="exact"/>
        <w:rPr>
          <w:rFonts w:ascii="Arial" w:cs="Arial" w:eastAsia="Arial" w:hAnsi="Arial"/>
          <w:sz w:val="15"/>
          <w:szCs w:val="15"/>
          <w:color w:val="auto"/>
        </w:rPr>
      </w:pPr>
    </w:p>
    <w:p>
      <w:pPr>
        <w:ind w:right="40" w:firstLine="550"/>
        <w:spacing w:after="0" w:line="290" w:lineRule="auto"/>
        <w:tabs>
          <w:tab w:leader="none" w:pos="1114"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Right of First Refusal to Lapse Upon Registration</w:t>
      </w:r>
      <w:r>
        <w:rPr>
          <w:rFonts w:ascii="Arial" w:cs="Arial" w:eastAsia="Arial" w:hAnsi="Arial"/>
          <w:sz w:val="15"/>
          <w:szCs w:val="15"/>
          <w:color w:val="auto"/>
        </w:rPr>
        <w:t>. The restrictions imposed by this Appendix A shall terminate in all respects upon the effective date of a registration statement under the Securities Act covering any of the Company’s Common Stock.</w:t>
      </w:r>
    </w:p>
    <w:p>
      <w:pPr>
        <w:sectPr>
          <w:pgSz w:w="11900" w:h="16838" w:orient="portrait"/>
          <w:cols w:equalWidth="0" w:num="1">
            <w:col w:w="11440"/>
          </w:cols>
          <w:pgMar w:left="240" w:top="129" w:right="21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7285990" cy="27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sectPr>
      <w:pgSz w:w="11900" w:h="16838" w:orient="portrait"/>
      <w:cols w:equalWidth="0" w:num="1">
        <w:col w:w="11440"/>
      </w:cols>
      <w:pgMar w:left="240" w:top="12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decimal"/>
      <w:start w:val="1"/>
    </w:lvl>
  </w:abstractNum>
  <w:abstractNum w:abstractNumId="1">
    <w:nsid w:val="1CA0C5FA"/>
    <w:multiLevelType w:val="hybridMultilevel"/>
    <w:lvl w:ilvl="0">
      <w:lvlJc w:val="left"/>
      <w:lvlText w:val="(%1)"/>
      <w:numFmt w:val="decimal"/>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1)"/>
      <w:numFmt w:val="decimal"/>
      <w:start w:val="1"/>
    </w:lvl>
  </w:abstractNum>
  <w:abstractNum w:abstractNumId="14">
    <w:nsid w:val="6C80EC70"/>
    <w:multiLevelType w:val="hybridMultilevel"/>
    <w:lvl w:ilvl="0">
      <w:lvlJc w:val="left"/>
      <w:lvlText w:val="(%1)"/>
      <w:numFmt w:val="decimal"/>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1)"/>
      <w:numFmt w:val="decimal"/>
      <w:start w:val="4"/>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1)"/>
      <w:numFmt w:val="decimal"/>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1)"/>
      <w:numFmt w:val="decimal"/>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1)"/>
      <w:numFmt w:val="decimal"/>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1)"/>
      <w:numFmt w:val="decimal"/>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
      <w:numFmt w:val="bullet"/>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lvl w:ilvl="1">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1)"/>
      <w:numFmt w:val="decimal"/>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1)"/>
      <w:numFmt w:val="decimal"/>
      <w:start w:val="1"/>
    </w:lvl>
  </w:abstractNum>
  <w:abstractNum w:abstractNumId="97">
    <w:nsid w:val="5D205E20"/>
    <w:multiLevelType w:val="hybridMultilevel"/>
    <w:lvl w:ilvl="0">
      <w:lvlJc w:val="left"/>
      <w:lvlText w:val="(%1)"/>
      <w:numFmt w:val="decimal"/>
      <w:start w:val="1"/>
    </w:lvl>
  </w:abstractNum>
  <w:abstractNum w:abstractNumId="98">
    <w:nsid w:val="11CCA8BA"/>
    <w:multiLevelType w:val="hybridMultilevel"/>
    <w:lvl w:ilvl="0">
      <w:lvlJc w:val="left"/>
      <w:lvlText w:val="(%1)"/>
      <w:numFmt w:val="upperLetter"/>
      <w:start w:val="1"/>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1)"/>
      <w:numFmt w:val="decimal"/>
      <w:start w:val="1"/>
    </w:lvl>
  </w:abstractNum>
  <w:abstractNum w:abstractNumId="103">
    <w:nsid w:val="16CF80F1"/>
    <w:multiLevelType w:val="hybridMultilevel"/>
    <w:lvl w:ilvl="0">
      <w:lvlJc w:val="left"/>
      <w:lvlText w:val="(%1)"/>
      <w:numFmt w:val="decimal"/>
      <w:start w:val="2"/>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1)"/>
      <w:numFmt w:val="decimal"/>
      <w:start w:val="1"/>
    </w:lvl>
  </w:abstractNum>
  <w:abstractNum w:abstractNumId="106">
    <w:nsid w:val="F856867"/>
    <w:multiLevelType w:val="hybridMultilevel"/>
    <w:lvl w:ilvl="0">
      <w:lvlJc w:val="left"/>
      <w:lvlText w:val="(%1)"/>
      <w:numFmt w:val="decimal"/>
      <w:start w:val="4"/>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1)"/>
      <w:numFmt w:val="decimal"/>
      <w:start w:val="1"/>
    </w:lvl>
  </w:abstractNum>
  <w:abstractNum w:abstractNumId="110">
    <w:nsid w:val="77485850"/>
    <w:multiLevelType w:val="hybridMultilevel"/>
    <w:lvl w:ilvl="0">
      <w:lvlJc w:val="left"/>
      <w:lvlText w:val="(%1)"/>
      <w:numFmt w:val="decimal"/>
      <w:start w:val="3"/>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1)"/>
      <w:numFmt w:val="lowerRoman"/>
      <w:start w:val="2"/>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
      <w:numFmt w:val="bullet"/>
      <w:start w:val="1"/>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1)"/>
      <w:numFmt w:val="lowerLetter"/>
      <w:start w:val="1"/>
    </w:lvl>
  </w:abstractNum>
  <w:abstractNum w:abstractNumId="121">
    <w:nsid w:val="135B8110"/>
    <w:multiLevelType w:val="hybridMultilevel"/>
    <w:lvl w:ilvl="0">
      <w:lvlJc w:val="left"/>
      <w:lvlText w:val="(%1)"/>
      <w:numFmt w:val="lowerLetter"/>
      <w:start w:val="2"/>
    </w:lvl>
  </w:abstractNum>
  <w:abstractNum w:abstractNumId="122">
    <w:nsid w:val="94927A8"/>
    <w:multiLevelType w:val="hybridMultilevel"/>
    <w:lvl w:ilvl="0">
      <w:lvlJc w:val="left"/>
      <w:lvlText w:val="(%1)"/>
      <w:numFmt w:val="lowerLetter"/>
      <w:start w:val="1"/>
    </w:lvl>
    <w:lvl w:ilvl="1">
      <w:lvlJc w:val="left"/>
      <w:lvlText w:val="(%2)"/>
      <w:numFmt w:val="decimal"/>
      <w:start w:val="1"/>
    </w:lvl>
  </w:abstractNum>
  <w:abstractNum w:abstractNumId="123">
    <w:nsid w:val="DCDF8F6"/>
    <w:multiLevelType w:val="hybridMultilevel"/>
    <w:lvl w:ilvl="0">
      <w:lvlJc w:val="left"/>
      <w:lvlText w:val="%1."/>
      <w:numFmt w:val="decimal"/>
      <w:start w:val="2"/>
    </w:lvl>
  </w:abstractNum>
  <w:abstractNum w:abstractNumId="124">
    <w:nsid w:val="52D7B105"/>
    <w:multiLevelType w:val="hybridMultilevel"/>
    <w:lvl w:ilvl="0">
      <w:lvlJc w:val="left"/>
      <w:lvlText w:val="•"/>
      <w:numFmt w:val="bullet"/>
      <w:start w:val="1"/>
    </w:lvl>
  </w:abstractNum>
  <w:abstractNum w:abstractNumId="125">
    <w:nsid w:val="2E8A6394"/>
    <w:multiLevelType w:val="hybridMultilevel"/>
    <w:lvl w:ilvl="0">
      <w:lvlJc w:val="left"/>
      <w:lvlText w:val="(%1)"/>
      <w:numFmt w:val="lowerRoman"/>
      <w:start w:val="2"/>
    </w:lvl>
  </w:abstractNum>
  <w:abstractNum w:abstractNumId="126">
    <w:nsid w:val="24E60401"/>
    <w:multiLevelType w:val="hybridMultilevel"/>
    <w:lvl w:ilvl="0">
      <w:lvlJc w:val="left"/>
      <w:lvlText w:val="(%1)"/>
      <w:numFmt w:val="lowerRoman"/>
      <w:start w:val="2"/>
    </w:lvl>
  </w:abstractNum>
  <w:abstractNum w:abstractNumId="127">
    <w:nsid w:val="2A6AD9BE"/>
    <w:multiLevelType w:val="hybridMultilevel"/>
    <w:lvl w:ilvl="0">
      <w:lvlJc w:val="left"/>
      <w:lvlText w:val="%1."/>
      <w:numFmt w:val="decimal"/>
      <w:start w:val="12"/>
    </w:lvl>
  </w:abstractNum>
  <w:abstractNum w:abstractNumId="128">
    <w:nsid w:val="BAAC1B4"/>
    <w:multiLevelType w:val="hybridMultilevel"/>
    <w:lvl w:ilvl="0">
      <w:lvlJc w:val="left"/>
      <w:lvlText w:val="*"/>
      <w:numFmt w:val="bullet"/>
      <w:start w:val="1"/>
    </w:lvl>
  </w:abstractNum>
  <w:abstractNum w:abstractNumId="129">
    <w:nsid w:val="36B2ACBC"/>
    <w:multiLevelType w:val="hybridMultilevel"/>
    <w:lvl w:ilvl="0">
      <w:lvlJc w:val="left"/>
      <w:lvlText w:val="*"/>
      <w:numFmt w:val="bullet"/>
      <w:start w:val="1"/>
    </w:lvl>
  </w:abstractNum>
  <w:abstractNum w:abstractNumId="130">
    <w:nsid w:val="779D8544"/>
    <w:multiLevelType w:val="hybridMultilevel"/>
    <w:lvl w:ilvl="0">
      <w:lvlJc w:val="left"/>
      <w:lvlText w:val="†"/>
      <w:numFmt w:val="bullet"/>
      <w:start w:val="1"/>
    </w:lvl>
  </w:abstractNum>
  <w:abstractNum w:abstractNumId="131">
    <w:nsid w:val="4AB26E78"/>
    <w:multiLevelType w:val="hybridMultilevel"/>
    <w:lvl w:ilvl="0">
      <w:lvlJc w:val="left"/>
      <w:lvlText w:val="(%1)"/>
      <w:numFmt w:val="lowerLetter"/>
      <w:start w:val="2"/>
    </w:lvl>
  </w:abstractNum>
  <w:abstractNum w:abstractNumId="132">
    <w:nsid w:val="21FAA2FA"/>
    <w:multiLevelType w:val="hybridMultilevel"/>
    <w:lvl w:ilvl="0">
      <w:lvlJc w:val="left"/>
      <w:lvlText w:val="(%1)"/>
      <w:numFmt w:val="decimal"/>
      <w:start w:val="1"/>
    </w:lvl>
  </w:abstractNum>
  <w:abstractNum w:abstractNumId="133">
    <w:nsid w:val="5451CF49"/>
    <w:multiLevelType w:val="hybridMultilevel"/>
    <w:lvl w:ilvl="0">
      <w:lvlJc w:val="left"/>
      <w:lvlText w:val="*"/>
      <w:numFmt w:val="bullet"/>
      <w:start w:val="1"/>
    </w:lvl>
  </w:abstractNum>
  <w:abstractNum w:abstractNumId="134">
    <w:nsid w:val="6181EF69"/>
    <w:multiLevelType w:val="hybridMultilevel"/>
    <w:lvl w:ilvl="0">
      <w:lvlJc w:val="left"/>
      <w:lvlText w:val="†"/>
      <w:numFmt w:val="bullet"/>
      <w:start w:val="1"/>
    </w:lvl>
  </w:abstractNum>
  <w:abstractNum w:abstractNumId="135">
    <w:nsid w:val="3E6400E6"/>
    <w:multiLevelType w:val="hybridMultilevel"/>
    <w:lvl w:ilvl="0">
      <w:lvlJc w:val="left"/>
      <w:lvlText w:val="%1."/>
      <w:numFmt w:val="decimal"/>
      <w:start w:val="1"/>
    </w:lvl>
  </w:abstractNum>
  <w:abstractNum w:abstractNumId="136">
    <w:nsid w:val="14217E23"/>
    <w:multiLevelType w:val="hybridMultilevel"/>
    <w:lvl w:ilvl="0">
      <w:lvlJc w:val="left"/>
      <w:lvlText w:val="(%1)"/>
      <w:numFmt w:val="lowerLetter"/>
      <w:start w:val="1"/>
    </w:lvl>
  </w:abstractNum>
  <w:abstractNum w:abstractNumId="137">
    <w:nsid w:val="710757D0"/>
    <w:multiLevelType w:val="hybridMultilevel"/>
    <w:lvl w:ilvl="0">
      <w:lvlJc w:val="left"/>
      <w:lvlText w:val="(%1)"/>
      <w:numFmt w:val="lowerLetter"/>
      <w:start w:val="2"/>
    </w:lvl>
  </w:abstractNum>
  <w:abstractNum w:abstractNumId="138">
    <w:nsid w:val="5015CD1A"/>
    <w:multiLevelType w:val="hybridMultilevel"/>
    <w:lvl w:ilvl="0">
      <w:lvlJc w:val="left"/>
      <w:lvlText w:val="%1"/>
      <w:numFmt w:val="lowerLetter"/>
      <w:start w:val="1"/>
    </w:lvl>
    <w:lvl w:ilvl="1">
      <w:lvlJc w:val="left"/>
      <w:lvlText w:val="(%2)"/>
      <w:numFmt w:val="lowerLetter"/>
      <w:start w:val="4"/>
    </w:lvl>
  </w:abstractNum>
  <w:abstractNum w:abstractNumId="139">
    <w:nsid w:val="424479DA"/>
    <w:multiLevelType w:val="hybridMultilevel"/>
    <w:lvl w:ilvl="0">
      <w:lvlJc w:val="left"/>
      <w:lvlText w:val="(%1)"/>
      <w:numFmt w:val="lowerLetter"/>
      <w:start w:val="35"/>
    </w:lvl>
    <w:lvl w:ilvl="1">
      <w:lvlJc w:val="left"/>
      <w:lvlText w:val="(%2)"/>
      <w:numFmt w:val="lowerLetter"/>
      <w:start w:val="6"/>
    </w:lvl>
  </w:abstractNum>
  <w:abstractNum w:abstractNumId="140">
    <w:nsid w:val="1A9A9E69"/>
    <w:multiLevelType w:val="hybridMultilevel"/>
    <w:lvl w:ilvl="0">
      <w:lvlJc w:val="left"/>
      <w:lvlText w:val="(%1)"/>
      <w:numFmt w:val="lowerLetter"/>
      <w:start w:val="9"/>
    </w:lvl>
    <w:lvl w:ilvl="1">
      <w:lvlJc w:val="left"/>
      <w:lvlText w:val="(%2)"/>
      <w:numFmt w:val="lowerLetter"/>
      <w:start w:val="8"/>
    </w:lvl>
  </w:abstractNum>
  <w:abstractNum w:abstractNumId="141">
    <w:nsid w:val="475E256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2">
    <w:nsid w:val="368DB37E"/>
    <w:multiLevelType w:val="hybridMultilevel"/>
    <w:lvl w:ilvl="0">
      <w:lvlJc w:val="left"/>
      <w:lvlText w:val="%1"/>
      <w:numFmt w:val="decimal"/>
      <w:start w:val="1"/>
    </w:lvl>
    <w:lvl w:ilvl="1">
      <w:lvlJc w:val="left"/>
      <w:lvlText w:val="(%2)"/>
      <w:numFmt w:val="lowerRoman"/>
      <w:start w:val="2"/>
    </w:lvl>
  </w:abstractNum>
  <w:abstractNum w:abstractNumId="143">
    <w:nsid w:val="6A3B714C"/>
    <w:multiLevelType w:val="hybridMultilevel"/>
    <w:lvl w:ilvl="0">
      <w:lvlJc w:val="left"/>
      <w:lvlText w:val="(%1)"/>
      <w:numFmt w:val="decimal"/>
      <w:start w:val="10"/>
    </w:lvl>
    <w:lvl w:ilvl="1">
      <w:lvlJc w:val="left"/>
      <w:lvlText w:val="(%2)"/>
      <w:numFmt w:val="lowerRoman"/>
      <w:start w:val="4"/>
    </w:lvl>
  </w:abstractNum>
  <w:abstractNum w:abstractNumId="144">
    <w:nsid w:val="327B517E"/>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45">
    <w:nsid w:val="1F461B51"/>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46">
    <w:nsid w:val="29BACF25"/>
    <w:multiLevelType w:val="hybridMultilevel"/>
    <w:lvl w:ilvl="0">
      <w:lvlJc w:val="left"/>
      <w:lvlText w:val="(%1)"/>
      <w:numFmt w:val="lowerRoman"/>
      <w:start w:val="2"/>
    </w:lvl>
  </w:abstractNum>
  <w:abstractNum w:abstractNumId="147">
    <w:nsid w:val="5D5BABB3"/>
    <w:multiLevelType w:val="hybridMultilevel"/>
    <w:lvl w:ilvl="0">
      <w:lvlJc w:val="left"/>
      <w:lvlText w:val="(%1)"/>
      <w:numFmt w:val="lowerRoman"/>
      <w:start w:val="5"/>
    </w:lvl>
  </w:abstractNum>
  <w:abstractNum w:abstractNumId="148">
    <w:nsid w:val="51BF6B48"/>
    <w:multiLevelType w:val="hybridMultilevel"/>
    <w:lvl w:ilvl="0">
      <w:lvlJc w:val="left"/>
      <w:lvlText w:val="%1"/>
      <w:numFmt w:val="lowerLetter"/>
      <w:start w:val="1"/>
    </w:lvl>
    <w:lvl w:ilvl="1">
      <w:lvlJc w:val="left"/>
      <w:lvlText w:val="(%2)"/>
      <w:numFmt w:val="lowerRoman"/>
      <w:start w:val="6"/>
    </w:lvl>
  </w:abstractNum>
  <w:abstractNum w:abstractNumId="149">
    <w:nsid w:val="7E0F6384"/>
    <w:multiLevelType w:val="hybridMultilevel"/>
    <w:lvl w:ilvl="0">
      <w:lvlJc w:val="left"/>
      <w:lvlText w:val="(%1)"/>
      <w:numFmt w:val="lowerLetter"/>
      <w:start w:val="3"/>
    </w:lvl>
    <w:lvl w:ilvl="1">
      <w:lvlJc w:val="left"/>
      <w:lvlText w:val="(%2)"/>
      <w:numFmt w:val="lowerRoman"/>
      <w:start w:val="1"/>
    </w:lvl>
  </w:abstractNum>
  <w:abstractNum w:abstractNumId="150">
    <w:nsid w:val="2B4B8B5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51">
    <w:nsid w:val="72E3413A"/>
    <w:multiLevelType w:val="hybridMultilevel"/>
    <w:lvl w:ilvl="0">
      <w:lvlJc w:val="left"/>
      <w:lvlText w:val="(%1)"/>
      <w:numFmt w:val="decimal"/>
      <w:start w:val="2"/>
    </w:lvl>
    <w:lvl w:ilvl="1">
      <w:lvlJc w:val="left"/>
      <w:lvlText w:val="(%2)"/>
      <w:numFmt w:val="upperLetter"/>
      <w:start w:val="1"/>
    </w:lvl>
  </w:abstractNum>
  <w:abstractNum w:abstractNumId="152">
    <w:nsid w:val="116AE494"/>
    <w:multiLevelType w:val="hybridMultilevel"/>
    <w:lvl w:ilvl="0">
      <w:lvlJc w:val="left"/>
      <w:lvlText w:val="(%1)"/>
      <w:numFmt w:val="upperLetter"/>
      <w:start w:val="3"/>
    </w:lvl>
  </w:abstractNum>
  <w:abstractNum w:abstractNumId="153">
    <w:nsid w:val="3494B2FB"/>
    <w:multiLevelType w:val="hybridMultilevel"/>
    <w:lvl w:ilvl="0">
      <w:lvlJc w:val="left"/>
      <w:lvlText w:val="(%1)"/>
      <w:numFmt w:val="upperLetter"/>
      <w:start w:val="4"/>
    </w:lvl>
  </w:abstractNum>
  <w:abstractNum w:abstractNumId="154">
    <w:nsid w:val="B13A31"/>
    <w:multiLevelType w:val="hybridMultilevel"/>
    <w:lvl w:ilvl="0">
      <w:lvlJc w:val="left"/>
      <w:lvlText w:val="(%1)"/>
      <w:numFmt w:val="upperLetter"/>
      <w:start w:val="5"/>
    </w:lvl>
  </w:abstractNum>
  <w:abstractNum w:abstractNumId="155">
    <w:nsid w:val="64429599"/>
    <w:multiLevelType w:val="hybridMultilevel"/>
    <w:lvl w:ilvl="0">
      <w:lvlJc w:val="left"/>
      <w:lvlText w:val="(%1)"/>
      <w:numFmt w:val="upperLetter"/>
      <w:start w:val="6"/>
    </w:lvl>
  </w:abstractNum>
  <w:abstractNum w:abstractNumId="156">
    <w:nsid w:val="631F1690"/>
    <w:multiLevelType w:val="hybridMultilevel"/>
    <w:lvl w:ilvl="0">
      <w:lvlJc w:val="left"/>
      <w:lvlText w:val="%1"/>
      <w:numFmt w:val="lowerRoman"/>
      <w:start w:val="1"/>
    </w:lvl>
    <w:lvl w:ilvl="1">
      <w:lvlJc w:val="left"/>
      <w:lvlText w:val="(%2)"/>
      <w:numFmt w:val="upperLetter"/>
      <w:start w:val="11"/>
    </w:lvl>
  </w:abstractNum>
  <w:abstractNum w:abstractNumId="157">
    <w:nsid w:val="25973E32"/>
    <w:multiLevelType w:val="hybridMultilevel"/>
    <w:lvl w:ilvl="0">
      <w:lvlJc w:val="left"/>
      <w:lvlText w:val="(%1)"/>
      <w:numFmt w:val="lowerRoman"/>
      <w:start w:val="2"/>
    </w:lvl>
    <w:lvl w:ilvl="1">
      <w:lvlJc w:val="left"/>
      <w:lvlText w:val="%2"/>
      <w:numFmt w:val="upperLetter"/>
      <w:start w:val="1"/>
    </w:lvl>
  </w:abstractNum>
  <w:abstractNum w:abstractNumId="158">
    <w:nsid w:val="EAD6F57"/>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59">
    <w:nsid w:val="6EC9D84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160">
    <w:nsid w:val="5C49EAEE"/>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161">
    <w:nsid w:val="64AF49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62">
    <w:nsid w:val="397C46BC"/>
    <w:multiLevelType w:val="hybridMultilevel"/>
    <w:lvl w:ilvl="0">
      <w:lvlJc w:val="left"/>
      <w:lvlText w:val="(%1)"/>
      <w:numFmt w:val="lowerRoman"/>
      <w:start w:val="4"/>
    </w:lvl>
  </w:abstractNum>
  <w:abstractNum w:abstractNumId="163">
    <w:nsid w:val="7E448DE9"/>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164">
    <w:nsid w:val="5A9CC3E5"/>
    <w:multiLevelType w:val="hybridMultilevel"/>
    <w:lvl w:ilvl="0">
      <w:lvlJc w:val="left"/>
      <w:lvlText w:val="(%1)"/>
      <w:numFmt w:val="lowerRoman"/>
      <w:start w:val="6"/>
    </w:lvl>
    <w:lvl w:ilvl="1">
      <w:lvlJc w:val="left"/>
      <w:lvlText w:val="(%2)"/>
      <w:numFmt w:val="decimal"/>
      <w:start w:val="1"/>
    </w:lvl>
  </w:abstractNum>
  <w:abstractNum w:abstractNumId="165">
    <w:nsid w:val="1AFE3625"/>
    <w:multiLevelType w:val="hybridMultilevel"/>
    <w:lvl w:ilvl="0">
      <w:lvlJc w:val="left"/>
      <w:lvlText w:val="(%1)"/>
      <w:numFmt w:val="lowerLetter"/>
      <w:start w:val="5"/>
    </w:lvl>
  </w:abstractNum>
  <w:abstractNum w:abstractNumId="166">
    <w:nsid w:val="3CA88ECF"/>
    <w:multiLevelType w:val="hybridMultilevel"/>
    <w:lvl w:ilvl="0">
      <w:lvlJc w:val="left"/>
      <w:lvlText w:val="(%1)"/>
      <w:numFmt w:val="lowerLetter"/>
      <w:start w:val="6"/>
    </w:lvl>
  </w:abstractNum>
  <w:abstractNum w:abstractNumId="167">
    <w:nsid w:val="6EBE4208"/>
    <w:multiLevelType w:val="hybridMultilevel"/>
    <w:lvl w:ilvl="0">
      <w:lvlJc w:val="left"/>
      <w:lvlText w:val="(%1)"/>
      <w:numFmt w:val="lowerLetter"/>
      <w:start w:val="8"/>
    </w:lvl>
  </w:abstractNum>
  <w:abstractNum w:abstractNumId="168">
    <w:nsid w:val="C058DF5"/>
    <w:multiLevelType w:val="hybridMultilevel"/>
    <w:lvl w:ilvl="0">
      <w:lvlJc w:val="left"/>
      <w:lvlText w:val="(%1)"/>
      <w:numFmt w:val="lowerLetter"/>
      <w:start w:val="1"/>
    </w:lvl>
  </w:abstractNum>
  <w:abstractNum w:abstractNumId="169">
    <w:nsid w:val="CBE5BE9"/>
    <w:multiLevelType w:val="hybridMultilevel"/>
    <w:lvl w:ilvl="0">
      <w:lvlJc w:val="left"/>
      <w:lvlText w:val="(%1)"/>
      <w:numFmt w:val="lowerLetter"/>
      <w:start w:val="3"/>
    </w:lvl>
  </w:abstractNum>
  <w:abstractNum w:abstractNumId="170">
    <w:nsid w:val="3102BBE2"/>
    <w:multiLevelType w:val="hybridMultilevel"/>
    <w:lvl w:ilvl="0">
      <w:lvlJc w:val="left"/>
      <w:lvlText w:val="%1"/>
      <w:numFmt w:val="decimal"/>
      <w:start w:val="1"/>
    </w:lvl>
    <w:lvl w:ilvl="1">
      <w:lvlJc w:val="left"/>
      <w:lvlText w:val="(%2)"/>
      <w:numFmt w:val="lowerLetter"/>
      <w:start w:val="1"/>
    </w:lvl>
  </w:abstractNum>
  <w:abstractNum w:abstractNumId="171">
    <w:nsid w:val="26A02C5E"/>
    <w:multiLevelType w:val="hybridMultilevel"/>
    <w:lvl w:ilvl="0">
      <w:lvlJc w:val="left"/>
      <w:lvlText w:val="(%1)"/>
      <w:numFmt w:val="decimal"/>
      <w:start w:val="30"/>
    </w:lvl>
    <w:lvl w:ilvl="1">
      <w:lvlJc w:val="left"/>
      <w:lvlText w:val="(%2)"/>
      <w:numFmt w:val="lowerLetter"/>
      <w:start w:val="2"/>
    </w:lvl>
  </w:abstractNum>
  <w:abstractNum w:abstractNumId="172">
    <w:nsid w:val="541C8153"/>
    <w:multiLevelType w:val="hybridMultilevel"/>
    <w:lvl w:ilvl="0">
      <w:lvlJc w:val="left"/>
      <w:lvlText w:val="(%1)"/>
      <w:numFmt w:val="lowerLetter"/>
      <w:start w:val="5"/>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3"/>
    </w:lvl>
  </w:abstractNum>
  <w:abstractNum w:abstractNumId="175">
    <w:nsid w:val="697D2D2"/>
    <w:multiLevelType w:val="hybridMultilevel"/>
    <w:lvl w:ilvl="0">
      <w:lvlJc w:val="left"/>
      <w:lvlText w:val="%1"/>
      <w:numFmt w:val="lowerLetter"/>
      <w:start w:val="1"/>
    </w:lvl>
    <w:lvl w:ilvl="1">
      <w:lvlJc w:val="left"/>
      <w:lvlText w:val="(%2)"/>
      <w:numFmt w:val="lowerLetter"/>
      <w:start w:val="1"/>
    </w:lvl>
  </w:abstractNum>
  <w:abstractNum w:abstractNumId="176">
    <w:nsid w:val="6D68AB2"/>
    <w:multiLevelType w:val="hybridMultilevel"/>
    <w:lvl w:ilvl="0">
      <w:lvlJc w:val="left"/>
      <w:lvlText w:val="(%1)"/>
      <w:numFmt w:val="lowerLetter"/>
      <w:start w:val="9"/>
    </w:lvl>
    <w:lvl w:ilvl="1">
      <w:lvlJc w:val="left"/>
      <w:lvlText w:val="%2"/>
      <w:numFmt w:val="lowerLetter"/>
      <w:start w:val="1"/>
    </w:lvl>
  </w:abstractNum>
  <w:abstractNum w:abstractNumId="177">
    <w:nsid w:val="3A966CD0"/>
    <w:multiLevelType w:val="hybridMultilevel"/>
    <w:lvl w:ilvl="0">
      <w:lvlJc w:val="left"/>
      <w:lvlText w:val="(%1)"/>
      <w:numFmt w:val="lowerLetter"/>
      <w:start w:val="2"/>
    </w:lvl>
  </w:abstractNum>
  <w:abstractNum w:abstractNumId="178">
    <w:nsid w:val="63F37E85"/>
    <w:multiLevelType w:val="hybridMultilevel"/>
    <w:lvl w:ilvl="0">
      <w:lvlJc w:val="left"/>
      <w:lvlText w:val="(%1)"/>
      <w:numFmt w:val="lowerLetter"/>
      <w:start w:val="1"/>
    </w:lvl>
    <w:lvl w:ilvl="1">
      <w:lvlJc w:val="left"/>
      <w:lvlText w:val="(%2)"/>
      <w:numFmt w:val="lowerRoman"/>
      <w:start w:val="1"/>
    </w:lvl>
  </w:abstractNum>
  <w:abstractNum w:abstractNumId="179">
    <w:nsid w:val="5895F5FA"/>
    <w:multiLevelType w:val="hybridMultilevel"/>
    <w:lvl w:ilvl="0">
      <w:lvlJc w:val="left"/>
      <w:lvlText w:val="%1"/>
      <w:numFmt w:val="lowerLetter"/>
      <w:start w:val="1"/>
    </w:lvl>
    <w:lvl w:ilvl="1">
      <w:lvlJc w:val="left"/>
      <w:lvlText w:val="(%2)"/>
      <w:numFmt w:val="lowerRoman"/>
      <w:start w:val="8"/>
    </w:lvl>
  </w:abstractNum>
  <w:abstractNum w:abstractNumId="180">
    <w:nsid w:val="38A5D054"/>
    <w:multiLevelType w:val="hybridMultilevel"/>
    <w:lvl w:ilvl="0">
      <w:lvlJc w:val="left"/>
      <w:lvlText w:val="(%1)"/>
      <w:numFmt w:val="lowerLetter"/>
      <w:start w:val="2"/>
    </w:lvl>
    <w:lvl w:ilvl="1">
      <w:lvlJc w:val="left"/>
      <w:lvlText w:val="%2"/>
      <w:numFmt w:val="lowerRoman"/>
      <w:start w:val="1"/>
    </w:lvl>
  </w:abstractNum>
  <w:abstractNum w:abstractNumId="181">
    <w:nsid w:val="F3F09D8"/>
    <w:multiLevelType w:val="hybridMultilevel"/>
    <w:lvl w:ilvl="0">
      <w:lvlJc w:val="left"/>
      <w:lvlText w:val="(%1)"/>
      <w:numFmt w:val="lowerLetter"/>
      <w:start w:val="6"/>
    </w:lvl>
  </w:abstractNum>
  <w:abstractNum w:abstractNumId="182">
    <w:nsid w:val="4B793735"/>
    <w:multiLevelType w:val="hybridMultilevel"/>
    <w:lvl w:ilvl="0">
      <w:lvlJc w:val="left"/>
      <w:lvlText w:val="%1."/>
      <w:numFmt w:val="decimal"/>
      <w:start w:val="3"/>
    </w:lvl>
  </w:abstractNum>
  <w:abstractNum w:abstractNumId="183">
    <w:nsid w:val="4A10B4E8"/>
    <w:multiLevelType w:val="hybridMultilevel"/>
    <w:lvl w:ilvl="0">
      <w:lvlJc w:val="left"/>
      <w:lvlText w:val="(%1)"/>
      <w:numFmt w:val="lowerRoman"/>
      <w:start w:val="3"/>
    </w:lvl>
  </w:abstractNum>
  <w:abstractNum w:abstractNumId="184">
    <w:nsid w:val="43D3BCD4"/>
    <w:multiLevelType w:val="hybridMultilevel"/>
    <w:lvl w:ilvl="0">
      <w:lvlJc w:val="left"/>
      <w:lvlText w:val="(%1)"/>
      <w:numFmt w:val="lowerLetter"/>
      <w:start w:val="1"/>
    </w:lvl>
    <w:lvl w:ilvl="1">
      <w:lvlJc w:val="left"/>
      <w:lvlText w:val="(%2)"/>
      <w:numFmt w:val="decimal"/>
      <w:start w:val="1"/>
    </w:lvl>
  </w:abstractNum>
  <w:abstractNum w:abstractNumId="185">
    <w:nsid w:val="4C2A7166"/>
    <w:multiLevelType w:val="hybridMultilevel"/>
    <w:lvl w:ilvl="0">
      <w:lvlJc w:val="left"/>
      <w:lvlText w:val="(%1)"/>
      <w:numFmt w:val="lowerLetter"/>
      <w:start w:val="2"/>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decimal"/>
      <w:start w:val="1"/>
    </w:lvl>
  </w:abstractNum>
  <w:abstractNum w:abstractNumId="188">
    <w:nsid w:val="71C1AF98"/>
    <w:multiLevelType w:val="hybridMultilevel"/>
    <w:lvl w:ilvl="0">
      <w:lvlJc w:val="left"/>
      <w:lvlText w:val="%1."/>
      <w:numFmt w:val="decimal"/>
      <w:start w:val="2"/>
    </w:lvl>
  </w:abstractNum>
  <w:abstractNum w:abstractNumId="189">
    <w:nsid w:val="3D00B9D9"/>
    <w:multiLevelType w:val="hybridMultilevel"/>
    <w:lvl w:ilvl="0">
      <w:lvlJc w:val="left"/>
      <w:lvlText w:val="%1."/>
      <w:numFmt w:val="decimal"/>
      <w:start w:val="3"/>
    </w:lvl>
  </w:abstractNum>
  <w:abstractNum w:abstractNumId="190">
    <w:nsid w:val="15BCABA8"/>
    <w:multiLevelType w:val="hybridMultilevel"/>
    <w:lvl w:ilvl="0">
      <w:lvlJc w:val="left"/>
      <w:lvlText w:val="%1."/>
      <w:numFmt w:val="decimal"/>
      <w:start w:val="4"/>
    </w:lvl>
  </w:abstractNum>
  <w:abstractNum w:abstractNumId="191">
    <w:nsid w:val="4E0B9A87"/>
    <w:multiLevelType w:val="hybridMultilevel"/>
    <w:lvl w:ilvl="0">
      <w:lvlJc w:val="left"/>
      <w:lvlText w:val="%1."/>
      <w:numFmt w:val="decimal"/>
      <w:start w:val="5"/>
    </w:lvl>
  </w:abstractNum>
  <w:abstractNum w:abstractNumId="192">
    <w:nsid w:val="434BAE75"/>
    <w:multiLevelType w:val="hybridMultilevel"/>
    <w:lvl w:ilvl="0">
      <w:lvlJc w:val="left"/>
      <w:lvlText w:val="%1."/>
      <w:numFmt w:val="decimal"/>
      <w:start w:val="6"/>
    </w:lvl>
    <w:lvl w:ilvl="1">
      <w:lvlJc w:val="left"/>
      <w:lvlText w:val="(%2)"/>
      <w:numFmt w:val="lowerRoman"/>
      <w:start w:val="1"/>
    </w:lvl>
  </w:abstractNum>
  <w:abstractNum w:abstractNumId="193">
    <w:nsid w:val="4F38F265"/>
    <w:multiLevelType w:val="hybridMultilevel"/>
    <w:lvl w:ilvl="0">
      <w:lvlJc w:val="left"/>
      <w:lvlText w:val="%1."/>
      <w:numFmt w:val="decimal"/>
      <w:start w:val="7"/>
    </w:lvl>
  </w:abstractNum>
  <w:abstractNum w:abstractNumId="194">
    <w:nsid w:val="4C502870"/>
    <w:multiLevelType w:val="hybridMultilevel"/>
    <w:lvl w:ilvl="0">
      <w:lvlJc w:val="left"/>
      <w:lvlText w:val="%1."/>
      <w:numFmt w:val="decimal"/>
      <w:start w:val="8"/>
    </w:lvl>
  </w:abstractNum>
  <w:abstractNum w:abstractNumId="195">
    <w:nsid w:val="1DE8725A"/>
    <w:multiLevelType w:val="hybridMultilevel"/>
    <w:lvl w:ilvl="0">
      <w:lvlJc w:val="left"/>
      <w:lvlText w:val="%1."/>
      <w:numFmt w:val="decimal"/>
      <w:start w:val="10"/>
    </w:lvl>
    <w:lvl w:ilvl="1">
      <w:lvlJc w:val="left"/>
      <w:lvlText w:val="(%2)"/>
      <w:numFmt w:val="lowerRoman"/>
      <w:start w:val="1"/>
    </w:lvl>
  </w:abstractNum>
  <w:abstractNum w:abstractNumId="196">
    <w:nsid w:val="6A37288A"/>
    <w:multiLevelType w:val="hybridMultilevel"/>
    <w:lvl w:ilvl="0">
      <w:lvlJc w:val="left"/>
      <w:lvlText w:val="(%1)"/>
      <w:numFmt w:val="lowerRoman"/>
      <w:start w:val="2"/>
    </w:lvl>
  </w:abstractNum>
  <w:abstractNum w:abstractNumId="197">
    <w:nsid w:val="8F8B73F"/>
    <w:multiLevelType w:val="hybridMultilevel"/>
    <w:lvl w:ilvl="0">
      <w:lvlJc w:val="left"/>
      <w:lvlText w:val="(%1)"/>
      <w:numFmt w:val="lowerLetter"/>
      <w:start w:val="2"/>
    </w:lvl>
  </w:abstractNum>
  <w:abstractNum w:abstractNumId="198">
    <w:nsid w:val="CA6B462"/>
    <w:multiLevelType w:val="hybridMultilevel"/>
    <w:lvl w:ilvl="0">
      <w:lvlJc w:val="left"/>
      <w:lvlText w:val="%1."/>
      <w:numFmt w:val="decimal"/>
      <w:start w:val="11"/>
    </w:lvl>
  </w:abstractNum>
  <w:abstractNum w:abstractNumId="199">
    <w:nsid w:val="763CB680"/>
    <w:multiLevelType w:val="hybridMultilevel"/>
    <w:lvl w:ilvl="0">
      <w:lvlJc w:val="left"/>
      <w:lvlText w:val="%1."/>
      <w:numFmt w:val="decimal"/>
      <w:start w:val="15"/>
    </w:lvl>
  </w:abstractNum>
  <w:abstractNum w:abstractNumId="200">
    <w:nsid w:val="15B71329"/>
    <w:multiLevelType w:val="hybridMultilevel"/>
    <w:lvl w:ilvl="0">
      <w:lvlJc w:val="left"/>
      <w:lvlText w:val="%1."/>
      <w:numFmt w:val="decimal"/>
      <w:start w:val="16"/>
    </w:lvl>
  </w:abstractNum>
  <w:abstractNum w:abstractNumId="201">
    <w:nsid w:val="3DA97044"/>
    <w:multiLevelType w:val="hybridMultilevel"/>
    <w:lvl w:ilvl="0">
      <w:lvlJc w:val="left"/>
      <w:lvlText w:val="%1."/>
      <w:numFmt w:val="decimal"/>
      <w:start w:val="17"/>
    </w:lvl>
  </w:abstractNum>
  <w:abstractNum w:abstractNumId="202">
    <w:nsid w:val="1CDCE2DE"/>
    <w:multiLevelType w:val="hybridMultilevel"/>
    <w:lvl w:ilvl="0">
      <w:lvlJc w:val="left"/>
      <w:lvlText w:val="%1."/>
      <w:numFmt w:val="decimal"/>
      <w:start w:val="21"/>
    </w:lvl>
  </w:abstractNum>
  <w:abstractNum w:abstractNumId="203">
    <w:nsid w:val="69D3947C"/>
    <w:multiLevelType w:val="hybridMultilevel"/>
    <w:lvl w:ilvl="0">
      <w:lvlJc w:val="left"/>
      <w:lvlText w:val="%1."/>
      <w:numFmt w:val="decimal"/>
      <w:start w:val="22"/>
    </w:lvl>
  </w:abstractNum>
  <w:abstractNum w:abstractNumId="204">
    <w:nsid w:val="2539DFA5"/>
    <w:multiLevelType w:val="hybridMultilevel"/>
    <w:lvl w:ilvl="0">
      <w:lvlJc w:val="left"/>
      <w:lvlText w:val="%1."/>
      <w:numFmt w:val="decimal"/>
      <w:start w:val="23"/>
    </w:lvl>
  </w:abstractNum>
  <w:abstractNum w:abstractNumId="205">
    <w:nsid w:val="2DB88089"/>
    <w:multiLevelType w:val="hybridMultilevel"/>
    <w:lvl w:ilvl="0">
      <w:lvlJc w:val="left"/>
      <w:lvlText w:val="%1."/>
      <w:numFmt w:val="decimal"/>
      <w:start w:val="6"/>
    </w:lvl>
    <w:lvl w:ilvl="1">
      <w:lvlJc w:val="left"/>
      <w:lvlText w:val="(%2)"/>
      <w:numFmt w:val="lowerRoman"/>
      <w:start w:val="1"/>
    </w:lvl>
  </w:abstractNum>
  <w:abstractNum w:abstractNumId="206">
    <w:nsid w:val="706B674E"/>
    <w:multiLevelType w:val="hybridMultilevel"/>
    <w:lvl w:ilvl="0">
      <w:lvlJc w:val="left"/>
      <w:lvlText w:val="%1."/>
      <w:numFmt w:val="decimal"/>
      <w:start w:val="8"/>
    </w:lvl>
    <w:lvl w:ilvl="1">
      <w:lvlJc w:val="left"/>
      <w:lvlText w:val="(%2)"/>
      <w:numFmt w:val="lowerRoman"/>
      <w:start w:val="1"/>
    </w:lvl>
  </w:abstractNum>
  <w:abstractNum w:abstractNumId="207">
    <w:nsid w:val="2C106A57"/>
    <w:multiLevelType w:val="hybridMultilevel"/>
    <w:lvl w:ilvl="0">
      <w:lvlJc w:val="left"/>
      <w:lvlText w:val="%1."/>
      <w:numFmt w:val="decimal"/>
      <w:start w:val="10"/>
    </w:lvl>
  </w:abstractNum>
  <w:abstractNum w:abstractNumId="208">
    <w:nsid w:val="684EED59"/>
    <w:multiLevelType w:val="hybridMultilevel"/>
    <w:lvl w:ilvl="0">
      <w:lvlJc w:val="left"/>
      <w:lvlText w:val="%1."/>
      <w:numFmt w:val="decimal"/>
      <w:start w:val="1"/>
    </w:lvl>
  </w:abstractNum>
  <w:abstractNum w:abstractNumId="209">
    <w:nsid w:val="545EE5D3"/>
    <w:multiLevelType w:val="hybridMultilevel"/>
    <w:lvl w:ilvl="0">
      <w:lvlJc w:val="left"/>
      <w:lvlText w:val="%1."/>
      <w:numFmt w:val="decimal"/>
      <w:start w:val="6"/>
    </w:lvl>
    <w:lvl w:ilvl="1">
      <w:lvlJc w:val="left"/>
      <w:lvlText w:val="(%2)"/>
      <w:numFmt w:val="lowerRoman"/>
      <w:start w:val="1"/>
    </w:lvl>
  </w:abstractNum>
  <w:abstractNum w:abstractNumId="210">
    <w:nsid w:val="4A66051"/>
    <w:multiLevelType w:val="hybridMultilevel"/>
    <w:lvl w:ilvl="0">
      <w:lvlJc w:val="left"/>
      <w:lvlText w:val="%1"/>
      <w:numFmt w:val="decimal"/>
      <w:start w:val="1"/>
    </w:lvl>
    <w:lvl w:ilvl="1">
      <w:lvlJc w:val="left"/>
      <w:lvlText w:val="(%2)"/>
      <w:numFmt w:val="lowerRoman"/>
      <w:start w:val="2"/>
    </w:lvl>
  </w:abstractNum>
  <w:abstractNum w:abstractNumId="211">
    <w:nsid w:val="20F4BDAD"/>
    <w:multiLevelType w:val="hybridMultilevel"/>
    <w:lvl w:ilvl="0">
      <w:lvlJc w:val="left"/>
      <w:lvlText w:val="%1."/>
      <w:numFmt w:val="decimal"/>
      <w:start w:val="8"/>
    </w:lvl>
    <w:lvl w:ilvl="1">
      <w:lvlJc w:val="left"/>
      <w:lvlText w:val="%2"/>
      <w:numFmt w:val="lowerRoman"/>
      <w:start w:val="1"/>
    </w:lvl>
  </w:abstractNum>
  <w:abstractNum w:abstractNumId="212">
    <w:nsid w:val="639DEFAC"/>
    <w:multiLevelType w:val="hybridMultilevel"/>
    <w:lvl w:ilvl="0">
      <w:lvlJc w:val="left"/>
      <w:lvlText w:val="%1."/>
      <w:numFmt w:val="decimal"/>
      <w:start w:val="6"/>
    </w:lvl>
    <w:lvl w:ilvl="1">
      <w:lvlJc w:val="left"/>
      <w:lvlText w:val="(%2)"/>
      <w:numFmt w:val="lowerRoman"/>
      <w:start w:val="1"/>
    </w:lvl>
  </w:abstractNum>
  <w:abstractNum w:abstractNumId="213">
    <w:nsid w:val="501F9786"/>
    <w:multiLevelType w:val="hybridMultilevel"/>
    <w:lvl w:ilvl="0">
      <w:lvlJc w:val="left"/>
      <w:lvlText w:val="%1."/>
      <w:numFmt w:val="decimal"/>
      <w:start w:val="8"/>
    </w:lvl>
    <w:lvl w:ilvl="1">
      <w:lvlJc w:val="left"/>
      <w:lvlText w:val="(%2)"/>
      <w:numFmt w:val="lowerRoman"/>
      <w:start w:val="1"/>
    </w:lvl>
  </w:abstractNum>
  <w:abstractNum w:abstractNumId="214">
    <w:nsid w:val="6B057295"/>
    <w:multiLevelType w:val="hybridMultilevel"/>
    <w:lvl w:ilvl="0">
      <w:lvlJc w:val="left"/>
      <w:lvlText w:val="%1"/>
      <w:numFmt w:val="decimal"/>
      <w:start w:val="1"/>
    </w:lvl>
    <w:lvl w:ilvl="1">
      <w:lvlJc w:val="left"/>
      <w:lvlText w:val="(%2)"/>
      <w:numFmt w:val="lowerRoman"/>
      <w:start w:val="4"/>
    </w:lvl>
  </w:abstractNum>
  <w:abstractNum w:abstractNumId="215">
    <w:nsid w:val="2771AC80"/>
    <w:multiLevelType w:val="hybridMultilevel"/>
    <w:lvl w:ilvl="0">
      <w:lvlJc w:val="left"/>
      <w:lvlText w:val="%1."/>
      <w:numFmt w:val="decimal"/>
      <w:start w:val="10"/>
    </w:lvl>
    <w:lvl w:ilvl="1">
      <w:lvlJc w:val="left"/>
      <w:lvlText w:val="%2"/>
      <w:numFmt w:val="lowerRoman"/>
      <w:start w:val="1"/>
    </w:lvl>
  </w:abstractNum>
  <w:abstractNum w:abstractNumId="216">
    <w:nsid w:val="1C4A08EC"/>
    <w:multiLevelType w:val="hybridMultilevel"/>
    <w:lvl w:ilvl="0">
      <w:lvlJc w:val="left"/>
      <w:lvlText w:val="%1."/>
      <w:numFmt w:val="decimal"/>
      <w:start w:val="13"/>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2019-12-08T22:12:54Z</dcterms:created>
  <dcterms:modified xsi:type="dcterms:W3CDTF">2019-12-08T22:12:54Z</dcterms:modified>
</cp:coreProperties>
</file>