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2021</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001-37798 </w:t>
      </w:r>
    </w:p>
    <w:p>
      <w:pPr>
        <w:pStyle w:val="TextBody"/>
        <w:spacing w:lineRule="auto" w:line="288" w:before="0" w:after="0"/>
        <w:jc w:val="center"/>
        <w:rPr>
          <w:rFonts w:ascii="Times New Roman;sans-serif" w:hAnsi="Times New Roman;sans-serif"/>
          <w:b w:val="false"/>
          <w:color w:val="000000"/>
          <w:sz w:val="48"/>
        </w:rPr>
      </w:pPr>
      <w:r>
        <w:rPr>
          <w:rFonts w:ascii="Times New Roman;sans-serif" w:hAnsi="Times New Roman;sans-serif"/>
          <w:b w:val="false"/>
          <w:color w:val="000000"/>
          <w:sz w:val="48"/>
        </w:rPr>
        <w:t>Selecta Biosciences,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983" w:type="dxa"/>
        <w:jc w:val="center"/>
        <w:tblInd w:w="0" w:type="dxa"/>
        <w:tblCellMar>
          <w:top w:w="28" w:type="dxa"/>
          <w:left w:w="28" w:type="dxa"/>
          <w:bottom w:w="28" w:type="dxa"/>
          <w:right w:w="28" w:type="dxa"/>
        </w:tblCellMar>
      </w:tblPr>
      <w:tblGrid>
        <w:gridCol w:w="124"/>
        <w:gridCol w:w="109"/>
        <w:gridCol w:w="109"/>
        <w:gridCol w:w="1091"/>
        <w:gridCol w:w="1091"/>
        <w:gridCol w:w="1102"/>
        <w:gridCol w:w="992"/>
        <w:gridCol w:w="992"/>
        <w:gridCol w:w="100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26-1622110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65 Grove Street, Watertown, MA</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02472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(617) 923-1400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tbl>
      <w:tblPr>
        <w:tblW w:w="9030" w:type="dxa"/>
        <w:jc w:val="left"/>
        <w:tblInd w:w="0" w:type="dxa"/>
        <w:tblCellMar>
          <w:top w:w="28" w:type="dxa"/>
          <w:left w:w="28" w:type="dxa"/>
          <w:bottom w:w="28" w:type="dxa"/>
          <w:right w:w="28" w:type="dxa"/>
        </w:tblCellMar>
      </w:tblPr>
      <w:tblGrid>
        <w:gridCol w:w="1343"/>
        <w:gridCol w:w="1181"/>
        <w:gridCol w:w="1181"/>
        <w:gridCol w:w="540"/>
        <w:gridCol w:w="540"/>
        <w:gridCol w:w="540"/>
        <w:gridCol w:w="1085"/>
        <w:gridCol w:w="1085"/>
        <w:gridCol w:w="1535"/>
      </w:tblGrid>
      <w:tr>
        <w:trPr/>
        <w:tc>
          <w:tcPr>
            <w:tcW w:w="1343"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903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SELB</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40" w:after="40"/>
        <w:ind w:left="0" w:right="0" w:firstLine="36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spacing w:lineRule="auto" w:line="288" w:before="40" w:after="40"/>
        <w:ind w:left="0" w:right="0" w:firstLine="36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spacing w:lineRule="auto" w:line="288" w:before="40" w:after="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firstLine="36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40" w:after="40"/>
        <w:ind w:left="0" w:right="0" w:firstLine="360"/>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40" w:after="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August 6, 2021, the registrant had 115,079,292 shares of common stock, par value $0.0001 per share, outstanding.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43"/>
        <w:gridCol w:w="300"/>
        <w:gridCol w:w="276"/>
        <w:gridCol w:w="2888"/>
        <w:gridCol w:w="2746"/>
        <w:gridCol w:w="2738"/>
        <w:gridCol w:w="261"/>
        <w:gridCol w:w="261"/>
        <w:gridCol w:w="392"/>
      </w:tblGrid>
      <w:tr>
        <w:trPr/>
        <w:tc>
          <w:tcPr>
            <w:tcW w:w="34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273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b6dae2d2c244ab7982e0757e559f34b_19">
              <w:r>
                <w:rPr>
                  <w:rStyle w:val="InternetLink"/>
                  <w:rFonts w:ascii="Times New Roman;sans-serif" w:hAnsi="Times New Roman;sans-serif"/>
                  <w:b w:val="false"/>
                  <w:color w:val="0000FF"/>
                  <w:sz w:val="20"/>
                  <w:u w:val="single"/>
                </w:rPr>
                <w:t>PART I. FINANCIAL INFORMATION</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1b6dae2d2c244ab7982e0757e559f34b_196">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 </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2">
              <w:r>
                <w:rPr>
                  <w:rStyle w:val="InternetLink"/>
                  <w:rFonts w:ascii="Times New Roman;sans-serif" w:hAnsi="Times New Roman;sans-serif"/>
                  <w:b w:val="false"/>
                  <w:color w:val="0000FF"/>
                  <w:sz w:val="20"/>
                  <w:u w:val="single"/>
                </w:rPr>
                <w:t>Financial Statements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2">
              <w:r>
                <w:rPr>
                  <w:rStyle w:val="InternetLink"/>
                  <w:rFonts w:ascii="Times New Roman;sans-serif" w:hAnsi="Times New Roman;sans-serif"/>
                  <w:b w:val="false"/>
                  <w:color w:val="0000FF"/>
                  <w:sz w:val="20"/>
                  <w:u w:val="single"/>
                </w:rPr>
                <w:t>4</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5">
              <w:r>
                <w:rPr>
                  <w:rStyle w:val="InternetLink"/>
                </w:rPr>
                <w:t xml:space="preserve">Consolidated Balance Sheets as of </w:t>
              </w:r>
            </w:hyperlink>
            <w:hyperlink w:anchor="i1b6dae2d2c244ab7982e0757e559f34b_25">
              <w:r>
                <w:rPr>
                  <w:rStyle w:val="InternetLink"/>
                </w:rPr>
                <w:t>June</w:t>
              </w:r>
            </w:hyperlink>
            <w:hyperlink w:anchor="i1b6dae2d2c244ab7982e0757e559f34b_25">
              <w:r>
                <w:rPr>
                  <w:rStyle w:val="InternetLink"/>
                </w:rPr>
                <w:t xml:space="preserve"> 3</w:t>
              </w:r>
            </w:hyperlink>
            <w:hyperlink w:anchor="i1b6dae2d2c244ab7982e0757e559f34b_25">
              <w:r>
                <w:rPr>
                  <w:rStyle w:val="InternetLink"/>
                </w:rPr>
                <w:t>0</w:t>
              </w:r>
            </w:hyperlink>
            <w:hyperlink w:anchor="i1b6dae2d2c244ab7982e0757e559f34b_25">
              <w:r>
                <w:rPr>
                  <w:rStyle w:val="InternetLink"/>
                </w:rPr>
                <w:t>, 2021 (Unaudited) and December 31, 2020</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5">
              <w:r>
                <w:rPr>
                  <w:rStyle w:val="InternetLink"/>
                  <w:rFonts w:ascii="Times New Roman;sans-serif" w:hAnsi="Times New Roman;sans-serif"/>
                  <w:b w:val="false"/>
                  <w:color w:val="0000FF"/>
                  <w:sz w:val="20"/>
                  <w:u w:val="single"/>
                </w:rPr>
                <w:t>4</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8">
              <w:r>
                <w:rPr>
                  <w:rStyle w:val="InternetLink"/>
                  <w:rFonts w:ascii="Times New Roman;sans-serif" w:hAnsi="Times New Roman;sans-serif"/>
                  <w:b w:val="false"/>
                  <w:color w:val="0000FF"/>
                  <w:sz w:val="20"/>
                  <w:u w:val="single"/>
                </w:rPr>
                <w:t>Consolidated Statements of Operations and Comprehensive Income (Loss) for the Three and Six Months ended June 30, 2021 and 2020 (Unaudited)</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8">
              <w:r>
                <w:rPr>
                  <w:rStyle w:val="InternetLink"/>
                  <w:rFonts w:ascii="Times New Roman;sans-serif" w:hAnsi="Times New Roman;sans-serif"/>
                  <w:b w:val="false"/>
                  <w:color w:val="0000FF"/>
                  <w:sz w:val="20"/>
                  <w:u w:val="single"/>
                </w:rPr>
                <w:t>5</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31">
              <w:r>
                <w:rPr>
                  <w:rStyle w:val="InternetLink"/>
                  <w:rFonts w:ascii="Times New Roman;sans-serif" w:hAnsi="Times New Roman;sans-serif"/>
                  <w:b w:val="false"/>
                  <w:color w:val="0000FF"/>
                  <w:sz w:val="20"/>
                  <w:u w:val="single"/>
                </w:rPr>
                <w:t>Consolidated Statements of Changes in Stockholders</w:t>
              </w:r>
            </w:hyperlink>
            <w:hyperlink w:anchor="i1b6dae2d2c244ab7982e0757e559f34b_31">
              <w:r>
                <w:rPr>
                  <w:rStyle w:val="InternetLink"/>
                </w:rPr>
                <w:t>’</w:t>
              </w:r>
            </w:hyperlink>
            <w:hyperlink w:anchor="i1b6dae2d2c244ab7982e0757e559f34b_31">
              <w:r>
                <w:rPr>
                  <w:rStyle w:val="InternetLink"/>
                </w:rPr>
                <w:t xml:space="preserve"> </w:t>
              </w:r>
            </w:hyperlink>
            <w:hyperlink w:anchor="i1b6dae2d2c244ab7982e0757e559f34b_31">
              <w:r>
                <w:rPr>
                  <w:rStyle w:val="InternetLink"/>
                  <w:rFonts w:ascii="Times New Roman;sans-serif" w:hAnsi="Times New Roman;sans-serif"/>
                  <w:b w:val="false"/>
                  <w:color w:val="0000FF"/>
                  <w:sz w:val="20"/>
                  <w:u w:val="single"/>
                </w:rPr>
                <w:t xml:space="preserve">(Deficit) Equity for the Three Months ended March 31, </w:t>
              </w:r>
            </w:hyperlink>
            <w:hyperlink w:anchor="i1b6dae2d2c244ab7982e0757e559f34b_31">
              <w:r>
                <w:rPr>
                  <w:rStyle w:val="InternetLink"/>
                </w:rPr>
                <w:t xml:space="preserve">and June 30, </w:t>
              </w:r>
            </w:hyperlink>
            <w:hyperlink w:anchor="i1b6dae2d2c244ab7982e0757e559f34b_31">
              <w:r>
                <w:rPr>
                  <w:rStyle w:val="InternetLink"/>
                </w:rPr>
                <w:t>2021 and 2020 (Unaudited)</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31">
              <w:r>
                <w:rPr>
                  <w:rStyle w:val="InternetLink"/>
                  <w:rFonts w:ascii="Times New Roman;sans-serif" w:hAnsi="Times New Roman;sans-serif"/>
                  <w:b w:val="false"/>
                  <w:color w:val="0000FF"/>
                  <w:sz w:val="20"/>
                  <w:u w:val="single"/>
                </w:rPr>
                <w:t>6</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37">
              <w:r>
                <w:rPr>
                  <w:rStyle w:val="InternetLink"/>
                </w:rPr>
                <w:t xml:space="preserve">Consolidated Statements of Cash Flows for the </w:t>
              </w:r>
            </w:hyperlink>
            <w:hyperlink w:anchor="i1b6dae2d2c244ab7982e0757e559f34b_37">
              <w:r>
                <w:rPr>
                  <w:rStyle w:val="InternetLink"/>
                </w:rPr>
                <w:t xml:space="preserve">Six </w:t>
              </w:r>
            </w:hyperlink>
            <w:hyperlink w:anchor="i1b6dae2d2c244ab7982e0757e559f34b_37">
              <w:r>
                <w:rPr>
                  <w:rStyle w:val="InternetLink"/>
                </w:rPr>
                <w:t xml:space="preserve">Months ended </w:t>
              </w:r>
            </w:hyperlink>
            <w:hyperlink w:anchor="i1b6dae2d2c244ab7982e0757e559f34b_37">
              <w:r>
                <w:rPr>
                  <w:rStyle w:val="InternetLink"/>
                </w:rPr>
                <w:t>June</w:t>
              </w:r>
            </w:hyperlink>
            <w:hyperlink w:anchor="i1b6dae2d2c244ab7982e0757e559f34b_37">
              <w:r>
                <w:rPr>
                  <w:rStyle w:val="InternetLink"/>
                </w:rPr>
                <w:t xml:space="preserve"> 3</w:t>
              </w:r>
            </w:hyperlink>
            <w:hyperlink w:anchor="i1b6dae2d2c244ab7982e0757e559f34b_37">
              <w:r>
                <w:rPr>
                  <w:rStyle w:val="InternetLink"/>
                </w:rPr>
                <w:t>0</w:t>
              </w:r>
            </w:hyperlink>
            <w:hyperlink w:anchor="i1b6dae2d2c244ab7982e0757e559f34b_37">
              <w:r>
                <w:rPr>
                  <w:rStyle w:val="InternetLink"/>
                </w:rPr>
                <w:t>, 2021 and 2020 (Unaudited)</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37">
              <w:r>
                <w:rPr>
                  <w:rStyle w:val="InternetLink"/>
                  <w:rFonts w:ascii="Times New Roman;sans-serif" w:hAnsi="Times New Roman;sans-serif"/>
                  <w:b w:val="false"/>
                  <w:color w:val="0000FF"/>
                  <w:sz w:val="20"/>
                  <w:u w:val="single"/>
                </w:rPr>
                <w:t>8</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40">
              <w:r>
                <w:rPr>
                  <w:rStyle w:val="InternetLink"/>
                  <w:rFonts w:ascii="Times New Roman;sans-serif" w:hAnsi="Times New Roman;sans-serif"/>
                  <w:b w:val="false"/>
                  <w:color w:val="0000FF"/>
                  <w:sz w:val="20"/>
                  <w:u w:val="single"/>
                </w:rPr>
                <w:t>Notes to Consolidated Financial Statements (Unaudited)</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40">
              <w:r>
                <w:rPr>
                  <w:rStyle w:val="InternetLink"/>
                  <w:rFonts w:ascii="Times New Roman;sans-serif" w:hAnsi="Times New Roman;sans-serif"/>
                  <w:b w:val="false"/>
                  <w:color w:val="0000FF"/>
                  <w:sz w:val="20"/>
                  <w:u w:val="single"/>
                </w:rPr>
                <w:t>9</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13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133">
              <w:r>
                <w:rPr>
                  <w:rStyle w:val="InternetLink"/>
                  <w:rFonts w:ascii="Times New Roman;sans-serif" w:hAnsi="Times New Roman;sans-serif"/>
                  <w:b w:val="false"/>
                  <w:color w:val="0000FF"/>
                  <w:sz w:val="20"/>
                  <w:u w:val="single"/>
                </w:rPr>
                <w:t>28</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184">
              <w:r>
                <w:rPr>
                  <w:rStyle w:val="InternetLink"/>
                  <w:rFonts w:ascii="Times New Roman;sans-serif" w:hAnsi="Times New Roman;sans-serif"/>
                  <w:b w:val="false"/>
                  <w:color w:val="0000FF"/>
                  <w:sz w:val="20"/>
                  <w:u w:val="single"/>
                </w:rPr>
                <w:t>Quantitative and Qualitative Disclosures About Market Risk</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184">
              <w:r>
                <w:rPr>
                  <w:rStyle w:val="InternetLink"/>
                  <w:rFonts w:ascii="Times New Roman;sans-serif" w:hAnsi="Times New Roman;sans-serif"/>
                  <w:b w:val="false"/>
                  <w:color w:val="0000FF"/>
                  <w:sz w:val="20"/>
                  <w:u w:val="single"/>
                </w:rPr>
                <w:t>39</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187">
              <w:r>
                <w:rPr>
                  <w:rStyle w:val="InternetLink"/>
                  <w:rFonts w:ascii="Times New Roman;sans-serif" w:hAnsi="Times New Roman;sans-serif"/>
                  <w:b w:val="false"/>
                  <w:color w:val="0000FF"/>
                  <w:sz w:val="20"/>
                  <w:u w:val="single"/>
                </w:rPr>
                <w:t>Controls and Procedures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187">
              <w:r>
                <w:rPr>
                  <w:rStyle w:val="InternetLink"/>
                  <w:rFonts w:ascii="Times New Roman;sans-serif" w:hAnsi="Times New Roman;sans-serif"/>
                  <w:b w:val="false"/>
                  <w:color w:val="0000FF"/>
                  <w:sz w:val="20"/>
                  <w:u w:val="single"/>
                </w:rPr>
                <w:t>39</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b6dae2d2c244ab7982e0757e559f34b_193">
              <w:r>
                <w:rPr>
                  <w:rStyle w:val="InternetLink"/>
                  <w:rFonts w:ascii="Times New Roman;sans-serif" w:hAnsi="Times New Roman;sans-serif"/>
                  <w:b w:val="false"/>
                  <w:color w:val="0000FF"/>
                  <w:sz w:val="20"/>
                  <w:u w:val="single"/>
                </w:rPr>
                <w:t>PART II. OTHER INFORMATION</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 </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199">
              <w:r>
                <w:rPr>
                  <w:rStyle w:val="InternetLink"/>
                  <w:rFonts w:ascii="Times New Roman;sans-serif" w:hAnsi="Times New Roman;sans-serif"/>
                  <w:b w:val="false"/>
                  <w:color w:val="0000FF"/>
                  <w:sz w:val="20"/>
                  <w:u w:val="single"/>
                </w:rPr>
                <w:t>Legal Proceedings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199">
              <w:r>
                <w:rPr>
                  <w:rStyle w:val="InternetLink"/>
                  <w:rFonts w:ascii="Times New Roman;sans-serif" w:hAnsi="Times New Roman;sans-serif"/>
                  <w:b w:val="false"/>
                  <w:color w:val="0000FF"/>
                  <w:sz w:val="20"/>
                  <w:u w:val="single"/>
                </w:rPr>
                <w:t>41</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1A. </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05">
              <w:r>
                <w:rPr>
                  <w:rStyle w:val="InternetLink"/>
                  <w:rFonts w:ascii="Times New Roman;sans-serif" w:hAnsi="Times New Roman;sans-serif"/>
                  <w:b w:val="false"/>
                  <w:color w:val="0000FF"/>
                  <w:sz w:val="20"/>
                  <w:u w:val="single"/>
                </w:rPr>
                <w:t>Risk Factors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05">
              <w:r>
                <w:rPr>
                  <w:rStyle w:val="InternetLink"/>
                  <w:rFonts w:ascii="Times New Roman;sans-serif" w:hAnsi="Times New Roman;sans-serif"/>
                  <w:b w:val="false"/>
                  <w:color w:val="0000FF"/>
                  <w:sz w:val="20"/>
                  <w:u w:val="single"/>
                </w:rPr>
                <w:t>41</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44">
              <w:r>
                <w:rPr>
                  <w:rStyle w:val="InternetLink"/>
                  <w:rFonts w:ascii="Times New Roman;sans-serif" w:hAnsi="Times New Roman;sans-serif"/>
                  <w:b w:val="false"/>
                  <w:color w:val="0000FF"/>
                  <w:sz w:val="20"/>
                  <w:u w:val="single"/>
                </w:rPr>
                <w:t>Unregistered Sales of Equity Securities and Use of Proceeds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44">
              <w:r>
                <w:rPr>
                  <w:rStyle w:val="InternetLink"/>
                  <w:rFonts w:ascii="Times New Roman;sans-serif" w:hAnsi="Times New Roman;sans-serif"/>
                  <w:b w:val="false"/>
                  <w:color w:val="0000FF"/>
                  <w:sz w:val="20"/>
                  <w:u w:val="single"/>
                </w:rPr>
                <w:t>41</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47">
              <w:r>
                <w:rPr>
                  <w:rStyle w:val="InternetLink"/>
                  <w:rFonts w:ascii="Times New Roman;sans-serif" w:hAnsi="Times New Roman;sans-serif"/>
                  <w:b w:val="false"/>
                  <w:color w:val="0000FF"/>
                  <w:sz w:val="20"/>
                  <w:u w:val="single"/>
                </w:rPr>
                <w:t>Defaults Upon Senior Securities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47">
              <w:r>
                <w:rPr>
                  <w:rStyle w:val="InternetLink"/>
                  <w:rFonts w:ascii="Times New Roman;sans-serif" w:hAnsi="Times New Roman;sans-serif"/>
                  <w:b w:val="false"/>
                  <w:color w:val="0000FF"/>
                  <w:sz w:val="20"/>
                  <w:u w:val="single"/>
                </w:rPr>
                <w:t>41</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50">
              <w:r>
                <w:rPr>
                  <w:rStyle w:val="InternetLink"/>
                  <w:rFonts w:ascii="Times New Roman;sans-serif" w:hAnsi="Times New Roman;sans-serif"/>
                  <w:b w:val="false"/>
                  <w:color w:val="0000FF"/>
                  <w:sz w:val="20"/>
                  <w:u w:val="single"/>
                </w:rPr>
                <w:t>Mine Safety Disclosures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50">
              <w:r>
                <w:rPr>
                  <w:rStyle w:val="InternetLink"/>
                  <w:rFonts w:ascii="Times New Roman;sans-serif" w:hAnsi="Times New Roman;sans-serif"/>
                  <w:b w:val="false"/>
                  <w:color w:val="0000FF"/>
                  <w:sz w:val="20"/>
                  <w:u w:val="single"/>
                </w:rPr>
                <w:t>41</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53">
              <w:r>
                <w:rPr>
                  <w:rStyle w:val="InternetLink"/>
                  <w:rFonts w:ascii="Times New Roman;sans-serif" w:hAnsi="Times New Roman;sans-serif"/>
                  <w:b w:val="false"/>
                  <w:color w:val="0000FF"/>
                  <w:sz w:val="20"/>
                  <w:u w:val="single"/>
                </w:rPr>
                <w:t>Other Information</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53">
              <w:r>
                <w:rPr>
                  <w:rStyle w:val="InternetLink"/>
                  <w:rFonts w:ascii="Times New Roman;sans-serif" w:hAnsi="Times New Roman;sans-serif"/>
                  <w:b w:val="false"/>
                  <w:color w:val="0000FF"/>
                  <w:sz w:val="20"/>
                  <w:u w:val="single"/>
                </w:rPr>
                <w:t>41</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56">
              <w:r>
                <w:rPr>
                  <w:rStyle w:val="InternetLink"/>
                  <w:rFonts w:ascii="Times New Roman;sans-serif" w:hAnsi="Times New Roman;sans-serif"/>
                  <w:b w:val="false"/>
                  <w:color w:val="0000FF"/>
                  <w:sz w:val="20"/>
                  <w:u w:val="single"/>
                </w:rPr>
                <w:t>Exhibits</w:t>
              </w:r>
            </w:hyperlink>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b6dae2d2c244ab7982e0757e559f34b_256">
              <w:r>
                <w:rPr>
                  <w:rStyle w:val="InternetLink"/>
                  <w:rFonts w:ascii="Times New Roman;sans-serif" w:hAnsi="Times New Roman;sans-serif"/>
                  <w:b w:val="false"/>
                  <w:color w:val="0000FF"/>
                  <w:sz w:val="20"/>
                  <w:u w:val="single"/>
                </w:rPr>
                <w:t>42</w:t>
              </w:r>
            </w:hyperlink>
          </w:p>
        </w:tc>
      </w:tr>
      <w:tr>
        <w:trPr/>
        <w:tc>
          <w:tcPr>
            <w:tcW w:w="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b6dae2d2c244ab7982e0757e559f34b_262">
              <w:r>
                <w:rPr>
                  <w:rStyle w:val="InternetLink"/>
                  <w:rFonts w:ascii="Times New Roman;sans-serif" w:hAnsi="Times New Roman;sans-serif"/>
                  <w:b w:val="false"/>
                  <w:color w:val="0000FF"/>
                  <w:sz w:val="20"/>
                  <w:u w:val="single"/>
                </w:rPr>
                <w:t>Signatures</w:t>
              </w:r>
            </w:hyperlink>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120"/>
        <w:ind w:left="0" w:right="0" w:firstLine="360"/>
        <w:rPr/>
      </w:pPr>
      <w:r>
        <w:rPr>
          <w:rFonts w:ascii="Times New Roman;sans-serif" w:hAnsi="Times New Roman;sans-serif"/>
          <w:b w:val="false"/>
          <w:color w:val="000000"/>
          <w:sz w:val="20"/>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w:t>
      </w:r>
      <w:r>
        <w:rPr>
          <w:color w:val="FF0000"/>
        </w:rPr>
        <w:t xml:space="preserve"> </w:t>
      </w:r>
      <w:r>
        <w:rPr>
          <w:rFonts w:ascii="Times New Roman;sans-serif" w:hAnsi="Times New Roman;sans-serif"/>
          <w:b w:val="false"/>
          <w:color w:val="000000"/>
          <w:sz w:val="20"/>
        </w:rPr>
        <w:t>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status as a development-stage company and our expectation to incur losses in the future;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future capital needs and our need to raise additional funds;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build a pipeline of product candidates and develop and commercialize such pipeline;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unproven approach to therapeutic intervention;</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enroll patients in clinical trials, timely and successfully complete those trials and receive necessary regulatory approvals;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access manufacturing facilities and to receive or manufacture sufficient quantities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maintain our existing or future collaborations or licenses;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continuing impact of the COVID-19 pandemic on our operations, the continuity of our business, including our preclinical studies and clinical trials, and general economic conditions;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protect and enforce our intellectual property rights;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federal, state, and foreign regulatory requirements, including FDA regulation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obtain and retain key executives and attract and retain qualified personnel;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developments relating to our competitors and our industry, including the impact of government regulation;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successfully manage our growth.</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Moreover, we operate in an evolving environment. New risk factors and uncertainties may emerge from time to time, and it is not possible for management to predict all risk factors and uncertainties.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data and par value)</w:t>
      </w:r>
    </w:p>
    <w:tbl>
      <w:tblPr>
        <w:tblW w:w="10205" w:type="dxa"/>
        <w:jc w:val="center"/>
        <w:tblInd w:w="0" w:type="dxa"/>
        <w:tblCellMar>
          <w:top w:w="28" w:type="dxa"/>
          <w:left w:w="28" w:type="dxa"/>
          <w:bottom w:w="28" w:type="dxa"/>
          <w:right w:w="28" w:type="dxa"/>
        </w:tblCellMar>
      </w:tblPr>
      <w:tblGrid>
        <w:gridCol w:w="2919"/>
        <w:gridCol w:w="2388"/>
        <w:gridCol w:w="2413"/>
        <w:gridCol w:w="196"/>
        <w:gridCol w:w="736"/>
        <w:gridCol w:w="109"/>
        <w:gridCol w:w="109"/>
        <w:gridCol w:w="109"/>
        <w:gridCol w:w="109"/>
        <w:gridCol w:w="200"/>
        <w:gridCol w:w="756"/>
        <w:gridCol w:w="161"/>
      </w:tblGrid>
      <w:tr>
        <w:trPr/>
        <w:tc>
          <w:tcPr>
            <w:tcW w:w="2919" w:type="dxa"/>
            <w:tcBorders/>
            <w:shd w:fill="auto" w:val="clear"/>
            <w:vAlign w:val="center"/>
          </w:tcPr>
          <w:p>
            <w:pPr>
              <w:pStyle w:val="TableContents"/>
              <w:spacing w:before="0" w:after="283"/>
              <w:rPr>
                <w:sz w:val="4"/>
                <w:szCs w:val="4"/>
              </w:rPr>
            </w:pPr>
            <w:r>
              <w:rPr>
                <w:sz w:val="4"/>
                <w:szCs w:val="4"/>
              </w:rPr>
            </w:r>
          </w:p>
        </w:tc>
        <w:tc>
          <w:tcPr>
            <w:tcW w:w="2388" w:type="dxa"/>
            <w:tcBorders/>
            <w:shd w:fill="auto" w:val="clear"/>
            <w:vAlign w:val="center"/>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and stockholders’ (deficit) equity </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72,050 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payable, net of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17)</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(deficit) equity:</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 shares issued and outstanding at June 30, 2021 and December 31, 2020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200,000,000 shares authorized; 115,079,292 and 108,071,249 shares issued and outstanding as of June 30, 2021 and December 31, 2020,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(404,629)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(deficit) equity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stockholders’ (deficit)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 and Comprehensive Income (Loss)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and per share data)</w:t>
      </w:r>
    </w:p>
    <w:p>
      <w:pPr>
        <w:pStyle w:val="TextBody"/>
        <w:spacing w:before="60" w:after="60"/>
        <w:jc w:val="center"/>
        <w:rPr/>
      </w:pPr>
      <w:r>
        <w:rPr/>
      </w:r>
    </w:p>
    <w:tbl>
      <w:tblPr>
        <w:tblW w:w="9420" w:type="dxa"/>
        <w:jc w:val="left"/>
        <w:tblInd w:w="0" w:type="dxa"/>
        <w:tblCellMar>
          <w:top w:w="28" w:type="dxa"/>
          <w:left w:w="28" w:type="dxa"/>
          <w:bottom w:w="28" w:type="dxa"/>
          <w:right w:w="28" w:type="dxa"/>
        </w:tblCellMar>
      </w:tblPr>
      <w:tblGrid>
        <w:gridCol w:w="1228"/>
        <w:gridCol w:w="1079"/>
        <w:gridCol w:w="1082"/>
        <w:gridCol w:w="244"/>
        <w:gridCol w:w="807"/>
        <w:gridCol w:w="109"/>
        <w:gridCol w:w="109"/>
        <w:gridCol w:w="109"/>
        <w:gridCol w:w="109"/>
        <w:gridCol w:w="219"/>
        <w:gridCol w:w="742"/>
        <w:gridCol w:w="109"/>
        <w:gridCol w:w="109"/>
        <w:gridCol w:w="109"/>
        <w:gridCol w:w="109"/>
        <w:gridCol w:w="240"/>
        <w:gridCol w:w="811"/>
        <w:gridCol w:w="109"/>
        <w:gridCol w:w="109"/>
        <w:gridCol w:w="109"/>
        <w:gridCol w:w="109"/>
        <w:gridCol w:w="219"/>
        <w:gridCol w:w="742"/>
        <w:gridCol w:w="109"/>
        <w:gridCol w:w="109"/>
        <w:gridCol w:w="109"/>
        <w:gridCol w:w="109"/>
        <w:gridCol w:w="109"/>
        <w:gridCol w:w="154"/>
      </w:tblGrid>
      <w:tr>
        <w:trPr/>
        <w:tc>
          <w:tcPr>
            <w:tcW w:w="122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1"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 and collaboration revenue</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transaction,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liabilities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on marketable securities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share:</w:t>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113,524,110 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96,785,915 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112,140,815 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95,754,714 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121,177,998 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96,785,915 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112,140,815 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95,754,714 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Stockholders’ (Deficit) Equity </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data)</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CellMar>
          <w:top w:w="28" w:type="dxa"/>
          <w:left w:w="28" w:type="dxa"/>
          <w:bottom w:w="28" w:type="dxa"/>
          <w:right w:w="28" w:type="dxa"/>
        </w:tblCellMar>
      </w:tblPr>
      <w:tblGrid>
        <w:gridCol w:w="926"/>
        <w:gridCol w:w="665"/>
        <w:gridCol w:w="667"/>
        <w:gridCol w:w="525"/>
        <w:gridCol w:w="526"/>
        <w:gridCol w:w="196"/>
        <w:gridCol w:w="241"/>
        <w:gridCol w:w="407"/>
        <w:gridCol w:w="136"/>
        <w:gridCol w:w="109"/>
        <w:gridCol w:w="109"/>
        <w:gridCol w:w="109"/>
        <w:gridCol w:w="196"/>
        <w:gridCol w:w="736"/>
        <w:gridCol w:w="109"/>
        <w:gridCol w:w="109"/>
        <w:gridCol w:w="109"/>
        <w:gridCol w:w="109"/>
        <w:gridCol w:w="109"/>
        <w:gridCol w:w="109"/>
        <w:gridCol w:w="196"/>
        <w:gridCol w:w="771"/>
        <w:gridCol w:w="109"/>
        <w:gridCol w:w="109"/>
        <w:gridCol w:w="109"/>
        <w:gridCol w:w="109"/>
        <w:gridCol w:w="261"/>
        <w:gridCol w:w="763"/>
        <w:gridCol w:w="147"/>
        <w:gridCol w:w="109"/>
        <w:gridCol w:w="109"/>
        <w:gridCol w:w="109"/>
        <w:gridCol w:w="211"/>
        <w:gridCol w:w="720"/>
        <w:gridCol w:w="171"/>
      </w:tblGrid>
      <w:tr>
        <w:trPr/>
        <w:tc>
          <w:tcPr>
            <w:tcW w:w="92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w:t>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2020</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108,071,249 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vested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at-the-market offering,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4,706,844 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(losses) on marketable securities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(24,597)</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2021</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112,977,004 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242,278 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vested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at-the-market offering,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1,849,072 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2021</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115,079,292 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before="60" w:after="283"/>
        <w:jc w:val="center"/>
        <w:rPr/>
      </w:pPr>
      <w:r>
        <w:rPr/>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Stockholders’ (Deficit) Equity </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data)</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CellMar>
          <w:top w:w="28" w:type="dxa"/>
          <w:left w:w="28" w:type="dxa"/>
          <w:bottom w:w="28" w:type="dxa"/>
          <w:right w:w="28" w:type="dxa"/>
        </w:tblCellMar>
      </w:tblPr>
      <w:tblGrid>
        <w:gridCol w:w="926"/>
        <w:gridCol w:w="665"/>
        <w:gridCol w:w="668"/>
        <w:gridCol w:w="524"/>
        <w:gridCol w:w="527"/>
        <w:gridCol w:w="196"/>
        <w:gridCol w:w="241"/>
        <w:gridCol w:w="407"/>
        <w:gridCol w:w="136"/>
        <w:gridCol w:w="109"/>
        <w:gridCol w:w="109"/>
        <w:gridCol w:w="109"/>
        <w:gridCol w:w="196"/>
        <w:gridCol w:w="736"/>
        <w:gridCol w:w="109"/>
        <w:gridCol w:w="109"/>
        <w:gridCol w:w="109"/>
        <w:gridCol w:w="109"/>
        <w:gridCol w:w="109"/>
        <w:gridCol w:w="109"/>
        <w:gridCol w:w="196"/>
        <w:gridCol w:w="770"/>
        <w:gridCol w:w="109"/>
        <w:gridCol w:w="109"/>
        <w:gridCol w:w="109"/>
        <w:gridCol w:w="109"/>
        <w:gridCol w:w="261"/>
        <w:gridCol w:w="763"/>
        <w:gridCol w:w="147"/>
        <w:gridCol w:w="109"/>
        <w:gridCol w:w="109"/>
        <w:gridCol w:w="109"/>
        <w:gridCol w:w="211"/>
        <w:gridCol w:w="720"/>
        <w:gridCol w:w="171"/>
      </w:tblGrid>
      <w:tr>
        <w:trPr/>
        <w:tc>
          <w:tcPr>
            <w:tcW w:w="92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6699" w:type="dxa"/>
            <w:gridSpan w:val="29"/>
            <w:tcBorders/>
            <w:shd w:fill="auto" w:val="clear"/>
          </w:tcPr>
          <w:p>
            <w:pPr>
              <w:pStyle w:val="TableContents"/>
              <w:spacing w:before="0" w:after="283"/>
              <w:rPr>
                <w:sz w:val="4"/>
                <w:szCs w:val="4"/>
              </w:rPr>
            </w:pPr>
            <w:r>
              <w:rPr>
                <w:sz w:val="4"/>
                <w:szCs w:val="4"/>
              </w:rPr>
            </w:r>
          </w:p>
        </w:tc>
      </w:tr>
      <w:tr>
        <w:trPr/>
        <w:tc>
          <w:tcPr>
            <w:tcW w:w="2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w:t>
            </w:r>
          </w:p>
        </w:tc>
      </w:tr>
      <w:tr>
        <w:trPr/>
        <w:tc>
          <w:tcPr>
            <w:tcW w:w="2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r>
      <w:tr>
        <w:trPr/>
        <w:tc>
          <w:tcPr>
            <w:tcW w:w="2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2019</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86,325,547 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78,583 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vested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at-the-market offering,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598,977 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fees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2020</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87,019,172 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vested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at-the-market offering,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470,509 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pre-funded warrants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8,342,128 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common warrants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4,967,563 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2020</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100,847,810 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(4,552)</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283"/>
        <w:jc w:val="center"/>
        <w:rPr/>
      </w:pPr>
      <w:r>
        <w:rPr>
          <w:rFonts w:ascii="Times New Roman;sans-serif" w:hAnsi="Times New Roman;sans-serif"/>
          <w:b w:val="false"/>
          <w:i/>
          <w:color w:val="000000"/>
          <w:sz w:val="18"/>
        </w:rPr>
        <w:t>The accompanying notes are an integral part of these unaudited consolidated financial statements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(Amounts in thousands)</w:t>
      </w:r>
    </w:p>
    <w:tbl>
      <w:tblPr>
        <w:tblW w:w="8623" w:type="dxa"/>
        <w:jc w:val="center"/>
        <w:tblInd w:w="0" w:type="dxa"/>
        <w:tblCellMar>
          <w:top w:w="28" w:type="dxa"/>
          <w:left w:w="28" w:type="dxa"/>
          <w:bottom w:w="28" w:type="dxa"/>
          <w:right w:w="28" w:type="dxa"/>
        </w:tblCellMar>
      </w:tblPr>
      <w:tblGrid>
        <w:gridCol w:w="2042"/>
        <w:gridCol w:w="1796"/>
        <w:gridCol w:w="1801"/>
        <w:gridCol w:w="196"/>
        <w:gridCol w:w="736"/>
        <w:gridCol w:w="109"/>
        <w:gridCol w:w="109"/>
        <w:gridCol w:w="109"/>
        <w:gridCol w:w="109"/>
        <w:gridCol w:w="196"/>
        <w:gridCol w:w="721"/>
        <w:gridCol w:w="109"/>
        <w:gridCol w:w="109"/>
        <w:gridCol w:w="109"/>
        <w:gridCol w:w="109"/>
        <w:gridCol w:w="109"/>
        <w:gridCol w:w="154"/>
      </w:tblGrid>
      <w:tr>
        <w:trPr/>
        <w:tc>
          <w:tcPr>
            <w:tcW w:w="2042"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5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premiums and discounts on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225"/>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 revaluation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deposits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principal on outstanding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 of common stock- at-the-market offering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 paid for December 2019 financing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pre-funded and common warrants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Cashless warrant exercise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warrant liability to equity upon exercise of warrants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not yet paid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offering costs in accrued liabilities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jc w:val="center"/>
        <w:rPr/>
      </w:pPr>
      <w:r>
        <w:rPr>
          <w:rFonts w:ascii="Times New Roman;sans-serif" w:hAnsi="Times New Roman;sans-serif"/>
          <w:b w:val="false"/>
          <w:i/>
          <w:color w:val="000000"/>
          <w:sz w:val="18"/>
        </w:rPr>
        <w:t>The accompanying notes are an integral part of these unaudited consolidated financial statements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Selecta Biosciences, Inc. and Subsidiaries</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 Nature of the Business and Basis of Presentation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Selecta Biosciences, Inc., or the Company, was incorporated in Delaware on December 10, 2007, and is based in Watertown, Massachusetts. The Company is a clinical-stage biopharmaceutical company leveraging its ImmTOR™ immune tolerance platform with the goals of amplifying the efficacy of biologics, including enabling the re-dosing of life-saving gene therapies, and restoring self-tolerance in autoimmune diseases. The Company’s ImmTOR platform encapsulates rapamycin, also known as sirolimus, an immunomodulator, in biodegradable nanoparticles and is designed to induce antigen-specific immune tolerance. The Company believes ImmTOR has the potential to enhance the efficacy without compromising the safety of biologic therapies, improve product candidates under development, and enable novel therapeutic modalities. Since inception, the Company has devoted its efforts principally to research and development of its technology and product candidates, recruiting management and technical staff, acquiring operating assets, and raising capital.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Unaudited Interim Financial Information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for the three and six months ended June 30, 2021 and 2020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2020 included in the Company’s Annual Report on Form 10-K that was filed with the SEC on March 12, 2021.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2021, consolidated results of operations for the three and six months ended June 30, 2021, and cash flows for the six months ended June 30, 2021. Such adjustments are of a normal and recurring nature. The results of operations for the three and six months ended June 30, 2021 are not necessarily indicative of the results of operations that may be expected for the year ending December 31, 2021.</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Liquidity and Management’s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financed its operations primarily through the initial public offering of its common stock, private placements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the Company’s cash, cash equivalents, restricted cash and marketable securities were $151.5 million, of which $1.4 million was restricted cash related to lease commitments and $0.3 million was held by its Russian subsidiary designated solely for use in its operations. The Company believes the cash, cash equivalents, restricted cash and marketable securities as of June 30, 2021 will enable it to fund its operating expenses and capital expenditure requirements for at least twelve months from the issuance of these financial statements. As of June 30, 2021, the Company had an accumulated deficit of $424.7 million.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w:t>
      </w:r>
    </w:p>
    <w:p>
      <w:pPr>
        <w:pStyle w:val="TextBody"/>
        <w:spacing w:lineRule="auto" w:line="276"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this time, any impact of COVID-19 on the Company’s business, revenues, results of operations and financial condition will largely depend on future developments, which are highly uncertain and cannot be predicted with confidence, such as the duration of the pandemic, travel restrictions and social distancing in the United States and other countries, business closures or business disruptions, supply chain disruptions, the ultimate impact on financial markets and the global economy, and the effectiveness of actions taken in the United States and other countries to contain and treat the disease.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Guarantees and Indemnifications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the Company indemnifies its officers, directors, consultants and employees for certain events or occurrences that happen by reason of the relationship with, or position held at, the Company. Through June 30,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during the three months ended June 30, 2021, as compared to the significant accounting policies disclosed in Note 2 – Summary of Significant Accounting Policies included in the Company’s Annual Report on Form 10-K for the year ended December 31,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Recently Adopted</w:t>
      </w:r>
    </w:p>
    <w:p>
      <w:pPr>
        <w:pStyle w:val="TextBody"/>
        <w:spacing w:lineRule="auto" w:line="288" w:before="120" w:after="120"/>
        <w:ind w:left="0" w:right="0" w:firstLine="360"/>
        <w:rPr/>
      </w:pPr>
      <w:r>
        <w:rPr>
          <w:rFonts w:ascii="Times New Roman;sans-serif" w:hAnsi="Times New Roman;sans-serif"/>
          <w:b w:val="false"/>
          <w:color w:val="000000"/>
          <w:sz w:val="20"/>
        </w:rPr>
        <w:t>In December 2019, the FASB issued ASU 2019-12,</w:t>
      </w:r>
      <w:r>
        <w:rPr>
          <w:color w:val="000000"/>
        </w:rPr>
        <w:t xml:space="preserve"> </w:t>
      </w:r>
      <w:r>
        <w:rPr>
          <w:rFonts w:ascii="Times New Roman;sans-serif" w:hAnsi="Times New Roman;sans-serif"/>
          <w:b w:val="false"/>
          <w:i/>
          <w:color w:val="000000"/>
          <w:sz w:val="20"/>
        </w:rPr>
        <w:t>Income Taxes (Topic 740) - Simplifying the Accounting for Income Taxes.</w:t>
      </w:r>
      <w:r>
        <w:rPr>
          <w:color w:val="000000"/>
        </w:rPr>
        <w:t xml:space="preserve"> </w:t>
      </w:r>
      <w:r>
        <w:rPr>
          <w:rFonts w:ascii="Times New Roman;sans-serif" w:hAnsi="Times New Roman;sans-serif"/>
          <w:b w:val="false"/>
          <w:color w:val="000000"/>
          <w:sz w:val="20"/>
        </w:rPr>
        <w:t>ASU 2019-12 simplifies the accounting for income taxes by removing certain exceptions to the general principles in Topic 740. The Company adopted the new standard effective January 1, 2021, and there was no impact on its consolidated financial statements.</w:t>
      </w:r>
    </w:p>
    <w:p>
      <w:pPr>
        <w:pStyle w:val="TextBody"/>
        <w:spacing w:lineRule="auto" w:line="288" w:before="120" w:after="120"/>
        <w:ind w:left="0" w:right="0" w:firstLine="360"/>
        <w:rPr/>
      </w:pPr>
      <w:r>
        <w:rPr>
          <w:rFonts w:ascii="Times New Roman;sans-serif" w:hAnsi="Times New Roman;sans-serif"/>
          <w:b w:val="false"/>
          <w:color w:val="000000"/>
          <w:sz w:val="20"/>
        </w:rPr>
        <w:t xml:space="preserve">In October 2020, the FASB issued ASU 2020-10, </w:t>
      </w:r>
      <w:r>
        <w:rPr>
          <w:rFonts w:ascii="Times New Roman;sans-serif" w:hAnsi="Times New Roman;sans-serif"/>
          <w:b w:val="false"/>
          <w:i/>
          <w:color w:val="000000"/>
          <w:sz w:val="20"/>
        </w:rPr>
        <w:t>Codification Improvements</w:t>
      </w:r>
      <w:r>
        <w:rPr>
          <w:rFonts w:ascii="Times New Roman;sans-serif" w:hAnsi="Times New Roman;sans-serif"/>
          <w:b w:val="false"/>
          <w:color w:val="000000"/>
          <w:sz w:val="20"/>
        </w:rPr>
        <w:t>, which updates various codification topics by clarifying or improving disclosure requirements to align with the SEC’s regulations. The Company adopted the new standard effective January 1, 2021, and there was no impact on its consolidated financial statements.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Not Yet Adopted</w:t>
      </w:r>
    </w:p>
    <w:p>
      <w:pPr>
        <w:pStyle w:val="TextBody"/>
        <w:spacing w:lineRule="auto" w:line="288" w:before="120" w:after="120"/>
        <w:ind w:left="0" w:right="0" w:firstLine="360"/>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 – 40)</w:t>
      </w:r>
      <w:r>
        <w:rPr>
          <w:rFonts w:ascii="Times New Roman;sans-serif" w:hAnsi="Times New Roman;sans-serif"/>
          <w:b w:val="false"/>
          <w:color w:val="000000"/>
          <w:sz w:val="20"/>
        </w:rPr>
        <w:t>. ASU 2020-06 simplifies the accounting for certain financial instruments with characteristics of liabilities and equity, including convertible instruments and contracts on an entity’s own equity. This new standard will be effective for us for fiscal years beginning after December 15, 2021, including interim periods within those fiscal years. Early adoption is permitted, but no earlier than the fiscal year beginning after December 15, 2020. The Company is assessing the impact this standard will have on its consolidated financial statements and disclosures.</w:t>
      </w:r>
    </w:p>
    <w:p>
      <w:pPr>
        <w:pStyle w:val="TextBody"/>
        <w:spacing w:lineRule="auto" w:line="288" w:before="120" w:after="120"/>
        <w:ind w:left="0" w:right="0" w:firstLine="360"/>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Instruments-Credit Losses (Topic 326), Measurement of Credit Losses on Financial Instruments</w:t>
      </w:r>
      <w:r>
        <w:rPr>
          <w:rFonts w:ascii="Times New Roman;sans-serif" w:hAnsi="Times New Roman;sans-serif"/>
          <w:b w:val="false"/>
          <w:color w:val="000000"/>
          <w:sz w:val="20"/>
        </w:rPr>
        <w:t>. Subsequently, in November 2018, the FASB issued ASU 2018-19,</w:t>
      </w:r>
      <w:r>
        <w:rPr>
          <w:color w:val="000000"/>
        </w:rPr>
        <w:t xml:space="preserve"> </w:t>
      </w:r>
      <w:r>
        <w:rPr>
          <w:rFonts w:ascii="Times New Roman;sans-serif" w:hAnsi="Times New Roman;sans-serif"/>
          <w:b w:val="false"/>
          <w:i/>
          <w:color w:val="000000"/>
          <w:sz w:val="20"/>
        </w:rPr>
        <w:t>Codification Improvements to Topic 326, Financial Instruments-Credit Losses</w:t>
      </w:r>
      <w:r>
        <w:rPr>
          <w:rFonts w:ascii="Times New Roman;sans-serif" w:hAnsi="Times New Roman;sans-serif"/>
          <w:b w:val="false"/>
          <w:color w:val="000000"/>
          <w:sz w:val="20"/>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new standard will be effective for us for fiscal years beginning after December 15, 2021. The Company is assessing the impact this standard will have on its consolidated financial statements and disclosures.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marketable securities held as of June 30, 2021 (in thousands):</w:t>
      </w:r>
    </w:p>
    <w:tbl>
      <w:tblPr>
        <w:tblW w:w="6945" w:type="dxa"/>
        <w:jc w:val="left"/>
        <w:tblInd w:w="0" w:type="dxa"/>
        <w:tblCellMar>
          <w:top w:w="28" w:type="dxa"/>
          <w:left w:w="28" w:type="dxa"/>
          <w:bottom w:w="28" w:type="dxa"/>
          <w:right w:w="28" w:type="dxa"/>
        </w:tblCellMar>
      </w:tblPr>
      <w:tblGrid>
        <w:gridCol w:w="503"/>
        <w:gridCol w:w="443"/>
        <w:gridCol w:w="448"/>
        <w:gridCol w:w="196"/>
        <w:gridCol w:w="646"/>
        <w:gridCol w:w="109"/>
        <w:gridCol w:w="109"/>
        <w:gridCol w:w="109"/>
        <w:gridCol w:w="109"/>
        <w:gridCol w:w="359"/>
        <w:gridCol w:w="744"/>
        <w:gridCol w:w="201"/>
        <w:gridCol w:w="109"/>
        <w:gridCol w:w="109"/>
        <w:gridCol w:w="109"/>
        <w:gridCol w:w="363"/>
        <w:gridCol w:w="752"/>
        <w:gridCol w:w="204"/>
        <w:gridCol w:w="109"/>
        <w:gridCol w:w="109"/>
        <w:gridCol w:w="109"/>
        <w:gridCol w:w="196"/>
        <w:gridCol w:w="646"/>
        <w:gridCol w:w="154"/>
      </w:tblGrid>
      <w:tr>
        <w:trPr/>
        <w:tc>
          <w:tcPr>
            <w:tcW w:w="50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2021</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marketable securities held at June 30, 2021 had maturities of less than 12 months when purchased and are classified as short-term marketable securities on the accompanying consolidated balance sheet. During the six months ended June 30, 2021, there were no marketable securities adjusted for other than temporary declines in fair value.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Company held no marketable securities.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4. Net Income (Loss) Per Share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reported a net income for the three months ended June 30, 2021. The 2019 warrants have been included in the calculation of diluted net income per share for the three months ended June 30, 2021 as the warrants are both liability-classified and in-the-money. The Company used the treasury stock method to determine the number of dilutive shares. The following table sets forth the computation of basic and diluted net income per share (in thousands, except share and per-share data) for the three months ended June 30, 2021:</w:t>
      </w:r>
    </w:p>
    <w:tbl>
      <w:tblPr>
        <w:tblW w:w="9178" w:type="dxa"/>
        <w:jc w:val="left"/>
        <w:tblInd w:w="0" w:type="dxa"/>
        <w:tblCellMar>
          <w:top w:w="28" w:type="dxa"/>
          <w:left w:w="28" w:type="dxa"/>
          <w:bottom w:w="28" w:type="dxa"/>
          <w:right w:w="28" w:type="dxa"/>
        </w:tblCellMar>
      </w:tblPr>
      <w:tblGrid>
        <w:gridCol w:w="2051"/>
        <w:gridCol w:w="1805"/>
        <w:gridCol w:w="1814"/>
        <w:gridCol w:w="515"/>
        <w:gridCol w:w="1463"/>
        <w:gridCol w:w="286"/>
        <w:gridCol w:w="109"/>
        <w:gridCol w:w="109"/>
        <w:gridCol w:w="109"/>
        <w:gridCol w:w="109"/>
        <w:gridCol w:w="109"/>
        <w:gridCol w:w="109"/>
        <w:gridCol w:w="109"/>
        <w:gridCol w:w="109"/>
        <w:gridCol w:w="109"/>
        <w:gridCol w:w="109"/>
        <w:gridCol w:w="154"/>
      </w:tblGrid>
      <w:tr>
        <w:trPr/>
        <w:tc>
          <w:tcPr>
            <w:tcW w:w="2051"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7" w:type="dxa"/>
            <w:gridSpan w:val="8"/>
            <w:tcBorders/>
            <w:shd w:fill="auto" w:val="clea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Numerator:</w:t>
            </w:r>
          </w:p>
        </w:tc>
        <w:tc>
          <w:tcPr>
            <w:tcW w:w="2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income (loss)</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Less: Change in fair value of 2019 warrants</w:t>
            </w:r>
          </w:p>
        </w:tc>
        <w:tc>
          <w:tcPr>
            <w:tcW w:w="1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Adjusted net loss</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Denominator:</w:t>
            </w:r>
          </w:p>
        </w:tc>
        <w:tc>
          <w:tcPr>
            <w:tcW w:w="22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Weighted-average common shares used in per share calculations - basic</w:t>
            </w:r>
          </w:p>
        </w:tc>
        <w:tc>
          <w:tcPr>
            <w:tcW w:w="1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113,524,110 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Dilutive effect of employee equity incentive plans and outstanding warrants</w:t>
            </w:r>
          </w:p>
        </w:tc>
        <w:tc>
          <w:tcPr>
            <w:tcW w:w="1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7,653,888 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Weighted-average common shares used in per share calculations - diluted</w:t>
            </w:r>
          </w:p>
        </w:tc>
        <w:tc>
          <w:tcPr>
            <w:tcW w:w="1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121,177,998 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w:t>
            </w:r>
          </w:p>
        </w:tc>
        <w:tc>
          <w:tcPr>
            <w:tcW w:w="22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Basic</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Diluted</w:t>
            </w:r>
          </w:p>
        </w:tc>
        <w:tc>
          <w:tcPr>
            <w:tcW w:w="5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2020 and the six months ended June 30, 2021 and 2020, all potentially dilutive securities are excluded from the calculation of diluted net loss per share because their effect would be anti-dilutive and therefore basic and diluted net loss per share were the same for all periods presented.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the potential dilutive common shares excluded from the computation of the diluted net income (loss) per share for all periods presented, as the effect would have been anti-dilutive: </w:t>
      </w:r>
    </w:p>
    <w:tbl>
      <w:tblPr>
        <w:tblW w:w="9805" w:type="dxa"/>
        <w:jc w:val="left"/>
        <w:tblInd w:w="0" w:type="dxa"/>
        <w:tblCellMar>
          <w:top w:w="28" w:type="dxa"/>
          <w:left w:w="28" w:type="dxa"/>
          <w:bottom w:w="28" w:type="dxa"/>
          <w:right w:w="28" w:type="dxa"/>
        </w:tblCellMar>
      </w:tblPr>
      <w:tblGrid>
        <w:gridCol w:w="953"/>
        <w:gridCol w:w="841"/>
        <w:gridCol w:w="845"/>
        <w:gridCol w:w="667"/>
        <w:gridCol w:w="294"/>
        <w:gridCol w:w="251"/>
        <w:gridCol w:w="251"/>
        <w:gridCol w:w="251"/>
        <w:gridCol w:w="251"/>
        <w:gridCol w:w="667"/>
        <w:gridCol w:w="294"/>
        <w:gridCol w:w="251"/>
        <w:gridCol w:w="109"/>
        <w:gridCol w:w="109"/>
        <w:gridCol w:w="109"/>
        <w:gridCol w:w="619"/>
        <w:gridCol w:w="342"/>
        <w:gridCol w:w="230"/>
        <w:gridCol w:w="230"/>
        <w:gridCol w:w="230"/>
        <w:gridCol w:w="230"/>
        <w:gridCol w:w="618"/>
        <w:gridCol w:w="343"/>
        <w:gridCol w:w="230"/>
        <w:gridCol w:w="109"/>
        <w:gridCol w:w="109"/>
        <w:gridCol w:w="109"/>
        <w:gridCol w:w="109"/>
        <w:gridCol w:w="154"/>
      </w:tblGrid>
      <w:tr>
        <w:trPr/>
        <w:tc>
          <w:tcPr>
            <w:tcW w:w="953"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7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RSUs and ESPP shares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10,574,133 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7,671,099 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10,574,133 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7,671,099 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to purchase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292,469 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14,841,100 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12,378,016 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14,841,100 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10,866,602 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22,512,199 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22,952,149 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22,512,199 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assets and liabilities that are measured at fair value on a recurring basis as of June 30, 2021 and December 31, 2020 (in thousands):</w:t>
      </w:r>
    </w:p>
    <w:tbl>
      <w:tblPr>
        <w:tblW w:w="8819" w:type="dxa"/>
        <w:jc w:val="left"/>
        <w:tblInd w:w="0" w:type="dxa"/>
        <w:tblCellMar>
          <w:top w:w="28" w:type="dxa"/>
          <w:left w:w="28" w:type="dxa"/>
          <w:bottom w:w="28" w:type="dxa"/>
          <w:right w:w="28" w:type="dxa"/>
        </w:tblCellMar>
      </w:tblPr>
      <w:tblGrid>
        <w:gridCol w:w="1442"/>
        <w:gridCol w:w="1267"/>
        <w:gridCol w:w="128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4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Money market funds (included in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Commercial paper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Warrant liabilities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color w:val="000000"/>
        </w:rPr>
      </w:pPr>
      <w:r>
        <w:rPr>
          <w:color w:val="000000"/>
        </w:rPr>
        <w:t> </w:t>
      </w:r>
    </w:p>
    <w:tbl>
      <w:tblPr>
        <w:tblW w:w="8618" w:type="dxa"/>
        <w:jc w:val="left"/>
        <w:tblInd w:w="0" w:type="dxa"/>
        <w:tblCellMar>
          <w:top w:w="28" w:type="dxa"/>
          <w:left w:w="28" w:type="dxa"/>
          <w:bottom w:w="28" w:type="dxa"/>
          <w:right w:w="28" w:type="dxa"/>
        </w:tblCellMar>
      </w:tblPr>
      <w:tblGrid>
        <w:gridCol w:w="1442"/>
        <w:gridCol w:w="1267"/>
        <w:gridCol w:w="1280"/>
        <w:gridCol w:w="196"/>
        <w:gridCol w:w="646"/>
        <w:gridCol w:w="109"/>
        <w:gridCol w:w="109"/>
        <w:gridCol w:w="109"/>
        <w:gridCol w:w="109"/>
        <w:gridCol w:w="196"/>
        <w:gridCol w:w="646"/>
        <w:gridCol w:w="109"/>
        <w:gridCol w:w="109"/>
        <w:gridCol w:w="109"/>
        <w:gridCol w:w="109"/>
        <w:gridCol w:w="207"/>
        <w:gridCol w:w="428"/>
        <w:gridCol w:w="115"/>
        <w:gridCol w:w="109"/>
        <w:gridCol w:w="109"/>
        <w:gridCol w:w="109"/>
        <w:gridCol w:w="196"/>
        <w:gridCol w:w="646"/>
        <w:gridCol w:w="154"/>
      </w:tblGrid>
      <w:tr>
        <w:trPr/>
        <w:tc>
          <w:tcPr>
            <w:tcW w:w="144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Money market funds (included in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Warrant liabilities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within the fair value hierarchy during the six months ended June 30, 2021 or the year ended December 31, 2020.</w:t>
      </w:r>
    </w:p>
    <w:p>
      <w:pPr>
        <w:pStyle w:val="TextBody"/>
        <w:spacing w:before="120" w:after="120"/>
        <w:ind w:left="0" w:right="0" w:firstLine="360"/>
        <w:rPr/>
      </w:pPr>
      <w:r>
        <w:rPr/>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December 31, 2020, the money market funds were classified as cash and cash equivalents on the accompanying consolidated balance sheets as they mature within 90 days from the date of purchase.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the Company had restricted cash balances relating to a secured letter of credit in connection with its lease for the Company’s headquarters (see Note 8 included elsewhere in this Quarterly Report). The Company’s consolidated statement of cash flows includes the following as of June 30, 2021 and 2020 (in thousands):</w:t>
      </w:r>
    </w:p>
    <w:tbl>
      <w:tblPr>
        <w:tblW w:w="6313" w:type="dxa"/>
        <w:jc w:val="center"/>
        <w:tblInd w:w="0" w:type="dxa"/>
        <w:tblCellMar>
          <w:top w:w="28" w:type="dxa"/>
          <w:left w:w="28" w:type="dxa"/>
          <w:bottom w:w="28" w:type="dxa"/>
          <w:right w:w="28" w:type="dxa"/>
        </w:tblCellMar>
      </w:tblPr>
      <w:tblGrid>
        <w:gridCol w:w="1232"/>
        <w:gridCol w:w="1083"/>
        <w:gridCol w:w="1089"/>
        <w:gridCol w:w="196"/>
        <w:gridCol w:w="736"/>
        <w:gridCol w:w="109"/>
        <w:gridCol w:w="109"/>
        <w:gridCol w:w="109"/>
        <w:gridCol w:w="109"/>
        <w:gridCol w:w="196"/>
        <w:gridCol w:w="646"/>
        <w:gridCol w:w="109"/>
        <w:gridCol w:w="109"/>
        <w:gridCol w:w="109"/>
        <w:gridCol w:w="109"/>
        <w:gridCol w:w="109"/>
        <w:gridCol w:w="154"/>
      </w:tblGrid>
      <w:tr>
        <w:trPr/>
        <w:tc>
          <w:tcPr>
            <w:tcW w:w="123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both"/>
        <w:rPr/>
      </w:pPr>
      <w:r>
        <w:rPr/>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marketable securities classified as Level 2 within the valuation hierarchy consist of corporate bonds and commercial paper. Marketable securities represent holdings of available-for-sale marketable debt securities in accordance with the Company’s investment policy. The Company estimates the fair values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Loans Payable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June 30, 2021, given the recent issuance of the Term A Loan under the 2020 Term Loan, the Company believes the carrying value approximates the fair value of the loan.</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Common Warrants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is required to revalue the common warrants at each reporting date with any changes in fair value recorded in the statement of operations and comprehensive income (loss). The valuation of the common warrants is considered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and comprehensive income (loss) for the three and six months ended June 30, 2021 and 2020.</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warrants is determined using Level 3 inputs inherent in the Black-Scholes simulation valuation.</w:t>
      </w:r>
    </w:p>
    <w:p>
      <w:pPr>
        <w:pStyle w:val="TextBody"/>
        <w:spacing w:lineRule="auto" w:line="288" w:before="120" w:after="120"/>
        <w:rPr/>
      </w:pPr>
      <w:r>
        <w:rPr>
          <w:rFonts w:ascii="Times New Roman;sans-serif" w:hAnsi="Times New Roman;sans-serif"/>
          <w:b w:val="false"/>
          <w:i/>
          <w:color w:val="000000"/>
          <w:sz w:val="20"/>
        </w:rPr>
        <w:t>Estimated fair value of the underlying stock</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Company estimates the fair value of the common stock based on the closing stock price at the end of each reporting period.</w:t>
      </w:r>
    </w:p>
    <w:p>
      <w:pPr>
        <w:pStyle w:val="TextBody"/>
        <w:spacing w:lineRule="auto" w:line="288" w:before="120" w:after="120"/>
        <w:rPr/>
      </w:pP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risk-free interest rate is based on the U.S. Treasury at the valuation date commensurate with the expected remaining life assumption.</w:t>
      </w:r>
    </w:p>
    <w:p>
      <w:pPr>
        <w:pStyle w:val="TextBody"/>
        <w:spacing w:lineRule="auto" w:line="288" w:before="120" w:after="120"/>
        <w:rPr/>
      </w:pPr>
      <w:r>
        <w:rPr>
          <w:rFonts w:ascii="Times New Roman;sans-serif" w:hAnsi="Times New Roman;sans-serif"/>
          <w:b w:val="false"/>
          <w:i/>
          <w:color w:val="000000"/>
          <w:sz w:val="20"/>
        </w:rPr>
        <w:t>Dividend rate</w:t>
      </w:r>
      <w:r>
        <w:rPr>
          <w:rFonts w:ascii="Times New Roman;sans-serif" w:hAnsi="Times New Roman;sans-serif"/>
          <w:b w:val="false"/>
          <w:color w:val="000000"/>
          <w:sz w:val="20"/>
        </w:rPr>
        <w:t>. The dividend rate is based on the historical rate, which the Company anticipates will remain at zero.</w:t>
      </w:r>
    </w:p>
    <w:p>
      <w:pPr>
        <w:pStyle w:val="TextBody"/>
        <w:spacing w:lineRule="auto" w:line="288" w:before="120" w:after="120"/>
        <w:rPr/>
      </w:pPr>
      <w:r>
        <w:rPr>
          <w:rFonts w:ascii="Times New Roman;sans-serif" w:hAnsi="Times New Roman;sans-serif"/>
          <w:b w:val="false"/>
          <w:i/>
          <w:color w:val="000000"/>
          <w:sz w:val="20"/>
        </w:rPr>
        <w:t>Expected life</w:t>
      </w:r>
      <w:r>
        <w:rPr>
          <w:rFonts w:ascii="Times New Roman;sans-serif" w:hAnsi="Times New Roman;sans-serif"/>
          <w:b w:val="false"/>
          <w:color w:val="000000"/>
          <w:sz w:val="20"/>
        </w:rPr>
        <w:t>. The expected life of the warrants is assumed to be equivalent to their remaining contractual term which expires on December 23, 2024.</w:t>
      </w:r>
    </w:p>
    <w:p>
      <w:pPr>
        <w:pStyle w:val="TextBody"/>
        <w:spacing w:lineRule="auto" w:line="288" w:before="120" w:after="120"/>
        <w:rPr/>
      </w:pPr>
      <w:r>
        <w:rPr>
          <w:rFonts w:ascii="Times New Roman;sans-serif" w:hAnsi="Times New Roman;sans-serif"/>
          <w:b w:val="false"/>
          <w:i/>
          <w:color w:val="000000"/>
          <w:sz w:val="20"/>
        </w:rPr>
        <w:t>Volatility</w:t>
      </w:r>
      <w:r>
        <w:rPr>
          <w:rFonts w:ascii="Times New Roman;sans-serif" w:hAnsi="Times New Roman;sans-serif"/>
          <w:b w:val="false"/>
          <w:color w:val="000000"/>
          <w:sz w:val="20"/>
        </w:rPr>
        <w:t>. The Company estimates stock price volatility based on the Company’s historical volatility and the historical volatility of peer companies for a period of time commensurate with the expected remaining life of the warrants.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summary of the Black-Scholes pricing model assumptions used to record the fair value of the warrant liability is as follows:</w:t>
      </w:r>
    </w:p>
    <w:tbl>
      <w:tblPr>
        <w:tblW w:w="2730" w:type="dxa"/>
        <w:jc w:val="left"/>
        <w:tblInd w:w="0" w:type="dxa"/>
        <w:tblCellMar>
          <w:top w:w="28" w:type="dxa"/>
          <w:left w:w="28" w:type="dxa"/>
          <w:bottom w:w="28" w:type="dxa"/>
          <w:right w:w="28" w:type="dxa"/>
        </w:tblCellMar>
      </w:tblPr>
      <w:tblGrid>
        <w:gridCol w:w="630"/>
        <w:gridCol w:w="554"/>
        <w:gridCol w:w="556"/>
        <w:gridCol w:w="286"/>
        <w:gridCol w:w="270"/>
        <w:gridCol w:w="434"/>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Risk-free interest rate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yield</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life (in years)</w:t>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volatility</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97.48 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Changes in Level 3 Liabilities Measured at Fair Value on a Recurring Basis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 roll-forward of fair value for the Company’s Level 3 warrant liabilities (see Note 10), for the six months ended June 30, 2021 (in thousands):</w:t>
      </w:r>
    </w:p>
    <w:tbl>
      <w:tblPr>
        <w:tblW w:w="4094" w:type="dxa"/>
        <w:jc w:val="left"/>
        <w:tblInd w:w="0" w:type="dxa"/>
        <w:tblCellMar>
          <w:top w:w="28" w:type="dxa"/>
          <w:left w:w="28" w:type="dxa"/>
          <w:bottom w:w="28" w:type="dxa"/>
          <w:right w:w="28" w:type="dxa"/>
        </w:tblCellMar>
      </w:tblPr>
      <w:tblGrid>
        <w:gridCol w:w="945"/>
        <w:gridCol w:w="831"/>
        <w:gridCol w:w="834"/>
        <w:gridCol w:w="292"/>
        <w:gridCol w:w="963"/>
        <w:gridCol w:w="229"/>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 liabilities</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as of December 31, 2020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Change in fair value</w:t>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as of June 30, 2021</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40,635 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tbl>
      <w:tblPr>
        <w:tblW w:w="4891" w:type="dxa"/>
        <w:jc w:val="left"/>
        <w:tblInd w:w="0" w:type="dxa"/>
        <w:tblCellMar>
          <w:top w:w="28" w:type="dxa"/>
          <w:left w:w="28" w:type="dxa"/>
          <w:bottom w:w="28" w:type="dxa"/>
          <w:right w:w="28" w:type="dxa"/>
        </w:tblCellMar>
      </w:tblPr>
      <w:tblGrid>
        <w:gridCol w:w="912"/>
        <w:gridCol w:w="802"/>
        <w:gridCol w:w="805"/>
        <w:gridCol w:w="196"/>
        <w:gridCol w:w="556"/>
        <w:gridCol w:w="109"/>
        <w:gridCol w:w="109"/>
        <w:gridCol w:w="109"/>
        <w:gridCol w:w="109"/>
        <w:gridCol w:w="256"/>
        <w:gridCol w:w="727"/>
        <w:gridCol w:w="201"/>
      </w:tblGrid>
      <w:tr>
        <w:trPr/>
        <w:tc>
          <w:tcPr>
            <w:tcW w:w="9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Laboratory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Computer equipment and software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Leasehold improvements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fixtures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equipment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process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$0.2 million and $0.3 million for the three and six months ended June 30, 2021, respectively. Depreciation expense was $0.2 million and $0.4 million for the three and six months ended June 30, 2020, respectively.</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7. Accrued Expenses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5912" w:type="dxa"/>
        <w:jc w:val="left"/>
        <w:tblInd w:w="0" w:type="dxa"/>
        <w:tblCellMar>
          <w:top w:w="28" w:type="dxa"/>
          <w:left w:w="28" w:type="dxa"/>
          <w:bottom w:w="28" w:type="dxa"/>
          <w:right w:w="28" w:type="dxa"/>
        </w:tblCellMar>
      </w:tblPr>
      <w:tblGrid>
        <w:gridCol w:w="1281"/>
        <w:gridCol w:w="1125"/>
        <w:gridCol w:w="1134"/>
        <w:gridCol w:w="196"/>
        <w:gridCol w:w="556"/>
        <w:gridCol w:w="109"/>
        <w:gridCol w:w="109"/>
        <w:gridCol w:w="109"/>
        <w:gridCol w:w="109"/>
        <w:gridCol w:w="256"/>
        <w:gridCol w:w="727"/>
        <w:gridCol w:w="201"/>
      </w:tblGrid>
      <w:tr>
        <w:trPr/>
        <w:tc>
          <w:tcPr>
            <w:tcW w:w="1281"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Payroll and employee related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Collaboration and licensing</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patent fees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external research and development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professional and consulting services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8,146 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8. Leases </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65 Grove Street Lease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July 2019, the Company entered into a lease for 25,078 square feet of laboratory and office space located at 65 Grove Street, Watertown, Massachusetts, or the Headquarters Lease. As part of the Headquarters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Headquarters Lease, the Company secured a letter of credit from Silicon Valley Bank, or SVB, for $1.4 million, recognized as long-term restricted cash, as of June 30, 2021 and December 31, 2020, respectively, which automatically renews each year.</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Moscow, Russia Lease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a month-to-month facility agreement for its Moscow, Russia office. Rent expense is recognized as incurred.</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December 31, 2020, the components of the operating leases were as follows (in thousands):</w:t>
      </w:r>
    </w:p>
    <w:tbl>
      <w:tblPr>
        <w:tblW w:w="6406" w:type="dxa"/>
        <w:jc w:val="left"/>
        <w:tblInd w:w="0" w:type="dxa"/>
        <w:tblCellMar>
          <w:top w:w="28" w:type="dxa"/>
          <w:left w:w="28" w:type="dxa"/>
          <w:bottom w:w="28" w:type="dxa"/>
          <w:right w:w="28" w:type="dxa"/>
        </w:tblCellMar>
      </w:tblPr>
      <w:tblGrid>
        <w:gridCol w:w="1046"/>
        <w:gridCol w:w="920"/>
        <w:gridCol w:w="929"/>
        <w:gridCol w:w="109"/>
        <w:gridCol w:w="109"/>
        <w:gridCol w:w="721"/>
        <w:gridCol w:w="109"/>
        <w:gridCol w:w="235"/>
        <w:gridCol w:w="775"/>
        <w:gridCol w:w="130"/>
        <w:gridCol w:w="109"/>
        <w:gridCol w:w="109"/>
        <w:gridCol w:w="109"/>
        <w:gridCol w:w="196"/>
        <w:gridCol w:w="646"/>
        <w:gridCol w:w="154"/>
      </w:tblGrid>
      <w:tr>
        <w:trPr/>
        <w:tc>
          <w:tcPr>
            <w:tcW w:w="104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c>
          <w:tcPr>
            <w:tcW w:w="1323" w:type="dxa"/>
            <w:gridSpan w:val="6"/>
            <w:tcBorders/>
            <w:shd w:fill="auto" w:val="clea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Right-of-use asset,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Current 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Non-current 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2021 and 2020 the components of lease costs were as follows (in thousands): </w:t>
      </w:r>
    </w:p>
    <w:tbl>
      <w:tblPr>
        <w:tblW w:w="6260" w:type="dxa"/>
        <w:jc w:val="left"/>
        <w:tblInd w:w="0" w:type="dxa"/>
        <w:tblCellMar>
          <w:top w:w="28" w:type="dxa"/>
          <w:left w:w="28" w:type="dxa"/>
          <w:bottom w:w="28" w:type="dxa"/>
          <w:right w:w="28" w:type="dxa"/>
        </w:tblCellMar>
      </w:tblPr>
      <w:tblGrid>
        <w:gridCol w:w="566"/>
        <w:gridCol w:w="496"/>
        <w:gridCol w:w="498"/>
        <w:gridCol w:w="249"/>
        <w:gridCol w:w="536"/>
        <w:gridCol w:w="138"/>
        <w:gridCol w:w="138"/>
        <w:gridCol w:w="138"/>
        <w:gridCol w:w="138"/>
        <w:gridCol w:w="249"/>
        <w:gridCol w:w="536"/>
        <w:gridCol w:w="138"/>
        <w:gridCol w:w="109"/>
        <w:gridCol w:w="109"/>
        <w:gridCol w:w="109"/>
        <w:gridCol w:w="198"/>
        <w:gridCol w:w="561"/>
        <w:gridCol w:w="110"/>
        <w:gridCol w:w="110"/>
        <w:gridCol w:w="110"/>
        <w:gridCol w:w="110"/>
        <w:gridCol w:w="198"/>
        <w:gridCol w:w="561"/>
        <w:gridCol w:w="155"/>
      </w:tblGrid>
      <w:tr>
        <w:trPr/>
        <w:tc>
          <w:tcPr>
            <w:tcW w:w="5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cost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lease cost</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lease cost</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cost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operating lease liabilities as of June 30, 2021 were as follows (in thousands):</w:t>
      </w:r>
    </w:p>
    <w:tbl>
      <w:tblPr>
        <w:tblW w:w="4259" w:type="dxa"/>
        <w:jc w:val="left"/>
        <w:tblInd w:w="0" w:type="dxa"/>
        <w:tblCellMar>
          <w:top w:w="28" w:type="dxa"/>
          <w:left w:w="28" w:type="dxa"/>
          <w:bottom w:w="28" w:type="dxa"/>
          <w:right w:w="28" w:type="dxa"/>
        </w:tblCellMar>
      </w:tblPr>
      <w:tblGrid>
        <w:gridCol w:w="1103"/>
        <w:gridCol w:w="970"/>
        <w:gridCol w:w="972"/>
        <w:gridCol w:w="196"/>
        <w:gridCol w:w="646"/>
        <w:gridCol w:w="109"/>
        <w:gridCol w:w="109"/>
        <w:gridCol w:w="154"/>
      </w:tblGrid>
      <w:tr>
        <w:trPr/>
        <w:tc>
          <w:tcPr>
            <w:tcW w:w="1103"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 (remainder)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Total future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imputed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Total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supplemental disclosure for the statement of cash flows related to operating leases were as follows (in thousands):</w:t>
      </w:r>
    </w:p>
    <w:tbl>
      <w:tblPr>
        <w:tblW w:w="6819" w:type="dxa"/>
        <w:jc w:val="left"/>
        <w:tblInd w:w="0" w:type="dxa"/>
        <w:tblCellMar>
          <w:top w:w="28" w:type="dxa"/>
          <w:left w:w="28" w:type="dxa"/>
          <w:bottom w:w="28" w:type="dxa"/>
          <w:right w:w="28" w:type="dxa"/>
        </w:tblCellMar>
      </w:tblPr>
      <w:tblGrid>
        <w:gridCol w:w="1808"/>
        <w:gridCol w:w="1591"/>
        <w:gridCol w:w="1596"/>
        <w:gridCol w:w="196"/>
        <w:gridCol w:w="421"/>
        <w:gridCol w:w="109"/>
        <w:gridCol w:w="109"/>
        <w:gridCol w:w="109"/>
        <w:gridCol w:w="109"/>
        <w:gridCol w:w="196"/>
        <w:gridCol w:w="421"/>
        <w:gridCol w:w="154"/>
      </w:tblGrid>
      <w:tr>
        <w:trPr/>
        <w:tc>
          <w:tcPr>
            <w:tcW w:w="1808"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amounts included in the measurement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than the initial recording of the right-of-use asset and lease liability for the Headquarters Lease, which is non-cash, the changes in the Company’s right-of-use asset and lease liability for the six months ended June 30, 2021 and 2020 are reflected in the non-cash lease expense and accrued expenses and other liabilities, respectively, in the consolidated statements of cash flows.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additional information related to operating leases:</w:t>
      </w:r>
    </w:p>
    <w:tbl>
      <w:tblPr>
        <w:tblW w:w="4776" w:type="dxa"/>
        <w:jc w:val="left"/>
        <w:tblInd w:w="0" w:type="dxa"/>
        <w:tblCellMar>
          <w:top w:w="28" w:type="dxa"/>
          <w:left w:w="28" w:type="dxa"/>
          <w:bottom w:w="28" w:type="dxa"/>
          <w:right w:w="28" w:type="dxa"/>
        </w:tblCellMar>
      </w:tblPr>
      <w:tblGrid>
        <w:gridCol w:w="1037"/>
        <w:gridCol w:w="913"/>
        <w:gridCol w:w="915"/>
        <w:gridCol w:w="188"/>
        <w:gridCol w:w="188"/>
        <w:gridCol w:w="388"/>
        <w:gridCol w:w="109"/>
        <w:gridCol w:w="109"/>
        <w:gridCol w:w="109"/>
        <w:gridCol w:w="188"/>
        <w:gridCol w:w="188"/>
        <w:gridCol w:w="444"/>
      </w:tblGrid>
      <w:tr>
        <w:trPr/>
        <w:tc>
          <w:tcPr>
            <w:tcW w:w="103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remaining lease term</w:t>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years</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discount rate</w:t>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2020 Term Loan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2020, the Company entered into a term loan of up to $35.0 million, or the 2020 Term Loan, consisting of term loans in an aggregate amount of $25.0 million, or the Term A Loan, and term loans in an aggregate amount of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$10.0 million, or the Term B Loan, governed by a loan and security agreement, or the Loan Agreement, between the Company and Oxford Finance LLC, or Oxford, as Collateral Agent and a Lender, and SVB, as a Lender. The Term A Loan was funded in full on August 31, 2020, or the Funding Date.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Term B Loan will be available, subject to Collateral Agent’s discretion and customary terms and conditions, during the period commencing on the date the Company has delivered to the Collateral Agent and the Lenders evidence: (i) the Company or one of the Company’s collaboration partners has enrolled its first patient for a Phase 1 clinical trial evaluating the treatment of methylmalonic acidemia, or MMA, and (ii) the Company has enrolled the first patient in each of two Phase 3 pivotal trials evaluating SEL-212, or the Second Draw Period Milestone, and ending on the earliest of (i) the date which is 30 days following the date the Second Draw Period Milestone is achieved, (ii) September 30, 2021 and (iii) the occurrence of an event of default, other than an event of default that has been waived in writing by Collateral Agent and the Lenders in their sole discretion, with such period referred to as the Second Draw Period.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2020 Term Loan will mature on August 1, 2025. Each advance under the Term Loan accrues interest at a floating per annum rate equal to the greater of (a) 7.90%, and (b) the lesser of (x) the sum of (i) the prime rate reported in The Wall Street Journal on the last business day of the month that immediately precedes the month in which the interest will accrue, and (ii) 4.65% and (y) 10.00%. The Term Loan provides for interest-only payments on a monthly basis until April 1, 2022; provided however, if the Company has delivered to the Collateral Agent and the Lenders prior to September 30, 2021 evidence that Borrower has achieved the Second Draw Period Milestone, the Term Loan provides for interest-only payments on a monthly basis until October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 (B)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 $2.3 million is recorded as a loan discount.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incurred $0.4 million in debt issuance costs in connection with the closing of the 2020 Term Loan. Debt issuance costs are presented in the consolidated balance sheet as a direct deduction from the associated liability and amortized to interest expense over the term of the related debt.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assessed all terms and features of the 2020 Term Loan to identify any potential embedded features that would require bifurcation. As part of this analysis, the Company assessed the economic characteristics and risks of the 2020 Term Loan, including any put, call, and contingent features. The Company determined that the interest rate collar and prepayment call option did not require bifurcation; whereas the contingent put option and default (contingent) interest rate feature met bifurcation criteria resulting in immaterial amounts.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2020, in connection with the 2020 Term A Loan, the Company issued warrants to the Lenders to purchase an aggregate of 196,850 shares of its common stock at an exercise price equal to $2.54 per share. In accordance with ASC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815-40, these warrants are classified as permanent equity in the accompanying consolidated balance sheets and will expire ten years from the date of issuance. The initial grant date fair value of the warrants was $0.4 million as determined by the Black-Scholes valuation model and recorded to stockholders' equity, with the SVB portion allocated to the reacquisition price of the 2017 Term Loan and the Oxford fair value portion as a loan discount to the Term A Loan.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on August 31, 2020, pursuant to the terms of a Warrant Side Letter agreement among the Company and the Lenders, the Company agreed to issue to the Lenders, on the date the Company draws the Term B Loan and in accordance with each party’s respective pro rata share with respect to the Term B Loan, one or more warrants to purchase an aggregate number of shares of its common stock that is equal to $200,000 divided by the average closing price of the Company’s common stock on The Nasdaq Stock Market LLC for the ten consecutive trading days ending the day before such issuance, rounded down to the nearest whole number of shares, and having an exercise price equal to the Term B Warrant Price.</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Payoff</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the Funding Date, the Company entered into a payoff letter with SVB, pursuant to which the Company utilized $13.7 million of the 2020 Term Loan to pay off all outstanding obligations under the previous term loan, consisting of the principal payment, final prepayment and accrued interest. During the three months ended September 30, 2020, the Company recognized a loss on extinguishment of debt in the amount of $0.5 million determined as the difference between the reacquisition price and carrying value at August 31, 2020.</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December 31, 2020, the outstanding principal balance under the 2020 Term Loan was $25.0 million.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Future minimum principal and interest payments on the 2020 Term Loan as of June 30, 2021 are as follows (in thousands):</w:t>
      </w:r>
    </w:p>
    <w:tbl>
      <w:tblPr>
        <w:tblW w:w="3965" w:type="dxa"/>
        <w:jc w:val="left"/>
        <w:tblInd w:w="0" w:type="dxa"/>
        <w:tblCellMar>
          <w:top w:w="28" w:type="dxa"/>
          <w:left w:w="28" w:type="dxa"/>
          <w:bottom w:w="28" w:type="dxa"/>
          <w:right w:w="28" w:type="dxa"/>
        </w:tblCellMar>
      </w:tblPr>
      <w:tblGrid>
        <w:gridCol w:w="1076"/>
        <w:gridCol w:w="945"/>
        <w:gridCol w:w="948"/>
        <w:gridCol w:w="196"/>
        <w:gridCol w:w="646"/>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 (remainder)</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minimum debt payments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Amount representing interest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Debt discount and deferred charges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Current portion of loan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payable,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10. Equity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Equity Financings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August 2020 Shelf Registration Statement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6, 2020, the Company filed an updated universal shelf registration statement on Form S-3 (Reg. No. 333-241692) with the SEC to sell an aggregate amount of up to $200.0 million of certain of its securities. The shelf registration statement was declared effective by the SEC on August 14, 2020.</w:t>
      </w:r>
    </w:p>
    <w:p>
      <w:pPr>
        <w:pStyle w:val="TextBody"/>
        <w:spacing w:lineRule="auto" w:line="288" w:before="120" w:after="120"/>
        <w:ind w:left="0" w:right="0" w:firstLine="360"/>
        <w:rPr>
          <w:color w:val="000000"/>
        </w:rPr>
      </w:pPr>
      <w:r>
        <w:rPr>
          <w:color w:val="000000"/>
        </w:rPr>
        <w:t>“</w:t>
      </w:r>
      <w:r>
        <w:rPr>
          <w:rFonts w:ascii="Times New Roman;sans-serif" w:hAnsi="Times New Roman;sans-serif"/>
          <w:b w:val="false"/>
          <w:i/>
          <w:color w:val="000000"/>
          <w:sz w:val="20"/>
        </w:rPr>
        <w:t>At-the-Market” Offerings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August 2017, the Company entered into a sales agreement, or the 2017 Sales Agreement, with Jefferies LLC, as sales agent, to sell shares of its common stock with an aggregate value of up to $50.0 million in an “at the market offering.” On August 6, 2020, concurrent with the filing of the updated shelf registration statement, the Company entered into a sales agreement, or the 2020 Sales Agreement with Jefferies LLC, as sales agent, pursuant to which the Company may, from time to time, issue and sell common stock with an aggregate value of up to $50.0 million in an “at the market offering.” The 2017 Sales Agreement terminated pursuant to its terms in August 2020.</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of common stock, if any, pursuant to the 2020 Sales Agreement, may be made in sales deemed to be an “at the market offering” as defined in Rule 415(a) of the Securities Act, including sales made directly through the Nasdaq Stock Market or on any other existing trading market for the Company’s common stock. The Company intends to use the proceeds from the offering for working capital and other general corporate purposes. The Company may suspend or terminate the 2020 Sales Agreement at any time.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2021, the Company sold 6,555,916 shares of its common stock pursuant to the 2020 Sales Agreement at an average price of approximately $4.65 per share for aggregate net proceeds of $29.5 million, after deducting commissions and other transaction costs. During the year ended December 31, 2020, the Company sold 1,069,486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shares of its common stock pursuant to the 2020 and 2017 Sales Agreements at an average price of approximately $2.16 per share for aggregate net proceeds of $2.1 million, after deducting commissions and other transaction costs.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June 2020 Sobi Stock Purchase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 The shares of common stock acquired in the Sobi Private Placement are subject to a one-year lock-up from closing, during which time Sobi is prohibited from selling or otherwise disposing of such shares.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12 for details.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Also on June 11, 2020, the Company entered into a registration rights agreement (as amended by that certain letter agreement, dated as of November 4, 2020)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10 business days after the SEC informs the Company that no review of such resale registration statement will be made or that the SEC has no further comments on such resale registration statement.</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December 2019 Financing</w:t>
      </w:r>
    </w:p>
    <w:p>
      <w:pPr>
        <w:pStyle w:val="TextBody"/>
        <w:spacing w:lineRule="auto" w:line="276"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2019, the Company entered into a securities purchase agreement, or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or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fair value of the common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common warrants were revalued as of June 30, 2021 at $40.6 million. During the three months ended June 30, 2021 and 2020, the Company recorded a change in the fair value of the warrants of $4.8 million and $7.5 million, respectively, in the unaudited consolidated statements of operations and comprehensive income (loss). During the six months ended June 30, 2021 and 2020, the Company recorded a change in the fair value of the warrants of $11.9 million and $8.4 million, respectively, in the unaudited consolidated statements of operations and comprehensive income (loss).</w:t>
      </w:r>
    </w:p>
    <w:p>
      <w:pPr>
        <w:pStyle w:val="TextBody"/>
        <w:spacing w:before="120" w:after="120"/>
        <w:ind w:left="0" w:right="0" w:firstLine="36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2021, there were no warrants issued, exercised, or canceled.</w:t>
      </w:r>
    </w:p>
    <w:tbl>
      <w:tblPr>
        <w:tblW w:w="8172" w:type="dxa"/>
        <w:jc w:val="left"/>
        <w:tblInd w:w="0" w:type="dxa"/>
        <w:tblCellMar>
          <w:top w:w="28" w:type="dxa"/>
          <w:left w:w="28" w:type="dxa"/>
          <w:bottom w:w="28" w:type="dxa"/>
          <w:right w:w="28" w:type="dxa"/>
        </w:tblCellMar>
      </w:tblPr>
      <w:tblGrid>
        <w:gridCol w:w="782"/>
        <w:gridCol w:w="688"/>
        <w:gridCol w:w="690"/>
        <w:gridCol w:w="368"/>
        <w:gridCol w:w="368"/>
        <w:gridCol w:w="266"/>
        <w:gridCol w:w="109"/>
        <w:gridCol w:w="109"/>
        <w:gridCol w:w="109"/>
        <w:gridCol w:w="480"/>
        <w:gridCol w:w="481"/>
        <w:gridCol w:w="471"/>
        <w:gridCol w:w="109"/>
        <w:gridCol w:w="109"/>
        <w:gridCol w:w="109"/>
        <w:gridCol w:w="480"/>
        <w:gridCol w:w="481"/>
        <w:gridCol w:w="166"/>
        <w:gridCol w:w="109"/>
        <w:gridCol w:w="109"/>
        <w:gridCol w:w="109"/>
        <w:gridCol w:w="353"/>
        <w:gridCol w:w="839"/>
        <w:gridCol w:w="278"/>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 classified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classified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 price</w:t>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June 30, 2021</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292,469 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12,085,547 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12,378,016 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Reserved Shares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shares of common stock for future issuance as follows:</w:t>
      </w:r>
    </w:p>
    <w:tbl>
      <w:tblPr>
        <w:tblW w:w="6840" w:type="dxa"/>
        <w:jc w:val="left"/>
        <w:tblInd w:w="0" w:type="dxa"/>
        <w:tblCellMar>
          <w:top w:w="28" w:type="dxa"/>
          <w:left w:w="28" w:type="dxa"/>
          <w:bottom w:w="28" w:type="dxa"/>
          <w:right w:w="28" w:type="dxa"/>
        </w:tblCellMar>
      </w:tblPr>
      <w:tblGrid>
        <w:gridCol w:w="1284"/>
        <w:gridCol w:w="1130"/>
        <w:gridCol w:w="1140"/>
        <w:gridCol w:w="480"/>
        <w:gridCol w:w="481"/>
        <w:gridCol w:w="376"/>
        <w:gridCol w:w="116"/>
        <w:gridCol w:w="116"/>
        <w:gridCol w:w="116"/>
        <w:gridCol w:w="480"/>
        <w:gridCol w:w="481"/>
        <w:gridCol w:w="640"/>
      </w:tblGrid>
      <w:tr>
        <w:trPr/>
        <w:tc>
          <w:tcPr>
            <w:tcW w:w="128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ended</w:t>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warrants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12,378,016 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12,378,016 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available for future stock incentive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7,190,779 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4,916,374 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 reserved for issuance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Unvested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458,675 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87,500 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common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10,002,354 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7,775,249 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30,108,574 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25,157,139 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11. Stock Incentive Plans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2008 Stock Incentive Plan, or the 2008 Plan, for employees, consultants, advisors, and directors. The 2008 Plan provided for the granting of incentive and non-qualified stock option and restricted stock awards as determined by the Board.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2016, the Company’s stockholders approved the 2016 Incentive Award Plan, or the 2016 Plan, which authorized 1,210,256 shares of common stock for future issuance under the 2016 Plan and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2021 and 2020, the number of shares of common stock that may be issued under the 2016 Plan was increased by 4,322,850 and 3,453,022 shares, respectively. As of June 30, 2021, 3,052,654 shares remain available for future issuance under the 2016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June 30, 2021, there are 1,591,661 shares available for future grant under the 2018 Inducement Incentive Award Plan.</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classification included within the condensed consolidated statements of operations and comprehensive loss was as follows (in thousands):</w:t>
      </w:r>
    </w:p>
    <w:tbl>
      <w:tblPr>
        <w:tblW w:w="8185" w:type="dxa"/>
        <w:jc w:val="left"/>
        <w:tblInd w:w="0" w:type="dxa"/>
        <w:tblCellMar>
          <w:top w:w="28" w:type="dxa"/>
          <w:left w:w="28" w:type="dxa"/>
          <w:bottom w:w="28" w:type="dxa"/>
          <w:right w:w="28" w:type="dxa"/>
        </w:tblCellMar>
      </w:tblPr>
      <w:tblGrid>
        <w:gridCol w:w="1065"/>
        <w:gridCol w:w="936"/>
        <w:gridCol w:w="939"/>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10"/>
        <w:gridCol w:w="109"/>
        <w:gridCol w:w="109"/>
        <w:gridCol w:w="109"/>
        <w:gridCol w:w="109"/>
        <w:gridCol w:w="154"/>
      </w:tblGrid>
      <w:tr>
        <w:trPr/>
        <w:tc>
          <w:tcPr>
            <w:tcW w:w="106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Employees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estimated grant date fair values of employee stock option awards granted under the 2016 Plan and the 2018 Inducement Incentive Award Plan were calculated using the Black-Scholes option pricing model, based on the following weighted-average assumptions: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tbl>
      <w:tblPr>
        <w:tblW w:w="8767" w:type="dxa"/>
        <w:jc w:val="left"/>
        <w:tblInd w:w="0" w:type="dxa"/>
        <w:tblCellMar>
          <w:top w:w="28" w:type="dxa"/>
          <w:left w:w="28" w:type="dxa"/>
          <w:bottom w:w="28" w:type="dxa"/>
          <w:right w:w="28" w:type="dxa"/>
        </w:tblCellMar>
      </w:tblPr>
      <w:tblGrid>
        <w:gridCol w:w="1212"/>
        <w:gridCol w:w="1064"/>
        <w:gridCol w:w="1069"/>
        <w:gridCol w:w="208"/>
        <w:gridCol w:w="495"/>
        <w:gridCol w:w="256"/>
        <w:gridCol w:w="115"/>
        <w:gridCol w:w="115"/>
        <w:gridCol w:w="115"/>
        <w:gridCol w:w="208"/>
        <w:gridCol w:w="495"/>
        <w:gridCol w:w="256"/>
        <w:gridCol w:w="109"/>
        <w:gridCol w:w="109"/>
        <w:gridCol w:w="109"/>
        <w:gridCol w:w="196"/>
        <w:gridCol w:w="466"/>
        <w:gridCol w:w="241"/>
        <w:gridCol w:w="109"/>
        <w:gridCol w:w="109"/>
        <w:gridCol w:w="109"/>
        <w:gridCol w:w="196"/>
        <w:gridCol w:w="466"/>
        <w:gridCol w:w="241"/>
        <w:gridCol w:w="109"/>
        <w:gridCol w:w="109"/>
        <w:gridCol w:w="109"/>
        <w:gridCol w:w="109"/>
        <w:gridCol w:w="109"/>
        <w:gridCol w:w="154"/>
      </w:tblGrid>
      <w:tr>
        <w:trPr/>
        <w:tc>
          <w:tcPr>
            <w:tcW w:w="1212"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Risk-free interest rate</w:t>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yield</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term</w:t>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volatility</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fair value of common stock</w:t>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options granted to employees during the three and six months ended June 30, 2021 and 2020 was $3.19 and $2.08, $2.59 and $1.73 respectively.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total unrecognized compensation expense related to unvested employee stock options was $11.4 million, which is expected to be recognized over a weighted average period of 2.7 years.</w:t>
      </w:r>
    </w:p>
    <w:p>
      <w:pPr>
        <w:pStyle w:val="TextBody"/>
        <w:spacing w:before="120" w:after="120"/>
        <w:ind w:left="0" w:right="0" w:firstLine="360"/>
        <w:rPr/>
      </w:pPr>
      <w:r>
        <w:rPr/>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Non-employee consultants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there was no unrecognized compensation expense related to non-employee consultants stock options.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under the 2008 Plan, 2016 Plan, and 2018 Inducement Incentive Award Plan:</w:t>
      </w:r>
    </w:p>
    <w:tbl>
      <w:tblPr>
        <w:tblW w:w="9440" w:type="dxa"/>
        <w:jc w:val="left"/>
        <w:tblInd w:w="0" w:type="dxa"/>
        <w:tblCellMar>
          <w:top w:w="28" w:type="dxa"/>
          <w:left w:w="28" w:type="dxa"/>
          <w:bottom w:w="28" w:type="dxa"/>
          <w:right w:w="28" w:type="dxa"/>
        </w:tblCellMar>
      </w:tblPr>
      <w:tblGrid>
        <w:gridCol w:w="1173"/>
        <w:gridCol w:w="1028"/>
        <w:gridCol w:w="1038"/>
        <w:gridCol w:w="435"/>
        <w:gridCol w:w="436"/>
        <w:gridCol w:w="296"/>
        <w:gridCol w:w="109"/>
        <w:gridCol w:w="109"/>
        <w:gridCol w:w="109"/>
        <w:gridCol w:w="366"/>
        <w:gridCol w:w="870"/>
        <w:gridCol w:w="205"/>
        <w:gridCol w:w="109"/>
        <w:gridCol w:w="109"/>
        <w:gridCol w:w="109"/>
        <w:gridCol w:w="480"/>
        <w:gridCol w:w="480"/>
        <w:gridCol w:w="481"/>
        <w:gridCol w:w="109"/>
        <w:gridCol w:w="109"/>
        <w:gridCol w:w="109"/>
        <w:gridCol w:w="230"/>
        <w:gridCol w:w="759"/>
        <w:gridCol w:w="182"/>
      </w:tblGrid>
      <w:tr>
        <w:trPr/>
        <w:tc>
          <w:tcPr>
            <w:tcW w:w="1173"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w:t>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Employees</w:t>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2020</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7,302,176 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3,518,000 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(395,556)</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(895,339)</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June 30, 2021</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9,529,281 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June 30, 2021</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3,168,694 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and expected to vest at June 30, 2021</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8,773,300 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Non-employee consultants</w:t>
            </w:r>
          </w:p>
        </w:tc>
        <w:tc>
          <w:tcPr>
            <w:tcW w:w="1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2020</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473,073 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June 30, 2021</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473,073 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June 30, 2021</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473,073 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and expected to vest at June 30, 2021</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473,073 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granted 369,800 restricted stock awards to employees under the 2016 Plan which will vest over a four year term.</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during the first quarter of 2021, the Company awarded 197,500 restricted stock units to executives under the 2016 Plan, of which 98,750 were determined to be granted as of the award date consistent with ASC 718. The remaining 98,750 restricted stock units do not have a defined performance metric as of the award date, resulting in the restricted stock units being reserved for future issuance as of June 30, 2021. These restricted stock units will vest in two equal installments on the dates an applicable performance condition is achieved, on or prior to December 31, 2021. If the performance conditions are not satisfied on or prior to December 31, 2021, the restricted stock units will be forfeited for no consideration.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restricted stock units granted during the first quarter of 2021 had a weighted average fair value of $2.99 per share based on the closing price of the Company’s common stock on the date of grant. The restricted stock units were valued at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approximately $1.4 million on their grant date. Forfeitures are estimated at the time of grant and are adjusted, if necessary, in subsequent periods if actual forfeitures differ from those estimates. The Company has estimated a forfeiture rate of 10% for restricted stock awards to employees based on historical attrition trends.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for all restricted stock units was $1.2 million as of June 30, 2021, which is expected to be recognized over a weighted average period of 2.9 years.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restricted stock units under the 2016 Plan and 2018 Inducement Incentive Award Plan:</w:t>
      </w:r>
    </w:p>
    <w:tbl>
      <w:tblPr>
        <w:tblW w:w="5531" w:type="dxa"/>
        <w:jc w:val="center"/>
        <w:tblInd w:w="0" w:type="dxa"/>
        <w:tblCellMar>
          <w:top w:w="28" w:type="dxa"/>
          <w:left w:w="28" w:type="dxa"/>
          <w:bottom w:w="28" w:type="dxa"/>
          <w:right w:w="28" w:type="dxa"/>
        </w:tblCellMar>
      </w:tblPr>
      <w:tblGrid>
        <w:gridCol w:w="852"/>
        <w:gridCol w:w="750"/>
        <w:gridCol w:w="753"/>
        <w:gridCol w:w="459"/>
        <w:gridCol w:w="459"/>
        <w:gridCol w:w="461"/>
        <w:gridCol w:w="109"/>
        <w:gridCol w:w="109"/>
        <w:gridCol w:w="109"/>
        <w:gridCol w:w="353"/>
        <w:gridCol w:w="839"/>
        <w:gridCol w:w="278"/>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w:t>
              <w:br/>
              <w:t>fair value ($)</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Unvested at December 31, 2020</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468,550 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(21,875)</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Reserved for issuance</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98,750 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(95,500)</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Unvested at June 30, 2021</w:t>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537,425 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2016, the Company approved the 2016 Employee Stock Purchase Plan, or the ESPP, which authorized 173,076 shares of common stock for future issuance under the ESPP to participating employees. In January 2021 and 2020, the number of shares of common stock authorized for issuance under the ESPP was increased by 1,080,711 shares and 863,254 shares, respectively. During the six months ended June 30, 2021, the Company issued 34,696 shares of common stock under the ESPP. As of June 30, 2021, 2,546,464 shares remain available for future issuance under the ESPP.</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each of the three and six months ended June 30, 2021 and 2020, the Company recognized less than $0.1 million of stock-based compensation expense under the ESPP.</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12. Revenue Arrangements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Swedish Orphan Biovitrum</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License and Development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11, 2020, the Company and Sobi entered into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transactions contemplated by the Sobi License were consummated on July 28, 2020 following the expiration or termination of the required waiting periods under the Hart-Scott-Rodino Antitrust Improvements Act of 1976. Sobi may terminate the Sobi License for any reason upon 180 days’ written notice to the Company, whereby all rights granted under the Sobi License would revert back to the Company. In addition, if Sobi were to terminate the Sobi License, the Company has the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option to obtain a license to all patents and know-how necessary to exploit SEL-212 in existence as of the termination date from Sobi in return for making an equitable royalty payment to Sobi.</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10 for details.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December 31, 2020, the Company recorded $68.4 million and $68.3 million, respectively, as a short-term contract liability and $10.2 million and $24.2 million, respectively, as a long-term contract liability, representing deferred revenue associated with this agreement. In addition, as of June 30, 2021 the Company has recorded $1.1 million of contract assets related to incremental costs that would not have been incurred if the Sobi License had not been obtained, of which $1.0 million is presented in prepaid expenses and other current assets and $0.1 million is presented in other assets in the accompanying unaudited consolidated balance sheets. Amortization of contract assets was $0.3 million for the six months ended June 30, 2021.</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December 31, 2020, the Company recorded a total outstanding receivable of $8.3 million and $6.9 million, respectively, representing billings for the Phase 3 DISSOLVE program that are subject to reimbursement by Sobi. Revenue of $19.5 million and $30.6 million related to the Sobi License was recognized during the three and six months ended June 30, 2021, respectively.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Sarepta Therapeutics,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License and Option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13, 2020, the Company and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two milestones remained constrained, and as of December 31, 2020, all milestones were constrained. The Company will re-evaluate the transaction price in each reporting period, as uncertain events are resolved. The Company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will recognize the revenue associated with the upfront payment and combined single performance obligation utilizing the output method, over the 24 month term as the manufactured supply is delivered to Sarepta.</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December 31, 2020, the Company recorded $4.9 million and $2.0 million, respectively, as a short-term contract liability representing deferred revenue associated with this agreement. Revenue of less than $0.1 million related to the Sarepta Agreement was recognized during each of the three and six months ended June 30, 2021. No revenue related to the Sarepta License Agreement was recognized during the three and six months ended June 30, 2020 as no deliveries were made during these periods.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Asklepios Biopharmaceutical,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License Agreement for Pompe Disease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December 17, 2019, the Company and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June 30, 2021 and December 31, 2020, all milestones were constrained. The Company will re-evaluate the transaction price in each reporting period, as uncertain events are resolved, or as other changes in circumstances occur.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total initial transaction price of the contract on the effective date was $7.0 million, comprised of a $2.0 million initial up-front payment upon agreement of terms, and a $5.0 million initial up-front execution fee.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each of June 30, 2021 and December 31, 2020, the Company recorded $1.7 million as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three and six months ended June 30, 2021 and 2020 as no deliveries were made during these periods.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Spark Therapeutics,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Spark 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disclosures relating to the Company’s license and option agreement, or the Spark License Agreement, with Spark pursuant to which the Company and Spark agreed to collaborate on the development of gene therapies for certain targets utilizing the ImmTOR platform reported in the Company’s Annual Report on Form 10-K for the year ended December 31, 2020 which was filed with the SEC on March 12, 2021 have not materially changed since the Company filed such report.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Skolkovo Foundation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2021, revenue of $0.1 million related to the remaining contract liability of the Russia-based Development Fund of New Technologies Development and Commercialization Center, or Skolkovo, grant funding was recognized at the expiration of the three-year audit period.</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transaction price of contracts for which work has not been performed (or has been partially performed). As of June 30, 2021, the aggregate amount of the transaction price allocated to remaining performance obligations was $99.8 million.</w:t>
      </w:r>
    </w:p>
    <w:p>
      <w:pPr>
        <w:pStyle w:val="TextBody"/>
        <w:spacing w:lineRule="auto" w:line="288" w:before="120" w:after="120"/>
        <w:jc w:val="both"/>
        <w:rPr/>
      </w:pPr>
      <w:r>
        <w:rPr>
          <w:rFonts w:ascii="Times New Roman;sans-serif" w:hAnsi="Times New Roman;sans-serif"/>
          <w:b/>
          <w:color w:val="000000"/>
          <w:sz w:val="20"/>
        </w:rPr>
        <w:t>Contract Balances from Contracts with Customers (</w:t>
      </w:r>
      <w:r>
        <w:rPr>
          <w:rFonts w:ascii="Times New Roman;sans-serif" w:hAnsi="Times New Roman;sans-serif"/>
          <w:b w:val="false"/>
          <w:i/>
          <w:color w:val="000000"/>
          <w:sz w:val="20"/>
        </w:rPr>
        <w:t>Sobi, Sarepta, AskBio, Spark and Skolkovo</w:t>
      </w:r>
      <w:r>
        <w:rPr>
          <w:rFonts w:ascii="Times New Roman;sans-serif" w:hAnsi="Times New Roman;sans-serif"/>
          <w:b/>
          <w:color w:val="000000"/>
          <w:sz w:val="20"/>
        </w:rPr>
        <w: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contract liabilities during the six months ended June 30, 2021 (in thousands):</w:t>
      </w:r>
    </w:p>
    <w:tbl>
      <w:tblPr>
        <w:tblW w:w="7980" w:type="dxa"/>
        <w:jc w:val="left"/>
        <w:tblInd w:w="0" w:type="dxa"/>
        <w:tblCellMar>
          <w:top w:w="28" w:type="dxa"/>
          <w:left w:w="28" w:type="dxa"/>
          <w:bottom w:w="28" w:type="dxa"/>
          <w:right w:w="28" w:type="dxa"/>
        </w:tblCellMar>
      </w:tblPr>
      <w:tblGrid>
        <w:gridCol w:w="900"/>
        <w:gridCol w:w="791"/>
        <w:gridCol w:w="798"/>
        <w:gridCol w:w="285"/>
        <w:gridCol w:w="1071"/>
        <w:gridCol w:w="158"/>
        <w:gridCol w:w="109"/>
        <w:gridCol w:w="109"/>
        <w:gridCol w:w="109"/>
        <w:gridCol w:w="196"/>
        <w:gridCol w:w="556"/>
        <w:gridCol w:w="109"/>
        <w:gridCol w:w="109"/>
        <w:gridCol w:w="109"/>
        <w:gridCol w:w="109"/>
        <w:gridCol w:w="196"/>
        <w:gridCol w:w="721"/>
        <w:gridCol w:w="109"/>
        <w:gridCol w:w="109"/>
        <w:gridCol w:w="109"/>
        <w:gridCol w:w="109"/>
        <w:gridCol w:w="218"/>
        <w:gridCol w:w="720"/>
        <w:gridCol w:w="171"/>
      </w:tblGrid>
      <w:tr>
        <w:trPr/>
        <w:tc>
          <w:tcPr>
            <w:tcW w:w="90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 of period</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2021</w:t>
            </w:r>
          </w:p>
        </w:tc>
        <w:tc>
          <w:tcPr>
            <w:tcW w:w="15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Deferred revenue</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110,796 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99,752 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contract liabilities</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110,796 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Consulting Services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incurred expenses for consulting services provided by its founders totaling less than $0.1 million during each of the three and six months ended June 30, 2021 and 2020. The Company entered into consulting agreements with its founders to serve on its Scientific Advisory Board, effective January 1, 2020 to December 31, 2021, under which they will be paid quarterly for their services.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14. Collaboration Agreements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Asklepios Biopharmaceutical,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Feasibility Study and 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Consequently, the Company will assume all rights to the MMA program and intends to continue to progress the SEL-302 program through clinical development.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SEL-399 program combines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has commenced a clinical trial of SEL-399 in healthy adult volunteers in Belgium. The goal of the SEL-399 clinical trial is to demonstrate the appropriate dose of ImmTOR in humans to mitigate the formation of antibodies to AAV capsids used in gene therapies.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AskBio will share responsibility for the research, development and commercialization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Agreement, AskBio is responsible for manufacturing the AAV capsids and AAV vectors and the Company is responsible for manufacturing ImmTOR.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R&amp;D expense and selling, general and administrative expense on the Company’s condensed consolidated statements of operations.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2021, the Company recognized $0.5 million and $1.7 million, respectively, of collaboration expense under the AskBio Collaboration Agreement in which actual costs incurred by both parties approximate a 50% cost share. For the three and six months ended June 30, 2020, the Company recognized $0.8 million and $2.0 million, respectively, of collaboration expense under the AskBio Collaboration Agreement.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Massachusetts Institute of Technology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six months ended June 30, 2021.</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Shenyang Sunshine Pharmaceutical Co., Ltd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May 2014, the Company entered into a license agreement, or the 3SBio License, with Shenyang Sunshine Pharmaceutical Co., Ltd., or 3SBio. The Company has paid to 3SBio an aggregate of $7.0 million in upfront and milestone-based payments under the 3SBio License as of June 30, 2021.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2021 and 2020, the Company did not record a current or deferred income tax expense or benefit.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a full valuation allowance against its net deferred tax assets, as the Company believes that it is more likely than not that the deferred tax assets will not be realized.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2020, the Company completed a Section 382 study. The Company has determined that all of the $234.5 million of net operating losses are available in the future, with approximately $36.5 million of that total limited under Section 382 and therefore available for future use through 2028.</w:t>
      </w:r>
    </w:p>
    <w:p>
      <w:pPr>
        <w:pStyle w:val="TextBody"/>
        <w:spacing w:lineRule="auto" w:line="288" w:before="120" w:after="120"/>
        <w:ind w:left="0" w:right="0" w:firstLine="360"/>
        <w:rPr/>
      </w:pPr>
      <w:r>
        <w:rPr>
          <w:rFonts w:ascii="Times New Roman;sans-serif" w:hAnsi="Times New Roman;sans-serif"/>
          <w:b w:val="false"/>
          <w:color w:val="000000"/>
          <w:sz w:val="20"/>
        </w:rPr>
        <w:t>The Company applies ASC 740,</w:t>
      </w:r>
      <w:r>
        <w:rPr>
          <w:color w:val="000000"/>
        </w:rPr>
        <w:t xml:space="preserve">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to uncertain tax positions. As of June 30, 2021 and December 31, 2020, the Company had no unrecognized tax benefits or related interest and penalties accrued.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statute of limitations for assessment by the United States Internal Revenue Service and Massachusetts tax authorities is open for tax years since inception. The Company files income tax returns in the United States and Massachusetts. There are currently no federal, state or foreign audits in progress.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16. Defined Contribution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June 30, 2021 and 2020, respectively, and $0.1 million during each of the six months ended June 30, 2021 and 2020.</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the Company was not a party to any litigation that could have a material adverse effect on the Company’s business, financial position, results of operations or cash flows.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the Company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At this time, the Company has not accrued a liability for this matter, as any liability has been determined to be either not estimable or not probable.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under Delaware law, the Company indemnifies its directors for certain events or occurrences while the director is, or was, serving at the Company’s request in such capacity. The term of the indemnification is for the director’s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2020, which we filed with the SEC on March 12, 2021. In addition, you should read the “Risk Factors” and “Information Regarding Forward-Looking Statements” sections of this Quarterly Report and our Annual Report on Form 10-K for the year ended December 31, 2020 for a discussion of important factors that could cause actual results to differ materially from the results described in or implied by the forward-looking statements contained in the following discussion and analysis.</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120"/>
        <w:ind w:left="0" w:right="0" w:firstLine="360"/>
        <w:rPr/>
      </w:pPr>
      <w:r>
        <w:rPr>
          <w:rFonts w:ascii="Times New Roman;sans-serif" w:hAnsi="Times New Roman;sans-serif"/>
          <w:b w:val="false"/>
          <w:color w:val="000000"/>
          <w:sz w:val="20"/>
        </w:rPr>
        <w:t>We are a clinical-stage biopharmaceutical company leveraging our ImmTOR</w:t>
      </w:r>
      <w:r>
        <w:rPr>
          <w:color w:val="000000"/>
        </w:rPr>
        <w:t xml:space="preserve">™ </w:t>
      </w:r>
      <w:r>
        <w:rPr>
          <w:rFonts w:ascii="Times New Roman;sans-serif" w:hAnsi="Times New Roman;sans-serif"/>
          <w:b w:val="false"/>
          <w:color w:val="000000"/>
          <w:sz w:val="20"/>
        </w:rPr>
        <w:t>immune tolerance platform with the goals of amplifying the efficacy of biologics, including enabling the re-dosing of life-saving gene therapies, and restoring self-tolerance in autoimmune diseases. Our ImmTOR platform encapsulates rapamycin, also known as sirolimus, an immunomodulator, in biodegradable nanoparticles and is designed to induce antigen-specific immune tolerance.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ImmTOR has the potential to enhance the efficacy without compromising the safety of biologic therapies, improve product candidates under development, and enable novel therapeutic modalities. We have developed a portfolio of proprietary and collaboration-driven applications of ImmTOR, and we plan to continue to develop proprietary compounds and pursue collaboration-driven development in certain disease areas, which could include strategic collaborations, out-licensing, and in-licensing transactions.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our ImmTOR platform has a broad range of potential applications.</w:t>
      </w:r>
    </w:p>
    <w:p>
      <w:pPr>
        <w:pStyle w:val="TextBody"/>
        <w:spacing w:lineRule="auto" w:line="288" w:before="120" w:after="120"/>
        <w:ind w:left="0" w:right="0" w:firstLine="360"/>
        <w:rPr/>
      </w:pPr>
      <w:r>
        <w:rPr>
          <w:rFonts w:ascii="Times New Roman;sans-serif" w:hAnsi="Times New Roman;sans-serif"/>
          <w:b w:val="false"/>
          <w:i/>
          <w:color w:val="000000"/>
          <w:sz w:val="20"/>
        </w:rPr>
        <w:t>Enzyme therapies</w:t>
      </w:r>
      <w:r>
        <w:rPr>
          <w:rFonts w:ascii="Times New Roman;sans-serif" w:hAnsi="Times New Roman;sans-serif"/>
          <w:b w:val="false"/>
          <w:color w:val="000000"/>
          <w:sz w:val="20"/>
        </w:rPr>
        <w:t>. Enzyme therapies are a class of biologic drugs frequently used to treat rare diseases. Through our analysis of biologic drugs, including in our preclinical studies, we have observed that enzymes are especially prone to causing undesired immune responses. Our product candidate, SEL-212, which is currently in Phase 3 clinical development, includes pegadricase, a pegylated uricase enzyme, which is an example of an immunogenic enzyme for which we are applying ImmTOR with the intention of improving the enzyme’s efficacy and safety. We are also combining ImmTOR with an immunoglobulin A, or IgA, protease for the treatment of IgA nephropathy. We intend to seek, if appropriate, licenses to other enzymes that we would evaluate in combination with ImmTOR.</w:t>
      </w:r>
    </w:p>
    <w:p>
      <w:pPr>
        <w:pStyle w:val="TextBody"/>
        <w:spacing w:lineRule="auto" w:line="288" w:before="120" w:after="120"/>
        <w:ind w:left="0" w:right="0" w:firstLine="360"/>
        <w:rPr/>
      </w:pPr>
      <w:r>
        <w:rPr>
          <w:rFonts w:ascii="Times New Roman;sans-serif" w:hAnsi="Times New Roman;sans-serif"/>
          <w:b w:val="false"/>
          <w:i/>
          <w:color w:val="000000"/>
          <w:sz w:val="20"/>
        </w:rPr>
        <w:t>Gene therapies</w:t>
      </w:r>
      <w:r>
        <w:rPr>
          <w:rFonts w:ascii="Times New Roman;sans-serif" w:hAnsi="Times New Roman;sans-serif"/>
          <w:b w:val="false"/>
          <w:color w:val="000000"/>
          <w:sz w:val="20"/>
        </w:rPr>
        <w:t>. We believe gene therapies have the potential to address key unmet medical needs for many rare genetic diseases, but undesired immune responses to the viral vectors used for gene replacement, augmentation and editing may be restricting their broader use. Through our analysis of genetic diseases, we have identified applications and patient segments that we believe would benefit from our ImmTOR platform. We intend to develop ImmTOR-enabled non-immunogenic gene therapy candidates which are designed to be utilized with adeno-associated virus, or AAV, vectors. We believe our product candidates have the potential to increase transgene expression and to prevent undesired immune responses to the vector and transgene product that can occur with the first dose of gene therapy by using our ImmTOR platform. Our initial area of focus is on genetic metabolic diseases but may also include lysosomal storage diseases and genetic muscular diseases. We believe we are the first company to systematically pursue the development of AAV gene therapy product candidates with the goal of enabling repeat administration. We have engaged third parties with experience in gene therapy and rare diseases to support the development of our products. We also have licensed our ImmTOR platform to AskBio, Sarepta, and Spark for certain pre-specified targets.</w:t>
      </w:r>
    </w:p>
    <w:p>
      <w:pPr>
        <w:pStyle w:val="TextBody"/>
        <w:spacing w:lineRule="auto" w:line="288" w:before="120" w:after="120"/>
        <w:ind w:left="0" w:right="0" w:firstLine="360"/>
        <w:rPr/>
      </w:pPr>
      <w:r>
        <w:rPr>
          <w:rFonts w:ascii="Times New Roman;sans-serif" w:hAnsi="Times New Roman;sans-serif"/>
          <w:b w:val="false"/>
          <w:i/>
          <w:color w:val="000000"/>
          <w:sz w:val="20"/>
        </w:rPr>
        <w:t xml:space="preserve">Restoring self-tolerance to auto-antigens. </w:t>
      </w:r>
      <w:r>
        <w:rPr>
          <w:rFonts w:ascii="Times New Roman;sans-serif" w:hAnsi="Times New Roman;sans-serif"/>
          <w:b w:val="false"/>
          <w:color w:val="000000"/>
          <w:sz w:val="20"/>
        </w:rPr>
        <w:t>We believe that ImmTOR has the potential to restore self-tolerance in autoimmune diseases. Our first program in autoimmune diseases is in primary biliary cholangitis, or PBC. PBC has a significant unmet medical need and a well-defined target antigen, known as PDC-E2.</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pPr>
      <w:r>
        <w:rPr>
          <w:rFonts w:ascii="Times New Roman;sans-serif" w:hAnsi="Times New Roman;sans-serif"/>
          <w:b w:val="false"/>
          <w:i/>
          <w:color w:val="000000"/>
          <w:sz w:val="20"/>
        </w:rPr>
        <w:t xml:space="preserve">Other products and product candidates affected by undesired immune responses. </w:t>
      </w:r>
      <w:r>
        <w:rPr>
          <w:rFonts w:ascii="Times New Roman;sans-serif" w:hAnsi="Times New Roman;sans-serif"/>
          <w:b w:val="false"/>
          <w:color w:val="000000"/>
          <w:sz w:val="20"/>
        </w:rPr>
        <w:t>We have generated preclinical data which we believe suggests a broad potential benefit of ImmTOR for immune tolerance. For many biologic drugs, undesired immune responses limit efficacy and cause safety concerns. We intend to strategically out-license ImmTOR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Our Current Programs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Amplifying the Efficacy of Biologics: Enzyme therapy – Chronic Refractory Gout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SEL-212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clinical data, we believe that SEL-212 has the potential to control serum uric acid, or SUA levels and mitigate the formation of ADAs in response to the therapeutic enzyme. Additionally, we believe that SEL-212 serves as proof of concept for the ImmTOR platform in ameliorating the unwanted immune response to an immunogenic biologic. SEL-212 has been licensed (except as to Greater China) to Sobi, pursuant to our license and development agreement dated June 11, 2020 with Sobi, or the Sobi License.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and Sobi commenced the Phase 3 DISSOLVE clinical program of SEL-212 in September 2020. The Phase 3 clinical program consists of two double blinded, placebo-controlled trials of SEL-212, DISSOLVE I and DISSOLVE II. Each trial is expected to enroll 105 patients, with 35 patients receiving 0.1 mg/kg of ImmTOR and 0.2 mg/kg of pegadricase, 35 patients receiving 0.15 mg/kg of ImmTOR and 0.2 mg/kg of pegadricase, and 35 patients receiving placebo. DISSOLVE I and DISSOLVE II both have a six-month primary endpoint with a six-month safety extension for DISSOLVE I. The primary endpoint of the DISSOLVE program is the maintenance of SUA levels below 6 mg/dL at six months. Secondary endpoints include tender and swollen joint counts, tophus burden, patient reported outcomes of activity limitation and quality of life and gout flare incidence. Topline data from the Phase 3 DISSOLVE clinical program is expected in the second half of 2022. The Phase 3 DISSOLVE clinical program is being conducted by Selecta and funded by Sobi.</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Amplifying the Efficacy of Biologics: Enzyme therapy – IgA Nephropathy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second indication in our enzyme therapy program is IgA nephropathy, an autoimmune kidney disease that occurs when immune complexes of a subclass of antibodies called immunoglobulin A1 (IgA1) accumulates in the kidneys.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2020, we entered into an Option and License Agreement, or the IGAN Agreement, with IGAN Biosciences, Inc., or IGAN. Pursuant to the IGAN Agreement, IGAN has granted us an exclusive license to research, evaluate, and conduct pre-clinical development activities on IGAN’s proprietary IgA proteases. Previous studies in animal models conducted at independent laboratories demonstrated that IgA protease removed injurious IgA immune complexes from kidneys and reduced inflammation, fibrosis, and hematuria. These results suggest that it is an excellent candidate to potentially decrease the rate of disease progression and possibly even reverse the disease. The barrier to IgA protease commercialization is the bacterial origin of the protease, which makes it immunogenic. Our ImmTOR platform has shown in clinical studies the ability to mitigate the formation of ADAs to immunogenic enzymes, which has been observed with SEL-212. We intend to combine IgA protease with our ImmTOR platform to develop a novel combination product candidate for the treatment of IgA nephropathy and IgA-mediated diseases. We will have an option term of 24 months, during which we can elect to obtain an exclusive license to further develop and commercialize the product candidate to treat all IgA-mediated diseases, including IgA nephropathy, Linear IgA bullous dermatitis, IgA pemphigus, and Henoch-Schonlein purpura (also known as IgA vasculitis).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to file an Investigational New Drug, or IND, application, for this program in 2022.</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Amplifying the Efficacy of Biologics: Gene Therapies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When used in combination with AAV gene therapy vectors, ImmTOR has been observed to inhibit the immune response to the vector and enable successful redosing in mice and non-human primates, or NHPs.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pediatric patients, who may lose gene expression over time as they grow. In addition, a study conducted in NHPs showed that co-administration of AAV vector and ImmTOR in NHPs enabled higher and more durable transgene expression after the first dose of gene therapy as well as robust inhibition of anti-AAV8 immunoglobulin G, or IgG, and neutralizing antibodies. The observation that co-administration of AAV vector and ImmTOR leads to higher transgene expression demonstrates the potential for dosing lower levels of AAV gene therapies when combined with ImmTOR. Thus, integrating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ImmTOR into a gene therapy protocol has the potential to provide a first dose benefit by enhancing liver-directed transgene expression and durability, as well as the potential for enabling re-dosing.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lead therapeutic gene therapy program is in methylmalonic acidemia, or MMA, an inherited disorder in which the body is unable to process certain proteins and fats (lipids) properly. This program was previously being conducted under our collaboration with AskBio. In April 2021, we were notified by AskBio that it intended to opt-out of development of the MMA indication. The feasibility study and license agreement with AskBio, or AskBio Collaboration Agreement, otherwise remains in effect. The previously disclosed MMA-101 manufacturing issue was resolved. Manufacturing of a new lot has been completed and is currently undergoing final release testing. We expect to file an IND for this product candidate, SEL-302, in the third quarter of 2021. ImmTOR manufacturing, controlled by us, continues to proceed in accordance with our expectations, and we have not observed any impact to any of our ImmTOR programs. In October and November 2020, we and AskBio received rare pediatric disease designation and orphan drug designation, respectively, from the FDA for MMA-101, for the treatment of MMA due to methylmalonyl-CoA mutase, or MMUT gene mutations.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We expect to file an IND and/or Clinical Trial Application for SEL-313 in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SEL-399 combines an empty AAV capsid (EMC-101), which is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An initial control cohort of healthy volunteers received a single dose of EMC-101 in December 2020 and dose escalating cohorts of EMC-101 plus ImmTOR were initiated in February 2021. Topline results are expected in the fourth quarter of 2021.</w:t>
      </w:r>
    </w:p>
    <w:p>
      <w:pPr>
        <w:pStyle w:val="TextBody"/>
        <w:spacing w:lineRule="auto" w:line="288" w:before="120" w:after="120"/>
        <w:rPr/>
      </w:pPr>
      <w:r>
        <w:rPr>
          <w:rFonts w:ascii="Times New Roman;sans-serif" w:hAnsi="Times New Roman;sans-serif"/>
          <w:b w:val="false"/>
          <w:i/>
          <w:color w:val="000000"/>
          <w:sz w:val="20"/>
        </w:rPr>
        <w:t>Restoring Self-tolerance in</w:t>
      </w:r>
      <w:r>
        <w:rPr>
          <w:color w:val="000000"/>
        </w:rPr>
        <w:t xml:space="preserve"> </w:t>
      </w:r>
      <w:r>
        <w:rPr>
          <w:rFonts w:ascii="Times New Roman;sans-serif" w:hAnsi="Times New Roman;sans-serif"/>
          <w:b w:val="false"/>
          <w:i/>
          <w:color w:val="000000"/>
          <w:sz w:val="20"/>
        </w:rPr>
        <w:t>Autoimmune Diseases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lead autoimmune diseases indication is PBC, a T-cell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 We expect to file an IND for our PBC program in the second half of 2022.</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Licenses and Collaborations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Swedish Orphan Biovitrum</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Sobi purchased an aggregate of 5,416,390 shares of our common stock at $4.6156 for aggregate gross proceeds of $25 million, which we refer to as the Sobi Private Placement. The closing of the Sobi Private Placement occurred on July 31, 2020.</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Sobi License, we will have operational oversight of the Phase 3 DISSOLVE clinical program of SEL-212 (DISSOLVE I and DISSOLVE II) that commenced in September 2020, at Sobi’s expense.</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IGAN Biosciences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2020, we entered into the IGAN Agreement. Pursuant to the IGAN Agreement, IGAN granted us an exclusive license to research, evaluate, and conduct pre-clinical development activities on IGAN’s proprietary IgA proteases. We have an option term of 24 months, during which we can elect to obtain an exclusive license to further develop and commercialize the product to treat all IgA-mediated diseases, including IgA nephropathy, Linear IgA bullous dermatitis, IgA pemphigus, and Henoch-Schonlein purpura (also known as IgA vasculitis).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Sarepta Therapeutics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we would be entitled to significant development and commercial milestone payments and tiered royalties ranging from the mid-to-high single digits based on net sales.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AskBio</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August 2019, we entered into the AskBio Collaboration Agreement. The initial proof-of-concept study being conducted under this collaboration is in SEL-399, which combines an empty AAV capsid (EMC-101),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which currently precludes re-dosing. An initial control cohort of healthy volunteers received a single dose of EMC-101 in December 2020 and dose escalating cohorts of EMC-101 plus ImmTOR were initiated in February 2021. Topline results are expected in the fourth quarter of 2021.</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Previously, we and AskBio were developing a gene therapy for MMA, which can cause severe developmental defects and premature death as a result of an accumulation of toxic metabolites. We conducted preclinical studies for this product candidate and will leverage that work within the collaboration. In April 2021, we were notified by AskBio that it intended to opt-out of development of the MMA indication. The AskBio Collaboration Agreement otherwise remains in effect and we intend to continue to develop SEL-302 through clinical development.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in December 2019, we entered into a License Agreement with AskBio, or the AskBio License Agreement, which provides AskBio with exclusive worldwide rights to our ImmTOR platform to research, develop and commercialize certain AAV-gene therapy products targeting the GAA gene, or derivatives thereof, to treat Pompe Disease.</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Spark Therapeutics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2016, we entered into a license and option agreement with Spark Therapeutics, or the Spark License Agreement, which provides Spark with exclusive worldwide rights to our ImmTOR platform to research, develop and commercialize gene therapies for Factor VIII, an essential blood clotting protein relevant to the treatment of hemophilia A.</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closely monitoring how COVID-19 is affecting our employees, business, preclinical studies and clinical trials. In response to the spread of COVID-19, we have continued to have our administrative employees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COVID-19 pandemic has not had a material impact on our clinical programs as of the date of this Quarterly Report, it could have an impact on our ability to complete the Phase 3 DISSOLVE clinical program of SEL-212, our ability to commence preclinical and clinical studies of our IgA nephropathy, gene therapy, and autoimmune disease programs, and our ability to obtain supply of both active drug substances and finished drug product as well as efficient execution of the overall supply chain for SEL-212 and our other programs. We have been proactively working with our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We believe we will have adequate supply of all material necessary to conduct our Phase 3 DISSOLVE clinical program of SEL-212 in chronic refractory gout and to complete our clinical trial for SEL-399 in gene therapy under our collaboration with AskBio.</w:t>
      </w:r>
    </w:p>
    <w:p>
      <w:pPr>
        <w:pStyle w:val="TextBody"/>
        <w:spacing w:lineRule="auto" w:line="276"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this time, any impact of COVID-19 on the Company’s business, revenues, results of operations and financial condition will largely depend on future developments, which are highly uncertain and cannot be predicted with confidence, such as the duration of the pandemic, travel restrictions and social distancing in the United States and other countries, business closures or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business disruptions, supply chain disruptions, the ultimate impact on financial markets and the global economy, and the effectiveness of actions taken in the United States and other countries to contain and treat the disease.</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Financial Operations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public offerings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inception, we have incurred significant operating losses. We incurred net losses of $20.0 million and $43.7 million for the six months ended June 30, 2021 and 2020, respectively. As of June 30, 2021, we had an accumulated deficit of $424.7 million. We expect to continue to incur significant expenses and operating losses for at least the next several years as we: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continue the research and development of our other product candidates as well as product candidates that we may be developing jointly with collaboration partners;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seek to enhance our ImmTOR platform and discover and develop additional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seek to enter into collaboration, licensing and other agreements, including, but not limited to research and development, and/or commercialization agreements;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potentially establish a sales, marketing and distribution infrastructure and scales-up external manufacturing capabilities to commercialize any products for which we may obtain regulatory approval;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maintain, expand and protect our intellectual property portfolio, including through licensing arrangements;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add clinical, scientific, operational, financial and management information systems and personnel, including personnel to support our product development and potential future commercialization efforts and to support our operations as a public company.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cash equivalents, marketable securities, and restricted cash as of June 30, 2021 will enable us to fund our operating expenses and capital expenditure requirements into the third quarter of 2023. We have based this estimate on assumptions that may prove to be wrong, and we could use our capital resources sooner than we currently expect.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Collaboration and grant revenue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product sales. Our revenue consists of collaboration and grant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unaudited consolidated financial statements included elsewhere in this Quarterly Report.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allocated overhead costs and other related expenses. Our internal research and development costs are often devoted to expanding our programs and are not necessarily allocable to a specific target.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incurred a total of $322.8 million in research and development expenses from inception through June 30, 2021, with a majority of the expenses being spent on the development of SEL-212 and a prior nicotine vaccine candidate, and the remainder being spent on our various discovery and preclinical stage product candidate programs and the general expansion of our technology.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research and development expenses during the periods indicated (in thousands):</w:t>
      </w:r>
    </w:p>
    <w:tbl>
      <w:tblPr>
        <w:tblW w:w="10205" w:type="dxa"/>
        <w:jc w:val="left"/>
        <w:tblInd w:w="0" w:type="dxa"/>
        <w:tblCellMar>
          <w:top w:w="28" w:type="dxa"/>
          <w:left w:w="28" w:type="dxa"/>
          <w:bottom w:w="28" w:type="dxa"/>
          <w:right w:w="28" w:type="dxa"/>
        </w:tblCellMar>
      </w:tblPr>
      <w:tblGrid>
        <w:gridCol w:w="1280"/>
        <w:gridCol w:w="1119"/>
        <w:gridCol w:w="1123"/>
        <w:gridCol w:w="197"/>
        <w:gridCol w:w="652"/>
        <w:gridCol w:w="109"/>
        <w:gridCol w:w="109"/>
        <w:gridCol w:w="109"/>
        <w:gridCol w:w="109"/>
        <w:gridCol w:w="197"/>
        <w:gridCol w:w="652"/>
        <w:gridCol w:w="109"/>
        <w:gridCol w:w="109"/>
        <w:gridCol w:w="109"/>
        <w:gridCol w:w="109"/>
        <w:gridCol w:w="109"/>
        <w:gridCol w:w="109"/>
        <w:gridCol w:w="500"/>
        <w:gridCol w:w="500"/>
        <w:gridCol w:w="502"/>
        <w:gridCol w:w="109"/>
        <w:gridCol w:w="196"/>
        <w:gridCol w:w="646"/>
        <w:gridCol w:w="109"/>
        <w:gridCol w:w="109"/>
        <w:gridCol w:w="109"/>
        <w:gridCol w:w="109"/>
        <w:gridCol w:w="196"/>
        <w:gridCol w:w="646"/>
        <w:gridCol w:w="164"/>
      </w:tblGrid>
      <w:tr>
        <w:trPr/>
        <w:tc>
          <w:tcPr>
            <w:tcW w:w="128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5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393" w:type="dxa"/>
            <w:gridSpan w:val="10"/>
            <w:tcBorders/>
            <w:shd w:fill="auto" w:val="clear"/>
          </w:tcPr>
          <w:p>
            <w:pPr>
              <w:pStyle w:val="TableContents"/>
              <w:spacing w:before="0" w:after="283"/>
              <w:rPr>
                <w:sz w:val="4"/>
                <w:szCs w:val="4"/>
              </w:rPr>
            </w:pPr>
            <w:r>
              <w:rPr>
                <w:sz w:val="4"/>
                <w:szCs w:val="4"/>
              </w:rPr>
            </w:r>
          </w:p>
        </w:tc>
      </w:tr>
      <w:tr>
        <w:trPr/>
        <w:tc>
          <w:tcPr>
            <w:tcW w:w="35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expenses (key projects and initiatives):</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SEL-212</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AskBio collaboration</w:t>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Discovery and preclinical stage product candidate programs, collectively</w:t>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internal research and development expenses</w:t>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Total research and development expenses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11,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Investment income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Investment income consists primarily of interest income earned on our cash, cash equivalents and marketable securities.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expense on amounts borrowed under our credit facilities.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was de minimis during the three and six months ended June 30, 2021 and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 in fair value of warrant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Common warrants classified as liabilities are remeasured at fair value, utilizing a Black-Scholes valuation methodology, quarterly with the change in fair value recognized as a component of earnings.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Foreign currency transaction gain (loss)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June 30, 2021 and December 31, 2020, we maintained cash of $0.3 million in Russian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banks, all of which was denominated in U.S. dollars. The amounts denominated in U.S. dollars and used in transacting the day-to-day operations of our Russian subsidiary are subject to transaction gains and losses, which are reported as incurred.</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2021 and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revenue for the three months ended June 30, 2021 and 2020 (in thousands, except percentages):</w:t>
      </w:r>
    </w:p>
    <w:tbl>
      <w:tblPr>
        <w:tblW w:w="6092" w:type="dxa"/>
        <w:jc w:val="left"/>
        <w:tblInd w:w="0" w:type="dxa"/>
        <w:tblCellMar>
          <w:top w:w="28" w:type="dxa"/>
          <w:left w:w="28" w:type="dxa"/>
          <w:bottom w:w="28" w:type="dxa"/>
          <w:right w:w="28" w:type="dxa"/>
        </w:tblCellMar>
      </w:tblPr>
      <w:tblGrid>
        <w:gridCol w:w="603"/>
        <w:gridCol w:w="529"/>
        <w:gridCol w:w="532"/>
        <w:gridCol w:w="223"/>
        <w:gridCol w:w="735"/>
        <w:gridCol w:w="124"/>
        <w:gridCol w:w="124"/>
        <w:gridCol w:w="124"/>
        <w:gridCol w:w="124"/>
        <w:gridCol w:w="223"/>
        <w:gridCol w:w="462"/>
        <w:gridCol w:w="124"/>
        <w:gridCol w:w="109"/>
        <w:gridCol w:w="109"/>
        <w:gridCol w:w="109"/>
        <w:gridCol w:w="196"/>
        <w:gridCol w:w="646"/>
        <w:gridCol w:w="109"/>
        <w:gridCol w:w="109"/>
        <w:gridCol w:w="109"/>
        <w:gridCol w:w="109"/>
        <w:gridCol w:w="203"/>
        <w:gridCol w:w="203"/>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887" w:type="dxa"/>
            <w:gridSpan w:val="6"/>
            <w:tcBorders/>
            <w:shd w:fill="auto" w:val="clea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Collaboration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2021, collaboration revenue was $19.7 million, compared to no revenue recognition in 2020. During the three months ended June 30, 2021 we recognized $19.5 million under the license agreement with Sobi which began in July 2020 resulting from the shipment of clinical supply and the reimbursement of costs incurred for the Phase 3 DISSOLVE clinical program. Additionally, during the second quarter, we recognized less than $0.1 million for shipments under the license agreement with Sarepta and $0.1 million resulting from the expiration of the contractual audit term under the Skolkovo Foundation grant.</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research and development expenses for the three months ended June 30, 2021 and 2020 (in thousands, except percentages):</w:t>
      </w:r>
    </w:p>
    <w:tbl>
      <w:tblPr>
        <w:tblW w:w="6371" w:type="dxa"/>
        <w:jc w:val="left"/>
        <w:tblInd w:w="0" w:type="dxa"/>
        <w:tblCellMar>
          <w:top w:w="28" w:type="dxa"/>
          <w:left w:w="28" w:type="dxa"/>
          <w:bottom w:w="28" w:type="dxa"/>
          <w:right w:w="28" w:type="dxa"/>
        </w:tblCellMar>
      </w:tblPr>
      <w:tblGrid>
        <w:gridCol w:w="717"/>
        <w:gridCol w:w="630"/>
        <w:gridCol w:w="632"/>
        <w:gridCol w:w="199"/>
        <w:gridCol w:w="656"/>
        <w:gridCol w:w="110"/>
        <w:gridCol w:w="110"/>
        <w:gridCol w:w="110"/>
        <w:gridCol w:w="110"/>
        <w:gridCol w:w="199"/>
        <w:gridCol w:w="656"/>
        <w:gridCol w:w="110"/>
        <w:gridCol w:w="109"/>
        <w:gridCol w:w="109"/>
        <w:gridCol w:w="109"/>
        <w:gridCol w:w="196"/>
        <w:gridCol w:w="556"/>
        <w:gridCol w:w="109"/>
        <w:gridCol w:w="109"/>
        <w:gridCol w:w="109"/>
        <w:gridCol w:w="109"/>
        <w:gridCol w:w="165"/>
        <w:gridCol w:w="166"/>
        <w:gridCol w:w="28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944" w:type="dxa"/>
            <w:gridSpan w:val="6"/>
            <w:tcBorders/>
            <w:shd w:fill="auto" w:val="clea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20" w:after="120"/>
        <w:ind w:left="0" w:right="0" w:firstLine="360"/>
        <w:rPr/>
      </w:pPr>
      <w:r>
        <w:rPr>
          <w:rFonts w:ascii="Times New Roman;sans-serif" w:hAnsi="Times New Roman;sans-serif"/>
          <w:b w:val="false"/>
          <w:color w:val="000000"/>
          <w:sz w:val="20"/>
        </w:rPr>
        <w:t>During the three months ended June 30, 2021</w:t>
      </w:r>
      <w:r>
        <w:rPr>
          <w:rFonts w:ascii="Times New Roman;sans-serif" w:hAnsi="Times New Roman;sans-serif"/>
          <w:b w:val="false"/>
          <w:color w:val="2C2C2C"/>
          <w:sz w:val="20"/>
        </w:rPr>
        <w:t>, our research and development expenses increased by $3.7 million, or 35%, as com</w:t>
      </w:r>
      <w:r>
        <w:rPr>
          <w:rFonts w:ascii="Times New Roman;sans-serif" w:hAnsi="Times New Roman;sans-serif"/>
          <w:b w:val="false"/>
          <w:color w:val="000000"/>
          <w:sz w:val="20"/>
        </w:rPr>
        <w:t>pared to 2020. The increase in cost was primarily the result of expenses incurred for consulting, salaries, and the discovery and preclinical programs, offset by a decrease of AskBio collaboration costs.</w:t>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general and administrative expenses for the three months ended June 30, 2021 and 2020 (in thousands, except percentages):</w:t>
      </w:r>
    </w:p>
    <w:tbl>
      <w:tblPr>
        <w:tblW w:w="6431" w:type="dxa"/>
        <w:jc w:val="left"/>
        <w:tblInd w:w="0" w:type="dxa"/>
        <w:tblCellMar>
          <w:top w:w="28" w:type="dxa"/>
          <w:left w:w="28" w:type="dxa"/>
          <w:bottom w:w="28" w:type="dxa"/>
          <w:right w:w="28" w:type="dxa"/>
        </w:tblCellMar>
      </w:tblPr>
      <w:tblGrid>
        <w:gridCol w:w="717"/>
        <w:gridCol w:w="630"/>
        <w:gridCol w:w="632"/>
        <w:gridCol w:w="216"/>
        <w:gridCol w:w="614"/>
        <w:gridCol w:w="120"/>
        <w:gridCol w:w="120"/>
        <w:gridCol w:w="120"/>
        <w:gridCol w:w="120"/>
        <w:gridCol w:w="216"/>
        <w:gridCol w:w="614"/>
        <w:gridCol w:w="120"/>
        <w:gridCol w:w="109"/>
        <w:gridCol w:w="109"/>
        <w:gridCol w:w="109"/>
        <w:gridCol w:w="196"/>
        <w:gridCol w:w="496"/>
        <w:gridCol w:w="109"/>
        <w:gridCol w:w="109"/>
        <w:gridCol w:w="109"/>
        <w:gridCol w:w="109"/>
        <w:gridCol w:w="195"/>
        <w:gridCol w:w="196"/>
        <w:gridCol w:w="34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64" w:type="dxa"/>
            <w:gridSpan w:val="6"/>
            <w:tcBorders/>
            <w:shd w:fill="auto" w:val="clea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2021, our general and administrative expenses decreased by $0.9 million, or 16%, as compared to 2020. The decrease in costs was primarily the result of reduced expense for salaries, professional fees and patent expense, offset by increased consulting and stock compensation expenses.</w:t>
      </w:r>
    </w:p>
    <w:p>
      <w:pPr>
        <w:pStyle w:val="TextBody"/>
        <w:spacing w:before="120" w:after="120"/>
        <w:ind w:left="0" w:right="0" w:firstLine="36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Investment income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income was de minimis for each of the three months ended June 30, 2021 and 2020, respectively.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Foreign currency transaction gain (loss)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recognized minimal foreign currency fluctuations during each of the three months ended June 30, 2021 and 2020, respectively.</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was $0.7 million and $0.2 million for the three months ended June 30, 2021 and 2020, respectively, representing interest expense and amortization of the carrying costs of our credit facilities.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 in fair value of warrant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2021, we recognized a $4.8 million change in the fair value of warrant liabilities utilizing the Black-Scholes valuation methodology. The decrease in value was primarily driven by a decrease in the Company’s share price (see Note 5). For the three months ended June 30, 2020, we recognized $7.5 million as a change in the fair value of warrant liabilities primarily driven by an increase in the Company’s share price and volatility, offset by a decreased discount rate this quarter.</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was de minimis for each of the three months ended June 30, 2021 and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Net income (loss)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June 30, 2021 was $4.6 million compared to a net loss of $24.1 million for the three months ended June 30, 2020.</w:t>
      </w:r>
    </w:p>
    <w:p>
      <w:pPr>
        <w:pStyle w:val="TextBody"/>
        <w:spacing w:before="120" w:after="120"/>
        <w:ind w:left="0" w:right="0" w:firstLine="360"/>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2021 and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spacing w:lineRule="auto" w:line="288" w:before="0" w:after="0"/>
        <w:ind w:left="0" w:right="0" w:firstLine="288"/>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revenue for the six months ended June 30, 2021 and 2020 (in thousands, except percentages):</w:t>
      </w:r>
    </w:p>
    <w:tbl>
      <w:tblPr>
        <w:tblW w:w="6028" w:type="dxa"/>
        <w:jc w:val="left"/>
        <w:tblInd w:w="0" w:type="dxa"/>
        <w:tblCellMar>
          <w:top w:w="28" w:type="dxa"/>
          <w:left w:w="28" w:type="dxa"/>
          <w:bottom w:w="28" w:type="dxa"/>
          <w:right w:w="28" w:type="dxa"/>
        </w:tblCellMar>
      </w:tblPr>
      <w:tblGrid>
        <w:gridCol w:w="603"/>
        <w:gridCol w:w="529"/>
        <w:gridCol w:w="532"/>
        <w:gridCol w:w="204"/>
        <w:gridCol w:w="672"/>
        <w:gridCol w:w="113"/>
        <w:gridCol w:w="113"/>
        <w:gridCol w:w="113"/>
        <w:gridCol w:w="113"/>
        <w:gridCol w:w="204"/>
        <w:gridCol w:w="422"/>
        <w:gridCol w:w="113"/>
        <w:gridCol w:w="109"/>
        <w:gridCol w:w="109"/>
        <w:gridCol w:w="109"/>
        <w:gridCol w:w="196"/>
        <w:gridCol w:w="646"/>
        <w:gridCol w:w="109"/>
        <w:gridCol w:w="109"/>
        <w:gridCol w:w="109"/>
        <w:gridCol w:w="109"/>
        <w:gridCol w:w="203"/>
        <w:gridCol w:w="203"/>
        <w:gridCol w:w="286"/>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19" w:type="dxa"/>
            <w:gridSpan w:val="6"/>
            <w:tcBorders/>
            <w:shd w:fill="auto" w:val="clea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Collaboration revenue</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2021, we recognized $30.6 million under the license agreement with Sobi which began in July 2020 resulting from the shipment of clinical supply and the reimbursement of costs incurred for the Phase 3 DISSOLVE clinical program, less than $0.1 million for shipments under the license agreement with Sarepta, and $0.1 million resulting from the expiration of the contractual audit term under the Skolkovo Foundation grant. During the six months ended June 30, 2020, we did not recognize revenue.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research and development expenses for the six months ended June 30, 2021 and 2020 (in thousands, except percentages):</w:t>
      </w:r>
    </w:p>
    <w:tbl>
      <w:tblPr>
        <w:tblW w:w="6250" w:type="dxa"/>
        <w:jc w:val="left"/>
        <w:tblInd w:w="0" w:type="dxa"/>
        <w:tblCellMar>
          <w:top w:w="28" w:type="dxa"/>
          <w:left w:w="28" w:type="dxa"/>
          <w:bottom w:w="28" w:type="dxa"/>
          <w:right w:w="28" w:type="dxa"/>
        </w:tblCellMar>
      </w:tblPr>
      <w:tblGrid>
        <w:gridCol w:w="717"/>
        <w:gridCol w:w="630"/>
        <w:gridCol w:w="63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20"/>
        <w:gridCol w:w="121"/>
        <w:gridCol w:w="28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854" w:type="dxa"/>
            <w:gridSpan w:val="6"/>
            <w:tcBorders/>
            <w:shd w:fill="auto" w:val="clea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76" w:before="0" w:after="0"/>
        <w:ind w:left="0" w:right="0" w:firstLine="360"/>
        <w:rPr/>
      </w:pPr>
      <w:r>
        <w:rPr>
          <w:rFonts w:ascii="Times New Roman;sans-serif" w:hAnsi="Times New Roman;sans-serif"/>
          <w:b w:val="false"/>
          <w:color w:val="000000"/>
          <w:sz w:val="20"/>
        </w:rPr>
        <w:t>During the six months ended June 30, 2021</w:t>
      </w:r>
      <w:r>
        <w:rPr>
          <w:rFonts w:ascii="Times New Roman;sans-serif" w:hAnsi="Times New Roman;sans-serif"/>
          <w:b w:val="false"/>
          <w:color w:val="2C2C2C"/>
          <w:sz w:val="20"/>
        </w:rPr>
        <w:t>, our research and development expenses increased by $2.0 million, or 8%, as com</w:t>
      </w:r>
      <w:r>
        <w:rPr>
          <w:rFonts w:ascii="Times New Roman;sans-serif" w:hAnsi="Times New Roman;sans-serif"/>
          <w:b w:val="false"/>
          <w:color w:val="000000"/>
          <w:sz w:val="20"/>
        </w:rPr>
        <w:t>pared to 2020. The increase in cost was primarily the result of expenses incurred for the discovery and preclinical programs, offset by a decrease of clinical supply expense for the SEL-212 clinical programs and AskBio collaboration costs.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general and administrative expenses for the six months ended June 30, 2021 and 2020 (in thousands, except percentages):</w:t>
      </w:r>
    </w:p>
    <w:tbl>
      <w:tblPr>
        <w:tblW w:w="5954" w:type="dxa"/>
        <w:jc w:val="left"/>
        <w:tblInd w:w="0" w:type="dxa"/>
        <w:tblCellMar>
          <w:top w:w="28" w:type="dxa"/>
          <w:left w:w="28" w:type="dxa"/>
          <w:bottom w:w="28" w:type="dxa"/>
          <w:right w:w="28" w:type="dxa"/>
        </w:tblCellMar>
      </w:tblPr>
      <w:tblGrid>
        <w:gridCol w:w="717"/>
        <w:gridCol w:w="630"/>
        <w:gridCol w:w="632"/>
        <w:gridCol w:w="198"/>
        <w:gridCol w:w="561"/>
        <w:gridCol w:w="110"/>
        <w:gridCol w:w="110"/>
        <w:gridCol w:w="110"/>
        <w:gridCol w:w="110"/>
        <w:gridCol w:w="198"/>
        <w:gridCol w:w="561"/>
        <w:gridCol w:w="110"/>
        <w:gridCol w:w="109"/>
        <w:gridCol w:w="109"/>
        <w:gridCol w:w="109"/>
        <w:gridCol w:w="196"/>
        <w:gridCol w:w="421"/>
        <w:gridCol w:w="109"/>
        <w:gridCol w:w="109"/>
        <w:gridCol w:w="109"/>
        <w:gridCol w:w="109"/>
        <w:gridCol w:w="120"/>
        <w:gridCol w:w="121"/>
        <w:gridCol w:w="28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854" w:type="dxa"/>
            <w:gridSpan w:val="6"/>
            <w:tcBorders/>
            <w:shd w:fill="auto" w:val="clea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2021, our general and administrative expenses increased by $0.2 million, or 2%, as compared to 2020. The increase in costs was the result of expenses incurred for consulting fees offset by decreased patent costs, reduced expense for salaries and less travel expense.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Investment income</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Investment income was less than $0.1 million and $0.3 million, respectively during the six months ended June 30, 2021 as compared to 2020. The decrease reflects reduced interest rates.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Foreign currency transaction gain (loss)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recognized minimal foreign currency fluctuations during each of the six months ended June 30, 2021 and 2020, respectively.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was $1.4 million and $0.5 million for the six months ended June 30, 2021 and 2020, respectively, representing interest expense and amortization of the carrying costs of our credit facilities.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 in fair value of warrant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2021, we recognized a $11.9 million charge for the increase in the fair value of warrant liabilities utilizing a Black-Scholes valuation methodology. The increase in value was primarily driven by an increase in the Company’s share price and a small increase in the discount rate this quarter (see Note 5). For the six months ended June 30, 2020, we recognized $8.4 million as a change in the fair value of warrant liabilities primarily driven by an increase in the Company’s share price and volatility, offset by a decreased discount rate this quarter.</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was de minimis for each of the six months ended June 30, 2021 and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Net loss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loss for the six months ended June 30, 2021 was $20.0 million compared to $43.7 million for the six months ended June 30, 2020.</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pStyle w:val="TextBody"/>
        <w:spacing w:lineRule="auto" w:line="276"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our inception through June 30, 2021, we have raised an aggregate of $596.8 million to fund our operations, which includes $118.5 million from the sale of preferred stock, $11.1 million in government grant funding, $36.7 million from borrowings under our credit facility, $184.1 million from our collaborations and license agreements, $64.5 million in combined net proceeds from our initial public offering, $149.3 million in combined net proceeds from private placements and follow-on offerings of our common stock, and $32.6 million in aggregate net proceeds from “at-the-market” offerings of our common stock.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our cash, cash equivalents, restricted cash, and marketable securities were $151.5 million, of which $1.4 million was restricted cash related to lease commitments and $0.3 million was held by our Russian subsidiary designated solely for use in its operations. Our Russian subsidiary cash is consolidated for financial reporting purposes.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cash equivalents, we receive research and development funding pursuant to our collaboration agreements. Currently, funding from payments under our collaboration agreements represent our only source of committed external funds.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31, 2020, we entered into a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Term B Loan will be available, subject to the collateral agent’s discretion and customary terms and conditions, during the period commencing on the date we have delivered to Oxford and SVB evidence: (i) we or one of the our collaboration partners has enrolled its first patient for a Phase 1 clinical trial evaluating the treatment of MMA, and (ii) we have enrolled the first patient in each of two Phase 3 pivotal trials evaluating SEL-212, or the Second Draw Period Milestone, and ending on the earliest of (i) the date which is 30 days following the date the Second Draw Period Milestone is achieved, (ii) September 30, 2021 (iii) and the occurrence of an event of default, other than an event of default that has been waived in writing by Oxford and SVB in their sole discretion.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 further description of the 2020 Term Loan, see Note 9 to our unaudited consolidated financial statements included elsewhere in this Quarterly Report.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Plan of operations and future funding requirements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we had an accumulated deficit of $424.7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cash equivalents, marketable securities and restricted cash as of June 30, 2021 will enable us to fund our operating expenses and capital expenditure requirements into the third quarter of 2023.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number of product candidates that we pursue;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collaboration agreements remaining in effect, our entering into additional collaboration agreements and our ability to achieve milestones under these agreements;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 of manufacturing clinical supplies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headcount growth and associated costs;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scope, progress, results and costs of preclinical development, laboratory testing and clinical trials for our other product candidates;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costs, timing and outcome of regulatory review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costs and timing of future commercialization activities, including manufacturing, marketing, sales and distribution, for any of our product candidates for which we receive marketing approval;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revenue, if any, received from commercial sales of our product candidates for which we receive marketing approval;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effect of competing technological and market developments;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extent to which we acquire or invest in businesses, products and technologies, including entering into licensing or collaboration arrangements for product candidates.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noted above, the magnitude and duration of the COVID-19 pandemic and its impact on our liquidity future funding requirements is uncertain as of the filing date of this Quarterly Report as this continues to evolve globally.</w:t>
      </w:r>
    </w:p>
    <w:p>
      <w:pPr>
        <w:pStyle w:val="TextBody"/>
        <w:spacing w:before="120" w:after="120"/>
        <w:ind w:left="0" w:right="0" w:firstLine="360"/>
        <w:rPr/>
      </w:pPr>
      <w:r>
        <w:rPr/>
      </w:r>
    </w:p>
    <w:p>
      <w:pPr>
        <w:pStyle w:val="TextBody"/>
        <w:spacing w:lineRule="auto" w:line="288" w:before="120" w:after="12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Summary of Cash Flows</w:t>
      </w:r>
    </w:p>
    <w:tbl>
      <w:tblPr>
        <w:tblW w:w="7798" w:type="dxa"/>
        <w:jc w:val="left"/>
        <w:tblInd w:w="0" w:type="dxa"/>
        <w:tblCellMar>
          <w:top w:w="28" w:type="dxa"/>
          <w:left w:w="28" w:type="dxa"/>
          <w:bottom w:w="28" w:type="dxa"/>
          <w:right w:w="28" w:type="dxa"/>
        </w:tblCellMar>
      </w:tblPr>
      <w:tblGrid>
        <w:gridCol w:w="1447"/>
        <w:gridCol w:w="1277"/>
        <w:gridCol w:w="1280"/>
        <w:gridCol w:w="109"/>
        <w:gridCol w:w="181"/>
        <w:gridCol w:w="181"/>
        <w:gridCol w:w="326"/>
        <w:gridCol w:w="1200"/>
        <w:gridCol w:w="181"/>
        <w:gridCol w:w="109"/>
        <w:gridCol w:w="109"/>
        <w:gridCol w:w="109"/>
        <w:gridCol w:w="196"/>
        <w:gridCol w:w="721"/>
        <w:gridCol w:w="109"/>
        <w:gridCol w:w="109"/>
        <w:gridCol w:w="154"/>
      </w:tblGrid>
      <w:tr>
        <w:trPr/>
        <w:tc>
          <w:tcPr>
            <w:tcW w:w="1447"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206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616" w:type="dxa"/>
            <w:gridSpan w:val="8"/>
            <w:tcBorders/>
            <w:shd w:fill="auto" w:val="clea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and provided by:</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w:t>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ind w:left="0" w:right="0" w:hanging="360"/>
        <w:rPr/>
      </w:pPr>
      <w:r>
        <w:rPr/>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Cash used in operations of $18.2 million for the six months ended June 30, 2021 included approximately $2.9 million of net losses, adjusted for non-cash items, and uses of cash of approximately $15.3 million for changes in operating assets and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Cash used in operations of $23.5 million for the six months ended June 30, 2020 included $31.3 million of net losses, adjusted for non-cash items, partially offset by cash generated from changes in operating assets and liabilities of $7.8 million, principally related to changes in accounts receivable and deferred revenue.</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2021 was $25.1 million compared to net cash used in investing activities of $0.3 million in the same period in 2020. The net cash used in investing activities in 2021 was to purchase marketable securities. The net cash used in investing activities in 2020 was to purchase property and equipment.</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20" w:after="120"/>
        <w:ind w:left="0" w:right="0" w:firstLine="360"/>
        <w:rPr/>
      </w:pPr>
      <w:r>
        <w:rPr>
          <w:rFonts w:ascii="Times New Roman;sans-serif" w:hAnsi="Times New Roman;sans-serif"/>
          <w:b w:val="false"/>
          <w:color w:val="000000"/>
          <w:sz w:val="20"/>
        </w:rPr>
        <w:t xml:space="preserve">Net cash provided by financing activities for the six months ended June 30, 2021 was $30.3 million compared to net cash used in financing activities of $6.3 million in the same period in 2020. The net cash provided by financing activities in 2021 was primarily the result of net proceeds from </w:t>
      </w:r>
      <w:r>
        <w:rPr>
          <w:color w:val="000000"/>
        </w:rPr>
        <w:t>“</w:t>
      </w:r>
      <w:r>
        <w:rPr>
          <w:rFonts w:ascii="Times New Roman;sans-serif" w:hAnsi="Times New Roman;sans-serif"/>
          <w:b w:val="false"/>
          <w:color w:val="000000"/>
          <w:sz w:val="20"/>
        </w:rPr>
        <w:t>at-the-market</w:t>
      </w:r>
      <w:r>
        <w:rPr>
          <w:color w:val="000000"/>
        </w:rPr>
        <w:t xml:space="preserve">” </w:t>
      </w:r>
      <w:r>
        <w:rPr>
          <w:rFonts w:ascii="Times New Roman;sans-serif" w:hAnsi="Times New Roman;sans-serif"/>
          <w:b w:val="false"/>
          <w:color w:val="000000"/>
          <w:sz w:val="20"/>
        </w:rPr>
        <w:t>offerings and from the exercise of stock options.</w:t>
      </w:r>
    </w:p>
    <w:p>
      <w:pPr>
        <w:pStyle w:val="TextBody"/>
        <w:spacing w:lineRule="auto" w:line="288" w:before="120" w:after="120"/>
        <w:ind w:left="0" w:right="0" w:firstLine="360"/>
        <w:rPr/>
      </w:pPr>
      <w:r>
        <w:rPr>
          <w:rFonts w:ascii="Times New Roman;sans-serif" w:hAnsi="Times New Roman;sans-serif"/>
          <w:b w:val="false"/>
          <w:color w:val="000000"/>
          <w:sz w:val="20"/>
        </w:rPr>
        <w:t xml:space="preserve">The net cash used in financing activities in 2020 was the result of $4.4 million of issuance costs paid for December 2019 financing, $4.2 million principal payment on outstanding debt, offset by $2.1 million net proceeds from </w:t>
      </w:r>
      <w:r>
        <w:rPr>
          <w:color w:val="000000"/>
        </w:rPr>
        <w:t>“</w:t>
      </w:r>
      <w:r>
        <w:rPr>
          <w:rFonts w:ascii="Times New Roman;sans-serif" w:hAnsi="Times New Roman;sans-serif"/>
          <w:b w:val="false"/>
          <w:color w:val="000000"/>
          <w:sz w:val="20"/>
        </w:rPr>
        <w:t>at-the-market</w:t>
      </w:r>
      <w:r>
        <w:rPr>
          <w:color w:val="000000"/>
        </w:rPr>
        <w:t xml:space="preserve">” </w:t>
      </w:r>
      <w:r>
        <w:rPr>
          <w:rFonts w:ascii="Times New Roman;sans-serif" w:hAnsi="Times New Roman;sans-serif"/>
          <w:b w:val="false"/>
          <w:color w:val="000000"/>
          <w:sz w:val="20"/>
        </w:rPr>
        <w:t>offerings.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adopted or issued accounting pronouncements please see Note 2 to our unaudited consolidated financial statements included elsewhere in this Quarterly Report.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June 30, 2021, we did not have any off-balance sheet arrangements as defined in the rules and regulations of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and six months ended June 30, 2021, there were no material changes to our critical accounting policies from those described in our Annual Report on Form 10-K for the year ended December 31, 2020.</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will remain an emerging growth company until December 31, 2021, the last day of the fiscal year following the fifth anniversary of the closing of the initial public offering of our common stock. However, if certain events occur prior to December 31, 2021, including if we become a “large accelerated filer,” our annual gross revenues exceed $1.07 billion or we issue more than $1.07 billion of non-convertible debt in any three-year period, we will cease to be an emerging growth company prior to December 31, 2021.</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Smaller Reporting Company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and in our financial position represents the potential loss arising from adverse changes in interest rates. As of June 30, 2021 and December 31, 2020, we had cash, cash equivalents, restricted cash and marketable securities of $151.5 million and $140.1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currency risk for balances held in Russian rubles in our foreign subsidiary. We hold portions of our funds in both U.S. dollars and Russian rubles. The exchange rate between the U.S. dollar and Russian ruble changes from period to period. As of June 30, 2021,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Vice President, Finance and Corporate Controller, evaluated, as of the end of the period covered by this Quarterly Report, the effectiveness of our disclosure controls and procedures (as defined in Rules 13a-15(e) and 15d-15(e) under the Exchange Act). Based on that evaluation, our Chief Executive Officer and Vice President, Finance and Corporate Controller concluded that our disclosure controls and procedures were effective at the reasonable assurance level as of June 30, 2021.</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three months ended June 30, 2021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risk factors are disclosed in Item 1A of our Annual Report on Form 10-K for the year ended December 31, 2020. There have been no material changes from the risk factors previously disclosed in such filing.</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CellMar>
          <w:top w:w="28" w:type="dxa"/>
          <w:left w:w="28" w:type="dxa"/>
          <w:bottom w:w="28" w:type="dxa"/>
          <w:right w:w="28" w:type="dxa"/>
        </w:tblCellMar>
      </w:tblPr>
      <w:tblGrid>
        <w:gridCol w:w="299"/>
        <w:gridCol w:w="262"/>
        <w:gridCol w:w="263"/>
        <w:gridCol w:w="109"/>
        <w:gridCol w:w="109"/>
        <w:gridCol w:w="109"/>
        <w:gridCol w:w="1576"/>
        <w:gridCol w:w="1476"/>
        <w:gridCol w:w="1481"/>
        <w:gridCol w:w="109"/>
        <w:gridCol w:w="109"/>
        <w:gridCol w:w="109"/>
        <w:gridCol w:w="195"/>
        <w:gridCol w:w="195"/>
        <w:gridCol w:w="196"/>
        <w:gridCol w:w="109"/>
        <w:gridCol w:w="109"/>
        <w:gridCol w:w="109"/>
        <w:gridCol w:w="274"/>
        <w:gridCol w:w="257"/>
        <w:gridCol w:w="195"/>
        <w:gridCol w:w="109"/>
        <w:gridCol w:w="109"/>
        <w:gridCol w:w="109"/>
        <w:gridCol w:w="245"/>
        <w:gridCol w:w="245"/>
        <w:gridCol w:w="246"/>
        <w:gridCol w:w="109"/>
        <w:gridCol w:w="109"/>
        <w:gridCol w:w="109"/>
        <w:gridCol w:w="414"/>
        <w:gridCol w:w="351"/>
        <w:gridCol w:w="400"/>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w:t>
              <w:br/>
              <w:t>Date</w:t>
            </w:r>
          </w:p>
        </w:tc>
      </w:tr>
      <w:tr>
        <w:trPr/>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Selecta Biosciences,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001-37798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6/29/2016</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Selecta Biosciences,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001-37798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6/29/2016</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adonohue_vpfinancepromotion.htm">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donohue_vpfinancepromotion.htm">
              <w:r>
                <w:rPr>
                  <w:rStyle w:val="InternetLink"/>
                  <w:rFonts w:ascii="Times New Roman;sans-serif" w:hAnsi="Times New Roman;sans-serif"/>
                  <w:b w:val="false"/>
                  <w:color w:val="0000FF"/>
                  <w:sz w:val="20"/>
                  <w:u w:val="single"/>
                </w:rPr>
                <w:t>Promotion Letter dated May 11, 2021, between Selecta Biosciences, Inc. and Ann K. Donohue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11_0630202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_06302021.htm">
              <w:r>
                <w:rPr>
                  <w:rStyle w:val="InternetLink"/>
                  <w:rFonts w:ascii="Times New Roman;sans-serif" w:hAnsi="Times New Roman;sans-serif"/>
                  <w:b w:val="false"/>
                  <w:color w:val="0000FF"/>
                  <w:sz w:val="20"/>
                  <w:u w:val="single"/>
                </w:rPr>
                <w:t>Rule 13a-14(a) / 15d-14(a) Certification of Chief Executive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12_06302021.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_06302021.htm">
              <w:r>
                <w:rPr>
                  <w:rStyle w:val="InternetLink"/>
                  <w:rFonts w:ascii="Times New Roman;sans-serif" w:hAnsi="Times New Roman;sans-serif"/>
                  <w:b w:val="false"/>
                  <w:color w:val="0000FF"/>
                  <w:sz w:val="20"/>
                  <w:u w:val="single"/>
                </w:rPr>
                <w:t>Rule 13a-14(a) / 15d-14(a) Certification of Principal Financial and Accounting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21_063020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_06302021.htm">
              <w:r>
                <w:rPr>
                  <w:rStyle w:val="InternetLink"/>
                  <w:rFonts w:ascii="Times New Roman;sans-serif" w:hAnsi="Times New Roman;sans-serif"/>
                  <w:b w:val="false"/>
                  <w:color w:val="0000FF"/>
                  <w:sz w:val="20"/>
                  <w:u w:val="single"/>
                </w:rPr>
                <w:t>Section 1350 Certification of Chief Executive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22_06302021.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_06302021.htm">
              <w:r>
                <w:rPr>
                  <w:rStyle w:val="InternetLink"/>
                  <w:rFonts w:ascii="Times New Roman;sans-serif" w:hAnsi="Times New Roman;sans-serif"/>
                  <w:b w:val="false"/>
                  <w:color w:val="0000FF"/>
                  <w:sz w:val="20"/>
                  <w:u w:val="single"/>
                </w:rPr>
                <w:t>Section 1350 Certification of Principal Financial and Accounting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spacing w:before="20" w:after="20"/>
        <w:ind w:left="0" w:right="0" w:hanging="12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1b6dae2d2c244ab7982e0757e559f34b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in the capacities and on the dates indicated.</w:t>
      </w:r>
    </w:p>
    <w:p>
      <w:pPr>
        <w:pStyle w:val="TextBody"/>
        <w:spacing w:before="120" w:after="120"/>
        <w:ind w:left="0" w:right="0" w:firstLine="360"/>
        <w:jc w:val="both"/>
        <w:rPr/>
      </w:pPr>
      <w:r>
        <w:rPr/>
      </w:r>
    </w:p>
    <w:p>
      <w:pPr>
        <w:pStyle w:val="TextBody"/>
        <w:spacing w:before="120" w:after="120"/>
        <w:ind w:left="0" w:right="0" w:firstLine="360"/>
        <w:jc w:val="both"/>
        <w:rPr/>
      </w:pPr>
      <w:r>
        <w:rPr/>
      </w:r>
    </w:p>
    <w:tbl>
      <w:tblPr>
        <w:tblW w:w="8015" w:type="dxa"/>
        <w:jc w:val="center"/>
        <w:tblInd w:w="0" w:type="dxa"/>
        <w:tblCellMar>
          <w:top w:w="28" w:type="dxa"/>
          <w:left w:w="28" w:type="dxa"/>
          <w:bottom w:w="28" w:type="dxa"/>
          <w:right w:w="28" w:type="dxa"/>
        </w:tblCellMar>
      </w:tblPr>
      <w:tblGrid>
        <w:gridCol w:w="705"/>
        <w:gridCol w:w="621"/>
        <w:gridCol w:w="624"/>
        <w:gridCol w:w="109"/>
        <w:gridCol w:w="109"/>
        <w:gridCol w:w="109"/>
        <w:gridCol w:w="453"/>
        <w:gridCol w:w="453"/>
        <w:gridCol w:w="453"/>
        <w:gridCol w:w="1279"/>
        <w:gridCol w:w="1279"/>
        <w:gridCol w:w="1821"/>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SELECTA BIOSCIENCES, INC.</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 and Director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 K. Donohue, CPA</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 K. Donohue, CPA</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VP, Finance and Corporate Controller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center"/>
        <w:rPr/>
      </w:pPr>
      <w:r>
        <w:rPr/>
      </w:r>
    </w:p>
    <w:p>
      <w:pPr>
        <w:pStyle w:val="TextBody"/>
        <w:spacing w:before="0" w:after="0"/>
        <w:jc w:val="center"/>
        <w:rPr/>
      </w:pPr>
      <w:r>
        <w:rPr/>
        <w:drawing>
          <wp:inline distT="0" distB="63500" distL="0" distR="0">
            <wp:extent cx="5943600" cy="800100"/>
            <wp:effectExtent l="0" t="0" r="0" b="0"/>
            <wp:docPr id="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 descr=""/>
                    <pic:cNvPicPr>
                      <a:picLocks noChangeAspect="1" noChangeArrowheads="1"/>
                    </pic:cNvPicPr>
                  </pic:nvPicPr>
                  <pic:blipFill>
                    <a:blip r:embed="rId6"/>
                    <a:stretch>
                      <a:fillRect/>
                    </a:stretch>
                  </pic:blipFill>
                  <pic:spPr bwMode="auto">
                    <a:xfrm>
                      <a:off x="0" y="0"/>
                      <a:ext cx="5943600" cy="800100"/>
                    </a:xfrm>
                    <a:prstGeom prst="rect">
                      <a:avLst/>
                    </a:prstGeom>
                  </pic:spPr>
                </pic:pic>
              </a:graphicData>
            </a:graphic>
          </wp:inline>
        </w:drawing>
      </w:r>
    </w:p>
    <w:p>
      <w:pPr>
        <w:pStyle w:val="TextBody"/>
        <w:spacing w:before="0" w:after="0"/>
        <w:jc w:val="center"/>
        <w:rPr/>
      </w:pPr>
      <w:r>
        <w:rPr/>
      </w:r>
    </w:p>
    <w:p>
      <w:pPr>
        <w:pStyle w:val="TextBody"/>
        <w:spacing w:before="0" w:after="0"/>
        <w:jc w:val="center"/>
        <w:rPr/>
      </w:pPr>
      <w:r>
        <w:rPr/>
      </w:r>
    </w:p>
    <w:p>
      <w:pPr>
        <w:pStyle w:val="TextBody"/>
        <w:spacing w:before="0" w:after="0"/>
        <w:rPr/>
      </w:pPr>
      <w:r>
        <w:rPr/>
      </w:r>
    </w:p>
    <w:tbl>
      <w:tblPr>
        <w:tblW w:w="9330" w:type="dxa"/>
        <w:jc w:val="center"/>
        <w:tblInd w:w="0" w:type="dxa"/>
        <w:tblCellMar>
          <w:top w:w="28" w:type="dxa"/>
          <w:left w:w="28" w:type="dxa"/>
          <w:bottom w:w="28" w:type="dxa"/>
          <w:right w:w="28" w:type="dxa"/>
        </w:tblCellMar>
      </w:tblPr>
      <w:tblGrid>
        <w:gridCol w:w="2979"/>
        <w:gridCol w:w="2625"/>
        <w:gridCol w:w="3726"/>
      </w:tblGrid>
      <w:tr>
        <w:trPr/>
        <w:tc>
          <w:tcPr>
            <w:tcW w:w="2979" w:type="dxa"/>
            <w:tcBorders/>
            <w:shd w:fill="auto" w:val="clear"/>
            <w:vAlign w:val="center"/>
          </w:tcPr>
          <w:p>
            <w:pPr>
              <w:pStyle w:val="TableContents"/>
              <w:spacing w:before="0" w:after="283"/>
              <w:rPr>
                <w:sz w:val="4"/>
                <w:szCs w:val="4"/>
              </w:rPr>
            </w:pPr>
            <w:r>
              <w:rPr>
                <w:sz w:val="4"/>
                <w:szCs w:val="4"/>
              </w:rPr>
            </w:r>
          </w:p>
        </w:tc>
        <w:tc>
          <w:tcPr>
            <w:tcW w:w="2625" w:type="dxa"/>
            <w:tcBorders/>
            <w:shd w:fill="auto" w:val="clear"/>
            <w:vAlign w:val="center"/>
          </w:tcPr>
          <w:p>
            <w:pPr>
              <w:pStyle w:val="TableContents"/>
              <w:spacing w:before="0" w:after="283"/>
              <w:rPr>
                <w:sz w:val="4"/>
                <w:szCs w:val="4"/>
              </w:rPr>
            </w:pPr>
            <w:r>
              <w:rPr>
                <w:sz w:val="4"/>
                <w:szCs w:val="4"/>
              </w:rPr>
            </w:r>
          </w:p>
        </w:tc>
        <w:tc>
          <w:tcPr>
            <w:tcW w:w="3726" w:type="dxa"/>
            <w:tcBorders/>
            <w:shd w:fill="auto" w:val="cle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May 11, 2020</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Dear Annie,</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am pleased to congratulate you on your promotion to Vice President Finance &amp; Corporate </w:t>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Controller effective May 17, 2021, with a new annual salary of $225,000 and 30% bonus target.</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promotion recognizes the contributions you have made to Selecta as well as the additional </w:t>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responsibilities you have taken on within your position. The Company appreciates your diligence</w:t>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commitment to our short- and long-term strategies and all you do to help move the Company</w:t>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forward.</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Congratulations!</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Carsten Brunn, Ph.D.</w:t>
            </w:r>
          </w:p>
        </w:tc>
      </w:tr>
      <w:tr>
        <w:trPr/>
        <w:tc>
          <w:tcPr>
            <w:tcW w:w="9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Carsten Brunn, Ph.D.</w:t>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CEO</w:t>
            </w:r>
          </w:p>
        </w:tc>
      </w:tr>
    </w:tbl>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drawing>
          <wp:inline distT="0" distB="63500" distL="0" distR="0">
            <wp:extent cx="4762500" cy="361950"/>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7"/>
                    <a:stretch>
                      <a:fillRect/>
                    </a:stretch>
                  </pic:blipFill>
                  <pic:spPr bwMode="auto">
                    <a:xfrm>
                      <a:off x="0" y="0"/>
                      <a:ext cx="4762500" cy="361950"/>
                    </a:xfrm>
                    <a:prstGeom prst="rect">
                      <a:avLst/>
                    </a:prstGeom>
                  </pic:spPr>
                </pic:pic>
              </a:graphicData>
            </a:graphic>
          </wp:inline>
        </w:drawing>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Carsten Brunn, Ph.D. certify that: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I have reviewed this Quarterly Report on Form 10-Q of Selecta Biosciences, Inc.;</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Any fraud, whether or not material, that involves management or other employees who have a significant role in the registrant’s internal control over financial reporting.</w:t>
      </w:r>
    </w:p>
    <w:tbl>
      <w:tblPr>
        <w:tblW w:w="7031" w:type="dxa"/>
        <w:jc w:val="left"/>
        <w:tblInd w:w="0" w:type="dxa"/>
        <w:tblCellMar>
          <w:top w:w="28" w:type="dxa"/>
          <w:left w:w="28" w:type="dxa"/>
          <w:bottom w:w="28" w:type="dxa"/>
          <w:right w:w="28" w:type="dxa"/>
        </w:tblCellMar>
      </w:tblPr>
      <w:tblGrid>
        <w:gridCol w:w="613"/>
        <w:gridCol w:w="539"/>
        <w:gridCol w:w="543"/>
        <w:gridCol w:w="109"/>
        <w:gridCol w:w="109"/>
        <w:gridCol w:w="109"/>
        <w:gridCol w:w="1466"/>
        <w:gridCol w:w="1466"/>
        <w:gridCol w:w="2077"/>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7"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August 12,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Carsten Brunn, Ph.D.</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Carsten Brunn, Ph.D.</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President and Chief Executive Officer, and Director</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Ann K. Donohue, certify that: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I have reviewed this Quarterly Report on Form 10-Q of Selecta Biosciences, Inc.;</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Any fraud, whether or not material, that involves management or other employees who have a significant role in the registrant’s internal control over financial reporting.</w:t>
      </w:r>
    </w:p>
    <w:tbl>
      <w:tblPr>
        <w:tblW w:w="6402" w:type="dxa"/>
        <w:jc w:val="left"/>
        <w:tblInd w:w="0" w:type="dxa"/>
        <w:tblCellMar>
          <w:top w:w="28" w:type="dxa"/>
          <w:left w:w="28" w:type="dxa"/>
          <w:bottom w:w="28" w:type="dxa"/>
          <w:right w:w="28" w:type="dxa"/>
        </w:tblCellMar>
      </w:tblPr>
      <w:tblGrid>
        <w:gridCol w:w="613"/>
        <w:gridCol w:w="539"/>
        <w:gridCol w:w="543"/>
        <w:gridCol w:w="109"/>
        <w:gridCol w:w="109"/>
        <w:gridCol w:w="109"/>
        <w:gridCol w:w="1280"/>
        <w:gridCol w:w="1280"/>
        <w:gridCol w:w="1820"/>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August 12,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Ann K. Donohue, CPA</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Ann K. Donohue, CPA</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VP, Finance and Corporate Controller</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spacing w:before="0" w:after="0"/>
        <w:ind w:left="0" w:right="0" w:firstLine="1260"/>
        <w:jc w:val="center"/>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Carsten Brunn, Ph.D., President and Chief Executive Officer of Selecta Biosciences, Inc. (the “Company”), hereby certify, pursuant to 18 U.S.C. §1350, as adopted pursuant to §906 of the Sarbanes-Oxley Act of 2002, that, to the best of my knowledge:</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period ended June 30, 2021 (the “Report”) fully complies with the requirements of Section 13(a) or 15(d) of the Securities Exchange Act of 1934, as amended; and</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tbl>
      <w:tblPr>
        <w:tblW w:w="7031" w:type="dxa"/>
        <w:jc w:val="left"/>
        <w:tblInd w:w="0" w:type="dxa"/>
        <w:tblCellMar>
          <w:top w:w="28" w:type="dxa"/>
          <w:left w:w="28" w:type="dxa"/>
          <w:bottom w:w="28" w:type="dxa"/>
          <w:right w:w="28" w:type="dxa"/>
        </w:tblCellMar>
      </w:tblPr>
      <w:tblGrid>
        <w:gridCol w:w="613"/>
        <w:gridCol w:w="539"/>
        <w:gridCol w:w="543"/>
        <w:gridCol w:w="109"/>
        <w:gridCol w:w="109"/>
        <w:gridCol w:w="109"/>
        <w:gridCol w:w="1466"/>
        <w:gridCol w:w="1466"/>
        <w:gridCol w:w="2077"/>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7"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August 12,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Carsten Brunn, Ph.D.</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Carsten Brunn, Ph.D.</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President and Chief Executive Officer, and Director</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Ann K. Donohue, Chief Financial Officer of Selecta Biosciences, Inc. (the “Company”), hereby certify, pursuant to 18 U.S.C. §1350, as adopted pursuant to §906 of the Sarbanes-Oxley Act of 2002, that, to the best of my knowledge:</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period ended June 30, 2021 (the “Report”) fully complies with the requirements of Section 13(a) or 15(d) of the Securities Exchange Act of 1934, as amended; and</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tbl>
      <w:tblPr>
        <w:tblW w:w="6402" w:type="dxa"/>
        <w:jc w:val="left"/>
        <w:tblInd w:w="0" w:type="dxa"/>
        <w:tblCellMar>
          <w:top w:w="28" w:type="dxa"/>
          <w:left w:w="28" w:type="dxa"/>
          <w:bottom w:w="28" w:type="dxa"/>
          <w:right w:w="28" w:type="dxa"/>
        </w:tblCellMar>
      </w:tblPr>
      <w:tblGrid>
        <w:gridCol w:w="613"/>
        <w:gridCol w:w="539"/>
        <w:gridCol w:w="543"/>
        <w:gridCol w:w="109"/>
        <w:gridCol w:w="109"/>
        <w:gridCol w:w="109"/>
        <w:gridCol w:w="1280"/>
        <w:gridCol w:w="1280"/>
        <w:gridCol w:w="1820"/>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August 12,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Ann K. Donohue, CPA</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Ann K. Donohue, CPA</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VP, Finance and Corporate Controller</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and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3687/000110465916129891/a16-14002_1ex3d1.htm" TargetMode="External"/><Relationship Id="rId3" Type="http://schemas.openxmlformats.org/officeDocument/2006/relationships/hyperlink" Target="http://www.sec.gov/Archives/edgar/data/1453687/000110465916129891/a16-14002_1ex3d1.htm" TargetMode="External"/><Relationship Id="rId4" Type="http://schemas.openxmlformats.org/officeDocument/2006/relationships/hyperlink" Target="http://www.sec.gov/Archives/edgar/data/1453687/000110465916129891/a16-14002_1ex3d2.htm" TargetMode="External"/><Relationship Id="rId5" Type="http://schemas.openxmlformats.org/officeDocument/2006/relationships/hyperlink" Target="http://www.sec.gov/Archives/edgar/data/1453687/000110465916129891/a16-14002_1ex3d2.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26282</Words>
  <CharactersWithSpaces>169816</CharactersWithSpaces>
  <Paragraphs>2420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