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left="400" w:right="2700"/>
        <w:spacing w:after="0" w:line="264"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18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  )</w:t>
      </w:r>
      <w:r>
        <w:rPr>
          <w:rFonts w:ascii="Arial" w:cs="Arial" w:eastAsia="Arial" w:hAnsi="Arial"/>
          <w:sz w:val="30"/>
          <w:szCs w:val="30"/>
          <w:color w:val="auto"/>
          <w:vertAlign w:val="superscript"/>
        </w:rPr>
        <w:t>1</w:t>
      </w:r>
    </w:p>
    <w:p>
      <w:pPr>
        <w:spacing w:after="0" w:line="200" w:lineRule="exact"/>
        <w:rPr>
          <w:sz w:val="24"/>
          <w:szCs w:val="24"/>
          <w:color w:val="auto"/>
        </w:rPr>
      </w:pPr>
    </w:p>
    <w:p>
      <w:pPr>
        <w:spacing w:after="0" w:line="383"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Selecta Biosciences, Inc.</w:t>
      </w:r>
    </w:p>
    <w:p>
      <w:pPr>
        <w:spacing w:after="0" w:line="23"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Common Stock, $0.0001 par value per share</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left="5300"/>
        <w:spacing w:after="0"/>
        <w:rPr>
          <w:sz w:val="20"/>
          <w:szCs w:val="20"/>
          <w:color w:val="auto"/>
        </w:rPr>
      </w:pPr>
      <w:r>
        <w:rPr>
          <w:rFonts w:ascii="Arial" w:cs="Arial" w:eastAsia="Arial" w:hAnsi="Arial"/>
          <w:sz w:val="18"/>
          <w:szCs w:val="18"/>
          <w:color w:val="auto"/>
        </w:rPr>
        <w:t>816212104</w:t>
      </w:r>
    </w:p>
    <w:p>
      <w:pPr>
        <w:spacing w:after="0" w:line="23"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December 23, 2019</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980" w:hanging="346"/>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80" w:hanging="346"/>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80" w:hanging="346"/>
        <w:spacing w:after="0"/>
        <w:tabs>
          <w:tab w:leader="none" w:pos="9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735330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both"/>
        <w:ind w:right="40" w:firstLine="8"/>
        <w:spacing w:after="0"/>
        <w:tabs>
          <w:tab w:leader="none" w:pos="815" w:val="left"/>
        </w:tabs>
        <w:numPr>
          <w:ilvl w:val="0"/>
          <w:numId w:val="4"/>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816212104</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Biotechnology Value Fund, L.P.</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2,491,422 (1)</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2,491,422 (1)</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2,491,422 (1)</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2.9% (1)</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bl>
    <w:p>
      <w:pPr>
        <w:ind w:left="5660" w:right="5320" w:hanging="5652"/>
        <w:spacing w:after="0" w:line="781" w:lineRule="auto"/>
        <w:tabs>
          <w:tab w:leader="none" w:pos="254"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830,474 Shares currently issuable upon the exercise of certain warrants.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816212104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Biotechnology Value Fund II, L.P.</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1,940,469 (1)</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1,940,469 (1)</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1,940,469 (1)</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2.2% (1)</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bl>
    <w:p>
      <w:pPr>
        <w:ind w:left="5660" w:right="5320" w:hanging="5652"/>
        <w:spacing w:after="0" w:line="781" w:lineRule="auto"/>
        <w:tabs>
          <w:tab w:leader="none" w:pos="254"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646,823 Shares currently issuable upon the exercise of certain warrants.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816212104</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Biotechnology Value Trading Fund OS LP</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4"/>
              </w:rPr>
              <w:t>Cayman Islands</w:t>
            </w:r>
          </w:p>
        </w:tc>
        <w:tc>
          <w:tcPr>
            <w:tcW w:w="60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6"/>
                <w:szCs w:val="16"/>
                <w:color w:val="auto"/>
              </w:rPr>
            </w:pPr>
          </w:p>
        </w:tc>
        <w:tc>
          <w:tcPr>
            <w:tcW w:w="604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6"/>
                <w:szCs w:val="16"/>
                <w:color w:val="auto"/>
              </w:rPr>
            </w:pPr>
          </w:p>
        </w:tc>
        <w:tc>
          <w:tcPr>
            <w:tcW w:w="60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339,468 (1)</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339,468 (1)</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339,468 (1)</w:t>
            </w:r>
          </w:p>
        </w:tc>
        <w:tc>
          <w:tcPr>
            <w:tcW w:w="10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89"/>
              </w:rPr>
              <w:t>Less than 1% (1)</w:t>
            </w:r>
          </w:p>
        </w:tc>
        <w:tc>
          <w:tcPr>
            <w:tcW w:w="60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0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bl>
    <w:p>
      <w:pPr>
        <w:ind w:left="5660" w:right="5340" w:hanging="5652"/>
        <w:spacing w:after="0" w:line="781" w:lineRule="auto"/>
        <w:tabs>
          <w:tab w:leader="none" w:pos="254"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113,156 Shares currently issuable upon the exercise of certain warrants.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816212104</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0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BVF Partners OS Ltd.</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0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4"/>
              </w:rPr>
              <w:t>Cayman Islands</w:t>
            </w:r>
          </w:p>
        </w:tc>
        <w:tc>
          <w:tcPr>
            <w:tcW w:w="60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6"/>
                <w:szCs w:val="16"/>
                <w:color w:val="auto"/>
              </w:rPr>
            </w:pPr>
          </w:p>
        </w:tc>
        <w:tc>
          <w:tcPr>
            <w:tcW w:w="604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6"/>
                <w:szCs w:val="16"/>
                <w:color w:val="auto"/>
              </w:rPr>
            </w:pPr>
          </w:p>
        </w:tc>
        <w:tc>
          <w:tcPr>
            <w:tcW w:w="604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339,468 (1)</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339,468 (1)</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339,468 (1)</w:t>
            </w:r>
          </w:p>
        </w:tc>
        <w:tc>
          <w:tcPr>
            <w:tcW w:w="10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3"/>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89"/>
              </w:rPr>
              <w:t>Less than 1% (1)</w:t>
            </w:r>
          </w:p>
        </w:tc>
        <w:tc>
          <w:tcPr>
            <w:tcW w:w="60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0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bl>
    <w:p>
      <w:pPr>
        <w:ind w:left="5660" w:right="5340" w:hanging="5652"/>
        <w:spacing w:after="0" w:line="781" w:lineRule="auto"/>
        <w:tabs>
          <w:tab w:leader="none" w:pos="254"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113,156 Shares currently issuable upon the exercise of certain warrants.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816212104</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BVF Partners L.P.</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4,926,108 (1)</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4,926,108 (1)</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4,926,108 (1)</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5.6% (1)</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PN, IA</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bl>
    <w:p>
      <w:pPr>
        <w:ind w:left="5660" w:right="5200" w:hanging="5652"/>
        <w:spacing w:after="0" w:line="781" w:lineRule="auto"/>
        <w:tabs>
          <w:tab w:leader="none" w:pos="254"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1,642,036 Shares currently issuable upon the exercise of certain warrants.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816212104</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BVF Inc.</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Delaware</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4,926,108 (1)</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4,926,108 (1)</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4,926,108 (1)</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5.6% (1)</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CO</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bl>
    <w:p>
      <w:pPr>
        <w:ind w:left="5660" w:right="5200" w:hanging="5652"/>
        <w:spacing w:after="0" w:line="781" w:lineRule="auto"/>
        <w:tabs>
          <w:tab w:leader="none" w:pos="254"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1,642,036 Shares currently issuable upon the exercise of certain warrants.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816212104</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14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80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Mark N. Lampert</w:t>
            </w:r>
          </w:p>
        </w:tc>
        <w:tc>
          <w:tcPr>
            <w:tcW w:w="180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7840" w:type="dxa"/>
            <w:vAlign w:val="bottom"/>
            <w:gridSpan w:val="2"/>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800" w:type="dxa"/>
            <w:vAlign w:val="bottom"/>
            <w:tcBorders>
              <w:right w:val="single" w:sz="8" w:color="auto"/>
            </w:tcBorders>
          </w:tcPr>
          <w:p>
            <w:pPr>
              <w:ind w:left="66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800" w:type="dxa"/>
            <w:vAlign w:val="bottom"/>
            <w:tcBorders>
              <w:right w:val="single" w:sz="8" w:color="auto"/>
            </w:tcBorders>
          </w:tcPr>
          <w:p>
            <w:pPr>
              <w:ind w:left="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140" w:type="dxa"/>
            <w:vAlign w:val="bottom"/>
            <w:tcBorders>
              <w:bottom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14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United States</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6</w:t>
            </w:r>
          </w:p>
        </w:tc>
        <w:tc>
          <w:tcPr>
            <w:tcW w:w="614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80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140" w:type="dxa"/>
            <w:vAlign w:val="bottom"/>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4,926,108 (1)</w:t>
            </w:r>
          </w:p>
        </w:tc>
        <w:tc>
          <w:tcPr>
            <w:tcW w:w="180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1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 shares</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1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1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4,926,108 (1)</w:t>
            </w: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4,926,108 (1)</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800" w:type="dxa"/>
            <w:vAlign w:val="bottom"/>
            <w:tcBorders>
              <w:right w:val="single" w:sz="8" w:color="auto"/>
            </w:tcBorders>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784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5.6% (1)</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8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80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IN</w:t>
            </w:r>
          </w:p>
        </w:tc>
        <w:tc>
          <w:tcPr>
            <w:tcW w:w="6140" w:type="dxa"/>
            <w:vAlign w:val="bottom"/>
            <w:tcBorders>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r>
    </w:tbl>
    <w:p>
      <w:pPr>
        <w:ind w:left="5660" w:right="5200" w:hanging="5652"/>
        <w:spacing w:after="0" w:line="781" w:lineRule="auto"/>
        <w:tabs>
          <w:tab w:leader="none" w:pos="254"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1,642,036 Shares currently issuable upon the exercise of certain warrants.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816212104</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Selecta Biosciences, Inc., a Delaware corporation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40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480 Arsenal Way</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Watertown, Massachusetts 02472</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40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40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Fund, L.P. (“BVF”)</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Fund II, L.P. (“BVF2”)</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Trading Fund OS LP (“Trading Fund OS”)</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BVF Partners OS Ltd. (“Partners OS”)</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BVF Partners L.P. (“Partners”)</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BVF Inc.</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44 Montgomery St., 40th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32"/>
        </w:trPr>
        <w:tc>
          <w:tcPr>
            <w:tcW w:w="102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ind w:left="464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816212104</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Mark N. Lampert (“Mr. Lampert”)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44 Montgomery St.,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United States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10400" w:type="dxa"/>
            <w:vAlign w:val="bottom"/>
            <w:gridSpan w:val="3"/>
          </w:tcPr>
          <w:p>
            <w:pPr>
              <w:ind w:left="280"/>
              <w:spacing w:after="0"/>
              <w:rPr>
                <w:sz w:val="20"/>
                <w:szCs w:val="20"/>
                <w:color w:val="auto"/>
              </w:rPr>
            </w:pPr>
            <w:r>
              <w:rPr>
                <w:rFonts w:ascii="Arial" w:cs="Arial" w:eastAsia="Arial" w:hAnsi="Arial"/>
                <w:sz w:val="18"/>
                <w:szCs w:val="18"/>
                <w:color w:val="auto"/>
              </w:rPr>
              <w:t>Each of the foregoing is referred to as a “Reporting Person” and collectively as the “Reporting Persons.”</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2(d).</w:t>
            </w:r>
          </w:p>
        </w:tc>
        <w:tc>
          <w:tcPr>
            <w:tcW w:w="10400" w:type="dxa"/>
            <w:vAlign w:val="bottom"/>
            <w:gridSpan w:val="3"/>
          </w:tcPr>
          <w:p>
            <w:pPr>
              <w:ind w:left="28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1020" w:type="dxa"/>
            <w:vAlign w:val="bottom"/>
          </w:tcPr>
          <w:p>
            <w:pPr>
              <w:spacing w:after="0"/>
              <w:rPr>
                <w:sz w:val="24"/>
                <w:szCs w:val="24"/>
                <w:color w:val="auto"/>
              </w:rPr>
            </w:pPr>
          </w:p>
        </w:tc>
        <w:tc>
          <w:tcPr>
            <w:tcW w:w="10400" w:type="dxa"/>
            <w:vAlign w:val="bottom"/>
            <w:gridSpan w:val="3"/>
          </w:tcPr>
          <w:p>
            <w:pPr>
              <w:ind w:left="280"/>
              <w:spacing w:after="0"/>
              <w:rPr>
                <w:sz w:val="20"/>
                <w:szCs w:val="20"/>
                <w:color w:val="auto"/>
              </w:rPr>
            </w:pPr>
            <w:r>
              <w:rPr>
                <w:rFonts w:ascii="Arial" w:cs="Arial" w:eastAsia="Arial" w:hAnsi="Arial"/>
                <w:sz w:val="18"/>
                <w:szCs w:val="18"/>
                <w:color w:val="auto"/>
              </w:rPr>
              <w:t>Common Stock, $0.0001 par value per share (the “Shares”)</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2(e).</w:t>
            </w:r>
          </w:p>
        </w:tc>
        <w:tc>
          <w:tcPr>
            <w:tcW w:w="1740" w:type="dxa"/>
            <w:vAlign w:val="bottom"/>
            <w:gridSpan w:val="2"/>
          </w:tcPr>
          <w:p>
            <w:pPr>
              <w:ind w:left="280"/>
              <w:spacing w:after="0"/>
              <w:rPr>
                <w:sz w:val="20"/>
                <w:szCs w:val="20"/>
                <w:color w:val="auto"/>
              </w:rPr>
            </w:pPr>
            <w:r>
              <w:rPr>
                <w:rFonts w:ascii="Arial" w:cs="Arial" w:eastAsia="Arial" w:hAnsi="Arial"/>
                <w:sz w:val="18"/>
                <w:szCs w:val="18"/>
                <w:color w:val="auto"/>
              </w:rPr>
              <w:t>CUSIP Number:</w:t>
            </w:r>
          </w:p>
        </w:tc>
        <w:tc>
          <w:tcPr>
            <w:tcW w:w="866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1120" w:type="dxa"/>
            <w:vAlign w:val="bottom"/>
          </w:tcPr>
          <w:p>
            <w:pPr>
              <w:ind w:left="280"/>
              <w:spacing w:after="0"/>
              <w:rPr>
                <w:sz w:val="20"/>
                <w:szCs w:val="20"/>
                <w:color w:val="auto"/>
              </w:rPr>
            </w:pPr>
            <w:r>
              <w:rPr>
                <w:rFonts w:ascii="Arial" w:cs="Arial" w:eastAsia="Arial" w:hAnsi="Arial"/>
                <w:sz w:val="18"/>
                <w:szCs w:val="18"/>
                <w:color w:val="auto"/>
                <w:w w:val="90"/>
              </w:rPr>
              <w:t>816212104</w:t>
            </w:r>
          </w:p>
        </w:tc>
        <w:tc>
          <w:tcPr>
            <w:tcW w:w="62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10400" w:type="dxa"/>
            <w:vAlign w:val="bottom"/>
            <w:gridSpan w:val="3"/>
          </w:tcPr>
          <w:p>
            <w:pPr>
              <w:ind w:left="280"/>
              <w:spacing w:after="0"/>
              <w:rPr>
                <w:sz w:val="20"/>
                <w:szCs w:val="20"/>
                <w:color w:val="auto"/>
              </w:rPr>
            </w:pPr>
            <w:r>
              <w:rPr>
                <w:rFonts w:ascii="Arial" w:cs="Arial" w:eastAsia="Arial" w:hAnsi="Arial"/>
                <w:sz w:val="18"/>
                <w:szCs w:val="18"/>
                <w:color w:val="auto"/>
              </w:rPr>
              <w:t>If This Statement is Filed Pursuant to Rule 13d-1(b), or 13d-2(b) or (c), Check Whether the Person Filing is a:</w:t>
            </w:r>
          </w:p>
        </w:tc>
      </w:tr>
      <w:tr>
        <w:trPr>
          <w:trHeight w:val="432"/>
        </w:trPr>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/x/</w:t>
            </w:r>
          </w:p>
        </w:tc>
        <w:tc>
          <w:tcPr>
            <w:tcW w:w="8660" w:type="dxa"/>
            <w:vAlign w:val="bottom"/>
          </w:tcPr>
          <w:p>
            <w:pPr>
              <w:ind w:left="240"/>
              <w:spacing w:after="0"/>
              <w:rPr>
                <w:sz w:val="20"/>
                <w:szCs w:val="20"/>
                <w:color w:val="auto"/>
              </w:rPr>
            </w:pPr>
            <w:r>
              <w:rPr>
                <w:rFonts w:ascii="Arial" w:cs="Arial" w:eastAsia="Arial" w:hAnsi="Arial"/>
                <w:sz w:val="18"/>
                <w:szCs w:val="18"/>
                <w:color w:val="auto"/>
              </w:rPr>
              <w:t>Not applicable.</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(a)</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660" w:type="dxa"/>
            <w:vAlign w:val="bottom"/>
          </w:tcPr>
          <w:p>
            <w:pPr>
              <w:ind w:left="24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(b)</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660" w:type="dxa"/>
            <w:vAlign w:val="bottom"/>
          </w:tcPr>
          <w:p>
            <w:pPr>
              <w:ind w:left="240"/>
              <w:spacing w:after="0"/>
              <w:rPr>
                <w:sz w:val="20"/>
                <w:szCs w:val="20"/>
                <w:color w:val="auto"/>
              </w:rPr>
            </w:pPr>
            <w:r>
              <w:rPr>
                <w:rFonts w:ascii="Arial" w:cs="Arial" w:eastAsia="Arial" w:hAnsi="Arial"/>
                <w:sz w:val="18"/>
                <w:szCs w:val="18"/>
                <w:color w:val="auto"/>
              </w:rPr>
              <w:t>Bank as defined in Section 3(a)(6) of the Exchange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(c)</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660" w:type="dxa"/>
            <w:vAlign w:val="bottom"/>
          </w:tcPr>
          <w:p>
            <w:pPr>
              <w:ind w:left="24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(d)</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660" w:type="dxa"/>
            <w:vAlign w:val="bottom"/>
          </w:tcPr>
          <w:p>
            <w:pPr>
              <w:ind w:left="24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(e)</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660" w:type="dxa"/>
            <w:vAlign w:val="bottom"/>
          </w:tcPr>
          <w:p>
            <w:pPr>
              <w:ind w:left="24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(f)</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660" w:type="dxa"/>
            <w:vAlign w:val="bottom"/>
          </w:tcPr>
          <w:p>
            <w:pPr>
              <w:ind w:left="24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(g)</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660" w:type="dxa"/>
            <w:vAlign w:val="bottom"/>
          </w:tcPr>
          <w:p>
            <w:pPr>
              <w:ind w:left="24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(h)</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660" w:type="dxa"/>
            <w:vAlign w:val="bottom"/>
          </w:tcPr>
          <w:p>
            <w:pPr>
              <w:ind w:left="24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18"/>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(i)</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660" w:type="dxa"/>
            <w:vAlign w:val="bottom"/>
          </w:tcPr>
          <w:p>
            <w:pPr>
              <w:ind w:left="240"/>
              <w:spacing w:after="0"/>
              <w:rPr>
                <w:sz w:val="20"/>
                <w:szCs w:val="20"/>
                <w:color w:val="auto"/>
              </w:rPr>
            </w:pPr>
            <w:r>
              <w:rPr>
                <w:rFonts w:ascii="Arial" w:cs="Arial" w:eastAsia="Arial" w:hAnsi="Arial"/>
                <w:sz w:val="18"/>
                <w:szCs w:val="18"/>
                <w:color w:val="auto"/>
              </w:rPr>
              <w:t>A church plan that is excluded from the definition of an investment company under Section 3(c)(14) of the</w:t>
            </w:r>
          </w:p>
        </w:tc>
      </w:tr>
      <w:tr>
        <w:trPr>
          <w:trHeight w:val="230"/>
        </w:trPr>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60" w:type="dxa"/>
            <w:vAlign w:val="bottom"/>
          </w:tcPr>
          <w:p>
            <w:pPr>
              <w:ind w:left="240"/>
              <w:spacing w:after="0"/>
              <w:rPr>
                <w:sz w:val="20"/>
                <w:szCs w:val="20"/>
                <w:color w:val="auto"/>
              </w:rPr>
            </w:pPr>
            <w:r>
              <w:rPr>
                <w:rFonts w:ascii="Arial" w:cs="Arial" w:eastAsia="Arial" w:hAnsi="Arial"/>
                <w:sz w:val="18"/>
                <w:szCs w:val="18"/>
                <w:color w:val="auto"/>
              </w:rPr>
              <w:t>Investment Company Act.</w:t>
            </w:r>
          </w:p>
        </w:tc>
      </w:tr>
      <w:tr>
        <w:trPr>
          <w:trHeight w:val="432"/>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(j)</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660" w:type="dxa"/>
            <w:vAlign w:val="bottom"/>
          </w:tcPr>
          <w:p>
            <w:pPr>
              <w:ind w:left="240"/>
              <w:spacing w:after="0"/>
              <w:rPr>
                <w:sz w:val="20"/>
                <w:szCs w:val="20"/>
                <w:color w:val="auto"/>
              </w:rPr>
            </w:pPr>
            <w:r>
              <w:rPr>
                <w:rFonts w:ascii="Arial" w:cs="Arial" w:eastAsia="Arial" w:hAnsi="Arial"/>
                <w:sz w:val="18"/>
                <w:szCs w:val="18"/>
                <w:color w:val="auto"/>
              </w:rPr>
              <w:t>Group, in accordance with Rule 13d-1(b)(1)(ii)(J).</w:t>
            </w:r>
          </w:p>
        </w:tc>
      </w:tr>
      <w:tr>
        <w:trPr>
          <w:trHeight w:val="418"/>
        </w:trPr>
        <w:tc>
          <w:tcPr>
            <w:tcW w:w="102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8"/>
                <w:szCs w:val="18"/>
                <w:color w:val="auto"/>
              </w:rPr>
              <w:t>(k)</w:t>
            </w:r>
          </w:p>
        </w:tc>
        <w:tc>
          <w:tcPr>
            <w:tcW w:w="620" w:type="dxa"/>
            <w:vAlign w:val="bottom"/>
          </w:tcPr>
          <w:p>
            <w:pPr>
              <w:ind w:left="40"/>
              <w:spacing w:after="0"/>
              <w:rPr>
                <w:sz w:val="20"/>
                <w:szCs w:val="20"/>
                <w:color w:val="auto"/>
              </w:rPr>
            </w:pPr>
            <w:r>
              <w:rPr>
                <w:rFonts w:ascii="Arial" w:cs="Arial" w:eastAsia="Arial" w:hAnsi="Arial"/>
                <w:sz w:val="18"/>
                <w:szCs w:val="18"/>
                <w:color w:val="auto"/>
              </w:rPr>
              <w:t>/ /</w:t>
            </w:r>
          </w:p>
        </w:tc>
        <w:tc>
          <w:tcPr>
            <w:tcW w:w="8660" w:type="dxa"/>
            <w:vAlign w:val="bottom"/>
          </w:tcPr>
          <w:p>
            <w:pPr>
              <w:ind w:left="240"/>
              <w:spacing w:after="0"/>
              <w:rPr>
                <w:sz w:val="20"/>
                <w:szCs w:val="20"/>
                <w:color w:val="auto"/>
              </w:rPr>
            </w:pPr>
            <w:r>
              <w:rPr>
                <w:rFonts w:ascii="Arial" w:cs="Arial" w:eastAsia="Arial" w:hAnsi="Arial"/>
                <w:sz w:val="18"/>
                <w:szCs w:val="18"/>
                <w:color w:val="auto"/>
                <w:w w:val="95"/>
              </w:rPr>
              <w:t>Group, in accordance with Rule 240.13d-1(b)(1)(ii)(K). If filing as a non-U.S. institution in accordance with Rule</w:t>
            </w:r>
          </w:p>
        </w:tc>
      </w:tr>
      <w:tr>
        <w:trPr>
          <w:trHeight w:val="230"/>
        </w:trPr>
        <w:tc>
          <w:tcPr>
            <w:tcW w:w="1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60" w:type="dxa"/>
            <w:vAlign w:val="bottom"/>
          </w:tcPr>
          <w:p>
            <w:pPr>
              <w:ind w:left="240"/>
              <w:spacing w:after="0"/>
              <w:rPr>
                <w:sz w:val="20"/>
                <w:szCs w:val="20"/>
                <w:color w:val="auto"/>
              </w:rPr>
            </w:pPr>
            <w:r>
              <w:rPr>
                <w:rFonts w:ascii="Arial" w:cs="Arial" w:eastAsia="Arial" w:hAnsi="Arial"/>
                <w:sz w:val="18"/>
                <w:szCs w:val="18"/>
                <w:color w:val="auto"/>
              </w:rPr>
              <w:t>240.13d-1(b)(1)(ii)(J), please specify the type of institution: ____</w:t>
            </w:r>
          </w:p>
        </w:tc>
      </w:tr>
      <w:tr>
        <w:trPr>
          <w:trHeight w:val="540"/>
        </w:trPr>
        <w:tc>
          <w:tcPr>
            <w:tcW w:w="10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ind w:left="286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226"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816212104</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jc w:val="both"/>
        <w:ind w:left="1300"/>
        <w:spacing w:after="0" w:line="293" w:lineRule="auto"/>
        <w:rPr>
          <w:rFonts w:ascii="Arial" w:cs="Arial" w:eastAsia="Arial" w:hAnsi="Arial"/>
          <w:sz w:val="18"/>
          <w:szCs w:val="18"/>
          <w:color w:val="auto"/>
        </w:rPr>
      </w:pPr>
      <w:r>
        <w:rPr>
          <w:rFonts w:ascii="Arial" w:cs="Arial" w:eastAsia="Arial" w:hAnsi="Arial"/>
          <w:sz w:val="16"/>
          <w:szCs w:val="16"/>
          <w:color w:val="auto"/>
        </w:rPr>
        <w:t>As of the close of business on January 6, 2020, the Reporting Persons held 1,642,036 Warrants exercisable for an aggregate of 1,642,036 Shares (the “Warrants”). The Warrants are subject to an exercise limitation, and may not be exercised if, after such exercise, the Reporting Persons would beneficially own in the aggregate, as determined in accordance with Section 13(d) of the Securities Exchange Act of 1934, more than 9.999% of the number of Shares then issued and outstanding. Such Warrants have an initial exercise price of $1.46 per share, subject to adjustment pursuant to the terms of the Warrants, and expire on December 23, 2024. As of the close of business on January 6, 2020, the Warrant exercise limitation described above does not limit the exercise of the Warrants by the Reporting Persons.</w:t>
      </w:r>
    </w:p>
    <w:p>
      <w:pPr>
        <w:spacing w:after="0" w:line="165" w:lineRule="exact"/>
        <w:rPr>
          <w:sz w:val="20"/>
          <w:szCs w:val="20"/>
          <w:color w:val="auto"/>
        </w:rPr>
      </w:pPr>
    </w:p>
    <w:p>
      <w:pPr>
        <w:jc w:val="both"/>
        <w:ind w:left="1300"/>
        <w:spacing w:after="0" w:line="312" w:lineRule="auto"/>
        <w:rPr>
          <w:sz w:val="20"/>
          <w:szCs w:val="20"/>
          <w:color w:val="auto"/>
        </w:rPr>
      </w:pPr>
      <w:r>
        <w:rPr>
          <w:rFonts w:ascii="Arial" w:cs="Arial" w:eastAsia="Arial" w:hAnsi="Arial"/>
          <w:sz w:val="16"/>
          <w:szCs w:val="16"/>
          <w:color w:val="auto"/>
        </w:rPr>
        <w:t>As of the close of business on January 6, 2020, (i) BVF beneficially owned 2,491,422 Shares, including 830,474 Shares issuable upon the exercise of Warrants, (ii) BVF2 beneficially owned 1,940,469 Shares, including 646,823 Shares issuable upon the exercise of Warrants and (iii) Trading Fund OS beneficially owned 339,468 Shares, including 113,156 Shares issuable upon the exercise of Warrants.</w:t>
      </w:r>
    </w:p>
    <w:p>
      <w:pPr>
        <w:spacing w:after="0" w:line="147" w:lineRule="exact"/>
        <w:rPr>
          <w:sz w:val="20"/>
          <w:szCs w:val="20"/>
          <w:color w:val="auto"/>
        </w:rPr>
      </w:pPr>
    </w:p>
    <w:p>
      <w:pPr>
        <w:jc w:val="both"/>
        <w:ind w:left="1300" w:right="20"/>
        <w:spacing w:after="0" w:line="277" w:lineRule="auto"/>
        <w:rPr>
          <w:sz w:val="20"/>
          <w:szCs w:val="20"/>
          <w:color w:val="auto"/>
        </w:rPr>
      </w:pPr>
      <w:r>
        <w:rPr>
          <w:rFonts w:ascii="Arial" w:cs="Arial" w:eastAsia="Arial" w:hAnsi="Arial"/>
          <w:sz w:val="18"/>
          <w:szCs w:val="18"/>
          <w:color w:val="auto"/>
        </w:rPr>
        <w:t>Partners OS, as the general partner of Trading Fund OS, may be deemed to beneficially own the 339,468 Shares beneficially owned by Trading Fund OS.</w:t>
      </w:r>
    </w:p>
    <w:p>
      <w:pPr>
        <w:spacing w:after="0" w:line="170"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Partners, as the general partner of BVF, BVF2, the investment manager of Trading Fund OS, and the sole member of Partners OS, may be deemed to beneficially own the 4,926,108 Shares beneficially owned in the aggregate by BVF, BVF2, Trading Fund OS, and a certain Partners managed account (the “Partners Managed Account”), including 154,749 Shares, which includes 51,583 Shares issuable upon the exercise of Warrants, held in the Partners Managed Account.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BVF Inc., as the general partner of Partners, may be deemed to beneficially own the 4,926,108 Shares beneficially owned by Partners.</w:t>
      </w:r>
    </w:p>
    <w:p>
      <w:pPr>
        <w:spacing w:after="0" w:line="237"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Mr. Lampert, as a director and officer of BVF Inc., may be deemed to beneficially own the 4,926,108 Shares beneficially owned by BVF Inc.</w:t>
      </w:r>
    </w:p>
    <w:p>
      <w:pPr>
        <w:spacing w:after="0" w:line="170"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The foregoing should not be construed in and of itself as an admission by any Reporting Person as to beneficial ownership of any securities owned by another Reporting Person. Partners OS disclaims beneficial ownership of the securities beneficially owned by Trading Fund OS. Each of Partners, BVF Inc. and Mr. Lampert disclaims beneficial ownership of the securities beneficially owned by BVF, BVF2, Trading Fund OS, and the Partners Managed Account, and the filing of this statement shall not be construed as an admission that any such person or entity is the beneficial owner of any such securities.</w:t>
      </w:r>
    </w:p>
    <w:p>
      <w:pPr>
        <w:spacing w:after="0" w:line="188"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The following percentages are based on a denominator that is the sum of: (i) 86,325,547 Shares outstanding as of December 23, 2019, as provided by the Issuer and (ii) certain or all of the 1,642,036 Shares underlying the Warrants, as applicable.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816212104</w:t>
      </w:r>
    </w:p>
    <w:p>
      <w:pPr>
        <w:spacing w:after="0" w:line="105"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As of the close of business on January 6, 2020, (i) BVF beneficially owned approximately 2.9% of the outstanding Shares, (ii) BVF2 beneficially owned approximately 2.2% of the outstanding Shares, (iii) Trading Fund OS beneficially owned less than 1% of the outstanding Shares, (iv) Partners OS may be deemed to beneficially own less than 1% of the outstanding Shares, and (v) each of Partners, BVF Inc. and Mr. Lampert may be deemed to beneficially own approximately 5.6% of the outstanding Shares (less than 1% of the outstanding Shares are held in the Partners Managed Account).</w:t>
      </w:r>
    </w:p>
    <w:p>
      <w:pPr>
        <w:spacing w:after="0" w:line="188"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sz w:val="20"/>
          <w:szCs w:val="20"/>
          <w:color w:val="auto"/>
        </w:rPr>
      </w:pPr>
    </w:p>
    <w:p>
      <w:pPr>
        <w:ind w:left="1300" w:right="7300" w:hanging="644"/>
        <w:spacing w:after="0" w:line="501"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ind w:left="1300" w:right="7120" w:hanging="644"/>
        <w:spacing w:after="0" w:line="501"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ind w:left="1300" w:right="6400" w:hanging="644"/>
        <w:spacing w:after="0" w:line="501"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ind w:left="1300" w:right="6220" w:hanging="644"/>
        <w:spacing w:after="0" w:line="501"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Partners, BVF Inc. and Mr. Lampert share voting and dispositive power over the Shares beneficially owned by BVF, BVF2, Trading Fund OS, and the Partners Managed Account.</w:t>
      </w:r>
    </w:p>
    <w:p>
      <w:pPr>
        <w:spacing w:after="0" w:line="170" w:lineRule="exact"/>
        <w:rPr>
          <w:sz w:val="20"/>
          <w:szCs w:val="20"/>
          <w:color w:val="auto"/>
        </w:rPr>
      </w:pPr>
    </w:p>
    <w:p>
      <w:pPr>
        <w:ind w:left="130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816212104</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816212104</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ectPr>
          <w:pgSz w:w="11900" w:h="16838" w:orient="portrait"/>
          <w:cols w:equalWidth="0" w:num="1">
            <w:col w:w="11400"/>
          </w:cols>
          <w:pgMar w:left="240" w:top="226" w:right="2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Partners L.P., its general partner</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II,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Partners L.P., its general partner</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PARTNERS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PARTNERS OS LTD.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Partners L.P., its sole member</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BIOTECHNOLOGY VALUE TRADING FUND OS LP</w:t>
      </w:r>
    </w:p>
    <w:p>
      <w:pPr>
        <w:spacing w:after="0" w:line="23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Partners L.P., its investment manager</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BVF INC.</w:t>
      </w:r>
    </w:p>
    <w:p>
      <w:pPr>
        <w:spacing w:after="0" w:line="225"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N. Lampert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-130810</wp:posOffset>
            </wp:positionV>
            <wp:extent cx="32588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 Mark N. Lampert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-130810</wp:posOffset>
            </wp:positionV>
            <wp:extent cx="35420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900" w:space="720"/>
            <w:col w:w="5780"/>
          </w:cols>
          <w:pgMar w:left="240" w:top="226" w:right="25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The undersigned hereby agree that the Statement on Schedule 13G dated January 6, 2020 with respect to the shares of Common Stock of Selecta Biosciences, Inc., and any further amendments thereto executed by each and any of the undersigned shall be filed on behalf of each of the undersigned pursuant to and in accordance with the provisions of Rule 13d-1(k)(1) under the Securities Exchange Act of 1934, as amended.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Dated: January 6, 2020</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BIOTECHNOLOGY VALUE FUND, L.P.</w:t>
            </w:r>
          </w:p>
        </w:tc>
        <w:tc>
          <w:tcPr>
            <w:tcW w:w="46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BVF INC.</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Pr>
          <w:p>
            <w:pPr>
              <w:spacing w:after="0"/>
              <w:rPr>
                <w:sz w:val="20"/>
                <w:szCs w:val="20"/>
                <w:color w:val="auto"/>
              </w:rPr>
            </w:pPr>
            <w:r>
              <w:rPr>
                <w:rFonts w:ascii="Arial" w:cs="Arial" w:eastAsia="Arial" w:hAnsi="Arial"/>
                <w:sz w:val="18"/>
                <w:szCs w:val="18"/>
                <w:color w:val="auto"/>
              </w:rPr>
              <w:t>BVF Partners L.P., its general partner</w:t>
            </w:r>
          </w:p>
        </w:tc>
        <w:tc>
          <w:tcPr>
            <w:tcW w:w="46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By:  /s/ Mark N. Lampert</w:t>
            </w:r>
          </w:p>
        </w:tc>
        <w:tc>
          <w:tcPr>
            <w:tcW w:w="0" w:type="dxa"/>
            <w:vAlign w:val="bottom"/>
          </w:tcPr>
          <w:p>
            <w:pPr>
              <w:spacing w:after="0"/>
              <w:rPr>
                <w:sz w:val="1"/>
                <w:szCs w:val="1"/>
                <w:color w:val="auto"/>
              </w:rPr>
            </w:pPr>
          </w:p>
        </w:tc>
      </w:tr>
      <w:tr>
        <w:trPr>
          <w:trHeight w:val="195"/>
        </w:trPr>
        <w:tc>
          <w:tcPr>
            <w:tcW w:w="460" w:type="dxa"/>
            <w:vAlign w:val="bottom"/>
          </w:tcPr>
          <w:p>
            <w:pPr>
              <w:spacing w:after="0" w:line="195" w:lineRule="exact"/>
              <w:rPr>
                <w:sz w:val="20"/>
                <w:szCs w:val="20"/>
                <w:color w:val="auto"/>
              </w:rPr>
            </w:pPr>
            <w:r>
              <w:rPr>
                <w:rFonts w:ascii="Arial" w:cs="Arial" w:eastAsia="Arial" w:hAnsi="Arial"/>
                <w:sz w:val="18"/>
                <w:szCs w:val="18"/>
                <w:color w:val="auto"/>
              </w:rPr>
              <w:t>By:</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BVF Inc., its general partner</w:t>
            </w: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Mark N. Lampert</w:t>
            </w:r>
          </w:p>
        </w:tc>
        <w:tc>
          <w:tcPr>
            <w:tcW w:w="0" w:type="dxa"/>
            <w:vAlign w:val="bottom"/>
          </w:tcPr>
          <w:p>
            <w:pPr>
              <w:spacing w:after="0"/>
              <w:rPr>
                <w:sz w:val="1"/>
                <w:szCs w:val="1"/>
                <w:color w:val="auto"/>
              </w:rPr>
            </w:pPr>
          </w:p>
        </w:tc>
      </w:tr>
      <w:tr>
        <w:trPr>
          <w:trHeight w:val="23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By:  /s/ Mark N. Lampert</w:t>
            </w: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16"/>
        </w:trPr>
        <w:tc>
          <w:tcPr>
            <w:tcW w:w="538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4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Mark N. Lampert</w:t>
            </w: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President</w:t>
            </w:r>
          </w:p>
        </w:tc>
        <w:tc>
          <w:tcPr>
            <w:tcW w:w="460" w:type="dxa"/>
            <w:vAlign w:val="bottom"/>
          </w:tcPr>
          <w:p>
            <w:pPr>
              <w:spacing w:after="0"/>
              <w:rPr>
                <w:sz w:val="20"/>
                <w:szCs w:val="20"/>
                <w:color w:val="auto"/>
              </w:rPr>
            </w:pP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N. Lampert</w:t>
            </w: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MARK N. LAMPERT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II,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Partners L.P., its general partner</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PARTNERS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BVF PARTNERS OS LTD.</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Partners L.P., its sole member</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TRADING FUND OS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Partners L.P., its investment manager</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BVF Inc., its 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Mark N. Lampert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N.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1216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2"/>
    </w:lvl>
  </w:abstractNum>
  <w:abstractNum w:abstractNumId="13">
    <w:nsid w:val="7FDCC233"/>
    <w:multiLevelType w:val="hybridMultilevel"/>
    <w:lvl w:ilvl="0">
      <w:lvlJc w:val="left"/>
      <w:lvlText w:val="(%1)"/>
      <w:numFmt w:val="lowerLetter"/>
      <w:start w:val="3"/>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2020-01-07T05:01:55Z</dcterms:created>
  <dcterms:modified xsi:type="dcterms:W3CDTF">2020-01-07T05:01:55Z</dcterms:modified>
</cp:coreProperties>
</file>