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1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5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September 12, 2017</w:t>
      </w:r>
    </w:p>
    <w:p>
      <w:pPr>
        <w:spacing w:after="0" w:line="200" w:lineRule="exact"/>
        <w:rPr>
          <w:sz w:val="24"/>
          <w:szCs w:val="24"/>
          <w:color w:val="auto"/>
        </w:rPr>
      </w:pPr>
    </w:p>
    <w:p>
      <w:pPr>
        <w:spacing w:after="0" w:line="22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SELECTA BIOSCIENCES,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679" w:right="299" w:bottom="1440" w:gutter="0" w:footer="0" w:header="0"/>
        </w:sectPr>
      </w:pPr>
    </w:p>
    <w:p>
      <w:pPr>
        <w:spacing w:after="0" w:line="151" w:lineRule="exact"/>
        <w:rPr>
          <w:sz w:val="24"/>
          <w:szCs w:val="24"/>
          <w:color w:val="auto"/>
        </w:rPr>
      </w:pPr>
    </w:p>
    <w:p>
      <w:pPr>
        <w:ind w:left="13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2440"/>
        <w:spacing w:after="0"/>
        <w:rPr>
          <w:sz w:val="20"/>
          <w:szCs w:val="20"/>
          <w:color w:val="auto"/>
        </w:rPr>
      </w:pPr>
      <w:r>
        <w:rPr>
          <w:rFonts w:ascii="Arial" w:cs="Arial" w:eastAsia="Arial" w:hAnsi="Arial"/>
          <w:sz w:val="16"/>
          <w:szCs w:val="16"/>
          <w:b w:val="1"/>
          <w:bCs w:val="1"/>
          <w:color w:val="auto"/>
        </w:rPr>
        <w:t>001-37798</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26-1622110</w:t>
      </w:r>
    </w:p>
    <w:p>
      <w:pPr>
        <w:spacing w:after="0" w:line="90" w:lineRule="exact"/>
        <w:rPr>
          <w:sz w:val="24"/>
          <w:szCs w:val="24"/>
          <w:color w:val="auto"/>
        </w:rPr>
      </w:pPr>
    </w:p>
    <w:p>
      <w:pPr>
        <w:sectPr>
          <w:pgSz w:w="11900" w:h="16838" w:orient="portrait"/>
          <w:cols w:equalWidth="0" w:num="3">
            <w:col w:w="4620" w:space="720"/>
            <w:col w:w="3220" w:space="720"/>
            <w:col w:w="2080"/>
          </w:cols>
          <w:pgMar w:left="240" w:top="679" w:right="299" w:bottom="1440" w:gutter="0" w:footer="0" w:header="0"/>
          <w:type w:val="continuous"/>
        </w:sectPr>
      </w:pPr>
    </w:p>
    <w:p>
      <w:pPr>
        <w:ind w:left="68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ind w:left="64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7"/>
          <w:szCs w:val="17"/>
          <w:color w:val="auto"/>
        </w:rPr>
        <w:t>(I.R.S. Employer</w:t>
      </w:r>
    </w:p>
    <w:p>
      <w:pPr>
        <w:spacing w:after="0" w:line="35"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4520" w:space="720"/>
            <w:col w:w="3080" w:space="720"/>
            <w:col w:w="2320"/>
          </w:cols>
          <w:pgMar w:left="240" w:top="679" w:right="299" w:bottom="1440" w:gutter="0" w:footer="0" w:header="0"/>
          <w:type w:val="continuous"/>
        </w:sectPr>
      </w:pPr>
    </w:p>
    <w:p>
      <w:pPr>
        <w:spacing w:after="0" w:line="45"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480 Arsenal Way</w:t>
      </w:r>
    </w:p>
    <w:p>
      <w:pPr>
        <w:spacing w:after="0" w:line="27"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Watertown, MA 02472</w:t>
      </w:r>
    </w:p>
    <w:p>
      <w:pPr>
        <w:spacing w:after="0" w:line="9"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(617) 923-1400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include area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360"/>
          </w:cols>
          <w:pgMar w:left="240" w:top="679" w:right="299" w:bottom="144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38" w:lineRule="exact"/>
        <w:rPr>
          <w:sz w:val="24"/>
          <w:szCs w:val="24"/>
          <w:color w:val="auto"/>
        </w:rPr>
      </w:pPr>
    </w:p>
    <w:p>
      <w:pPr>
        <w:ind w:left="1340" w:hanging="810"/>
        <w:spacing w:after="0"/>
        <w:tabs>
          <w:tab w:leader="none" w:pos="1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33" w:lineRule="exact"/>
        <w:rPr>
          <w:rFonts w:ascii="Arial" w:cs="Arial" w:eastAsia="Arial" w:hAnsi="Arial"/>
          <w:sz w:val="18"/>
          <w:szCs w:val="18"/>
          <w:color w:val="auto"/>
        </w:rPr>
      </w:pPr>
    </w:p>
    <w:p>
      <w:pPr>
        <w:ind w:left="1340" w:hanging="810"/>
        <w:spacing w:after="0"/>
        <w:tabs>
          <w:tab w:leader="none" w:pos="1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33" w:lineRule="exact"/>
        <w:rPr>
          <w:rFonts w:ascii="Arial" w:cs="Arial" w:eastAsia="Arial" w:hAnsi="Arial"/>
          <w:sz w:val="18"/>
          <w:szCs w:val="18"/>
          <w:color w:val="auto"/>
        </w:rPr>
      </w:pPr>
    </w:p>
    <w:p>
      <w:pPr>
        <w:ind w:left="1340" w:hanging="810"/>
        <w:spacing w:after="0"/>
        <w:tabs>
          <w:tab w:leader="none" w:pos="1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33" w:lineRule="exact"/>
        <w:rPr>
          <w:rFonts w:ascii="Arial" w:cs="Arial" w:eastAsia="Arial" w:hAnsi="Arial"/>
          <w:sz w:val="18"/>
          <w:szCs w:val="18"/>
          <w:color w:val="auto"/>
        </w:rPr>
      </w:pPr>
    </w:p>
    <w:p>
      <w:pPr>
        <w:ind w:left="1340" w:hanging="810"/>
        <w:spacing w:after="0"/>
        <w:tabs>
          <w:tab w:leader="none" w:pos="1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32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ectPr>
          <w:pgSz w:w="11900" w:h="16838" w:orient="portrait"/>
          <w:cols w:equalWidth="0" w:num="1">
            <w:col w:w="11360"/>
          </w:cols>
          <w:pgMar w:left="240" w:top="679"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On September 12, 2017, Selecta Biosciences, Inc. (the “Company”) entered into a term loan facility of up to $21.0 million (the “Term Loan”) with Silicon Valley Bank, a California corporation (“SVB”), the proceeds of which will be used to repay the Company’s existing term loan facility and for general corporate and working capital purposes.</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Term Loan is governed by a loan and security agreement, dated September 12, 2017, between the Company and SVB (the “Loan Agreement”). The Term Loan was funded in full on September 13, 2017 (the “Funding Date”).</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Term Loan will mature on February 1, 2022. Each advance under the Term Loan accrues interest at a floating per annum rate equal to one-half of one percent above the prime rate (as published in the money rates section of The Wall Street Journal). The Term Loan provides for interest-only payments on a monthly basis until August 31, 2019. Thereafter, amortization payments will be payable monthly in equal installments of principal and interest to fully amortize the outstanding principal over the remaining term of the loan, subject to recalculation upon a change in the prime rate. The Company may prepay the Term Loan in full but not in part provided that the Company (i) provides five business days’ prior written notice to SVB, (ii) pays on the date of such prepayment (A) all outstanding principal plus accrued and unpaid interest, and (B) a prepayment premium of between 3.0% and 1.0% of the aggregate original principal amount advanced by the lender depending on the timing of the prepayment. Amounts outstanding during an event of default are payable upon SVB’s demand and shall accrue interest at an additional rate of 4.0% per annum of the past due amount outstanding. At the end of the loan term (whether at maturity, by prepayment in full or otherwise), the Company shall make a final payment to the lender in the amount of 5.0% of the aggregate original principal amount advanced by the lender.</w:t>
      </w:r>
    </w:p>
    <w:p>
      <w:pPr>
        <w:spacing w:after="0" w:line="178"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The Term Loan is secured by a lien on substantially all of the assets of the Company, other than intellectual property, provided that such lien on substantially all assets includes any rights to payments and proceeds from the sale, licensing or disposition of intellectual property. The Company has also granted SVB a negative pledge with respect to its intellectual property.</w:t>
      </w:r>
    </w:p>
    <w:p>
      <w:pPr>
        <w:ind w:right="60"/>
        <w:spacing w:after="0" w:line="254" w:lineRule="auto"/>
        <w:rPr>
          <w:sz w:val="20"/>
          <w:szCs w:val="20"/>
          <w:color w:val="auto"/>
        </w:rPr>
      </w:pPr>
      <w:r>
        <w:rPr>
          <w:rFonts w:ascii="Arial" w:cs="Arial" w:eastAsia="Arial" w:hAnsi="Arial"/>
          <w:sz w:val="18"/>
          <w:szCs w:val="18"/>
          <w:color w:val="auto"/>
        </w:rPr>
        <w:t>The Loan Agreement contains customary covenants and representations, including but not limited to financial reporting obligations and limitations on dividends, indebtedness, collateral, investments, distributions, transfers, mergers or acquisitions, taxes, corporate changes, deposit accounts, and subsidiaries. The Loan Agreement also contains other customary provisions, such as expense reimbursement, non-disclosure obligations as well as indemnification rights for the benefit of SVB.</w:t>
      </w:r>
    </w:p>
    <w:p>
      <w:pPr>
        <w:spacing w:after="0" w:line="19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events of default under the Loan Agreement include, but are not limited to, the Company’s failure to make any payments of principal or interest under the Loan Agreement or other transaction documents, the Company’s breach or default in the performance of any covenant under the Loan Agreement or other transaction documents, the occurrence of a material adverse effect, the Company making a false or misleading representation or warranty in any material respect under the Loan Agreement, the Company’s insolvency or bankruptcy, any attachment or judgment on the Company’s assets of at least $250,000, or the occurrence of any default under any agreement or obligation of the Company involving indebtedness in excess of $250,000. If an event of default occurs, SVB is entitled to take enforcement action, including acceleration of amounts due under the Loan Agreement.</w:t>
      </w:r>
    </w:p>
    <w:p>
      <w:pPr>
        <w:spacing w:after="0" w:line="17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foregoing description of the Loan Agreement is a summary, and is qualified in its entirety by reference to such document, which is filed herewith as Exhibit 10.1, and is incorporated herein by reference.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Termination of a Material Definitive Agreement.</w:t>
      </w:r>
    </w:p>
    <w:p>
      <w:pPr>
        <w:spacing w:after="0" w:line="22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On the Funding Date, the Company utilized approximately $10.0 million of the Term Loan to pay off all obligations owing under, and to terminate, as of the Funding Date, the Amended and Restated Loan and Security Agreement, dated as of December 31, 2015 (as the same may from time to time have been amended, restated, or otherwise modified, the “Prior Loan Agreement”), among Oxford Finance LLC (“Oxford”), as collateral agent and lender, Pacific Western Bank, as a lender, and the Company. The Prior Loan Agreement had permitted the Company to borrow up to an aggregate principal amount of $12.0 million. The Prior Loan Agreement was secured by substantially all of the Company’s assets other than its intellectual property. The Company had also granted Oxford and Pacific Western Bank a negative pledge with respect to its intellectual property. The aggregate principal amount under the Prior Loan Agreement accrued interest at an annual rate of 8.1% and was payable over 30 monthly installments beginning on February 1, 2017. Oxford’s secured interests under the Prior Loan Agreement were terminated in connection with the Company’s discharge of indebtedness thereunder.</w:t>
      </w:r>
    </w:p>
    <w:p>
      <w:pPr>
        <w:sectPr>
          <w:pgSz w:w="11900" w:h="16838" w:orient="portrait"/>
          <w:cols w:equalWidth="0" w:num="1">
            <w:col w:w="11400"/>
          </w:cols>
          <w:pgMar w:left="240" w:top="796"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2.03. Creation of Direct Financial Obligation or an Obligation under an Off-Balance Sheet Arrangement of a Registrant.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regarding the Term Loan set forth under Item 1.01 of this Current Report on Form 8-K (the “Current Report”) is incorporated by reference in this Item 2.03.</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a result of the Loan Agreement, the Company expects that its current cash, cash equivalents and short-term investments will fund its operating expenses and capital expenditure requirements into the mid-2019.</w:t>
      </w:r>
    </w:p>
    <w:p>
      <w:pPr>
        <w:spacing w:after="0" w:line="170"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information in this Item 7.01 of this Current Report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Disclaimer</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Current Report contains forward-looking statements within the meaning of the Private Securities Litigation Reform Act of 1995. All statements contained in this Current Report that do not relate to matters of historical fact should be considered forward-looking statements, including without limitation, statements regarding the sufficiency of the company’s cash, cash equivalents and short-term investments. 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 the uncertainties inherent in the initiation, completion and cost of clinical trials including their uncertain outcomes; our need for substantial additional funding in order to complete development of our product candidates and commercialize our products, if approved; and availability of funding sufficient for our foreseeable and unforeseeable operating expenses and capital expenditure requirements. These and other important factors discussed under the caption “Risk Factors” in our Quarterly Report on Form 10-Q filed with the Securities and Exchange Commission, or SEC, on August 11, 2017, and our other reports filed with the SEC could cause actual results to differ materially from those indicated by the forward-looking statements made in this Current Report. Any such forward-looking statements represent management’s estimates as of the date of this Current Report.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Current Report.</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shall be deemed furnished, and not filed:</w:t>
      </w:r>
    </w:p>
    <w:p>
      <w:pPr>
        <w:spacing w:after="0" w:line="37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40"/>
        <w:spacing w:after="0"/>
        <w:tabs>
          <w:tab w:leader="none" w:pos="174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u w:val="single" w:color="auto"/>
          <w:color w:val="0000EE"/>
        </w:rPr>
        <w:t>Loan and Security Agreement, dated September 12, 2017, between Selecta Biosciences, Inc. and Silicon Valley Bank</w:t>
      </w:r>
    </w:p>
    <w:p>
      <w:pPr>
        <w:sectPr>
          <w:pgSz w:w="11900" w:h="16838" w:orient="portrait"/>
          <w:cols w:equalWidth="0" w:num="1">
            <w:col w:w="11380"/>
          </w:cols>
          <w:pgMar w:left="240" w:top="580" w:right="279"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SELECTA BIOSCIENCES,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5500" w:val="left"/>
          <w:tab w:leader="none" w:pos="6180" w:val="left"/>
        </w:tabs>
        <w:rPr>
          <w:sz w:val="20"/>
          <w:szCs w:val="20"/>
          <w:color w:val="auto"/>
        </w:rPr>
      </w:pPr>
      <w:r>
        <w:rPr>
          <w:rFonts w:ascii="Arial" w:cs="Arial" w:eastAsia="Arial" w:hAnsi="Arial"/>
          <w:sz w:val="18"/>
          <w:szCs w:val="18"/>
          <w:color w:val="auto"/>
        </w:rPr>
        <w:t>Date: September 13,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Siewers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David Siewers</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 &amp; Treasurer</w:t>
      </w:r>
    </w:p>
    <w:p>
      <w:pPr>
        <w:sectPr>
          <w:pgSz w:w="11900" w:h="16838" w:orient="portrait"/>
          <w:cols w:equalWidth="0" w:num="1">
            <w:col w:w="11220"/>
          </w:cols>
          <w:pgMar w:left="240" w:top="796" w:right="439" w:bottom="1440" w:gutter="0" w:footer="0" w:header="0"/>
        </w:sectPr>
      </w:pPr>
    </w:p>
    <w:bookmarkStart w:id="4" w:name="page5"/>
    <w:bookmarkEnd w:id="4"/>
    <w:p>
      <w:pPr>
        <w:ind w:left="498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tabs>
          <w:tab w:leader="none" w:pos="17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13335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u w:val="single" w:color="auto"/>
          <w:color w:val="0000FF"/>
        </w:rPr>
        <w:t>Loan and Security Agreement, dated September 12, 2017, between Selecta Biosciences, Inc. and Silicon Valley Bank</w:t>
      </w:r>
    </w:p>
    <w:p>
      <w:pPr>
        <w:sectPr>
          <w:pgSz w:w="11900" w:h="16838" w:orient="portrait"/>
          <w:cols w:equalWidth="0" w:num="1">
            <w:col w:w="10179"/>
          </w:cols>
          <w:pgMar w:left="280" w:top="945" w:right="1440"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LOAN AND SECURITY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THIS LOAN AND SECURITY AGREEMENT </w:t>
      </w:r>
      <w:r>
        <w:rPr>
          <w:rFonts w:ascii="Arial" w:cs="Arial" w:eastAsia="Arial" w:hAnsi="Arial"/>
          <w:sz w:val="18"/>
          <w:szCs w:val="18"/>
          <w:color w:val="auto"/>
        </w:rPr>
        <w:t>(this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September 12, 2017 (the “</w:t>
      </w:r>
      <w:r>
        <w:rPr>
          <w:rFonts w:ascii="Arial" w:cs="Arial" w:eastAsia="Arial" w:hAnsi="Arial"/>
          <w:sz w:val="18"/>
          <w:szCs w:val="18"/>
          <w:b w:val="1"/>
          <w:bCs w:val="1"/>
          <w:color w:val="auto"/>
        </w:rPr>
        <w:t>Effective Date</w:t>
      </w:r>
      <w:r>
        <w:rPr>
          <w:rFonts w:ascii="Arial" w:cs="Arial" w:eastAsia="Arial" w:hAnsi="Arial"/>
          <w:sz w:val="18"/>
          <w:szCs w:val="18"/>
          <w:color w:val="auto"/>
        </w:rPr>
        <w:t>”) between</w:t>
      </w:r>
      <w:r>
        <w:rPr>
          <w:rFonts w:ascii="Arial" w:cs="Arial" w:eastAsia="Arial" w:hAnsi="Arial"/>
          <w:sz w:val="18"/>
          <w:szCs w:val="18"/>
          <w:b w:val="1"/>
          <w:bCs w:val="1"/>
          <w:color w:val="auto"/>
        </w:rPr>
        <w:t xml:space="preserve"> SILICON VALLEY BANK</w:t>
      </w:r>
      <w:r>
        <w:rPr>
          <w:rFonts w:ascii="Arial" w:cs="Arial" w:eastAsia="Arial" w:hAnsi="Arial"/>
          <w:sz w:val="18"/>
          <w:szCs w:val="18"/>
          <w:color w:val="auto"/>
        </w:rPr>
        <w:t>, a California corporation with a loan production office located at 275 Grove Street, Suite 2-200, Newton, Massachusetts 02466 (“</w:t>
      </w:r>
      <w:r>
        <w:rPr>
          <w:rFonts w:ascii="Arial" w:cs="Arial" w:eastAsia="Arial" w:hAnsi="Arial"/>
          <w:sz w:val="18"/>
          <w:szCs w:val="18"/>
          <w:b w:val="1"/>
          <w:bCs w:val="1"/>
          <w:color w:val="auto"/>
        </w:rPr>
        <w:t>Bank</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w:t>
      </w:r>
      <w:r>
        <w:rPr>
          <w:rFonts w:ascii="Arial" w:cs="Arial" w:eastAsia="Arial" w:hAnsi="Arial"/>
          <w:sz w:val="18"/>
          <w:szCs w:val="18"/>
          <w:b w:val="1"/>
          <w:bCs w:val="1"/>
          <w:color w:val="auto"/>
        </w:rPr>
        <w:t>SELECTA BIOSCIENCES,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Borrower</w:t>
      </w:r>
      <w:r>
        <w:rPr>
          <w:rFonts w:ascii="Arial" w:cs="Arial" w:eastAsia="Arial" w:hAnsi="Arial"/>
          <w:sz w:val="18"/>
          <w:szCs w:val="18"/>
          <w:color w:val="auto"/>
        </w:rPr>
        <w:t>”), provides the terms on which Bank shall lend to Borrower and Borrower shall repay Bank. The parties agree as follows:</w:t>
      </w:r>
    </w:p>
    <w:p>
      <w:pPr>
        <w:spacing w:after="0" w:line="207" w:lineRule="exact"/>
        <w:rPr>
          <w:sz w:val="20"/>
          <w:szCs w:val="20"/>
          <w:color w:val="auto"/>
        </w:rPr>
      </w:pPr>
    </w:p>
    <w:p>
      <w:pPr>
        <w:ind w:left="1440" w:hanging="784"/>
        <w:spacing w:after="0"/>
        <w:tabs>
          <w:tab w:leader="none" w:pos="14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ACCOUNTING AND OTHER TERMS</w:t>
      </w:r>
    </w:p>
    <w:p>
      <w:pPr>
        <w:spacing w:after="0" w:line="24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Accounting terms not defined in this Agreement shall be construed following GAAP. Calculations and determinations must be made following GAAP. Notwithstanding the foregoing, all financial covenant calculations (if any) shall be computed with respect to Borrower only, and not on a consolidated basis. Capitalized terms not otherwise defined in this Agreement shall have the meanings set forth in Section 13. All other terms contained in this Agreement, unless otherwise indicated, shall have the meanings provided by the Code to the extent such terms are defined therein.</w:t>
      </w:r>
    </w:p>
    <w:p>
      <w:pPr>
        <w:spacing w:after="0" w:line="194" w:lineRule="exact"/>
        <w:rPr>
          <w:sz w:val="20"/>
          <w:szCs w:val="20"/>
          <w:color w:val="auto"/>
        </w:rPr>
      </w:pPr>
    </w:p>
    <w:p>
      <w:pPr>
        <w:ind w:left="1440" w:hanging="784"/>
        <w:spacing w:after="0"/>
        <w:tabs>
          <w:tab w:leader="none" w:pos="14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 AND TERMS OF PAYMENT</w:t>
      </w:r>
    </w:p>
    <w:p>
      <w:pPr>
        <w:spacing w:after="0" w:line="239" w:lineRule="exact"/>
        <w:rPr>
          <w:sz w:val="20"/>
          <w:szCs w:val="20"/>
          <w:color w:val="auto"/>
        </w:rPr>
      </w:pPr>
    </w:p>
    <w:p>
      <w:pPr>
        <w:ind w:left="660" w:right="20"/>
        <w:spacing w:after="0" w:line="282" w:lineRule="auto"/>
        <w:rPr>
          <w:sz w:val="20"/>
          <w:szCs w:val="20"/>
          <w:color w:val="auto"/>
        </w:rPr>
      </w:pPr>
      <w:r>
        <w:rPr>
          <w:rFonts w:ascii="Arial" w:cs="Arial" w:eastAsia="Arial" w:hAnsi="Arial"/>
          <w:sz w:val="18"/>
          <w:szCs w:val="18"/>
          <w:b w:val="1"/>
          <w:bCs w:val="1"/>
          <w:color w:val="auto"/>
        </w:rPr>
        <w:t>2.1 Promise to Pay</w:t>
      </w:r>
      <w:r>
        <w:rPr>
          <w:rFonts w:ascii="Arial" w:cs="Arial" w:eastAsia="Arial" w:hAnsi="Arial"/>
          <w:sz w:val="18"/>
          <w:szCs w:val="18"/>
          <w:color w:val="auto"/>
        </w:rPr>
        <w:t>. Borrower hereby unconditionally promises to pay Bank the outstanding principal amount of all Credit Extensions and accrued</w:t>
      </w:r>
      <w:r>
        <w:rPr>
          <w:rFonts w:ascii="Arial" w:cs="Arial" w:eastAsia="Arial" w:hAnsi="Arial"/>
          <w:sz w:val="18"/>
          <w:szCs w:val="18"/>
          <w:b w:val="1"/>
          <w:bCs w:val="1"/>
          <w:color w:val="auto"/>
        </w:rPr>
        <w:t xml:space="preserve"> </w:t>
      </w:r>
      <w:r>
        <w:rPr>
          <w:rFonts w:ascii="Arial" w:cs="Arial" w:eastAsia="Arial" w:hAnsi="Arial"/>
          <w:sz w:val="18"/>
          <w:szCs w:val="18"/>
          <w:color w:val="auto"/>
        </w:rPr>
        <w:t>and unpaid interest thereon as and when due in accordance with this Agreement.</w:t>
      </w:r>
    </w:p>
    <w:p>
      <w:pPr>
        <w:spacing w:after="0" w:line="16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6"/>
          <w:szCs w:val="16"/>
          <w:b w:val="1"/>
          <w:bCs w:val="1"/>
          <w:color w:val="auto"/>
        </w:rPr>
        <w:t>Term Loan.</w:t>
      </w:r>
    </w:p>
    <w:p>
      <w:pPr>
        <w:spacing w:after="0" w:line="256" w:lineRule="exact"/>
        <w:rPr>
          <w:sz w:val="20"/>
          <w:szCs w:val="20"/>
          <w:color w:val="auto"/>
        </w:rPr>
      </w:pPr>
    </w:p>
    <w:p>
      <w:pPr>
        <w:jc w:val="both"/>
        <w:ind w:firstLine="1305"/>
        <w:spacing w:after="0" w:line="333" w:lineRule="auto"/>
        <w:tabs>
          <w:tab w:leader="none" w:pos="2144" w:val="left"/>
        </w:tabs>
        <w:numPr>
          <w:ilvl w:val="1"/>
          <w:numId w:val="4"/>
        </w:numPr>
        <w:rPr>
          <w:rFonts w:ascii="Arial" w:cs="Arial" w:eastAsia="Arial" w:hAnsi="Arial"/>
          <w:sz w:val="16"/>
          <w:szCs w:val="16"/>
          <w:color w:val="auto"/>
        </w:rPr>
      </w:pPr>
      <w:r>
        <w:rPr>
          <w:rFonts w:ascii="Arial" w:cs="Arial" w:eastAsia="Arial" w:hAnsi="Arial"/>
          <w:sz w:val="16"/>
          <w:szCs w:val="16"/>
          <w:u w:val="single" w:color="auto"/>
          <w:color w:val="auto"/>
        </w:rPr>
        <w:t>Availability</w:t>
      </w:r>
      <w:r>
        <w:rPr>
          <w:rFonts w:ascii="Arial" w:cs="Arial" w:eastAsia="Arial" w:hAnsi="Arial"/>
          <w:sz w:val="16"/>
          <w:szCs w:val="16"/>
          <w:color w:val="auto"/>
        </w:rPr>
        <w:t>. Subject to the terms and conditions of this Agreement, upon Borrower’s request, Bank shall make one (1) advance (the “</w:t>
      </w:r>
      <w:r>
        <w:rPr>
          <w:rFonts w:ascii="Arial" w:cs="Arial" w:eastAsia="Arial" w:hAnsi="Arial"/>
          <w:sz w:val="16"/>
          <w:szCs w:val="16"/>
          <w:b w:val="1"/>
          <w:bCs w:val="1"/>
          <w:color w:val="auto"/>
        </w:rPr>
        <w:t>Term A Loan Advance</w:t>
      </w:r>
      <w:r>
        <w:rPr>
          <w:rFonts w:ascii="Arial" w:cs="Arial" w:eastAsia="Arial" w:hAnsi="Arial"/>
          <w:sz w:val="16"/>
          <w:szCs w:val="16"/>
          <w:color w:val="auto"/>
        </w:rPr>
        <w:t>”) to Borrower on or about the Effective Date in an original principal amount of Eleven Million Dollars ($11,000,000.00), provided that all or a portion of the proceeds under the Term A Loan Advance shall be used to repay in full Borrower’s outstanding obligations and liabilities to Oxford and Pacific Western. Subject to the terms and conditions of this Agreement, during the Draw Period, upon Borrower’s request, Bank shall make one</w:t>
      </w:r>
    </w:p>
    <w:p>
      <w:pPr>
        <w:spacing w:after="0" w:line="1" w:lineRule="exact"/>
        <w:rPr>
          <w:rFonts w:ascii="Arial" w:cs="Arial" w:eastAsia="Arial" w:hAnsi="Arial"/>
          <w:sz w:val="16"/>
          <w:szCs w:val="16"/>
          <w:color w:val="auto"/>
        </w:rPr>
      </w:pPr>
    </w:p>
    <w:p>
      <w:pPr>
        <w:jc w:val="both"/>
        <w:ind w:firstLine="8"/>
        <w:spacing w:after="0" w:line="308"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advance (the “</w:t>
      </w:r>
      <w:r>
        <w:rPr>
          <w:rFonts w:ascii="Arial" w:cs="Arial" w:eastAsia="Arial" w:hAnsi="Arial"/>
          <w:sz w:val="18"/>
          <w:szCs w:val="18"/>
          <w:b w:val="1"/>
          <w:bCs w:val="1"/>
          <w:color w:val="auto"/>
        </w:rPr>
        <w:t>Term B Loan Advance</w:t>
      </w:r>
      <w:r>
        <w:rPr>
          <w:rFonts w:ascii="Arial" w:cs="Arial" w:eastAsia="Arial" w:hAnsi="Arial"/>
          <w:sz w:val="18"/>
          <w:szCs w:val="18"/>
          <w:color w:val="auto"/>
        </w:rPr>
        <w:t>”) to Borrower in an original principal amount of Ten Million Dollars ($10,000,000.00). The Term A Loan Advance and the Term B Loan Advance are hereinafter referred to singly as the “</w:t>
      </w:r>
      <w:r>
        <w:rPr>
          <w:rFonts w:ascii="Arial" w:cs="Arial" w:eastAsia="Arial" w:hAnsi="Arial"/>
          <w:sz w:val="18"/>
          <w:szCs w:val="18"/>
          <w:b w:val="1"/>
          <w:bCs w:val="1"/>
          <w:color w:val="auto"/>
        </w:rPr>
        <w:t>Term Loan Advance</w:t>
      </w:r>
      <w:r>
        <w:rPr>
          <w:rFonts w:ascii="Arial" w:cs="Arial" w:eastAsia="Arial" w:hAnsi="Arial"/>
          <w:sz w:val="18"/>
          <w:szCs w:val="18"/>
          <w:color w:val="auto"/>
        </w:rPr>
        <w:t>” and collectively as the “</w:t>
      </w:r>
      <w:r>
        <w:rPr>
          <w:rFonts w:ascii="Arial" w:cs="Arial" w:eastAsia="Arial" w:hAnsi="Arial"/>
          <w:sz w:val="18"/>
          <w:szCs w:val="18"/>
          <w:b w:val="1"/>
          <w:bCs w:val="1"/>
          <w:color w:val="auto"/>
        </w:rPr>
        <w:t>Term Loan Advances</w:t>
      </w:r>
      <w:r>
        <w:rPr>
          <w:rFonts w:ascii="Arial" w:cs="Arial" w:eastAsia="Arial" w:hAnsi="Arial"/>
          <w:sz w:val="18"/>
          <w:szCs w:val="18"/>
          <w:color w:val="auto"/>
        </w:rPr>
        <w:t>.” The aggregate original principal amount of all Term Loan Advances shall not exceed Twenty-One Million Dollars ($21,000,000.00). After repayment, no Term Loan Advance (or any portion thereof) may be reborrowed.</w:t>
      </w:r>
    </w:p>
    <w:p>
      <w:pPr>
        <w:spacing w:after="0" w:line="157" w:lineRule="exact"/>
        <w:rPr>
          <w:rFonts w:ascii="Arial" w:cs="Arial" w:eastAsia="Arial" w:hAnsi="Arial"/>
          <w:sz w:val="18"/>
          <w:szCs w:val="18"/>
          <w:color w:val="auto"/>
        </w:rPr>
      </w:pPr>
    </w:p>
    <w:p>
      <w:pPr>
        <w:jc w:val="both"/>
        <w:ind w:firstLine="1305"/>
        <w:spacing w:after="0" w:line="273" w:lineRule="auto"/>
        <w:tabs>
          <w:tab w:leader="none" w:pos="2155"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Interest Period</w:t>
      </w:r>
      <w:r>
        <w:rPr>
          <w:rFonts w:ascii="Arial" w:cs="Arial" w:eastAsia="Arial" w:hAnsi="Arial"/>
          <w:sz w:val="18"/>
          <w:szCs w:val="18"/>
          <w:color w:val="auto"/>
        </w:rPr>
        <w:t>. Commencing on the first (1</w:t>
      </w:r>
      <w:r>
        <w:rPr>
          <w:rFonts w:ascii="Arial" w:cs="Arial" w:eastAsia="Arial" w:hAnsi="Arial"/>
          <w:sz w:val="25"/>
          <w:szCs w:val="25"/>
          <w:color w:val="auto"/>
          <w:vertAlign w:val="superscript"/>
        </w:rPr>
        <w:t>st</w:t>
      </w:r>
      <w:r>
        <w:rPr>
          <w:rFonts w:ascii="Arial" w:cs="Arial" w:eastAsia="Arial" w:hAnsi="Arial"/>
          <w:sz w:val="18"/>
          <w:szCs w:val="18"/>
          <w:color w:val="auto"/>
        </w:rPr>
        <w:t>) Payment Date of the month following the month in which the Funding Date of the applicable Term Loan Advance occurs, and continuing on the Payment Date of each month thereafter, Borrower shall make monthly payments of interest on the principal amount of each Term Loan Advance at the rate set forth in Section 2.2(a).</w:t>
      </w:r>
    </w:p>
    <w:p>
      <w:pPr>
        <w:spacing w:after="0" w:line="214" w:lineRule="exact"/>
        <w:rPr>
          <w:rFonts w:ascii="Arial" w:cs="Arial" w:eastAsia="Arial" w:hAnsi="Arial"/>
          <w:sz w:val="18"/>
          <w:szCs w:val="18"/>
          <w:color w:val="auto"/>
        </w:rPr>
      </w:pPr>
    </w:p>
    <w:p>
      <w:pPr>
        <w:jc w:val="both"/>
        <w:ind w:firstLine="1305"/>
        <w:spacing w:after="0" w:line="306" w:lineRule="auto"/>
        <w:tabs>
          <w:tab w:leader="none" w:pos="2144"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Repayment</w:t>
      </w:r>
      <w:r>
        <w:rPr>
          <w:rFonts w:ascii="Arial" w:cs="Arial" w:eastAsia="Arial" w:hAnsi="Arial"/>
          <w:sz w:val="18"/>
          <w:szCs w:val="18"/>
          <w:color w:val="auto"/>
        </w:rPr>
        <w:t>. Commencing on September 1, 2019, and continuing on each Payment Date thereafter, Borrower shall repay the Term Loan Advances in (i) thirty (30) equal consecutive monthly installments of principal, plus (ii) monthly payments of accrued interest at the rate set forth in Section 2.2(a). All outstanding principal and accrued and unpaid interest under the Term Loan Advances, and all other outstanding Obligations with respect to the Term Loan Advances, are due and payable in full on the Term Loan Maturity Date.</w:t>
      </w:r>
    </w:p>
    <w:p>
      <w:pPr>
        <w:spacing w:after="0" w:line="186" w:lineRule="exact"/>
        <w:rPr>
          <w:rFonts w:ascii="Arial" w:cs="Arial" w:eastAsia="Arial" w:hAnsi="Arial"/>
          <w:sz w:val="18"/>
          <w:szCs w:val="18"/>
          <w:color w:val="auto"/>
        </w:rPr>
      </w:pPr>
    </w:p>
    <w:p>
      <w:pPr>
        <w:jc w:val="both"/>
        <w:ind w:firstLine="1305"/>
        <w:spacing w:after="0" w:line="304" w:lineRule="auto"/>
        <w:tabs>
          <w:tab w:leader="none" w:pos="2155"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Permitted Prepayment of Term Loan Advances</w:t>
      </w:r>
      <w:r>
        <w:rPr>
          <w:rFonts w:ascii="Arial" w:cs="Arial" w:eastAsia="Arial" w:hAnsi="Arial"/>
          <w:sz w:val="18"/>
          <w:szCs w:val="18"/>
          <w:color w:val="auto"/>
        </w:rPr>
        <w:t>. Borrower shall have the option to prepay all, but not less than all, of the Term Loan Advances advanced by Bank under this Agreement, provided Borrower (i) provides written notice to Bank of its election to prepay the Term Loan Advances at least five (5) Business Days prior to such prepayment, and (ii) pays, on the date of such prepayment (A) all outstanding principal plus accrued and unpaid interest, (B) the Final Payment, (C) the Prepayment Premium, plus (D) all other sums, if any, that shall have become due and payable, including interest at the Default Rate with respect to any past due amounts.</w:t>
      </w:r>
    </w:p>
    <w:p>
      <w:pPr>
        <w:sectPr>
          <w:pgSz w:w="11900" w:h="16838" w:orient="portrait"/>
          <w:cols w:equalWidth="0" w:num="1">
            <w:col w:w="11420"/>
          </w:cols>
          <w:pgMar w:left="240" w:top="796" w:right="239" w:bottom="1440" w:gutter="0" w:footer="0" w:header="0"/>
        </w:sectPr>
      </w:pPr>
    </w:p>
    <w:bookmarkStart w:id="6" w:name="page7"/>
    <w:bookmarkEnd w:id="6"/>
    <w:p>
      <w:pPr>
        <w:jc w:val="both"/>
        <w:ind w:firstLine="1305"/>
        <w:spacing w:after="0" w:line="306" w:lineRule="auto"/>
        <w:tabs>
          <w:tab w:leader="none" w:pos="2144"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Mandatory Prepayment Upon an Acceleration</w:t>
      </w:r>
      <w:r>
        <w:rPr>
          <w:rFonts w:ascii="Arial" w:cs="Arial" w:eastAsia="Arial" w:hAnsi="Arial"/>
          <w:sz w:val="18"/>
          <w:szCs w:val="18"/>
          <w:color w:val="auto"/>
        </w:rPr>
        <w:t>. If a Term Loan Advance is accelerated following the occurrence and during the continuance of an Event of Default, Borrower shall immediately pay to Bank an amount equal to the sum of: (i) all outstanding principal plus accrued and unpaid interest, (ii) the Final Payment, (iii) the Prepayment Premium, plus (iv) all other sums, if any, that shall have become due and payable, including interest at the Default Rate with respect to any past due amounts.</w:t>
      </w:r>
    </w:p>
    <w:p>
      <w:pPr>
        <w:spacing w:after="0" w:line="156"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Payment of Interest on the Credit Extensions.</w:t>
      </w:r>
    </w:p>
    <w:p>
      <w:pPr>
        <w:spacing w:after="0" w:line="229" w:lineRule="exact"/>
        <w:rPr>
          <w:sz w:val="20"/>
          <w:szCs w:val="20"/>
          <w:color w:val="auto"/>
        </w:rPr>
      </w:pPr>
    </w:p>
    <w:p>
      <w:pPr>
        <w:jc w:val="both"/>
        <w:ind w:firstLine="1305"/>
        <w:spacing w:after="0" w:line="264" w:lineRule="auto"/>
        <w:tabs>
          <w:tab w:leader="none" w:pos="1771"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Interest Rate</w:t>
      </w:r>
      <w:r>
        <w:rPr>
          <w:rFonts w:ascii="Arial" w:cs="Arial" w:eastAsia="Arial" w:hAnsi="Arial"/>
          <w:sz w:val="18"/>
          <w:szCs w:val="18"/>
          <w:color w:val="auto"/>
        </w:rPr>
        <w:t>. Subject to Section 2.2(b), the principal amount outstanding for each Term Loan Advance shall accrue interest at a floating per annum rate equal to one-half of one percent (0.50%) above the Prime Rate, which interest shall be payable monthly in accordance with Section 2.2(d) below.</w:t>
      </w:r>
    </w:p>
    <w:p>
      <w:pPr>
        <w:spacing w:after="0" w:line="181" w:lineRule="exact"/>
        <w:rPr>
          <w:rFonts w:ascii="Arial" w:cs="Arial" w:eastAsia="Arial" w:hAnsi="Arial"/>
          <w:sz w:val="18"/>
          <w:szCs w:val="18"/>
          <w:color w:val="auto"/>
        </w:rPr>
      </w:pPr>
    </w:p>
    <w:p>
      <w:pPr>
        <w:jc w:val="both"/>
        <w:ind w:firstLine="1305"/>
        <w:spacing w:after="0" w:line="273" w:lineRule="auto"/>
        <w:tabs>
          <w:tab w:leader="none" w:pos="1700"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Default Rate</w:t>
      </w:r>
      <w:r>
        <w:rPr>
          <w:rFonts w:ascii="Arial" w:cs="Arial" w:eastAsia="Arial" w:hAnsi="Arial"/>
          <w:sz w:val="17"/>
          <w:szCs w:val="17"/>
          <w:color w:val="auto"/>
        </w:rPr>
        <w:t>. Immediately upon the occurrence and during the continuance of an Event of Default, Obligations shall bear interest at a rate per annum which is four percent (4.0%) above the rate that is otherwise applicable thereto (the “</w:t>
      </w:r>
      <w:r>
        <w:rPr>
          <w:rFonts w:ascii="Arial" w:cs="Arial" w:eastAsia="Arial" w:hAnsi="Arial"/>
          <w:sz w:val="17"/>
          <w:szCs w:val="17"/>
          <w:b w:val="1"/>
          <w:bCs w:val="1"/>
          <w:color w:val="auto"/>
        </w:rPr>
        <w:t>Default Rate</w:t>
      </w:r>
      <w:r>
        <w:rPr>
          <w:rFonts w:ascii="Arial" w:cs="Arial" w:eastAsia="Arial" w:hAnsi="Arial"/>
          <w:sz w:val="17"/>
          <w:szCs w:val="17"/>
          <w:color w:val="auto"/>
        </w:rPr>
        <w:t>”) unless Bank otherwise elects from time to time in its sole discretion to impose a smaller increase. Fees and expenses which are required to be paid by Borrower pursuant to the Loan Documents (including, without limitation, Bank Expenses) but are not paid when due shall bear interest until paid at a rate equal to the highest rate applicable to the Obligations. Payment or acceptance of the increased interest rate provided in this Section 2.2(b) is not a permitted alternative to timely payment and shall not constitute a waiver of any Event of Default or otherwise prejudice or limit any rights or remedies of Bank.</w:t>
      </w:r>
    </w:p>
    <w:p>
      <w:pPr>
        <w:spacing w:after="0" w:line="178" w:lineRule="exact"/>
        <w:rPr>
          <w:rFonts w:ascii="Arial" w:cs="Arial" w:eastAsia="Arial" w:hAnsi="Arial"/>
          <w:sz w:val="17"/>
          <w:szCs w:val="17"/>
          <w:color w:val="auto"/>
        </w:rPr>
      </w:pPr>
    </w:p>
    <w:p>
      <w:pPr>
        <w:ind w:right="20" w:firstLine="1305"/>
        <w:spacing w:after="0" w:line="277" w:lineRule="auto"/>
        <w:tabs>
          <w:tab w:leader="none" w:pos="1676"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Adjustment to Interest Rate</w:t>
      </w:r>
      <w:r>
        <w:rPr>
          <w:rFonts w:ascii="Arial" w:cs="Arial" w:eastAsia="Arial" w:hAnsi="Arial"/>
          <w:sz w:val="18"/>
          <w:szCs w:val="18"/>
          <w:color w:val="auto"/>
        </w:rPr>
        <w:t>. Changes to the interest rate of any Credit Extension based on changes to the Prime Rate shall be effective on the effective date of any change to the Prime Rate and to the extent of any such change.</w:t>
      </w:r>
    </w:p>
    <w:p>
      <w:pPr>
        <w:spacing w:after="0" w:line="170" w:lineRule="exact"/>
        <w:rPr>
          <w:rFonts w:ascii="Arial" w:cs="Arial" w:eastAsia="Arial" w:hAnsi="Arial"/>
          <w:sz w:val="18"/>
          <w:szCs w:val="18"/>
          <w:color w:val="auto"/>
        </w:rPr>
      </w:pPr>
    </w:p>
    <w:p>
      <w:pPr>
        <w:jc w:val="both"/>
        <w:ind w:firstLine="1305"/>
        <w:spacing w:after="0" w:line="257" w:lineRule="auto"/>
        <w:tabs>
          <w:tab w:leader="none" w:pos="1686"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Payment; Interest Computation</w:t>
      </w:r>
      <w:r>
        <w:rPr>
          <w:rFonts w:ascii="Arial" w:cs="Arial" w:eastAsia="Arial" w:hAnsi="Arial"/>
          <w:sz w:val="18"/>
          <w:szCs w:val="18"/>
          <w:color w:val="auto"/>
        </w:rPr>
        <w:t>. Interest is payable monthly on the Payment Date and shall be computed on the basis of a 360-day year for the actual number of days elapsed. In computing interest, (i) all payments received after 12:00 p.m. Eastern time on any day shall be deemed received at the opening of business on the next Business Day, and (ii) the date of the making of any Credit Extension shall be included and the date of payment shall be excluded; provided, however, that if any Credit Extension is repaid on the same day on which it is made, such day shall be included in computing interest on such Credit Extension.</w:t>
      </w:r>
    </w:p>
    <w:p>
      <w:pPr>
        <w:spacing w:after="0" w:line="184"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Fees</w:t>
      </w:r>
      <w:r>
        <w:rPr>
          <w:rFonts w:ascii="Arial" w:cs="Arial" w:eastAsia="Arial" w:hAnsi="Arial"/>
          <w:sz w:val="16"/>
          <w:szCs w:val="16"/>
          <w:color w:val="auto"/>
        </w:rPr>
        <w:t>. Borrower shall pay to Bank:</w:t>
      </w:r>
    </w:p>
    <w:p>
      <w:pPr>
        <w:spacing w:after="0" w:line="229" w:lineRule="exact"/>
        <w:rPr>
          <w:sz w:val="20"/>
          <w:szCs w:val="20"/>
          <w:color w:val="auto"/>
        </w:rPr>
      </w:pPr>
    </w:p>
    <w:p>
      <w:pPr>
        <w:ind w:left="1680" w:hanging="375"/>
        <w:spacing w:after="0"/>
        <w:tabs>
          <w:tab w:leader="none" w:pos="168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Final Payment</w:t>
      </w:r>
      <w:r>
        <w:rPr>
          <w:rFonts w:ascii="Arial" w:cs="Arial" w:eastAsia="Arial" w:hAnsi="Arial"/>
          <w:sz w:val="18"/>
          <w:szCs w:val="18"/>
          <w:color w:val="auto"/>
        </w:rPr>
        <w:t>. The Final Payment, when due hereunder;</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Prepayment Premium</w:t>
      </w:r>
      <w:r>
        <w:rPr>
          <w:rFonts w:ascii="Arial" w:cs="Arial" w:eastAsia="Arial" w:hAnsi="Arial"/>
          <w:sz w:val="18"/>
          <w:szCs w:val="18"/>
          <w:color w:val="auto"/>
        </w:rPr>
        <w:t>. The Prepayment Premium, when due hereunder; and</w:t>
      </w:r>
    </w:p>
    <w:p>
      <w:pPr>
        <w:spacing w:after="0" w:line="225" w:lineRule="exact"/>
        <w:rPr>
          <w:rFonts w:ascii="Arial" w:cs="Arial" w:eastAsia="Arial" w:hAnsi="Arial"/>
          <w:sz w:val="18"/>
          <w:szCs w:val="18"/>
          <w:color w:val="auto"/>
        </w:rPr>
      </w:pPr>
    </w:p>
    <w:p>
      <w:pPr>
        <w:ind w:firstLine="1305"/>
        <w:spacing w:after="0" w:line="277" w:lineRule="auto"/>
        <w:tabs>
          <w:tab w:leader="none" w:pos="1757"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Bank Expenses</w:t>
      </w:r>
      <w:r>
        <w:rPr>
          <w:rFonts w:ascii="Arial" w:cs="Arial" w:eastAsia="Arial" w:hAnsi="Arial"/>
          <w:sz w:val="18"/>
          <w:szCs w:val="18"/>
          <w:color w:val="auto"/>
        </w:rPr>
        <w:t>. All Bank Expenses (including reasonable attorneys’ fees and expenses for documentation and negotiation of this Agreement) incurred through and after the Effective Date, when due (or, if no stated due date, upon demand by Bank).</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Unless otherwise provided in this Agreement or in a separate writing by Bank, Borrower shall not be entitled to any credit, rebate, or repayment of any fees earned by Bank pursuant to this Agreement notwithstanding any termination of this Agreement or the suspension or termination of Bank’s obligation to make loans and advances hereunder. Bank may deduct amounts owing by Borrower under the clauses of this Section 2.3 pursuant to the terms of Section 2.4(c). Bank shall provide Borrower written notice of deductions made from the Designated Deposit Account pursuant to the terms of the clauses of this Section 2.3.</w:t>
      </w:r>
    </w:p>
    <w:p>
      <w:pPr>
        <w:spacing w:after="0" w:line="184"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Payments; Application of Payments; Debit of Accounts.</w:t>
      </w:r>
    </w:p>
    <w:p>
      <w:pPr>
        <w:spacing w:after="0" w:line="229" w:lineRule="exact"/>
        <w:rPr>
          <w:sz w:val="20"/>
          <w:szCs w:val="20"/>
          <w:color w:val="auto"/>
        </w:rPr>
      </w:pPr>
    </w:p>
    <w:p>
      <w:pPr>
        <w:jc w:val="both"/>
        <w:ind w:firstLine="1305"/>
        <w:spacing w:after="0" w:line="264" w:lineRule="auto"/>
        <w:tabs>
          <w:tab w:leader="none" w:pos="1718"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payments to be made by Borrower under any Loan Document shall be made in immediately available funds in Dollars, without setoff or counterclaim, before 12:00 p.m. Eastern time on the date when due. Payments of principal and/or interest received after 12:00 p.m. Eastern time are considered received at the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828282"/>
        </w:rPr>
        <w:t>2</w:t>
      </w:r>
    </w:p>
    <w:p>
      <w:pPr>
        <w:sectPr>
          <w:pgSz w:w="11900" w:h="16838" w:orient="portrait"/>
          <w:cols w:equalWidth="0" w:num="1">
            <w:col w:w="11420"/>
          </w:cols>
          <w:pgMar w:left="240" w:top="611" w:right="239" w:bottom="1440" w:gutter="0" w:footer="0" w:header="0"/>
        </w:sectPr>
      </w:pPr>
    </w:p>
    <w:bookmarkStart w:id="7" w:name="page8"/>
    <w:bookmarkEnd w:id="7"/>
    <w:p>
      <w:pPr>
        <w:spacing w:after="0" w:line="277" w:lineRule="auto"/>
        <w:rPr>
          <w:sz w:val="20"/>
          <w:szCs w:val="20"/>
          <w:color w:val="auto"/>
        </w:rPr>
      </w:pPr>
      <w:r>
        <w:rPr>
          <w:rFonts w:ascii="Arial" w:cs="Arial" w:eastAsia="Arial" w:hAnsi="Arial"/>
          <w:sz w:val="18"/>
          <w:szCs w:val="18"/>
          <w:color w:val="auto"/>
        </w:rPr>
        <w:t>opening of business on the next Business Day. When a payment is due on a day that is not a Business Day, the payment shall be due the next Business Day, and additional fees or interest, as applicable, shall continue to accrue until paid.</w:t>
      </w:r>
    </w:p>
    <w:p>
      <w:pPr>
        <w:spacing w:after="0" w:line="170" w:lineRule="exact"/>
        <w:rPr>
          <w:sz w:val="20"/>
          <w:szCs w:val="20"/>
          <w:color w:val="auto"/>
        </w:rPr>
      </w:pPr>
    </w:p>
    <w:p>
      <w:pPr>
        <w:jc w:val="both"/>
        <w:ind w:firstLine="1305"/>
        <w:spacing w:after="0" w:line="312" w:lineRule="auto"/>
        <w:tabs>
          <w:tab w:leader="none" w:pos="1699" w:val="left"/>
        </w:tabs>
        <w:numPr>
          <w:ilvl w:val="1"/>
          <w:numId w:val="10"/>
        </w:numPr>
        <w:rPr>
          <w:rFonts w:ascii="Arial" w:cs="Arial" w:eastAsia="Arial" w:hAnsi="Arial"/>
          <w:sz w:val="16"/>
          <w:szCs w:val="16"/>
          <w:color w:val="auto"/>
        </w:rPr>
      </w:pPr>
      <w:r>
        <w:rPr>
          <w:rFonts w:ascii="Arial" w:cs="Arial" w:eastAsia="Arial" w:hAnsi="Arial"/>
          <w:sz w:val="16"/>
          <w:szCs w:val="16"/>
          <w:color w:val="auto"/>
        </w:rPr>
        <w:t>Bank has the exclusive right to determine the order and manner in which all payments with respect to the Obligations may be applied. Borrower shall have no right to specify the order or the accounts to which Bank shall allocate or apply any payments required to be made by Borrower to Bank or otherwise received by Bank under this Agreement when any such allocation or application is not specified elsewhere in this Agreement.</w:t>
      </w:r>
    </w:p>
    <w:p>
      <w:pPr>
        <w:spacing w:after="0" w:line="146" w:lineRule="exact"/>
        <w:rPr>
          <w:rFonts w:ascii="Arial" w:cs="Arial" w:eastAsia="Arial" w:hAnsi="Arial"/>
          <w:sz w:val="16"/>
          <w:szCs w:val="16"/>
          <w:color w:val="auto"/>
        </w:rPr>
      </w:pPr>
    </w:p>
    <w:p>
      <w:pPr>
        <w:jc w:val="both"/>
        <w:ind w:firstLine="1305"/>
        <w:spacing w:after="0" w:line="264" w:lineRule="auto"/>
        <w:tabs>
          <w:tab w:leader="none" w:pos="1684" w:val="left"/>
        </w:tabs>
        <w:numPr>
          <w:ilvl w:val="1"/>
          <w:numId w:val="10"/>
        </w:numPr>
        <w:rPr>
          <w:rFonts w:ascii="Arial" w:cs="Arial" w:eastAsia="Arial" w:hAnsi="Arial"/>
          <w:sz w:val="18"/>
          <w:szCs w:val="18"/>
          <w:color w:val="auto"/>
        </w:rPr>
      </w:pPr>
      <w:r>
        <w:rPr>
          <w:rFonts w:ascii="Arial" w:cs="Arial" w:eastAsia="Arial" w:hAnsi="Arial"/>
          <w:sz w:val="18"/>
          <w:szCs w:val="18"/>
          <w:color w:val="auto"/>
        </w:rPr>
        <w:t>Bank may debit any of Borrower’s deposit accounts, including the Designated Deposit Account, for principal and interest payments or any other amounts Borrower owes Bank when due; provided that Bank shall first debit the Designated Deposit Account. These debits shall not constitute a set-off.</w:t>
      </w:r>
    </w:p>
    <w:p>
      <w:pPr>
        <w:spacing w:after="0" w:line="204" w:lineRule="exact"/>
        <w:rPr>
          <w:rFonts w:ascii="Arial" w:cs="Arial" w:eastAsia="Arial" w:hAnsi="Arial"/>
          <w:sz w:val="18"/>
          <w:szCs w:val="18"/>
          <w:color w:val="auto"/>
        </w:rPr>
      </w:pPr>
    </w:p>
    <w:p>
      <w:pPr>
        <w:ind w:left="1440" w:hanging="784"/>
        <w:spacing w:after="0"/>
        <w:tabs>
          <w:tab w:leader="none" w:pos="14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OF LOANS</w:t>
      </w:r>
    </w:p>
    <w:p>
      <w:pPr>
        <w:spacing w:after="0" w:line="23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3.1 Conditions Precedent to Initial Credit Extension</w:t>
      </w:r>
      <w:r>
        <w:rPr>
          <w:rFonts w:ascii="Arial" w:cs="Arial" w:eastAsia="Arial" w:hAnsi="Arial"/>
          <w:sz w:val="18"/>
          <w:szCs w:val="18"/>
          <w:color w:val="auto"/>
        </w:rPr>
        <w:t>. Bank’s obligation to make the initial Credit Extension is subject to the condition precedent</w:t>
      </w:r>
      <w:r>
        <w:rPr>
          <w:rFonts w:ascii="Arial" w:cs="Arial" w:eastAsia="Arial" w:hAnsi="Arial"/>
          <w:sz w:val="18"/>
          <w:szCs w:val="18"/>
          <w:b w:val="1"/>
          <w:bCs w:val="1"/>
          <w:color w:val="auto"/>
        </w:rPr>
        <w:t xml:space="preserve"> </w:t>
      </w:r>
      <w:r>
        <w:rPr>
          <w:rFonts w:ascii="Arial" w:cs="Arial" w:eastAsia="Arial" w:hAnsi="Arial"/>
          <w:sz w:val="18"/>
          <w:szCs w:val="18"/>
          <w:color w:val="auto"/>
        </w:rPr>
        <w:t>that Bank shall have received, in form and substance satisfactory to Bank, such documents, and completion of such other matters, as Bank may reasonably deem necessary or appropriate, including, without limitation:</w:t>
      </w:r>
    </w:p>
    <w:p>
      <w:pPr>
        <w:spacing w:after="0" w:line="207" w:lineRule="exact"/>
        <w:rPr>
          <w:sz w:val="20"/>
          <w:szCs w:val="20"/>
          <w:color w:val="auto"/>
        </w:rPr>
      </w:pPr>
    </w:p>
    <w:p>
      <w:pPr>
        <w:ind w:left="2160" w:hanging="855"/>
        <w:spacing w:after="0"/>
        <w:tabs>
          <w:tab w:leader="none" w:pos="2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duly executed signatures to the Loan Documents;</w:t>
      </w:r>
    </w:p>
    <w:p>
      <w:pPr>
        <w:spacing w:after="0" w:line="265" w:lineRule="exact"/>
        <w:rPr>
          <w:rFonts w:ascii="Arial" w:cs="Arial" w:eastAsia="Arial" w:hAnsi="Arial"/>
          <w:sz w:val="18"/>
          <w:szCs w:val="18"/>
          <w:color w:val="auto"/>
        </w:rPr>
      </w:pPr>
    </w:p>
    <w:p>
      <w:pPr>
        <w:ind w:right="20" w:firstLine="1305"/>
        <w:spacing w:after="0" w:line="395" w:lineRule="auto"/>
        <w:tabs>
          <w:tab w:leader="none" w:pos="21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Operating Documents and long-form good standing certificate of Borrower certified by the Secretary of State of Delaware and each jurisdiction in which Borrower is qualified to conduct business, each as of a date no earlier than thirty (30) days prior to the Effective Date;</w:t>
      </w:r>
    </w:p>
    <w:p>
      <w:pPr>
        <w:spacing w:after="0" w:line="123" w:lineRule="exact"/>
        <w:rPr>
          <w:rFonts w:ascii="Arial" w:cs="Arial" w:eastAsia="Arial" w:hAnsi="Arial"/>
          <w:sz w:val="16"/>
          <w:szCs w:val="16"/>
          <w:color w:val="auto"/>
        </w:rPr>
      </w:pPr>
    </w:p>
    <w:p>
      <w:pPr>
        <w:ind w:left="2160" w:hanging="855"/>
        <w:spacing w:after="0"/>
        <w:tabs>
          <w:tab w:leader="none" w:pos="2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duly executed signatures to the completed Borrowing Resolutions for Borrower;</w:t>
      </w:r>
    </w:p>
    <w:p>
      <w:pPr>
        <w:spacing w:after="0" w:line="265" w:lineRule="exact"/>
        <w:rPr>
          <w:rFonts w:ascii="Arial" w:cs="Arial" w:eastAsia="Arial" w:hAnsi="Arial"/>
          <w:sz w:val="18"/>
          <w:szCs w:val="18"/>
          <w:color w:val="auto"/>
        </w:rPr>
      </w:pPr>
    </w:p>
    <w:p>
      <w:pPr>
        <w:ind w:left="2160" w:hanging="855"/>
        <w:spacing w:after="0"/>
        <w:tabs>
          <w:tab w:leader="none" w:pos="2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duly executed signature to a payoff letter from Oxford as agent for itself and Pacific Western;</w:t>
      </w:r>
    </w:p>
    <w:p>
      <w:pPr>
        <w:spacing w:after="0" w:line="265" w:lineRule="exact"/>
        <w:rPr>
          <w:rFonts w:ascii="Arial" w:cs="Arial" w:eastAsia="Arial" w:hAnsi="Arial"/>
          <w:sz w:val="18"/>
          <w:szCs w:val="18"/>
          <w:color w:val="auto"/>
        </w:rPr>
      </w:pPr>
    </w:p>
    <w:p>
      <w:pPr>
        <w:jc w:val="both"/>
        <w:ind w:firstLine="1305"/>
        <w:spacing w:after="0" w:line="311" w:lineRule="auto"/>
        <w:tabs>
          <w:tab w:leader="none" w:pos="21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evidence that (i) the Liens securing Indebtedness owed by Borrower to Oxford and Pacific Western will be terminated and (ii) the documents and/or filings evidencing the perfection of such Liens, including without limitation any financing statements and/or control agreements, have or will, concurrently with the initial Credit Extension, be terminated;</w:t>
      </w:r>
    </w:p>
    <w:p>
      <w:pPr>
        <w:spacing w:after="0" w:line="181" w:lineRule="exact"/>
        <w:rPr>
          <w:rFonts w:ascii="Arial" w:cs="Arial" w:eastAsia="Arial" w:hAnsi="Arial"/>
          <w:sz w:val="18"/>
          <w:szCs w:val="18"/>
          <w:color w:val="auto"/>
        </w:rPr>
      </w:pPr>
    </w:p>
    <w:p>
      <w:pPr>
        <w:jc w:val="both"/>
        <w:ind w:firstLine="1305"/>
        <w:spacing w:after="0" w:line="311" w:lineRule="auto"/>
        <w:tabs>
          <w:tab w:leader="none" w:pos="212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certified copies, dated as of a recent date, of financing statement searches, as Bank may request, accompanied by written evidence (including any UCC termination statements) that the Liens indicated in any such financing statements either constitute Permitted Liens or have been or, in connection with the initial Credit Extension, will be terminated or released;</w:t>
      </w:r>
    </w:p>
    <w:p>
      <w:pPr>
        <w:spacing w:after="0" w:line="181" w:lineRule="exact"/>
        <w:rPr>
          <w:rFonts w:ascii="Arial" w:cs="Arial" w:eastAsia="Arial" w:hAnsi="Arial"/>
          <w:sz w:val="18"/>
          <w:szCs w:val="18"/>
          <w:color w:val="auto"/>
        </w:rPr>
      </w:pPr>
    </w:p>
    <w:p>
      <w:pPr>
        <w:ind w:left="2160" w:hanging="855"/>
        <w:spacing w:after="0"/>
        <w:tabs>
          <w:tab w:leader="none" w:pos="2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Perfection Certificate of Borrower, together with the duly executed signature thereto;</w:t>
      </w:r>
    </w:p>
    <w:p>
      <w:pPr>
        <w:spacing w:after="0" w:line="265" w:lineRule="exact"/>
        <w:rPr>
          <w:rFonts w:ascii="Arial" w:cs="Arial" w:eastAsia="Arial" w:hAnsi="Arial"/>
          <w:sz w:val="18"/>
          <w:szCs w:val="18"/>
          <w:color w:val="auto"/>
        </w:rPr>
      </w:pPr>
    </w:p>
    <w:p>
      <w:pPr>
        <w:ind w:firstLine="1305"/>
        <w:spacing w:after="0" w:line="324" w:lineRule="auto"/>
        <w:tabs>
          <w:tab w:leader="none" w:pos="21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landlord’s consent in favor of Bank for 480 Arsenal Way, Watertown, Massachusetts 02472 by the landlord thereof, together with the duly executed signatures thereto;</w:t>
      </w:r>
    </w:p>
    <w:p>
      <w:pPr>
        <w:spacing w:after="0" w:line="170" w:lineRule="exact"/>
        <w:rPr>
          <w:rFonts w:ascii="Arial" w:cs="Arial" w:eastAsia="Arial" w:hAnsi="Arial"/>
          <w:sz w:val="18"/>
          <w:szCs w:val="18"/>
          <w:color w:val="auto"/>
        </w:rPr>
      </w:pPr>
    </w:p>
    <w:p>
      <w:pPr>
        <w:ind w:firstLine="1305"/>
        <w:spacing w:after="0" w:line="324" w:lineRule="auto"/>
        <w:tabs>
          <w:tab w:leader="none" w:pos="21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bailee’s waiver in favor of Bank for each location where Borrower maintains property with a third party, by each such third party, together with the duly executed signatures thereto;</w:t>
      </w:r>
    </w:p>
    <w:p>
      <w:pPr>
        <w:spacing w:after="0" w:line="170" w:lineRule="exact"/>
        <w:rPr>
          <w:rFonts w:ascii="Arial" w:cs="Arial" w:eastAsia="Arial" w:hAnsi="Arial"/>
          <w:sz w:val="18"/>
          <w:szCs w:val="18"/>
          <w:color w:val="auto"/>
        </w:rPr>
      </w:pPr>
    </w:p>
    <w:p>
      <w:pPr>
        <w:ind w:firstLine="1305"/>
        <w:spacing w:after="0" w:line="357" w:lineRule="auto"/>
        <w:tabs>
          <w:tab w:leader="none" w:pos="2115" w:val="left"/>
        </w:tabs>
        <w:numPr>
          <w:ilvl w:val="0"/>
          <w:numId w:val="12"/>
        </w:numPr>
        <w:rPr>
          <w:rFonts w:ascii="Arial" w:cs="Arial" w:eastAsia="Arial" w:hAnsi="Arial"/>
          <w:sz w:val="17"/>
          <w:szCs w:val="17"/>
          <w:color w:val="auto"/>
        </w:rPr>
      </w:pPr>
      <w:r>
        <w:rPr>
          <w:rFonts w:ascii="Arial" w:cs="Arial" w:eastAsia="Arial" w:hAnsi="Arial"/>
          <w:sz w:val="17"/>
          <w:szCs w:val="17"/>
          <w:color w:val="auto"/>
        </w:rPr>
        <w:t>evidence satisfactory to Bank that the insurance policies and endorsements required by Section 6.5 hereof are in full force and effect, together with appropriate evidence showing lender loss payable and/or additional insured clauses or endorsements in favor of Bank; and</w:t>
      </w:r>
    </w:p>
    <w:p>
      <w:pPr>
        <w:spacing w:after="0" w:line="147" w:lineRule="exact"/>
        <w:rPr>
          <w:rFonts w:ascii="Arial" w:cs="Arial" w:eastAsia="Arial" w:hAnsi="Arial"/>
          <w:sz w:val="17"/>
          <w:szCs w:val="17"/>
          <w:color w:val="auto"/>
        </w:rPr>
      </w:pPr>
    </w:p>
    <w:p>
      <w:pPr>
        <w:ind w:left="2160" w:hanging="855"/>
        <w:spacing w:after="0"/>
        <w:tabs>
          <w:tab w:leader="none" w:pos="2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payment of the fees and Bank Expenses then due as specified in Section 2.3 hereof.</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828282"/>
        </w:rPr>
        <w:t>3</w:t>
      </w:r>
    </w:p>
    <w:p>
      <w:pPr>
        <w:sectPr>
          <w:pgSz w:w="11900" w:h="16838" w:orient="portrait"/>
          <w:cols w:equalWidth="0" w:num="1">
            <w:col w:w="11420"/>
          </w:cols>
          <w:pgMar w:left="240" w:top="584" w:right="239" w:bottom="1440" w:gutter="0" w:footer="0" w:header="0"/>
        </w:sectPr>
      </w:pPr>
    </w:p>
    <w:bookmarkStart w:id="8" w:name="page9"/>
    <w:bookmarkEnd w:id="8"/>
    <w:p>
      <w:pPr>
        <w:ind w:right="20" w:firstLine="648"/>
        <w:spacing w:after="0" w:line="282" w:lineRule="auto"/>
        <w:rPr>
          <w:sz w:val="20"/>
          <w:szCs w:val="20"/>
          <w:color w:val="auto"/>
        </w:rPr>
      </w:pPr>
      <w:r>
        <w:rPr>
          <w:rFonts w:ascii="Arial" w:cs="Arial" w:eastAsia="Arial" w:hAnsi="Arial"/>
          <w:sz w:val="18"/>
          <w:szCs w:val="18"/>
          <w:b w:val="1"/>
          <w:bCs w:val="1"/>
          <w:color w:val="auto"/>
        </w:rPr>
        <w:t>3.2 Conditions Precedent to all Credit Extensions</w:t>
      </w:r>
      <w:r>
        <w:rPr>
          <w:rFonts w:ascii="Arial" w:cs="Arial" w:eastAsia="Arial" w:hAnsi="Arial"/>
          <w:sz w:val="18"/>
          <w:szCs w:val="18"/>
          <w:color w:val="auto"/>
        </w:rPr>
        <w:t>. Bank’s obligations to make each Credit Extension, including the initial Credit Extension, is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following conditions precedent:</w:t>
      </w:r>
    </w:p>
    <w:p>
      <w:pPr>
        <w:spacing w:after="0" w:line="166" w:lineRule="exact"/>
        <w:rPr>
          <w:sz w:val="20"/>
          <w:szCs w:val="20"/>
          <w:color w:val="auto"/>
        </w:rPr>
      </w:pPr>
    </w:p>
    <w:p>
      <w:pPr>
        <w:ind w:left="1680" w:hanging="375"/>
        <w:spacing w:after="0"/>
        <w:tabs>
          <w:tab w:leader="none" w:pos="1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except as otherwise provided in Section 3.4, timely receipt of an executed Payment/Advance Form;</w:t>
      </w:r>
    </w:p>
    <w:p>
      <w:pPr>
        <w:spacing w:after="0" w:line="225" w:lineRule="exact"/>
        <w:rPr>
          <w:rFonts w:ascii="Arial" w:cs="Arial" w:eastAsia="Arial" w:hAnsi="Arial"/>
          <w:sz w:val="18"/>
          <w:szCs w:val="18"/>
          <w:color w:val="auto"/>
        </w:rPr>
      </w:pPr>
    </w:p>
    <w:p>
      <w:pPr>
        <w:jc w:val="both"/>
        <w:ind w:firstLine="1305"/>
        <w:spacing w:after="0" w:line="253" w:lineRule="auto"/>
        <w:tabs>
          <w:tab w:leader="none" w:pos="173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representations and warranties in this Agreement shall be true, accurate, and complete in all material respects on the date of the Payment/Advance Form and on the Funding Date of each Credit Extension;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and no Event of Default shall have occurred and be continuing or result from the Credit Extension. Each Credit Extension is Borrower’s representation and warranty on that date that the representations and warranties in this Agreement remain true, accurate, and complete in all material respects;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and</w:t>
      </w:r>
    </w:p>
    <w:p>
      <w:pPr>
        <w:spacing w:after="0" w:line="197" w:lineRule="exact"/>
        <w:rPr>
          <w:rFonts w:ascii="Arial" w:cs="Arial" w:eastAsia="Arial" w:hAnsi="Arial"/>
          <w:sz w:val="18"/>
          <w:szCs w:val="18"/>
          <w:color w:val="auto"/>
        </w:rPr>
      </w:pPr>
    </w:p>
    <w:p>
      <w:pPr>
        <w:jc w:val="both"/>
        <w:ind w:firstLine="1305"/>
        <w:spacing w:after="0" w:line="264" w:lineRule="auto"/>
        <w:tabs>
          <w:tab w:leader="none" w:pos="1741"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Bank determines to its reasonable satisfaction that there has not been any material impairment in the general affairs, management, results of operation, financial condition or the prospect of repayment of the Obligations, or any material adverse deviation by Borrower from the most recent business plan of Borrower presented to and accepted by Bank.</w:t>
      </w:r>
    </w:p>
    <w:p>
      <w:pPr>
        <w:spacing w:after="0" w:line="17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3.3 Covenant to Deliver</w:t>
      </w:r>
      <w:r>
        <w:rPr>
          <w:rFonts w:ascii="Arial" w:cs="Arial" w:eastAsia="Arial" w:hAnsi="Arial"/>
          <w:sz w:val="18"/>
          <w:szCs w:val="18"/>
          <w:color w:val="auto"/>
        </w:rPr>
        <w:t>. Borrower agrees to deliver to Bank each item required to be delivered to Bank under this Agreement as a condition</w:t>
      </w:r>
      <w:r>
        <w:rPr>
          <w:rFonts w:ascii="Arial" w:cs="Arial" w:eastAsia="Arial" w:hAnsi="Arial"/>
          <w:sz w:val="18"/>
          <w:szCs w:val="18"/>
          <w:b w:val="1"/>
          <w:bCs w:val="1"/>
          <w:color w:val="auto"/>
        </w:rPr>
        <w:t xml:space="preserve"> </w:t>
      </w:r>
      <w:r>
        <w:rPr>
          <w:rFonts w:ascii="Arial" w:cs="Arial" w:eastAsia="Arial" w:hAnsi="Arial"/>
          <w:sz w:val="18"/>
          <w:szCs w:val="18"/>
          <w:color w:val="auto"/>
        </w:rPr>
        <w:t>precedent to any Credit Extension. Borrower expressly agrees that a Credit Extension made prior to the receipt by Bank of any such item shall not constitute a waiver by Bank of Borrower’s obligation to deliver such item, and the making of any Credit Extension in the absence of a required item shall be in Bank’s reasonable discretion.</w:t>
      </w:r>
    </w:p>
    <w:p>
      <w:pPr>
        <w:spacing w:after="0" w:line="18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3.4 Procedures for Borrowing</w:t>
      </w:r>
      <w:r>
        <w:rPr>
          <w:rFonts w:ascii="Arial" w:cs="Arial" w:eastAsia="Arial" w:hAnsi="Arial"/>
          <w:sz w:val="16"/>
          <w:szCs w:val="16"/>
          <w:color w:val="auto"/>
        </w:rPr>
        <w:t>. Subject to the prior satisfaction of all other applicable conditions to the making of a Credit Extension set forth in</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to obtain a Credit Extension, Borrower shall notify Bank (which notice shall be irrevocable) by electronic mail, facsimile, or telephone by 12:00 p.m. Eastern time at least two (2) Business Days before the proposed Funding Date of the Credit Extension. Together with any such electronic or facsimile notification, Borrower shall deliver to Bank by electronic mail or facsimile a completed Payment/Advance Form executed by a Responsible Officer or his or her designee. Bank may rely on any telephone notice given by a person whom Bank believes is a Responsible Officer or designee. Bank shall credit the Credit Extensions to the Designated Deposit Account. Bank may make Credit Extensions under this Agreement based on instructions from a Responsible Officer or his or her designee or without instructions if the Credit Extensions are necessary to meet Obligations which have become due.</w:t>
      </w:r>
    </w:p>
    <w:p>
      <w:pPr>
        <w:spacing w:after="0" w:line="189" w:lineRule="exact"/>
        <w:rPr>
          <w:sz w:val="20"/>
          <w:szCs w:val="20"/>
          <w:color w:val="auto"/>
        </w:rPr>
      </w:pPr>
    </w:p>
    <w:p>
      <w:pPr>
        <w:ind w:left="1440" w:hanging="784"/>
        <w:spacing w:after="0"/>
        <w:tabs>
          <w:tab w:leader="none" w:pos="14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CREATION OF SECURITY INTEREST</w:t>
      </w:r>
    </w:p>
    <w:p>
      <w:pPr>
        <w:spacing w:after="0" w:line="23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4.1 Grant of Security Interest. </w:t>
      </w:r>
      <w:r>
        <w:rPr>
          <w:rFonts w:ascii="Arial" w:cs="Arial" w:eastAsia="Arial" w:hAnsi="Arial"/>
          <w:sz w:val="18"/>
          <w:szCs w:val="18"/>
          <w:color w:val="auto"/>
        </w:rPr>
        <w:t>Borrower hereby grants Bank, to secure the payment and performance in full of all of the Obligations, a</w:t>
      </w:r>
      <w:r>
        <w:rPr>
          <w:rFonts w:ascii="Arial" w:cs="Arial" w:eastAsia="Arial" w:hAnsi="Arial"/>
          <w:sz w:val="18"/>
          <w:szCs w:val="18"/>
          <w:b w:val="1"/>
          <w:bCs w:val="1"/>
          <w:color w:val="auto"/>
        </w:rPr>
        <w:t xml:space="preserve"> </w:t>
      </w:r>
      <w:r>
        <w:rPr>
          <w:rFonts w:ascii="Arial" w:cs="Arial" w:eastAsia="Arial" w:hAnsi="Arial"/>
          <w:sz w:val="18"/>
          <w:szCs w:val="18"/>
          <w:color w:val="auto"/>
        </w:rPr>
        <w:t>continuing security interest in, and pledges to Bank, the Collateral, wherever located, whether now owned or hereafter acquired or arising, and all proceeds and products thereof.</w:t>
      </w:r>
    </w:p>
    <w:p>
      <w:pPr>
        <w:spacing w:after="0" w:line="18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Borrower acknowledges that it previously has entered, and/or may in the future enter, into Bank Services Agreements with Bank. Regardless of the terms of any Bank Services Agreement, Borrower agrees that any amounts Borrower owes Bank thereunder shall be deemed to be Obligations hereunder and that it is the intent of Borrower and Bank to have all such Obligations secured by the first priority perfected security interest in the Collateral granted herein (subject only to Permitted Liens that are permitted pursuant to the terms of this Agreement to have superior priority to Bank’s Lien in this Agreement).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828282"/>
        </w:rPr>
        <w:t>4</w:t>
      </w:r>
    </w:p>
    <w:p>
      <w:pPr>
        <w:sectPr>
          <w:pgSz w:w="11900" w:h="16838" w:orient="portrait"/>
          <w:cols w:equalWidth="0" w:num="1">
            <w:col w:w="11420"/>
          </w:cols>
          <w:pgMar w:left="240" w:top="580" w:right="239" w:bottom="1440" w:gutter="0" w:footer="0" w:header="0"/>
        </w:sectPr>
      </w:pPr>
    </w:p>
    <w:bookmarkStart w:id="9" w:name="page10"/>
    <w:bookmarkEnd w:id="9"/>
    <w:p>
      <w:pPr>
        <w:jc w:val="both"/>
        <w:ind w:firstLine="648"/>
        <w:spacing w:after="0" w:line="270" w:lineRule="auto"/>
        <w:rPr>
          <w:sz w:val="20"/>
          <w:szCs w:val="20"/>
          <w:color w:val="auto"/>
        </w:rPr>
      </w:pPr>
      <w:r>
        <w:rPr>
          <w:rFonts w:ascii="Arial" w:cs="Arial" w:eastAsia="Arial" w:hAnsi="Arial"/>
          <w:sz w:val="17"/>
          <w:szCs w:val="17"/>
          <w:color w:val="auto"/>
        </w:rPr>
        <w:t>If this Agreement is terminated, Bank’s Lien in the Collateral shall continue until the Obligations (other than inchoate indemnity obligations) are repaid in full in cash. Upon payment in full in cash of the Obligations (other than inchoate indemnity obligations) and at such time as Bank’s obligation to make Credit Extensions has terminated, Bank shall, at the sole cost and expense of Borrower, release its Liens in the Collateral and all rights therein shall revert to Borrower. In the event (x) all Obligations (other than inchoate indemnity obligations), except for Bank Services, are satisfied in full, and (y) this Agreement is terminated, Bank shall terminate the security interest granted herein upon Borrower providing cash collateral acceptable to Bank in its good faith business judgment for Bank Services, if any. In the event such Bank Services consist of outstanding Letters of Credit, Borrower shall provide to Bank cash collateral in an amount equal to (x) if such Letters of Credit are denominated in Dollars, then at least one hundred five percent (105.0%); and (y) if such Letters of Credit are denominated in a Foreign Currency, then at least one hundred ten percent (110.0%), of the Dollar Equivalent of the face amount of all such Letters of Credit plus, in each case, all interest, fees, and costs due or to become due in connection therewith (as estimated by Bank in its good faith business judgment), to secure all of the Obligations relating to such Letters of Credit.</w:t>
      </w:r>
    </w:p>
    <w:p>
      <w:pPr>
        <w:spacing w:after="0" w:line="17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4.2 Priority of Security Interest</w:t>
      </w:r>
      <w:r>
        <w:rPr>
          <w:rFonts w:ascii="Arial" w:cs="Arial" w:eastAsia="Arial" w:hAnsi="Arial"/>
          <w:sz w:val="18"/>
          <w:szCs w:val="18"/>
          <w:color w:val="auto"/>
        </w:rPr>
        <w:t>. Borrower represents, warrants, and covenants that the security interest granted herein is and shall at all times</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 to be a first priority perfected security interest in the Collateral (subject only to Permitted Liens that are permitted pursuant to the terms of this Agreement to have superior priority to Bank’s Lien under this Agreement). If Borrower shall acquire a commercial tort claim, greater than Fifty Thousand Dollars ($50,000.00), Borrower shall promptly notify Bank in a writing signed by Borrower of the general details thereof and grant to Bank in such writing a security interest therein and in the proceeds thereof, all upon the terms of this Agreement, with such writing to be in form and substance reasonably satisfactory to Bank.</w:t>
      </w:r>
    </w:p>
    <w:p>
      <w:pPr>
        <w:spacing w:after="0" w:line="188"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4.3 Authorization to File Financing Statements</w:t>
      </w:r>
      <w:r>
        <w:rPr>
          <w:rFonts w:ascii="Arial" w:cs="Arial" w:eastAsia="Arial" w:hAnsi="Arial"/>
          <w:sz w:val="18"/>
          <w:szCs w:val="18"/>
          <w:color w:val="auto"/>
        </w:rPr>
        <w:t>. Borrower hereby authorizes Bank to file financing statements, without notice to Borrower, with</w:t>
      </w:r>
      <w:r>
        <w:rPr>
          <w:rFonts w:ascii="Arial" w:cs="Arial" w:eastAsia="Arial" w:hAnsi="Arial"/>
          <w:sz w:val="18"/>
          <w:szCs w:val="18"/>
          <w:b w:val="1"/>
          <w:bCs w:val="1"/>
          <w:color w:val="auto"/>
        </w:rPr>
        <w:t xml:space="preserve"> </w:t>
      </w:r>
      <w:r>
        <w:rPr>
          <w:rFonts w:ascii="Arial" w:cs="Arial" w:eastAsia="Arial" w:hAnsi="Arial"/>
          <w:sz w:val="18"/>
          <w:szCs w:val="18"/>
          <w:color w:val="auto"/>
        </w:rPr>
        <w:t>all appropriate jurisdictions to perfect or protect Bank’s interest or rights hereunder.</w:t>
      </w:r>
    </w:p>
    <w:p>
      <w:pPr>
        <w:spacing w:after="0" w:line="189" w:lineRule="exact"/>
        <w:rPr>
          <w:sz w:val="20"/>
          <w:szCs w:val="20"/>
          <w:color w:val="auto"/>
        </w:rPr>
      </w:pPr>
    </w:p>
    <w:p>
      <w:pPr>
        <w:ind w:left="1440" w:hanging="784"/>
        <w:spacing w:after="0"/>
        <w:tabs>
          <w:tab w:leader="none" w:pos="14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Borrower represents and warrants as follows:</w:t>
      </w:r>
    </w:p>
    <w:p>
      <w:pPr>
        <w:spacing w:after="0" w:line="22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5.1 Due Organization, Authorization; Power and Authority</w:t>
      </w:r>
      <w:r>
        <w:rPr>
          <w:rFonts w:ascii="Arial" w:cs="Arial" w:eastAsia="Arial" w:hAnsi="Arial"/>
          <w:sz w:val="17"/>
          <w:szCs w:val="17"/>
          <w:color w:val="auto"/>
        </w:rPr>
        <w:t>. Borrower is duly existing and in good standing as a Registered Organization in its</w:t>
      </w:r>
      <w:r>
        <w:rPr>
          <w:rFonts w:ascii="Arial" w:cs="Arial" w:eastAsia="Arial" w:hAnsi="Arial"/>
          <w:sz w:val="17"/>
          <w:szCs w:val="17"/>
          <w:b w:val="1"/>
          <w:bCs w:val="1"/>
          <w:color w:val="auto"/>
        </w:rPr>
        <w:t xml:space="preserve"> </w:t>
      </w:r>
      <w:r>
        <w:rPr>
          <w:rFonts w:ascii="Arial" w:cs="Arial" w:eastAsia="Arial" w:hAnsi="Arial"/>
          <w:sz w:val="17"/>
          <w:szCs w:val="17"/>
          <w:color w:val="auto"/>
        </w:rPr>
        <w:t>jurisdiction of formation and is qualified and licensed to do business and is in good standing in any jurisdiction in which the conduct of its business or its ownership of property requires that it be qualified except where the failure to do so could not reasonably be expected to have a material adverse effect on Borrower’s business. In connection with this Agreement, Borrower has delivered to Bank a completed certificate signed by Borrower, entitled “Perfection Certificate”. Borrower represents and warrants to Bank that (a) Borrower’s exact legal name is that indicated on the Perfection Certificate and on the signature page hereof; (b) Borrower is an organization of the type and is organized in the jurisdiction set forth in the Perfection Certificate; (c) the Perfection Certificate accurately sets forth Borrower’s organizational identification number or accurately states that Borrower has none; (d) the Perfection Certificate accurately sets forth Borrower’s place of business, or, if more than one, its chief executive office as well as Borrower’s mailing address (if different than its chief executive office); (e) Borrower (and each of its predecessors) has not, in the past five (5) years, changed its jurisdiction of formation, organizational structure or type, or any organizational number assigned by its jurisdiction; and (f) all other information set forth on the Perfection Certificate pertaining to Borrower and each of its Subsidiaries is accurate and complete (it being understood and agreed that Borrower may from time to time update certain information in the Perfection Certificate after the Effective Date to the extent permitted by one or more specific provisions in this Agreement). If Borrower is not now a Registered Organization but later becomes one, Borrower shall promptly notify Bank of such occurrence and provide Bank with Borrower’s organizational identification number.</w:t>
      </w:r>
    </w:p>
    <w:p>
      <w:pPr>
        <w:spacing w:after="0" w:line="18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execution, delivery and performance by Borrower of the Loan Documents to which it is a party have been duly authorized, and do not (i) conflict with any of Borrower’s organizational documents, (ii) contravene, conflict with, constitute a default under or violate any material Requirement of Law, (iii) contravene, conflict or violate any applicable order, writ, judgment, injunction, decree, determination or award of any Governmental Authority by which Borrower or any of its Subsidiaries or any of their property or assets may be bound or affected, (iv) require any action by, filing,</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828282"/>
        </w:rPr>
        <w:t>5</w:t>
      </w:r>
    </w:p>
    <w:p>
      <w:pPr>
        <w:sectPr>
          <w:pgSz w:w="11900" w:h="16838" w:orient="portrait"/>
          <w:cols w:equalWidth="0" w:num="1">
            <w:col w:w="11420"/>
          </w:cols>
          <w:pgMar w:left="240" w:top="584" w:right="239" w:bottom="1440" w:gutter="0" w:footer="0" w:header="0"/>
        </w:sectPr>
      </w:pPr>
    </w:p>
    <w:bookmarkStart w:id="10" w:name="page11"/>
    <w:bookmarkEnd w:id="10"/>
    <w:p>
      <w:pPr>
        <w:jc w:val="both"/>
        <w:spacing w:after="0" w:line="257" w:lineRule="auto"/>
        <w:rPr>
          <w:sz w:val="20"/>
          <w:szCs w:val="20"/>
          <w:color w:val="auto"/>
        </w:rPr>
      </w:pPr>
      <w:r>
        <w:rPr>
          <w:rFonts w:ascii="Arial" w:cs="Arial" w:eastAsia="Arial" w:hAnsi="Arial"/>
          <w:sz w:val="18"/>
          <w:szCs w:val="18"/>
          <w:color w:val="auto"/>
        </w:rPr>
        <w:t xml:space="preserve">registration, or qualification with, or Governmental Approval from, any Governmental Authority (except such Governmental Approvals which have already been obtained and are in full force and effect </w:t>
      </w:r>
      <w:r>
        <w:rPr>
          <w:rFonts w:ascii="Arial" w:cs="Arial" w:eastAsia="Arial" w:hAnsi="Arial"/>
          <w:sz w:val="18"/>
          <w:szCs w:val="18"/>
          <w:b w:val="1"/>
          <w:bCs w:val="1"/>
          <w:color w:val="auto"/>
        </w:rPr>
        <w:t>(</w:t>
      </w:r>
      <w:r>
        <w:rPr>
          <w:rFonts w:ascii="Arial" w:cs="Arial" w:eastAsia="Arial" w:hAnsi="Arial"/>
          <w:sz w:val="18"/>
          <w:szCs w:val="18"/>
          <w:color w:val="auto"/>
        </w:rPr>
        <w:t>or are being obtained pursuant to Section 6.1(b)</w:t>
      </w:r>
      <w:r>
        <w:rPr>
          <w:rFonts w:ascii="Arial" w:cs="Arial" w:eastAsia="Arial" w:hAnsi="Arial"/>
          <w:sz w:val="18"/>
          <w:szCs w:val="18"/>
          <w:b w:val="1"/>
          <w:bCs w:val="1"/>
          <w:color w:val="auto"/>
        </w:rPr>
        <w:t>))</w:t>
      </w:r>
      <w:r>
        <w:rPr>
          <w:rFonts w:ascii="Arial" w:cs="Arial" w:eastAsia="Arial" w:hAnsi="Arial"/>
          <w:sz w:val="18"/>
          <w:szCs w:val="18"/>
          <w:color w:val="auto"/>
        </w:rPr>
        <w:t xml:space="preserve"> or (v) conflict with, contravene, constitute a default or breach under, or result in or permit the termination or acceleration of, any material agreement by which Borrower is bound. Borrower is not in default under any agreement to which it is a party or by which it is bound in which the default could reasonably be expected to have a material adverse effect on Borrower’s business.</w:t>
      </w:r>
    </w:p>
    <w:p>
      <w:pPr>
        <w:spacing w:after="0" w:line="18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5.2 Collateral</w:t>
      </w:r>
      <w:r>
        <w:rPr>
          <w:rFonts w:ascii="Arial" w:cs="Arial" w:eastAsia="Arial" w:hAnsi="Arial"/>
          <w:sz w:val="18"/>
          <w:szCs w:val="18"/>
          <w:color w:val="auto"/>
        </w:rPr>
        <w:t>. Borrower has good title to, rights in, and the power to transfer each item of the Collateral upon which it purports to grant a Lien</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free and clear of any and all Liens except Permitted Liens. Borrower has no Collateral Accounts at or with any bank or financial institution other than Bank or Bank’s Affiliates except for the Collateral Accounts described in the Perfection Certificate delivered to Bank in connection herewith and which Borrower has taken such actions as are necessary to give Bank a perfected security interest therein, pursuant to the terms of Section 6.6(b). The Accounts are bona fide, existing obligations of the Account Debtors.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Collateral is not in the possession of any third party bailee (such as a warehouse) except as otherwise provided in the Perfection Certificate or as permitted pursuant to Section 7.2. None of the components of the Collateral shall be maintained at locations other than as provided in the Perfection Certificate or as permitted pursuant to Section 7.2.</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Inventory is in all material respects of good and marketable quality, free from material defects.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Borrower is the sole owner of the Intellectual Property which it owns or purports to own except for (a) licenses not prohibited hereunder, (b) over-the-counter software that is commercially available to the public, and (c) material Intellectual Property licensed to Borrower and noted on the Perfection Certificate, as may be updated from time to time in accordance with Section 5.1 hereof. Each Patent which it owns or purports to own and which is material to Borrower’s business is valid and enforceable, and no part of the Intellectual Property which Borrower owns or purports to own and which is material to Borrower’s business has been judged invalid or unenforceable, in whole or in part. To the best of Borrower’s knowledge, no claim has been made that any part of the Intellectual Property violates the rights of any third party except to the extent such claim would not reasonably be expected to have a material adverse effect on Borrower’s business.</w:t>
      </w:r>
    </w:p>
    <w:p>
      <w:pPr>
        <w:spacing w:after="0" w:line="18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Except as noted on the Perfection Certificate or with respect to which notice is provided under Section 6.7(b), Borrower is not a party to, nor is it bound by, any Restricted License.</w:t>
      </w:r>
    </w:p>
    <w:p>
      <w:pPr>
        <w:spacing w:after="0" w:line="16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5.3 Litigation</w:t>
      </w:r>
      <w:r>
        <w:rPr>
          <w:rFonts w:ascii="Arial" w:cs="Arial" w:eastAsia="Arial" w:hAnsi="Arial"/>
          <w:sz w:val="18"/>
          <w:szCs w:val="18"/>
          <w:color w:val="auto"/>
        </w:rPr>
        <w:t>. Other than those of which Borrower has notified Bank pursuant to Section 6.2(i), there are no actions or proceedings pending or, to</w:t>
      </w:r>
      <w:r>
        <w:rPr>
          <w:rFonts w:ascii="Arial" w:cs="Arial" w:eastAsia="Arial" w:hAnsi="Arial"/>
          <w:sz w:val="18"/>
          <w:szCs w:val="18"/>
          <w:b w:val="1"/>
          <w:bCs w:val="1"/>
          <w:color w:val="auto"/>
        </w:rPr>
        <w:t xml:space="preserve"> </w:t>
      </w:r>
      <w:r>
        <w:rPr>
          <w:rFonts w:ascii="Arial" w:cs="Arial" w:eastAsia="Arial" w:hAnsi="Arial"/>
          <w:sz w:val="18"/>
          <w:szCs w:val="18"/>
          <w:color w:val="auto"/>
        </w:rPr>
        <w:t>the knowledge of any Responsible Officer, threatened in writing by or against Borrower or any of its Subsidiaries involving more than, individually or in the aggregate, Two Hundred Fifty Thousand Dollars ($250,000.00).</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5.4 Financial Statements; Financial Condition</w:t>
      </w:r>
      <w:r>
        <w:rPr>
          <w:rFonts w:ascii="Arial" w:cs="Arial" w:eastAsia="Arial" w:hAnsi="Arial"/>
          <w:sz w:val="18"/>
          <w:szCs w:val="18"/>
          <w:color w:val="auto"/>
        </w:rPr>
        <w:t>. All consolidated financial statements for Borrower and any of its Subsidiaries delivered to Bank</w:t>
      </w:r>
      <w:r>
        <w:rPr>
          <w:rFonts w:ascii="Arial" w:cs="Arial" w:eastAsia="Arial" w:hAnsi="Arial"/>
          <w:sz w:val="18"/>
          <w:szCs w:val="18"/>
          <w:b w:val="1"/>
          <w:bCs w:val="1"/>
          <w:color w:val="auto"/>
        </w:rPr>
        <w:t xml:space="preserve"> </w:t>
      </w:r>
      <w:r>
        <w:rPr>
          <w:rFonts w:ascii="Arial" w:cs="Arial" w:eastAsia="Arial" w:hAnsi="Arial"/>
          <w:sz w:val="18"/>
          <w:szCs w:val="18"/>
          <w:color w:val="auto"/>
        </w:rPr>
        <w:t>fairly present in all material respects Borrower’s consolidated financial condition and Borrower’s consolidated results of operations. Except as disclosed to Bank in writing, there has not been any material deterioration in Borrower’s consolidated financial condition since the date of the most recent financial statements submitted to Bank.</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5.5 Solvency</w:t>
      </w:r>
      <w:r>
        <w:rPr>
          <w:rFonts w:ascii="Arial" w:cs="Arial" w:eastAsia="Arial" w:hAnsi="Arial"/>
          <w:sz w:val="18"/>
          <w:szCs w:val="18"/>
          <w:color w:val="auto"/>
        </w:rPr>
        <w:t>. The fair salable value of Borrower’s consolidated assets (including goodwill minus disposition costs) exceeds the fair value of</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Borrower’s liabilities; Borrower is not left with unreasonably small capital after the transactions in this Agreement; and Borrower is able to pay its debts (including trade debts) as they mature.</w:t>
      </w:r>
    </w:p>
    <w:p>
      <w:pPr>
        <w:spacing w:after="0" w:line="17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5.6 Regulatory Compliance</w:t>
      </w:r>
      <w:r>
        <w:rPr>
          <w:rFonts w:ascii="Arial" w:cs="Arial" w:eastAsia="Arial" w:hAnsi="Arial"/>
          <w:sz w:val="16"/>
          <w:szCs w:val="16"/>
          <w:color w:val="auto"/>
        </w:rPr>
        <w:t>. Borrower is not an “investment company” or a company “controlled” by an “investment company”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Company Act of 1940, as amended. Borrower is not engaged as one of its important activities in extending credit for margin stock (under Regulations X, T and U of the Federal Reserve Board of Governors). Borrower (a) has complied in all material respects with all Requirements of Law, and</w:t>
      </w:r>
    </w:p>
    <w:p>
      <w:pPr>
        <w:spacing w:after="0" w:line="2" w:lineRule="exact"/>
        <w:rPr>
          <w:sz w:val="20"/>
          <w:szCs w:val="20"/>
          <w:color w:val="auto"/>
        </w:rPr>
      </w:pPr>
    </w:p>
    <w:p>
      <w:pPr>
        <w:ind w:left="5660" w:right="2380" w:hanging="5652"/>
        <w:spacing w:after="0" w:line="793" w:lineRule="auto"/>
        <w:tabs>
          <w:tab w:leader="none" w:pos="254"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has not violated any Requirements of Law the violation of which could reasonably be expected to have a material adverse </w:t>
      </w:r>
      <w:r>
        <w:rPr>
          <w:rFonts w:ascii="Arial" w:cs="Arial" w:eastAsia="Arial" w:hAnsi="Arial"/>
          <w:sz w:val="18"/>
          <w:szCs w:val="18"/>
          <w:color w:val="828282"/>
        </w:rPr>
        <w:t>6</w:t>
      </w:r>
    </w:p>
    <w:p>
      <w:pPr>
        <w:sectPr>
          <w:pgSz w:w="11900" w:h="16838" w:orient="portrait"/>
          <w:cols w:equalWidth="0" w:num="1">
            <w:col w:w="11420"/>
          </w:cols>
          <w:pgMar w:left="240" w:top="584" w:right="239" w:bottom="1440" w:gutter="0" w:footer="0" w:header="0"/>
        </w:sectPr>
      </w:pPr>
    </w:p>
    <w:bookmarkStart w:id="11" w:name="page12"/>
    <w:bookmarkEnd w:id="11"/>
    <w:p>
      <w:pPr>
        <w:jc w:val="both"/>
        <w:spacing w:after="0" w:line="279" w:lineRule="auto"/>
        <w:rPr>
          <w:sz w:val="20"/>
          <w:szCs w:val="20"/>
          <w:color w:val="auto"/>
        </w:rPr>
      </w:pPr>
      <w:r>
        <w:rPr>
          <w:rFonts w:ascii="Arial" w:cs="Arial" w:eastAsia="Arial" w:hAnsi="Arial"/>
          <w:sz w:val="17"/>
          <w:szCs w:val="17"/>
          <w:color w:val="auto"/>
        </w:rPr>
        <w:t>effect on its business. None of Borrower’s or any of its Subsidiaries’ properties or assets has been used by Borrower or any Subsidiary or, to the best of Borrower’s knowledge, by previous Persons, in disposing, producing, storing, treating, or transporting any hazardous substance other than legally. Borrower and each of its Subsidiaries have obtained all consents, approvals and authorizations of, made all declarations or filings with, and given all notices to, all Governmental Authorities that are necessary to continue their respective businesses as currently conducted.</w:t>
      </w:r>
    </w:p>
    <w:p>
      <w:pPr>
        <w:spacing w:after="0" w:line="16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5.7 Subsidiaries; Investments</w:t>
      </w:r>
      <w:r>
        <w:rPr>
          <w:rFonts w:ascii="Arial" w:cs="Arial" w:eastAsia="Arial" w:hAnsi="Arial"/>
          <w:sz w:val="18"/>
          <w:szCs w:val="18"/>
          <w:color w:val="auto"/>
        </w:rPr>
        <w:t>. Borrower does not own any stock, partnership, or other ownership interest or other equity securities except for</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Investments.</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5.8 Tax Returns and Payments; Pension Contributions</w:t>
      </w:r>
      <w:r>
        <w:rPr>
          <w:rFonts w:ascii="Arial" w:cs="Arial" w:eastAsia="Arial" w:hAnsi="Arial"/>
          <w:sz w:val="18"/>
          <w:szCs w:val="18"/>
          <w:color w:val="auto"/>
        </w:rPr>
        <w:t>. Borrower has timely filed all required tax returns and reports, and Borrower has timely</w:t>
      </w:r>
      <w:r>
        <w:rPr>
          <w:rFonts w:ascii="Arial" w:cs="Arial" w:eastAsia="Arial" w:hAnsi="Arial"/>
          <w:sz w:val="18"/>
          <w:szCs w:val="18"/>
          <w:b w:val="1"/>
          <w:bCs w:val="1"/>
          <w:color w:val="auto"/>
        </w:rPr>
        <w:t xml:space="preserve"> </w:t>
      </w:r>
      <w:r>
        <w:rPr>
          <w:rFonts w:ascii="Arial" w:cs="Arial" w:eastAsia="Arial" w:hAnsi="Arial"/>
          <w:sz w:val="18"/>
          <w:szCs w:val="18"/>
          <w:color w:val="auto"/>
        </w:rPr>
        <w:t>paid all foreign, federal, state and local taxes, assessments, deposits and contributions owed by Borrower except (a) to the extent such taxes are being contested in good faith by appropriate proceedings promptly instituted and diligently conducted, so long as such reserve or other appropriate provision, if any, as shall be required in conformity with GAAP shall have been made therefor, or (b) if such taxes, assessments, deposits and contributions do not, individually or in the aggregate, exceed One Hundred Thousand Dollars ($100,000.00).</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To the extent Borrower defers payment of any contested taxes, Borrower shall (i) notify Bank in writing of the commencement of, and any material development in, the proceedings, and (ii) post bonds or take any other steps required to prevent the governmental authority levying such contested taxes from obtaining a Lien upon any of the Collateral that is other than a “Permitted Lien.” Borrower is unaware of any claims or adjustments proposed for any of Borrower's prior tax years which could result in additional taxes becoming due and payable by Borrower in excess of One Hundred Thousand Dollars ($100,000.00). Borrower has paid all amounts necessary to fund all present pension, profit sharing and deferred compensation plans in accordance with their terms, and Borrower has not withdrawn from participation in, and has not permitted partial or complete termination of, or permitted the occurrence of any other event with respect to, any such plan which could reasonably be expected to result in any liability of Borrower, including any liability to the Pension Benefit Guaranty Corporation or its successors or any other governmental agency.</w:t>
      </w:r>
    </w:p>
    <w:p>
      <w:pPr>
        <w:spacing w:after="0" w:line="17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5.9 Use of Proceeds</w:t>
      </w:r>
      <w:r>
        <w:rPr>
          <w:rFonts w:ascii="Arial" w:cs="Arial" w:eastAsia="Arial" w:hAnsi="Arial"/>
          <w:sz w:val="18"/>
          <w:szCs w:val="18"/>
          <w:color w:val="auto"/>
        </w:rPr>
        <w:t>. Borrower shall use the proceeds of the Credit Extensions as working capital and to fund its general business requirements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not for personal, family, household or agricultural purposes.</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5.10 Full Disclosure</w:t>
      </w:r>
      <w:r>
        <w:rPr>
          <w:rFonts w:ascii="Arial" w:cs="Arial" w:eastAsia="Arial" w:hAnsi="Arial"/>
          <w:sz w:val="18"/>
          <w:szCs w:val="18"/>
          <w:color w:val="auto"/>
        </w:rPr>
        <w:t>. No written representation, warranty or other statement of Borrower in any certificate or written statement given to Bank, as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date such representation, warranty, or other statement was made, taken together with all such written certificates and written statements given to Bank, contains any untrue statement of a material fact or omits to state a material fact necessary to make the statements contained in the certificates or statements not misleading (it being recognized by Bank that the projections and forecasts provided by Borrower in good faith and based upon reasonable assumptions are not viewed as facts and that actual results during the period or periods covered by such projections and forecasts may differ from the projected or forecasted results).</w:t>
      </w:r>
    </w:p>
    <w:p>
      <w:pPr>
        <w:spacing w:after="0" w:line="18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5.11 Definition of “Knowledge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For purposes of the Loan Documents, whenever a representation or warranty is made to Borrower’s knowledge</w:t>
      </w:r>
      <w:r>
        <w:rPr>
          <w:rFonts w:ascii="Arial" w:cs="Arial" w:eastAsia="Arial" w:hAnsi="Arial"/>
          <w:sz w:val="18"/>
          <w:szCs w:val="18"/>
          <w:b w:val="1"/>
          <w:bCs w:val="1"/>
          <w:color w:val="auto"/>
        </w:rPr>
        <w:t xml:space="preserve"> </w:t>
      </w:r>
      <w:r>
        <w:rPr>
          <w:rFonts w:ascii="Arial" w:cs="Arial" w:eastAsia="Arial" w:hAnsi="Arial"/>
          <w:sz w:val="18"/>
          <w:szCs w:val="18"/>
          <w:color w:val="auto"/>
        </w:rPr>
        <w:t>or awareness, to the “best of” Borrower’s knowledge, or with a similar qualification, knowledge or awareness means the actual knowledge, after reasonable investigation, of any Responsible Officer.</w:t>
      </w:r>
    </w:p>
    <w:p>
      <w:pPr>
        <w:spacing w:after="0" w:line="203" w:lineRule="exact"/>
        <w:rPr>
          <w:sz w:val="20"/>
          <w:szCs w:val="20"/>
          <w:color w:val="auto"/>
        </w:rPr>
      </w:pPr>
    </w:p>
    <w:p>
      <w:pPr>
        <w:ind w:left="1440" w:hanging="784"/>
        <w:spacing w:after="0"/>
        <w:tabs>
          <w:tab w:leader="none" w:pos="14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AFFIRMATIVE COVENANTS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Borrower shall do all of the following:</w:t>
      </w:r>
    </w:p>
    <w:p>
      <w:pPr>
        <w:spacing w:after="0" w:line="221"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Government Compliance.</w:t>
      </w:r>
    </w:p>
    <w:p>
      <w:pPr>
        <w:spacing w:after="0" w:line="256" w:lineRule="exact"/>
        <w:rPr>
          <w:sz w:val="20"/>
          <w:szCs w:val="20"/>
          <w:color w:val="auto"/>
        </w:rPr>
      </w:pPr>
    </w:p>
    <w:p>
      <w:pPr>
        <w:jc w:val="both"/>
        <w:ind w:firstLine="1305"/>
        <w:spacing w:after="0" w:line="306" w:lineRule="auto"/>
        <w:tabs>
          <w:tab w:leader="none" w:pos="2144"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its and all its Subsidiaries’ legal existence and good standing in their respective jurisdictions of formation and maintain qualification in each jurisdiction in which the failure to so qualify would reasonably be expected to have a material adverse effect on Borrower’s business or operations. Borrower shall comply, and have each Subsidiary comply, in all material respects, with all laws, ordinances and regulations to which it is subject.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828282"/>
        </w:rPr>
        <w:t>7</w:t>
      </w:r>
    </w:p>
    <w:p>
      <w:pPr>
        <w:sectPr>
          <w:pgSz w:w="11900" w:h="16838" w:orient="portrait"/>
          <w:cols w:equalWidth="0" w:num="1">
            <w:col w:w="11420"/>
          </w:cols>
          <w:pgMar w:left="240" w:top="584" w:right="239" w:bottom="1440" w:gutter="0" w:footer="0" w:header="0"/>
        </w:sectPr>
      </w:pPr>
    </w:p>
    <w:bookmarkStart w:id="12" w:name="page13"/>
    <w:bookmarkEnd w:id="12"/>
    <w:p>
      <w:pPr>
        <w:jc w:val="both"/>
        <w:ind w:firstLine="1305"/>
        <w:spacing w:after="0" w:line="311" w:lineRule="auto"/>
        <w:tabs>
          <w:tab w:leader="none" w:pos="21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all of the Governmental Approvals necessary for the performance by Borrower of its obligations under the Loan Documents to which it is a party and the grant of a security interest to Bank in all of the Collateral. Borrower shall promptly provide copies of any such obtained Governmental Approvals to Bank.</w:t>
      </w:r>
    </w:p>
    <w:p>
      <w:pPr>
        <w:spacing w:after="0" w:line="150"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 xml:space="preserve">Financial Statements, Reports, Certificates. </w:t>
      </w:r>
      <w:r>
        <w:rPr>
          <w:rFonts w:ascii="Arial" w:cs="Arial" w:eastAsia="Arial" w:hAnsi="Arial"/>
          <w:sz w:val="16"/>
          <w:szCs w:val="16"/>
          <w:color w:val="auto"/>
        </w:rPr>
        <w:t>Provide Bank with the following:</w:t>
      </w:r>
    </w:p>
    <w:p>
      <w:pPr>
        <w:spacing w:after="0" w:line="229" w:lineRule="exact"/>
        <w:rPr>
          <w:sz w:val="20"/>
          <w:szCs w:val="20"/>
          <w:color w:val="auto"/>
        </w:rPr>
      </w:pPr>
    </w:p>
    <w:p>
      <w:pPr>
        <w:jc w:val="both"/>
        <w:ind w:firstLine="1305"/>
        <w:spacing w:after="0" w:line="259" w:lineRule="auto"/>
        <w:tabs>
          <w:tab w:leader="none" w:pos="173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Monthly Financial Statements</w:t>
      </w:r>
      <w:r>
        <w:rPr>
          <w:rFonts w:ascii="Arial" w:cs="Arial" w:eastAsia="Arial" w:hAnsi="Arial"/>
          <w:sz w:val="18"/>
          <w:szCs w:val="18"/>
          <w:color w:val="auto"/>
        </w:rPr>
        <w:t>. As soon as available, but no later than thirty (30) days after the last day of each month, a company prepared consolidated balance sheet and income statement covering Borrower’s consolidated operations for such month certified by a Responsible Officer and in a form of presentation reasonably acceptable to Bank, which such financial statements will be for the avoidance of doubt, not in conformity with GAAP (the “</w:t>
      </w:r>
      <w:r>
        <w:rPr>
          <w:rFonts w:ascii="Arial" w:cs="Arial" w:eastAsia="Arial" w:hAnsi="Arial"/>
          <w:sz w:val="18"/>
          <w:szCs w:val="18"/>
          <w:b w:val="1"/>
          <w:bCs w:val="1"/>
          <w:color w:val="auto"/>
        </w:rPr>
        <w:t>Monthly Financial Statements</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firstLine="1305"/>
        <w:spacing w:after="0" w:line="259" w:lineRule="auto"/>
        <w:tabs>
          <w:tab w:leader="none" w:pos="174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Monthly Compliance Certificate</w:t>
      </w:r>
      <w:r>
        <w:rPr>
          <w:rFonts w:ascii="Arial" w:cs="Arial" w:eastAsia="Arial" w:hAnsi="Arial"/>
          <w:sz w:val="18"/>
          <w:szCs w:val="18"/>
          <w:color w:val="auto"/>
        </w:rPr>
        <w:t xml:space="preserve">. Within thirty (30) days after the last day of each month and together with the Monthly Financial Statements, a duly completed Compliance Certificate, in the form attached as </w:t>
      </w:r>
      <w:r>
        <w:rPr>
          <w:rFonts w:ascii="Arial" w:cs="Arial" w:eastAsia="Arial" w:hAnsi="Arial"/>
          <w:sz w:val="18"/>
          <w:szCs w:val="18"/>
          <w:u w:val="single" w:color="auto"/>
          <w:color w:val="auto"/>
        </w:rPr>
        <w:t>Exhibit B</w:t>
      </w:r>
      <w:r>
        <w:rPr>
          <w:rFonts w:ascii="Arial" w:cs="Arial" w:eastAsia="Arial" w:hAnsi="Arial"/>
          <w:sz w:val="18"/>
          <w:szCs w:val="18"/>
          <w:color w:val="auto"/>
        </w:rPr>
        <w:t>, signed by a Responsible Officer, certifying that as of the end of such month, Borrower was in full compliance with all of the terms and conditions of this Agreement subject to any exceptions set forth therein and applicable grace periods, if any;</w:t>
      </w:r>
    </w:p>
    <w:p>
      <w:pPr>
        <w:spacing w:after="0" w:line="213" w:lineRule="exact"/>
        <w:rPr>
          <w:rFonts w:ascii="Arial" w:cs="Arial" w:eastAsia="Arial" w:hAnsi="Arial"/>
          <w:sz w:val="18"/>
          <w:szCs w:val="18"/>
          <w:color w:val="auto"/>
        </w:rPr>
      </w:pPr>
    </w:p>
    <w:p>
      <w:pPr>
        <w:jc w:val="both"/>
        <w:ind w:firstLine="1305"/>
        <w:spacing w:after="0" w:line="304" w:lineRule="auto"/>
        <w:tabs>
          <w:tab w:leader="none" w:pos="2144"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Quarterly Financial Statements</w:t>
      </w:r>
      <w:r>
        <w:rPr>
          <w:rFonts w:ascii="Arial" w:cs="Arial" w:eastAsia="Arial" w:hAnsi="Arial"/>
          <w:sz w:val="18"/>
          <w:szCs w:val="18"/>
          <w:color w:val="auto"/>
        </w:rPr>
        <w:t>. As soon as available, and in any event within forty-five (45) days after the end of each fiscal quarter of Borrower, company prepared consolidated balance sheet and income statement covering Borrower’s consolidated operations for such quarter certified by a Responsible Officer consistent with such quarterly financial statements submitted to the SEC, and in a form acceptable to Bank (the “</w:t>
      </w:r>
      <w:r>
        <w:rPr>
          <w:rFonts w:ascii="Arial" w:cs="Arial" w:eastAsia="Arial" w:hAnsi="Arial"/>
          <w:sz w:val="18"/>
          <w:szCs w:val="18"/>
          <w:b w:val="1"/>
          <w:bCs w:val="1"/>
          <w:color w:val="auto"/>
        </w:rPr>
        <w:t>Quarterly</w:t>
      </w:r>
      <w:r>
        <w:rPr>
          <w:rFonts w:ascii="Arial" w:cs="Arial" w:eastAsia="Arial" w:hAnsi="Arial"/>
          <w:sz w:val="18"/>
          <w:szCs w:val="18"/>
          <w:color w:val="auto"/>
        </w:rPr>
        <w:t xml:space="preserve"> </w:t>
      </w:r>
      <w:r>
        <w:rPr>
          <w:rFonts w:ascii="Arial" w:cs="Arial" w:eastAsia="Arial" w:hAnsi="Arial"/>
          <w:sz w:val="18"/>
          <w:szCs w:val="18"/>
          <w:b w:val="1"/>
          <w:bCs w:val="1"/>
          <w:color w:val="auto"/>
        </w:rPr>
        <w:t>Financial Statements</w:t>
      </w:r>
      <w:r>
        <w:rPr>
          <w:rFonts w:ascii="Arial" w:cs="Arial" w:eastAsia="Arial" w:hAnsi="Arial"/>
          <w:sz w:val="18"/>
          <w:szCs w:val="18"/>
          <w:color w:val="auto"/>
        </w:rPr>
        <w:t>”); provided, however, Borrower shall deliver the Quarterly Financial Statements for the last fiscal quarter of each fiscal year of</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within ninety (90) days after the end of such fiscal quarter;</w:t>
      </w:r>
    </w:p>
    <w:p>
      <w:pPr>
        <w:spacing w:after="0" w:line="188" w:lineRule="exact"/>
        <w:rPr>
          <w:rFonts w:ascii="Arial" w:cs="Arial" w:eastAsia="Arial" w:hAnsi="Arial"/>
          <w:sz w:val="18"/>
          <w:szCs w:val="18"/>
          <w:color w:val="auto"/>
        </w:rPr>
      </w:pPr>
    </w:p>
    <w:p>
      <w:pPr>
        <w:jc w:val="both"/>
        <w:ind w:firstLine="1305"/>
        <w:spacing w:after="0" w:line="304" w:lineRule="auto"/>
        <w:tabs>
          <w:tab w:leader="none" w:pos="2155"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Quarterly Compliance Certificate</w:t>
      </w:r>
      <w:r>
        <w:rPr>
          <w:rFonts w:ascii="Arial" w:cs="Arial" w:eastAsia="Arial" w:hAnsi="Arial"/>
          <w:sz w:val="18"/>
          <w:szCs w:val="18"/>
          <w:color w:val="auto"/>
        </w:rPr>
        <w:t xml:space="preserve">. Within forty-five (45) days after the last day of each fiscal quarter and together with the Quarterly Financial Statements, a duly completed Compliance Certificate, in the form attached as </w:t>
      </w:r>
      <w:r>
        <w:rPr>
          <w:rFonts w:ascii="Arial" w:cs="Arial" w:eastAsia="Arial" w:hAnsi="Arial"/>
          <w:sz w:val="18"/>
          <w:szCs w:val="18"/>
          <w:u w:val="single" w:color="auto"/>
          <w:color w:val="auto"/>
        </w:rPr>
        <w:t>Exhibit B</w:t>
      </w:r>
      <w:r>
        <w:rPr>
          <w:rFonts w:ascii="Arial" w:cs="Arial" w:eastAsia="Arial" w:hAnsi="Arial"/>
          <w:sz w:val="18"/>
          <w:szCs w:val="18"/>
          <w:color w:val="auto"/>
        </w:rPr>
        <w:t>, signed by a Responsible Officer, certifying that as of the end of such quarter, Borrower was in full compliance with all of the terms and conditions of this Agreement subject to any exceptions set forth therein and applicable grace periods, if any; provided, however, Borrower shall deliver the Compliance Certificate for the last fiscal quarter of each fiscal year of Borrower within ninety (90) days after the end of such fiscal quarter;</w:t>
      </w:r>
    </w:p>
    <w:p>
      <w:pPr>
        <w:spacing w:after="0" w:line="188" w:lineRule="exact"/>
        <w:rPr>
          <w:rFonts w:ascii="Arial" w:cs="Arial" w:eastAsia="Arial" w:hAnsi="Arial"/>
          <w:sz w:val="18"/>
          <w:szCs w:val="18"/>
          <w:color w:val="auto"/>
        </w:rPr>
      </w:pPr>
    </w:p>
    <w:p>
      <w:pPr>
        <w:jc w:val="both"/>
        <w:ind w:firstLine="1305"/>
        <w:spacing w:after="0" w:line="311" w:lineRule="auto"/>
        <w:tabs>
          <w:tab w:leader="none" w:pos="2144"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Board Projections</w:t>
      </w:r>
      <w:r>
        <w:rPr>
          <w:rFonts w:ascii="Arial" w:cs="Arial" w:eastAsia="Arial" w:hAnsi="Arial"/>
          <w:sz w:val="18"/>
          <w:szCs w:val="18"/>
          <w:color w:val="auto"/>
        </w:rPr>
        <w:t>. As soon as available, and in any event within sixty (60) days of the earlier to occur of (i) approval by the Board or (ii) the end of each fiscal year of Borrower, and contemporaneously with any material updates or changes thereto, annual Board-approved operating budget and financial projections, in a form of presentation reasonably acceptable to Bank;</w:t>
      </w:r>
    </w:p>
    <w:p>
      <w:pPr>
        <w:spacing w:after="0" w:line="181" w:lineRule="exact"/>
        <w:rPr>
          <w:rFonts w:ascii="Arial" w:cs="Arial" w:eastAsia="Arial" w:hAnsi="Arial"/>
          <w:sz w:val="18"/>
          <w:szCs w:val="18"/>
          <w:color w:val="auto"/>
        </w:rPr>
      </w:pPr>
    </w:p>
    <w:p>
      <w:pPr>
        <w:jc w:val="both"/>
        <w:ind w:firstLine="1305"/>
        <w:spacing w:after="0" w:line="306" w:lineRule="auto"/>
        <w:tabs>
          <w:tab w:leader="none" w:pos="2125"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Annual Audited Financial Statements</w:t>
      </w:r>
      <w:r>
        <w:rPr>
          <w:rFonts w:ascii="Arial" w:cs="Arial" w:eastAsia="Arial" w:hAnsi="Arial"/>
          <w:sz w:val="18"/>
          <w:szCs w:val="18"/>
          <w:color w:val="auto"/>
        </w:rPr>
        <w:t>. As soon as available, but no later than one hundred eighty (180) days after the last day of Borrower’s fiscal year, audited consolidated financial statements prepared under GAAP, consistently applied, together with an unqualified opinion on the financial statements from an independent certified public accounting firm reasonably acceptable to Bank. Borrower’s unqualified opinion on financial statements may contain a qualification as to going concern typical for companies similar to Borrower;</w:t>
      </w:r>
    </w:p>
    <w:p>
      <w:pPr>
        <w:spacing w:after="0" w:line="186" w:lineRule="exact"/>
        <w:rPr>
          <w:rFonts w:ascii="Arial" w:cs="Arial" w:eastAsia="Arial" w:hAnsi="Arial"/>
          <w:sz w:val="18"/>
          <w:szCs w:val="18"/>
          <w:color w:val="auto"/>
        </w:rPr>
      </w:pPr>
    </w:p>
    <w:p>
      <w:pPr>
        <w:ind w:right="20" w:firstLine="1305"/>
        <w:spacing w:after="0" w:line="324" w:lineRule="auto"/>
        <w:tabs>
          <w:tab w:leader="none" w:pos="2155"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Other Statements</w:t>
      </w:r>
      <w:r>
        <w:rPr>
          <w:rFonts w:ascii="Arial" w:cs="Arial" w:eastAsia="Arial" w:hAnsi="Arial"/>
          <w:sz w:val="18"/>
          <w:szCs w:val="18"/>
          <w:color w:val="auto"/>
        </w:rPr>
        <w:t>. Within ten (10) days of delivery, copies of all statements, reports and notices made available to Borrower’s security holders or to any holders of Subordinated Debt, in each case other than solely in their capacities as members of the Board;</w:t>
      </w:r>
    </w:p>
    <w:p>
      <w:pPr>
        <w:spacing w:after="0" w:line="170" w:lineRule="exact"/>
        <w:rPr>
          <w:rFonts w:ascii="Arial" w:cs="Arial" w:eastAsia="Arial" w:hAnsi="Arial"/>
          <w:sz w:val="18"/>
          <w:szCs w:val="18"/>
          <w:color w:val="auto"/>
        </w:rPr>
      </w:pPr>
    </w:p>
    <w:p>
      <w:pPr>
        <w:jc w:val="both"/>
        <w:ind w:firstLine="1305"/>
        <w:spacing w:after="0" w:line="302" w:lineRule="auto"/>
        <w:tabs>
          <w:tab w:leader="none" w:pos="2155"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SEC Filings</w:t>
      </w:r>
      <w:r>
        <w:rPr>
          <w:rFonts w:ascii="Arial" w:cs="Arial" w:eastAsia="Arial" w:hAnsi="Arial"/>
          <w:sz w:val="18"/>
          <w:szCs w:val="18"/>
          <w:color w:val="auto"/>
        </w:rPr>
        <w:t>. Within five (5) days of filing, copies of all periodic and other reports, proxy statements and other materials filed by Borrower with the SEC, any Governmental Authority succeeding to any or all of the functions of the SEC or with any national securities exchange, or distributed to its shareholders, as the case may be. Documents required to be delivered pursuant to the terms of this Agreement (including this Section 6.2) and the other Loan Documents (to the extent any such documents are included in materials otherwise filed with the SEC) may be delivered electronically and if so delivered, shall be deemed to have been delivered on the date on which Borrower posts such documents, or provides a link thereto, on Borrower’s website on the Internet at Borrower’s website address;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828282"/>
        </w:rPr>
        <w:t>8</w:t>
      </w:r>
    </w:p>
    <w:p>
      <w:pPr>
        <w:sectPr>
          <w:pgSz w:w="11900" w:h="16838" w:orient="portrait"/>
          <w:cols w:equalWidth="0" w:num="1">
            <w:col w:w="11420"/>
          </w:cols>
          <w:pgMar w:left="240" w:top="611" w:right="239" w:bottom="1440" w:gutter="0" w:footer="0" w:header="0"/>
        </w:sectPr>
      </w:pPr>
    </w:p>
    <w:bookmarkStart w:id="13" w:name="page14"/>
    <w:bookmarkEnd w:id="13"/>
    <w:p>
      <w:pPr>
        <w:jc w:val="both"/>
        <w:ind w:firstLine="1305"/>
        <w:spacing w:after="0" w:line="311" w:lineRule="auto"/>
        <w:tabs>
          <w:tab w:leader="none" w:pos="2115"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Legal Action Notice</w:t>
      </w:r>
      <w:r>
        <w:rPr>
          <w:rFonts w:ascii="Arial" w:cs="Arial" w:eastAsia="Arial" w:hAnsi="Arial"/>
          <w:sz w:val="18"/>
          <w:szCs w:val="18"/>
          <w:color w:val="auto"/>
        </w:rPr>
        <w:t>. A prompt report of any legal actions pending or threatened in writing against Borrower or any of its Subsidiaries that could result in damages or costs to Borrower or any of its Subsidiaries of, individually or in the aggregate, Two Hundred Fifty Thousand Dollars ($250,000.00) or more;</w:t>
      </w:r>
    </w:p>
    <w:p>
      <w:pPr>
        <w:spacing w:after="0" w:line="181" w:lineRule="exact"/>
        <w:rPr>
          <w:rFonts w:ascii="Arial" w:cs="Arial" w:eastAsia="Arial" w:hAnsi="Arial"/>
          <w:sz w:val="18"/>
          <w:szCs w:val="18"/>
          <w:color w:val="auto"/>
        </w:rPr>
      </w:pPr>
    </w:p>
    <w:p>
      <w:pPr>
        <w:ind w:left="2120" w:hanging="815"/>
        <w:spacing w:after="0"/>
        <w:tabs>
          <w:tab w:leader="none" w:pos="212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Other Financial Information</w:t>
      </w:r>
      <w:r>
        <w:rPr>
          <w:rFonts w:ascii="Arial" w:cs="Arial" w:eastAsia="Arial" w:hAnsi="Arial"/>
          <w:sz w:val="18"/>
          <w:szCs w:val="18"/>
          <w:color w:val="auto"/>
        </w:rPr>
        <w:t>. Other financial information reasonably requested by Bank; and</w:t>
      </w:r>
    </w:p>
    <w:p>
      <w:pPr>
        <w:spacing w:after="0" w:line="265" w:lineRule="exact"/>
        <w:rPr>
          <w:rFonts w:ascii="Arial" w:cs="Arial" w:eastAsia="Arial" w:hAnsi="Arial"/>
          <w:sz w:val="18"/>
          <w:szCs w:val="18"/>
          <w:color w:val="auto"/>
        </w:rPr>
      </w:pPr>
    </w:p>
    <w:p>
      <w:pPr>
        <w:jc w:val="both"/>
        <w:ind w:firstLine="1305"/>
        <w:spacing w:after="0" w:line="306" w:lineRule="auto"/>
        <w:tabs>
          <w:tab w:leader="none" w:pos="2155"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Government Notices</w:t>
      </w:r>
      <w:r>
        <w:rPr>
          <w:rFonts w:ascii="Arial" w:cs="Arial" w:eastAsia="Arial" w:hAnsi="Arial"/>
          <w:sz w:val="18"/>
          <w:szCs w:val="18"/>
          <w:color w:val="auto"/>
        </w:rPr>
        <w:t>. Deliver to Bank, within five (5) days after the same are sent or received, copies of all correspondence, reports, documents and other filings with any Governmental Authority regarding compliance with or maintenance of Governmental Approvals or Requirements of Law or that could reasonably be expected to have a material effect on any of the Governmental Approvals or otherwise on the operations of Borrower or any of its Subsidiaries.</w:t>
      </w:r>
    </w:p>
    <w:p>
      <w:pPr>
        <w:spacing w:after="0" w:line="15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6.3 Inventory; Returns</w:t>
      </w:r>
      <w:r>
        <w:rPr>
          <w:rFonts w:ascii="Arial" w:cs="Arial" w:eastAsia="Arial" w:hAnsi="Arial"/>
          <w:sz w:val="18"/>
          <w:szCs w:val="18"/>
          <w:color w:val="auto"/>
        </w:rPr>
        <w:t>. Keep all Inventory in good and marketable condition, free from material defects. Returns and allowances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and its Account Debtors shall follow Borrower’s customary practices as they exist at the Effective Date. Borrower must promptly notify Bank of all returns, recoveries, disputes and claims that involve more than Two Hundred Fifty Thousand Dollars ($250,000.00).</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6.4 Taxes; Pensions</w:t>
      </w:r>
      <w:r>
        <w:rPr>
          <w:rFonts w:ascii="Arial" w:cs="Arial" w:eastAsia="Arial" w:hAnsi="Arial"/>
          <w:sz w:val="17"/>
          <w:szCs w:val="17"/>
          <w:color w:val="auto"/>
        </w:rPr>
        <w:t>. Timely file, and require each of its Subsidiaries to timely file, all required tax returns and reports and timely pay, and require</w:t>
      </w:r>
      <w:r>
        <w:rPr>
          <w:rFonts w:ascii="Arial" w:cs="Arial" w:eastAsia="Arial" w:hAnsi="Arial"/>
          <w:sz w:val="17"/>
          <w:szCs w:val="17"/>
          <w:b w:val="1"/>
          <w:bCs w:val="1"/>
          <w:color w:val="auto"/>
        </w:rPr>
        <w:t xml:space="preserve"> </w:t>
      </w:r>
      <w:r>
        <w:rPr>
          <w:rFonts w:ascii="Arial" w:cs="Arial" w:eastAsia="Arial" w:hAnsi="Arial"/>
          <w:sz w:val="17"/>
          <w:szCs w:val="17"/>
          <w:color w:val="auto"/>
        </w:rPr>
        <w:t>each of its Subsidiaries to timely pay, all foreign, federal, state and local taxes, assessments, deposits and contributions owed by Borrower and each of its Subsidiaries, except for deferred payment of any taxes contested pursuant to the terms of Section 5.8 hereof and taxes with respect to which the amount does not exceed the amount set forth in Section 5.8, and shall deliver to Bank, on demand, appropriate certificates attesting to such payments, and pay all amounts necessary to fund all present pension, profit sharing and deferred compensation plans in accordance with their terms.</w:t>
      </w:r>
    </w:p>
    <w:p>
      <w:pPr>
        <w:spacing w:after="0" w:line="168"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6"/>
          <w:szCs w:val="16"/>
          <w:b w:val="1"/>
          <w:bCs w:val="1"/>
          <w:color w:val="auto"/>
        </w:rPr>
        <w:t>Insurance.</w:t>
      </w:r>
    </w:p>
    <w:p>
      <w:pPr>
        <w:spacing w:after="0" w:line="229" w:lineRule="exact"/>
        <w:rPr>
          <w:sz w:val="20"/>
          <w:szCs w:val="20"/>
          <w:color w:val="auto"/>
        </w:rPr>
      </w:pPr>
    </w:p>
    <w:p>
      <w:pPr>
        <w:jc w:val="both"/>
        <w:ind w:firstLine="1305"/>
        <w:spacing w:after="0" w:line="276" w:lineRule="auto"/>
        <w:tabs>
          <w:tab w:leader="none" w:pos="1701" w:val="left"/>
        </w:tabs>
        <w:numPr>
          <w:ilvl w:val="0"/>
          <w:numId w:val="22"/>
        </w:numPr>
        <w:rPr>
          <w:rFonts w:ascii="Arial" w:cs="Arial" w:eastAsia="Arial" w:hAnsi="Arial"/>
          <w:sz w:val="17"/>
          <w:szCs w:val="17"/>
          <w:color w:val="auto"/>
        </w:rPr>
      </w:pPr>
      <w:r>
        <w:rPr>
          <w:rFonts w:ascii="Arial" w:cs="Arial" w:eastAsia="Arial" w:hAnsi="Arial"/>
          <w:sz w:val="17"/>
          <w:szCs w:val="17"/>
          <w:color w:val="auto"/>
        </w:rPr>
        <w:t>Keep its business and the Collateral insured for risks and in amounts standard for companies in Borrower’s industry and location and as Bank may reasonably request. Insurance policies shall be in a form, with financially sound and reputable insurance companies that are not Affiliates of Borrower, and in amounts that are satisfactory to Bank. All property policies shall have a lender’s loss payable endorsement showing Bank as lender loss payee. All liability policies shall show, or have endorsements showing, Bank as an additional insured. Bank shall be named as lender loss payee and/or additional insured with respect to any such insurance providing coverage in respect of any Collateral.</w:t>
      </w:r>
    </w:p>
    <w:p>
      <w:pPr>
        <w:spacing w:after="0" w:line="172" w:lineRule="exact"/>
        <w:rPr>
          <w:rFonts w:ascii="Arial" w:cs="Arial" w:eastAsia="Arial" w:hAnsi="Arial"/>
          <w:sz w:val="17"/>
          <w:szCs w:val="17"/>
          <w:color w:val="auto"/>
        </w:rPr>
      </w:pPr>
    </w:p>
    <w:p>
      <w:pPr>
        <w:ind w:left="1700" w:hanging="395"/>
        <w:spacing w:after="0"/>
        <w:tabs>
          <w:tab w:leader="none" w:pos="17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Ensure that proceeds payable under any property policy are, at Bank’s option, payable to Bank on account of the Obligations.</w:t>
      </w:r>
    </w:p>
    <w:p>
      <w:pPr>
        <w:spacing w:after="0" w:line="236" w:lineRule="exact"/>
        <w:rPr>
          <w:rFonts w:ascii="Arial" w:cs="Arial" w:eastAsia="Arial" w:hAnsi="Arial"/>
          <w:sz w:val="17"/>
          <w:szCs w:val="17"/>
          <w:color w:val="auto"/>
        </w:rPr>
      </w:pPr>
    </w:p>
    <w:p>
      <w:pPr>
        <w:jc w:val="both"/>
        <w:ind w:firstLine="1305"/>
        <w:spacing w:after="0" w:line="255" w:lineRule="auto"/>
        <w:tabs>
          <w:tab w:leader="none" w:pos="1687"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 Bank’s request, Borrower shall deliver certified copies of insurance policies and evidence of all premium payments. Each provider of any such insurance required under this Section 6.5 shall agree, by endorsement upon the policy or policies issued by it or by independent instruments furnished to Bank, that it will give Bank thirty (30) days prior written notice before any such policy or policies shall be canceled (ten (10) days for nonpayment of premium). If Borrower fails to obtain insurance as required under this Section 6.5 or to pay any amount or furnish any required proof of payment to third persons and Bank, Bank may make all or part of such payment or obtain such insurance policies required in this Section 6.5, and take any action under the policies Bank deems prudent.</w:t>
      </w:r>
    </w:p>
    <w:p>
      <w:pPr>
        <w:spacing w:after="0" w:line="189"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6"/>
          <w:szCs w:val="16"/>
          <w:b w:val="1"/>
          <w:bCs w:val="1"/>
          <w:color w:val="auto"/>
        </w:rPr>
        <w:t>Operating Accounts.</w:t>
      </w:r>
    </w:p>
    <w:p>
      <w:pPr>
        <w:spacing w:after="0" w:line="229" w:lineRule="exact"/>
        <w:rPr>
          <w:sz w:val="20"/>
          <w:szCs w:val="20"/>
          <w:color w:val="auto"/>
        </w:rPr>
      </w:pPr>
    </w:p>
    <w:p>
      <w:pPr>
        <w:jc w:val="both"/>
        <w:ind w:firstLine="1305"/>
        <w:spacing w:after="0" w:line="279" w:lineRule="auto"/>
        <w:tabs>
          <w:tab w:leader="none" w:pos="1699" w:val="left"/>
        </w:tabs>
        <w:numPr>
          <w:ilvl w:val="0"/>
          <w:numId w:val="23"/>
        </w:numPr>
        <w:rPr>
          <w:rFonts w:ascii="Arial" w:cs="Arial" w:eastAsia="Arial" w:hAnsi="Arial"/>
          <w:sz w:val="17"/>
          <w:szCs w:val="17"/>
          <w:color w:val="auto"/>
        </w:rPr>
      </w:pPr>
      <w:r>
        <w:rPr>
          <w:rFonts w:ascii="Arial" w:cs="Arial" w:eastAsia="Arial" w:hAnsi="Arial"/>
          <w:sz w:val="17"/>
          <w:szCs w:val="17"/>
          <w:color w:val="auto"/>
        </w:rPr>
        <w:t>Maintain all of its and all of its Subsidiaries’ (other than MSC and Selecta Russia) operating, depository, and securities accounts with Bank and Bank’s Affiliates, provided, further, Borrower (individually and not on a consolidated basis) shall at all times have on deposit in operating, depository and securities accounts maintained with Bank or Bank’s Affiliates, cash in an amount equal to the lesser of (i) one hundred percent (100.0%) of the Dollar value of all of Borrower’s consolidated cash, including any Subsidiaries’, Affiliates’, or related entities’ (excluding</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828282"/>
        </w:rPr>
        <w:t>9</w:t>
      </w:r>
    </w:p>
    <w:p>
      <w:pPr>
        <w:sectPr>
          <w:pgSz w:w="11900" w:h="16838" w:orient="portrait"/>
          <w:cols w:equalWidth="0" w:num="1">
            <w:col w:w="11420"/>
          </w:cols>
          <w:pgMar w:left="240" w:top="611" w:right="239" w:bottom="1440" w:gutter="0" w:footer="0" w:header="0"/>
        </w:sectPr>
      </w:pPr>
    </w:p>
    <w:bookmarkStart w:id="14" w:name="page15"/>
    <w:bookmarkEnd w:id="14"/>
    <w:p>
      <w:pPr>
        <w:jc w:val="both"/>
        <w:spacing w:after="0" w:line="259" w:lineRule="auto"/>
        <w:rPr>
          <w:sz w:val="20"/>
          <w:szCs w:val="20"/>
          <w:color w:val="auto"/>
        </w:rPr>
      </w:pPr>
      <w:r>
        <w:rPr>
          <w:rFonts w:ascii="Arial" w:cs="Arial" w:eastAsia="Arial" w:hAnsi="Arial"/>
          <w:sz w:val="18"/>
          <w:szCs w:val="18"/>
          <w:color w:val="auto"/>
        </w:rPr>
        <w:t>Selecta Russia) cash, in the aggregate, at all financial institutions, and (ii) one hundred five percent (105.0%) of the Dollar amount of the then-outstanding Obligations of Borrower to Bank. Bank may restrict withdrawals or transfers by or on behalf of Borrower that would violate this Section 6.6(a), regardless of whether an Event of Default exists at such times. Notwithstanding the foregoing, during the Transition Period, Borrower shall be permitted to maintain accounts with Pacific Western Bank (the “</w:t>
      </w:r>
      <w:r>
        <w:rPr>
          <w:rFonts w:ascii="Arial" w:cs="Arial" w:eastAsia="Arial" w:hAnsi="Arial"/>
          <w:sz w:val="18"/>
          <w:szCs w:val="18"/>
          <w:b w:val="1"/>
          <w:bCs w:val="1"/>
          <w:color w:val="auto"/>
        </w:rPr>
        <w:t>Pacific Western Accounts</w:t>
      </w:r>
      <w:r>
        <w:rPr>
          <w:rFonts w:ascii="Arial" w:cs="Arial" w:eastAsia="Arial" w:hAnsi="Arial"/>
          <w:sz w:val="18"/>
          <w:szCs w:val="18"/>
          <w:color w:val="auto"/>
        </w:rPr>
        <w:t>”).</w:t>
      </w:r>
    </w:p>
    <w:p>
      <w:pPr>
        <w:spacing w:after="0" w:line="187" w:lineRule="exact"/>
        <w:rPr>
          <w:sz w:val="20"/>
          <w:szCs w:val="20"/>
          <w:color w:val="auto"/>
        </w:rPr>
      </w:pPr>
    </w:p>
    <w:p>
      <w:pPr>
        <w:jc w:val="both"/>
        <w:ind w:firstLine="1305"/>
        <w:spacing w:after="0" w:line="272" w:lineRule="auto"/>
        <w:tabs>
          <w:tab w:leader="none" w:pos="1709" w:val="left"/>
        </w:tabs>
        <w:numPr>
          <w:ilvl w:val="0"/>
          <w:numId w:val="24"/>
        </w:numPr>
        <w:rPr>
          <w:rFonts w:ascii="Arial" w:cs="Arial" w:eastAsia="Arial" w:hAnsi="Arial"/>
          <w:sz w:val="17"/>
          <w:szCs w:val="17"/>
          <w:color w:val="auto"/>
        </w:rPr>
      </w:pPr>
      <w:r>
        <w:rPr>
          <w:rFonts w:ascii="Arial" w:cs="Arial" w:eastAsia="Arial" w:hAnsi="Arial"/>
          <w:sz w:val="17"/>
          <w:szCs w:val="17"/>
          <w:color w:val="auto"/>
        </w:rPr>
        <w:t>Provide Bank five (5) days prior written notice before establishing any Collateral Account at or with any bank or financial institution other than Bank or Bank’s Affiliates. For each Collateral Account that Borrower at any time maintains, Borrower shall cause the applicable bank or financial institution (other than Bank) at or with which any Collateral Account is maintained to execute and deliver a Control Agreement or other appropriate instrument with respect to such Collateral Account to perfect Bank’s Lien in such Collateral Account in accordance with the terms hereunder which Control Agreement may not be terminated without the prior written consent of Bank. The provisions of the previous sentence shall not apply to (i) the Pacific Western Accounts during the Transition Period or (ii) deposit accounts exclusively used for payroll, payroll taxes and other employee wage and benefit payments to or for the benefit of Borrower’s employees and identified to Bank by Borrower as such.</w:t>
      </w:r>
    </w:p>
    <w:p>
      <w:pPr>
        <w:spacing w:after="0" w:line="174"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6.7</w:t>
      </w:r>
      <w:r>
        <w:rPr>
          <w:sz w:val="20"/>
          <w:szCs w:val="20"/>
          <w:color w:val="auto"/>
        </w:rPr>
        <w:tab/>
      </w:r>
      <w:r>
        <w:rPr>
          <w:rFonts w:ascii="Arial" w:cs="Arial" w:eastAsia="Arial" w:hAnsi="Arial"/>
          <w:sz w:val="16"/>
          <w:szCs w:val="16"/>
          <w:b w:val="1"/>
          <w:bCs w:val="1"/>
          <w:color w:val="auto"/>
        </w:rPr>
        <w:t>Protection of Intellectual Property Rights.</w:t>
      </w:r>
    </w:p>
    <w:p>
      <w:pPr>
        <w:spacing w:after="0" w:line="229" w:lineRule="exact"/>
        <w:rPr>
          <w:sz w:val="20"/>
          <w:szCs w:val="20"/>
          <w:color w:val="auto"/>
        </w:rPr>
      </w:pPr>
    </w:p>
    <w:p>
      <w:pPr>
        <w:jc w:val="both"/>
        <w:ind w:firstLine="1305"/>
        <w:spacing w:after="0" w:line="259" w:lineRule="auto"/>
        <w:tabs>
          <w:tab w:leader="none" w:pos="1707"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Protect, defend and maintain the validity and enforceability of its Intellectual Property that is material to Borrower’s business; (ii) promptly advise Bank in writing of material infringements or any other event that could reasonably be expected to materially and adversely affect the value of its Intellectual Property; and (iii) not allow any Intellectual Property material to Borrower’s business to be abandoned, forfeited or dedicated to the public without Bank’s written consent.</w:t>
      </w:r>
    </w:p>
    <w:p>
      <w:pPr>
        <w:spacing w:after="0" w:line="186" w:lineRule="exact"/>
        <w:rPr>
          <w:rFonts w:ascii="Arial" w:cs="Arial" w:eastAsia="Arial" w:hAnsi="Arial"/>
          <w:sz w:val="18"/>
          <w:szCs w:val="18"/>
          <w:color w:val="auto"/>
        </w:rPr>
      </w:pPr>
    </w:p>
    <w:p>
      <w:pPr>
        <w:jc w:val="both"/>
        <w:ind w:firstLine="1305"/>
        <w:spacing w:after="0" w:line="255" w:lineRule="auto"/>
        <w:tabs>
          <w:tab w:leader="none" w:pos="17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written notice to Bank within the later of (A) ten (10) days of entering or becoming bound by any Restricted License (other than over-the-counter software that is commercially available to the public) or (B) on the then next Compliance Certificate required to be delivered hereunder. Borrower shall take such commercially reasonable steps as Bank reasonably requests to obtain the consent of, or waiver by, any person whose consent or waiver is necessary for (i) any Restricted License to be deemed “Collateral” and for Bank to have a security interest in it that might otherwise be restricted or prohibited by law or by the terms of any such Restricted License, whether now existing or entered into in the future, and (ii) Bank to have the ability in the event of a liquidation of any Collateral to dispose of such Collateral in accordance with Bank’s rights and remedies under this Agreement and the other Loan Documents.</w:t>
      </w:r>
    </w:p>
    <w:p>
      <w:pPr>
        <w:spacing w:after="0" w:line="185"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6.8 Litigation Cooperation</w:t>
      </w:r>
      <w:r>
        <w:rPr>
          <w:rFonts w:ascii="Arial" w:cs="Arial" w:eastAsia="Arial" w:hAnsi="Arial"/>
          <w:sz w:val="16"/>
          <w:szCs w:val="16"/>
          <w:color w:val="auto"/>
        </w:rPr>
        <w:t>. From the date hereof and continuing through the termination of this Agreement, make available to Bank,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expense to Bank, Borrower and its officers, employees and agents and Borrower's books and records, to the extent that Bank may deem them reasonably necessary to prosecute or defend any third-party suit or proceeding instituted by or against Bank with respect to any Collateral or relating to Borrower.</w:t>
      </w:r>
    </w:p>
    <w:p>
      <w:pPr>
        <w:spacing w:after="0" w:line="14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6.9 Access to Collateral; Books and Records</w:t>
      </w:r>
      <w:r>
        <w:rPr>
          <w:rFonts w:ascii="Arial" w:cs="Arial" w:eastAsia="Arial" w:hAnsi="Arial"/>
          <w:sz w:val="16"/>
          <w:szCs w:val="16"/>
          <w:color w:val="auto"/>
        </w:rPr>
        <w:t>. Allow Bank, or its agents, at reasonable times during regular business hours, on three (3)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Days’ notice (provided no notice is required if an Event of Default has occurred and is continuing), to inspect the Collateral and audit and copy Borrower’s Books. Such inspections and audits shall be conducted no more often than once every twelve (12) months unless an Event of Default has occurred and is continuing in which case such inspections and audits shall occur as often as Bank shall determine is necessary. The foregoing inspections and audits shall be at Borrower’s expense, and the charge therefor shall be One Thousand Dollars ($1,000.00) per person per day (or such higher amount as shall represent Bank’s then-current standard charge for the same), plus reasonable out-of-pocket expenses. In the event Borrower and Bank schedule an audit more than ten</w:t>
      </w:r>
    </w:p>
    <w:p>
      <w:pPr>
        <w:spacing w:after="0" w:line="4" w:lineRule="exact"/>
        <w:rPr>
          <w:sz w:val="20"/>
          <w:szCs w:val="20"/>
          <w:color w:val="auto"/>
        </w:rPr>
      </w:pPr>
    </w:p>
    <w:p>
      <w:pPr>
        <w:jc w:val="both"/>
        <w:ind w:right="20" w:firstLine="8"/>
        <w:spacing w:after="0" w:line="255" w:lineRule="auto"/>
        <w:tabs>
          <w:tab w:leader="none" w:pos="349" w:val="left"/>
        </w:tabs>
        <w:numPr>
          <w:ilvl w:val="0"/>
          <w:numId w:val="26"/>
        </w:numPr>
        <w:rPr>
          <w:rFonts w:ascii="Arial" w:cs="Arial" w:eastAsia="Arial" w:hAnsi="Arial"/>
          <w:sz w:val="18"/>
          <w:szCs w:val="18"/>
          <w:color w:val="auto"/>
        </w:rPr>
      </w:pPr>
      <w:r>
        <w:rPr>
          <w:rFonts w:ascii="Arial" w:cs="Arial" w:eastAsia="Arial" w:hAnsi="Arial"/>
          <w:sz w:val="18"/>
          <w:szCs w:val="18"/>
          <w:color w:val="auto"/>
        </w:rPr>
        <w:t>days in advance, and Borrower cancels or seeks to reschedule the audit with less than ten (10) days written notice to Bank, then (without limiting any of Bank’s rights or remedies), Borrower shall pay Bank a fee of One Thousand Dollars ($1,000.00) plus any out-of-pocket expenses incurred by Bank to compensate Bank for the anticipated costs and expenses of the cancellation or rescheduling.</w:t>
      </w:r>
    </w:p>
    <w:p>
      <w:pPr>
        <w:spacing w:after="0" w:line="186"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6.10 Further Assurances</w:t>
      </w:r>
      <w:r>
        <w:rPr>
          <w:rFonts w:ascii="Arial" w:cs="Arial" w:eastAsia="Arial" w:hAnsi="Arial"/>
          <w:sz w:val="18"/>
          <w:szCs w:val="18"/>
          <w:color w:val="auto"/>
        </w:rPr>
        <w:t>. Execute any further instruments and take further action as Bank reasonably requests to perfect or continue Bank’s Lien</w:t>
      </w:r>
      <w:r>
        <w:rPr>
          <w:rFonts w:ascii="Arial" w:cs="Arial" w:eastAsia="Arial" w:hAnsi="Arial"/>
          <w:sz w:val="18"/>
          <w:szCs w:val="18"/>
          <w:b w:val="1"/>
          <w:bCs w:val="1"/>
          <w:color w:val="auto"/>
        </w:rPr>
        <w:t xml:space="preserve"> </w:t>
      </w:r>
      <w:r>
        <w:rPr>
          <w:rFonts w:ascii="Arial" w:cs="Arial" w:eastAsia="Arial" w:hAnsi="Arial"/>
          <w:sz w:val="18"/>
          <w:szCs w:val="18"/>
          <w:color w:val="auto"/>
        </w:rPr>
        <w:t>in the Collateral or to effect the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828282"/>
        </w:rPr>
        <w:t>10</w:t>
      </w:r>
    </w:p>
    <w:p>
      <w:pPr>
        <w:sectPr>
          <w:pgSz w:w="11900" w:h="16838" w:orient="portrait"/>
          <w:cols w:equalWidth="0" w:num="1">
            <w:col w:w="11420"/>
          </w:cols>
          <w:pgMar w:left="240" w:top="584" w:right="239" w:bottom="1440" w:gutter="0" w:footer="0" w:header="0"/>
        </w:sectPr>
      </w:pPr>
    </w:p>
    <w:bookmarkStart w:id="15" w:name="page16"/>
    <w:bookmarkEnd w:id="15"/>
    <w:p>
      <w:pPr>
        <w:ind w:left="1440" w:hanging="784"/>
        <w:spacing w:after="0"/>
        <w:tabs>
          <w:tab w:leader="none" w:pos="14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NEGATIVE COVENANTS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Borrower shall not do any of the following without Bank’s prior written consent:</w:t>
      </w:r>
    </w:p>
    <w:p>
      <w:pPr>
        <w:spacing w:after="0" w:line="22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7.1 Dispositions. </w:t>
      </w:r>
      <w:r>
        <w:rPr>
          <w:rFonts w:ascii="Arial" w:cs="Arial" w:eastAsia="Arial" w:hAnsi="Arial"/>
          <w:sz w:val="17"/>
          <w:szCs w:val="17"/>
          <w:color w:val="auto"/>
        </w:rPr>
        <w:t>Convey, sell, lease, transfer, assign, or otherwise dispose of (collectively, “Transfer”), or permit any of its Subsidiaries to</w:t>
      </w:r>
      <w:r>
        <w:rPr>
          <w:rFonts w:ascii="Arial" w:cs="Arial" w:eastAsia="Arial" w:hAnsi="Arial"/>
          <w:sz w:val="17"/>
          <w:szCs w:val="17"/>
          <w:b w:val="1"/>
          <w:bCs w:val="1"/>
          <w:color w:val="auto"/>
        </w:rPr>
        <w:t xml:space="preserve"> </w:t>
      </w:r>
      <w:r>
        <w:rPr>
          <w:rFonts w:ascii="Arial" w:cs="Arial" w:eastAsia="Arial" w:hAnsi="Arial"/>
          <w:sz w:val="17"/>
          <w:szCs w:val="17"/>
          <w:color w:val="auto"/>
        </w:rPr>
        <w:t>Transfer, all or any part of its business or property, except for Transfers (a) of Inventory in the ordinary course of business; (b) of worn-out or obsolete Equipment that is, in the reasonable judgment of Borrower, no longer economically practicable to maintain or useful in the ordinary course of business of Borrower; (c) consisting of Permitted Liens and Permitted Investments; (d) consisting of the sale or issuance of any stock of Borrower permitted under Section 7.2 of this Agreement; (e) consisting of Borrower’s use or transfer of money or Cash Equivalents in a manner that is not prohibited by the terms of this Agreement or the other Loan Documents; and (f) of (A) non-exclusive licenses of Intellectual Property granted to third parties in the ordinary course of business, (B) licenses of Intellectual Property granted to third parties in the ordinary course of business that could not result in a legal transfer of title of the licensed property but that may be exclusive in respects other than territory and that may be exclusive as to territory only as to discrete geographical areas outside of the United States, (C) licenses of Intellectual Property granted to third parties in the ordinary course of business that could not result in a legal transfer of the licensed property but that may be exclusive in respects to territory but only if such licenses are limited to a specific field of use, and (D) the License Agreement.</w:t>
      </w:r>
    </w:p>
    <w:p>
      <w:pPr>
        <w:spacing w:after="0" w:line="17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7.2 Changes in Business, Management, Control, or Business Locations. </w:t>
      </w:r>
      <w:r>
        <w:rPr>
          <w:rFonts w:ascii="Arial" w:cs="Arial" w:eastAsia="Arial" w:hAnsi="Arial"/>
          <w:sz w:val="18"/>
          <w:szCs w:val="18"/>
          <w:color w:val="auto"/>
        </w:rPr>
        <w:t>(a) Engage in or permit any of its Subsidiaries to engage in any</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other than the businesses currently engaged in by Borrower and such Subsidiary, as applicable, or reasonably related thereto; (b) liquidate or dissolve; or (c) fail to provide notice to Bank of any Key Person departing from or ceasing to be employed by Borrower within ten (10) Business Days after such Key Person’s departure from Borrower; or (d) permit or suffer any Change in Control.</w:t>
      </w:r>
    </w:p>
    <w:p>
      <w:pPr>
        <w:spacing w:after="0" w:line="18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Borrower shall not, without at least thirty (30) days prior written notice to Bank: (1) add any new offices or business locations, including warehouses (unless such new offices or business locations contain less than Two Hundred Fifty Thousand Dollars ($250,000.00) in Borrower’s assets or property) or deliver any portion of the Collateral valued, individually or in the aggregate, in excess of Two Hundred Fifty Thousand Dollars ($250,000.00) to a bailee at a location other than to a bailee and at a location already disclosed in the Perfection Certificate, (2) change its jurisdiction of organization, (3) change its organizational structure or type, (4) change its legal name, or (5) change any organizational number (if any) assigned by its jurisdiction of organization. If Borrower intends to deliver any portion of the Collateral (other than clinical compounds and/or clinical products in transit or clinical compounds and/or clinical products located and held for ordinary course of business purposes with a contract manufacturing organization or a contract research organization) valued, individually or in the aggregate, in excess of Five Hundred Thousand Dollars ($500,000.00) to a bailee, and Bank and such bailee are not already parties to a bailee agreement governing both the Collateral and the location to which Borrower intends to deliver the Collateral, then Borrower shall cause such bailee to execute and deliver a bailee agreement in form and substance reasonably satisfactory to Bank.</w:t>
      </w:r>
    </w:p>
    <w:p>
      <w:pPr>
        <w:spacing w:after="0" w:line="17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7.3 Mergers or Acquisitions. </w:t>
      </w:r>
      <w:r>
        <w:rPr>
          <w:rFonts w:ascii="Arial" w:cs="Arial" w:eastAsia="Arial" w:hAnsi="Arial"/>
          <w:sz w:val="18"/>
          <w:szCs w:val="18"/>
          <w:color w:val="auto"/>
        </w:rPr>
        <w:t>Merge or consolidate, or permit any of its Subsidiaries to merge or consolidate, with any other Person, or acquire, or</w:t>
      </w:r>
      <w:r>
        <w:rPr>
          <w:rFonts w:ascii="Arial" w:cs="Arial" w:eastAsia="Arial" w:hAnsi="Arial"/>
          <w:sz w:val="18"/>
          <w:szCs w:val="18"/>
          <w:b w:val="1"/>
          <w:bCs w:val="1"/>
          <w:color w:val="auto"/>
        </w:rPr>
        <w:t xml:space="preserve"> </w:t>
      </w:r>
      <w:r>
        <w:rPr>
          <w:rFonts w:ascii="Arial" w:cs="Arial" w:eastAsia="Arial" w:hAnsi="Arial"/>
          <w:sz w:val="18"/>
          <w:szCs w:val="18"/>
          <w:color w:val="auto"/>
        </w:rPr>
        <w:t>permit any of its Subsidiaries to acquire, all or substantially all of the capital stock or property of another Person (including, without limitation, by the formation of any Subsidiary). A Subsidiary may merge or consolidate into another Subsidiary or into Borrower.</w:t>
      </w:r>
    </w:p>
    <w:p>
      <w:pPr>
        <w:spacing w:after="0" w:line="176"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6"/>
          <w:szCs w:val="16"/>
          <w:b w:val="1"/>
          <w:bCs w:val="1"/>
          <w:color w:val="auto"/>
        </w:rPr>
        <w:t xml:space="preserve">Indebtedness. </w:t>
      </w:r>
      <w:r>
        <w:rPr>
          <w:rFonts w:ascii="Arial" w:cs="Arial" w:eastAsia="Arial" w:hAnsi="Arial"/>
          <w:sz w:val="16"/>
          <w:szCs w:val="16"/>
          <w:color w:val="auto"/>
        </w:rPr>
        <w:t>Create, incur, assume, or be liable for any Indebtedness, or permit any Subsidiary to do so, other than Permitted Indebtedness.</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7.5 Encumbrance. </w:t>
      </w:r>
      <w:r>
        <w:rPr>
          <w:rFonts w:ascii="Arial" w:cs="Arial" w:eastAsia="Arial" w:hAnsi="Arial"/>
          <w:sz w:val="18"/>
          <w:szCs w:val="18"/>
          <w:color w:val="auto"/>
        </w:rPr>
        <w:t>Create, incur, allow, or suffer any Lien on any of its property, or assign or convey any right to receive income, including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sale of any Accounts, or permit any of its Subsidiaries to do so, except for Permitted Liens, permit any Collateral not to be subject to the first priority security interest granted herein, or enter into any agreement, document, instrument or other arrangement (except with or in favor of Bank) with any Person which directly or indirectly prohibits or has the effect of prohibiting Borrower or any Subsidiary from assigning, mortgaging, pledging, granting a security interest in or upon, or encumbering any of Borrower’s or any Subsidiary’s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828282"/>
        </w:rPr>
        <w:t>11</w:t>
      </w:r>
    </w:p>
    <w:p>
      <w:pPr>
        <w:sectPr>
          <w:pgSz w:w="11900" w:h="16838" w:orient="portrait"/>
          <w:cols w:equalWidth="0" w:num="1">
            <w:col w:w="11420"/>
          </w:cols>
          <w:pgMar w:left="240" w:top="607"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Intellectual Property, except as is otherwise permitted in Section 7.1 hereof and the definition of “Permitted Liens” herein.</w:t>
      </w:r>
    </w:p>
    <w:p>
      <w:pPr>
        <w:spacing w:after="0" w:line="221"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6"/>
          <w:szCs w:val="16"/>
          <w:b w:val="1"/>
          <w:bCs w:val="1"/>
          <w:color w:val="auto"/>
        </w:rPr>
        <w:t xml:space="preserve">Maintenance of Collateral Accounts. </w:t>
      </w:r>
      <w:r>
        <w:rPr>
          <w:rFonts w:ascii="Arial" w:cs="Arial" w:eastAsia="Arial" w:hAnsi="Arial"/>
          <w:sz w:val="16"/>
          <w:szCs w:val="16"/>
          <w:color w:val="auto"/>
        </w:rPr>
        <w:t>Maintain any Collateral Account except pursuant to the terms of Section 6.6(b) hereof.</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 xml:space="preserve">7.7 Distributions; Investments. </w:t>
      </w:r>
      <w:r>
        <w:rPr>
          <w:rFonts w:ascii="Arial" w:cs="Arial" w:eastAsia="Arial" w:hAnsi="Arial"/>
          <w:sz w:val="16"/>
          <w:szCs w:val="16"/>
          <w:color w:val="auto"/>
        </w:rPr>
        <w:t>(a) Pay any dividends or make any distribution or payment or redeem, retire or purchase any capital stock</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that (i) Borrower may convert any of its convertible securities into other securities pursuant to the terms of such convertible securities or otherwise in exchange thereof, (ii) Borrower may pay dividends or distributions solely in common stock, (iii) Borrower may repurchase the stock of former employees, directors, officers or consultants pursuant to stock repurchase agreements so long as an Event of Default does not exist at the time of such repurchase and would not exist after giving effect to such repurchase, provided that the aggregate amount of all such repurchases does not exceed Two Hundred Fifty Thousand Dollars ($250,000.00) per fiscal year, (iv) Borrower may purchase capital stock or options to acquire such capital stock with the proceeds (provided the amount of such proceeds exceeds the sum of such purchases) received from a substantially concurrent issuance of capital stock or convertible securities so long as an Event of Default does not exist at the time of any such purchase and would not exist after giving effect to any such purchase, provided that the aggregate amount of all such purchases does not exceed Two Hundred Fifty Thousand Dollars ($250,000.00) per fiscal year, (v) Borrower may make purchases of capital stock in connection with the exercise of stock options or stock appreciation by way of a cashless exercise, and (vi) Borrower may make purchases of fractional shares of capital stock arising out of stock dividends, splits or combinations or business combinations, provided that the aggregate amount of all such purchases does not exceed Ten Thousand Dollars ($10,000.00); or (b) directly or indirectly make any Investment (including, without limitation, by the formation of any Subsidiary) other than Permitted Investments, or permit any of its Subsidiaries (other than MSC) to do so.</w:t>
      </w:r>
    </w:p>
    <w:p>
      <w:pPr>
        <w:spacing w:after="0" w:line="16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7.8 Transactions with Affiliates. </w:t>
      </w:r>
      <w:r>
        <w:rPr>
          <w:rFonts w:ascii="Arial" w:cs="Arial" w:eastAsia="Arial" w:hAnsi="Arial"/>
          <w:sz w:val="17"/>
          <w:szCs w:val="17"/>
          <w:color w:val="auto"/>
        </w:rPr>
        <w:t>Directly or indirectly enter into or permit to exist any material transaction with any Affiliate of Borrower, except</w:t>
      </w:r>
      <w:r>
        <w:rPr>
          <w:rFonts w:ascii="Arial" w:cs="Arial" w:eastAsia="Arial" w:hAnsi="Arial"/>
          <w:sz w:val="17"/>
          <w:szCs w:val="17"/>
          <w:b w:val="1"/>
          <w:bCs w:val="1"/>
          <w:color w:val="auto"/>
        </w:rPr>
        <w:t xml:space="preserve"> </w:t>
      </w:r>
      <w:r>
        <w:rPr>
          <w:rFonts w:ascii="Arial" w:cs="Arial" w:eastAsia="Arial" w:hAnsi="Arial"/>
          <w:sz w:val="17"/>
          <w:szCs w:val="17"/>
          <w:color w:val="auto"/>
        </w:rPr>
        <w:t>for (a) transactions that are in the ordinary course of Borrower’s business, upon fair and reasonable terms that are no less favorable to Borrower than would be obtained in an arm’s length transaction with a non-affiliated Person, (b) Subordinated Debt, (c) compensation-related transactions in the ordinary course of business or otherwise approved by the Board, (d) distributions permitted under Section 7.7, (e) the License Agreement, and (f) transactions constituting bona fide equity financing rounds (or “bridge” convertible debt financing so long as all such Indebtedness shall constitute Subordinated Debt) for capital raising purposes, provided that such transactions are approved by the Board.</w:t>
      </w:r>
    </w:p>
    <w:p>
      <w:pPr>
        <w:spacing w:after="0" w:line="174"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7.9 Subordinated Debt. </w:t>
      </w:r>
      <w:r>
        <w:rPr>
          <w:rFonts w:ascii="Arial" w:cs="Arial" w:eastAsia="Arial" w:hAnsi="Arial"/>
          <w:sz w:val="17"/>
          <w:szCs w:val="17"/>
          <w:color w:val="auto"/>
        </w:rPr>
        <w:t>(a) Make or permit any payment on any Subordinated Debt, except under the terms of the subordination, intercreditor,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 similar agreement to which such Subordinated Debt is subject, or (b) unless otherwise permitted in the applicable subordination agreement, amend any provision in any document relating to the Subordinated Debt which would increase the amount thereof, provide for earlier or greater principal, interest, or other payments thereon, or adversely affect the subordination thereof to Obligations owed to Bank.</w:t>
      </w:r>
    </w:p>
    <w:p>
      <w:pPr>
        <w:spacing w:after="0" w:line="16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7.10 Compliance. </w:t>
      </w:r>
      <w:r>
        <w:rPr>
          <w:rFonts w:ascii="Arial" w:cs="Arial" w:eastAsia="Arial" w:hAnsi="Arial"/>
          <w:sz w:val="17"/>
          <w:szCs w:val="17"/>
          <w:color w:val="auto"/>
        </w:rPr>
        <w:t>Become an “investment company” or a company controlled by an “investment company”, under the Investment Company Act</w:t>
      </w:r>
      <w:r>
        <w:rPr>
          <w:rFonts w:ascii="Arial" w:cs="Arial" w:eastAsia="Arial" w:hAnsi="Arial"/>
          <w:sz w:val="17"/>
          <w:szCs w:val="17"/>
          <w:b w:val="1"/>
          <w:bCs w:val="1"/>
          <w:color w:val="auto"/>
        </w:rPr>
        <w:t xml:space="preserve"> </w:t>
      </w:r>
      <w:r>
        <w:rPr>
          <w:rFonts w:ascii="Arial" w:cs="Arial" w:eastAsia="Arial" w:hAnsi="Arial"/>
          <w:sz w:val="17"/>
          <w:szCs w:val="17"/>
          <w:color w:val="auto"/>
        </w:rPr>
        <w:t>of 1940, as amended, or undertake as one of its important activities extending credit to purchase or carry margin stock (as defined in Regulation U of the Board of Governors of the Federal Reserve System), or use the proceeds of any Credit Extension for that purpose; fail to (a) meet the minimum funding requirements of ERISA, (b) prevent a Reportable Event or Prohibited Transaction, as defined in ERISA, from occurring, or (c) comply with the Federal Fair Labor Standards Act, the failure of any of the conditions described in clauses (a) through (c) which could reasonably be expected to have a material adverse effect on Borrower’s business; or violate any other law or regulation, if the violation could reasonably be expected to have a material adverse effect on Borrower’s business, or permit any of its Subsidiaries to do so;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Borrower, including any liability to the Pension Benefit Guaranty Corporation or its successors or any other governmental agency.</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828282"/>
        </w:rPr>
        <w:t>12</w:t>
      </w:r>
    </w:p>
    <w:p>
      <w:pPr>
        <w:sectPr>
          <w:pgSz w:w="11900" w:h="16838" w:orient="portrait"/>
          <w:cols w:equalWidth="0" w:num="1">
            <w:col w:w="11420"/>
          </w:cols>
          <w:pgMar w:left="240" w:top="584" w:right="239" w:bottom="1440" w:gutter="0" w:footer="0" w:header="0"/>
        </w:sectPr>
      </w:pPr>
    </w:p>
    <w:bookmarkStart w:id="17" w:name="page18"/>
    <w:bookmarkEnd w:id="17"/>
    <w:p>
      <w:pPr>
        <w:ind w:left="1440" w:hanging="784"/>
        <w:spacing w:after="0"/>
        <w:tabs>
          <w:tab w:leader="none" w:pos="14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EVENTS OF DEFAULT</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one of the following shall constitute an event of default (an “</w:t>
      </w:r>
      <w:r>
        <w:rPr>
          <w:rFonts w:ascii="Arial" w:cs="Arial" w:eastAsia="Arial" w:hAnsi="Arial"/>
          <w:sz w:val="18"/>
          <w:szCs w:val="18"/>
          <w:b w:val="1"/>
          <w:bCs w:val="1"/>
          <w:color w:val="auto"/>
        </w:rPr>
        <w:t>Event of Default</w:t>
      </w:r>
      <w:r>
        <w:rPr>
          <w:rFonts w:ascii="Arial" w:cs="Arial" w:eastAsia="Arial" w:hAnsi="Arial"/>
          <w:sz w:val="18"/>
          <w:szCs w:val="18"/>
          <w:color w:val="auto"/>
        </w:rPr>
        <w:t>”) under this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8.1 Payment Default</w:t>
      </w:r>
      <w:r>
        <w:rPr>
          <w:rFonts w:ascii="Arial" w:cs="Arial" w:eastAsia="Arial" w:hAnsi="Arial"/>
          <w:sz w:val="18"/>
          <w:szCs w:val="18"/>
          <w:color w:val="auto"/>
        </w:rPr>
        <w:t>. Borrower fails to (a) make any payment of principal or interest on any Credit Extension when due, or (b) pay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within three (3) Business Days after such Obligations are due and payable (which three (3) Business Day cure period shall not apply to payments due on the Term Loan Maturity Date). During the cure period, the failure to make or pay any payment specified under clause (b) hereunder is not an Event of Default (but no Credit Extension will be made during the cure period);</w:t>
      </w:r>
    </w:p>
    <w:p>
      <w:pPr>
        <w:spacing w:after="0" w:line="180"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Covenant Default.</w:t>
      </w:r>
    </w:p>
    <w:p>
      <w:pPr>
        <w:spacing w:after="0" w:line="256" w:lineRule="exact"/>
        <w:rPr>
          <w:sz w:val="20"/>
          <w:szCs w:val="20"/>
          <w:color w:val="auto"/>
        </w:rPr>
      </w:pPr>
    </w:p>
    <w:p>
      <w:pPr>
        <w:ind w:left="2160" w:hanging="855"/>
        <w:spacing w:after="0"/>
        <w:tabs>
          <w:tab w:leader="none" w:pos="21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Borrower fails or neglects to perform any obligation in Sections 6.2, 6.4, 6.5, 6.6, or 6.7(b), or violates any covenant in Section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7; or</w:t>
      </w:r>
    </w:p>
    <w:p>
      <w:pPr>
        <w:spacing w:after="0" w:line="266" w:lineRule="exact"/>
        <w:rPr>
          <w:sz w:val="20"/>
          <w:szCs w:val="20"/>
          <w:color w:val="auto"/>
        </w:rPr>
      </w:pPr>
    </w:p>
    <w:p>
      <w:pPr>
        <w:jc w:val="both"/>
        <w:ind w:firstLine="1305"/>
        <w:spacing w:after="0" w:line="321" w:lineRule="auto"/>
        <w:tabs>
          <w:tab w:leader="none" w:pos="2155" w:val="left"/>
        </w:tabs>
        <w:numPr>
          <w:ilvl w:val="0"/>
          <w:numId w:val="30"/>
        </w:numPr>
        <w:rPr>
          <w:rFonts w:ascii="Arial" w:cs="Arial" w:eastAsia="Arial" w:hAnsi="Arial"/>
          <w:sz w:val="17"/>
          <w:szCs w:val="17"/>
          <w:color w:val="auto"/>
        </w:rPr>
      </w:pPr>
      <w:r>
        <w:rPr>
          <w:rFonts w:ascii="Arial" w:cs="Arial" w:eastAsia="Arial" w:hAnsi="Arial"/>
          <w:sz w:val="17"/>
          <w:szCs w:val="17"/>
          <w:color w:val="auto"/>
        </w:rPr>
        <w:t>Borrower fails or neglects to perform, keep, or observe any other term, provision, condition, covenant or agreement contained in this Agreement or any Loan Documents, and as to any default (other than those specified in this Section 8) under such other term, provision, condition, covenant or agreement that can be cured, has failed to cure the default within ten (10) days after the occurrence thereof; provided, however, that if the default cannot by its nature be cured within the ten (10) day period or cannot after diligent attempts by Borrower be cured within such ten (10) day period, and such default is likely to be cured within a reasonable time, then Borrower shall have an additional period (which shall not in any case exceed thirty (30) days) to attempt to cure such default, and within such reasonable time period the failure to cure the default shall not be deemed an Event of Default (but no Credit Extensions shall be made during such cure period). Cure periods provided under this section shall not apply, among other things, to financial covenants (if any) or any other covenants set forth in clause (a) above;</w:t>
      </w:r>
    </w:p>
    <w:p>
      <w:pPr>
        <w:spacing w:after="0" w:line="146"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6"/>
          <w:szCs w:val="16"/>
          <w:b w:val="1"/>
          <w:bCs w:val="1"/>
          <w:color w:val="auto"/>
        </w:rPr>
        <w:t>Material Adverse Change</w:t>
      </w:r>
      <w:r>
        <w:rPr>
          <w:rFonts w:ascii="Arial" w:cs="Arial" w:eastAsia="Arial" w:hAnsi="Arial"/>
          <w:sz w:val="16"/>
          <w:szCs w:val="16"/>
          <w:color w:val="auto"/>
        </w:rPr>
        <w:t>. A Material Adverse Change occurs;</w:t>
      </w:r>
    </w:p>
    <w:p>
      <w:pPr>
        <w:spacing w:after="0" w:line="22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6"/>
          <w:szCs w:val="16"/>
          <w:b w:val="1"/>
          <w:bCs w:val="1"/>
          <w:color w:val="auto"/>
        </w:rPr>
        <w:t>Attachment; Levy; Restraint on Business.</w:t>
      </w:r>
    </w:p>
    <w:p>
      <w:pPr>
        <w:spacing w:after="0" w:line="229" w:lineRule="exact"/>
        <w:rPr>
          <w:sz w:val="20"/>
          <w:szCs w:val="20"/>
          <w:color w:val="auto"/>
        </w:rPr>
      </w:pPr>
    </w:p>
    <w:p>
      <w:pPr>
        <w:jc w:val="both"/>
        <w:ind w:firstLine="1305"/>
        <w:spacing w:after="0" w:line="279" w:lineRule="auto"/>
        <w:tabs>
          <w:tab w:leader="none" w:pos="1701" w:val="left"/>
        </w:tabs>
        <w:numPr>
          <w:ilvl w:val="0"/>
          <w:numId w:val="31"/>
        </w:numPr>
        <w:rPr>
          <w:rFonts w:ascii="Arial" w:cs="Arial" w:eastAsia="Arial" w:hAnsi="Arial"/>
          <w:sz w:val="17"/>
          <w:szCs w:val="17"/>
          <w:color w:val="auto"/>
        </w:rPr>
      </w:pPr>
      <w:r>
        <w:rPr>
          <w:rFonts w:ascii="Arial" w:cs="Arial" w:eastAsia="Arial" w:hAnsi="Arial"/>
          <w:sz w:val="17"/>
          <w:szCs w:val="17"/>
          <w:color w:val="auto"/>
        </w:rPr>
        <w:t>(i) The service of process seeking to attach, by trustee or similar process, any funds of Borrower or of any entity under the control of Borrower (including a Subsidiary), or (ii) a notice of lien or levy is filed against any of Borrower’s assets by any Governmental Authority, and the same under subclauses (i) and (ii) hereof are not, within ten (10) days after the occurrence thereof, discharged or stayed (whether through the posting of a bond or otherwise); provided, however, no Credit Extensions shall be made during any ten (10) day cure period; or</w:t>
      </w:r>
    </w:p>
    <w:p>
      <w:pPr>
        <w:spacing w:after="0" w:line="171" w:lineRule="exact"/>
        <w:rPr>
          <w:rFonts w:ascii="Arial" w:cs="Arial" w:eastAsia="Arial" w:hAnsi="Arial"/>
          <w:sz w:val="17"/>
          <w:szCs w:val="17"/>
          <w:color w:val="auto"/>
        </w:rPr>
      </w:pPr>
    </w:p>
    <w:p>
      <w:pPr>
        <w:ind w:firstLine="1305"/>
        <w:spacing w:after="0" w:line="277" w:lineRule="auto"/>
        <w:tabs>
          <w:tab w:leader="none" w:pos="1736"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any material portion of Borrower’s assets is attached, seized, levied on, or comes into possession of a trustee or receiver, or (ii) any court order enjoins, restrains, or prevents Borrower from conducting all or any material part of its business;</w:t>
      </w:r>
    </w:p>
    <w:p>
      <w:pPr>
        <w:spacing w:after="0" w:line="166"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8.5 Insolvency</w:t>
      </w:r>
      <w:r>
        <w:rPr>
          <w:rFonts w:ascii="Arial" w:cs="Arial" w:eastAsia="Arial" w:hAnsi="Arial"/>
          <w:sz w:val="16"/>
          <w:szCs w:val="16"/>
          <w:color w:val="auto"/>
        </w:rPr>
        <w:t>. (a) Borrower is unable to pay its debts (including trade debts) as they become due or otherwise becomes insolvent; (b) Borrower</w:t>
      </w:r>
      <w:r>
        <w:rPr>
          <w:rFonts w:ascii="Arial" w:cs="Arial" w:eastAsia="Arial" w:hAnsi="Arial"/>
          <w:sz w:val="16"/>
          <w:szCs w:val="16"/>
          <w:b w:val="1"/>
          <w:bCs w:val="1"/>
          <w:color w:val="auto"/>
        </w:rPr>
        <w:t xml:space="preserve"> </w:t>
      </w:r>
      <w:r>
        <w:rPr>
          <w:rFonts w:ascii="Arial" w:cs="Arial" w:eastAsia="Arial" w:hAnsi="Arial"/>
          <w:sz w:val="16"/>
          <w:szCs w:val="16"/>
          <w:color w:val="auto"/>
        </w:rPr>
        <w:t>begins an Insolvency Proceeding; or (c) an Insolvency Proceeding is begun against Borrower and is not dismissed or stayed within forty-five (45) days (but no Credit Extensions shall be made while any of the conditions described in clause (a) exist and/or until any Insolvency Proceeding is dismissed);</w:t>
      </w:r>
    </w:p>
    <w:p>
      <w:pPr>
        <w:spacing w:after="0" w:line="14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8.6 Other Agreements</w:t>
      </w:r>
      <w:r>
        <w:rPr>
          <w:rFonts w:ascii="Arial" w:cs="Arial" w:eastAsia="Arial" w:hAnsi="Arial"/>
          <w:sz w:val="18"/>
          <w:szCs w:val="18"/>
          <w:color w:val="auto"/>
        </w:rPr>
        <w:t>. There is, under any agreement to which Borrower is a party with a third party or parties, (a) any default resulting in a right</w:t>
      </w:r>
      <w:r>
        <w:rPr>
          <w:rFonts w:ascii="Arial" w:cs="Arial" w:eastAsia="Arial" w:hAnsi="Arial"/>
          <w:sz w:val="18"/>
          <w:szCs w:val="18"/>
          <w:b w:val="1"/>
          <w:bCs w:val="1"/>
          <w:color w:val="auto"/>
        </w:rPr>
        <w:t xml:space="preserve"> </w:t>
      </w:r>
      <w:r>
        <w:rPr>
          <w:rFonts w:ascii="Arial" w:cs="Arial" w:eastAsia="Arial" w:hAnsi="Arial"/>
          <w:sz w:val="18"/>
          <w:szCs w:val="18"/>
          <w:color w:val="auto"/>
        </w:rPr>
        <w:t>by such third party or parties, whether or not exercised, to accelerate the maturity of any Indebtedness in an amount individually or in the aggregate in excess of Two Hundred Fifty Thousand Dollars ($250,000.00); or (b) any breach or default by Borrower, the result of which could have a material adverse effect on Borrower’s business;</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8.7 Judgments; Penalties</w:t>
      </w:r>
      <w:r>
        <w:rPr>
          <w:rFonts w:ascii="Arial" w:cs="Arial" w:eastAsia="Arial" w:hAnsi="Arial"/>
          <w:sz w:val="18"/>
          <w:szCs w:val="18"/>
          <w:color w:val="auto"/>
        </w:rPr>
        <w:t>. One or more fines, penalties or final judgments, orders or decrees for the payment of money in an amount, individually</w:t>
      </w:r>
      <w:r>
        <w:rPr>
          <w:rFonts w:ascii="Arial" w:cs="Arial" w:eastAsia="Arial" w:hAnsi="Arial"/>
          <w:sz w:val="18"/>
          <w:szCs w:val="18"/>
          <w:b w:val="1"/>
          <w:bCs w:val="1"/>
          <w:color w:val="auto"/>
        </w:rPr>
        <w:t xml:space="preserve"> </w:t>
      </w:r>
      <w:r>
        <w:rPr>
          <w:rFonts w:ascii="Arial" w:cs="Arial" w:eastAsia="Arial" w:hAnsi="Arial"/>
          <w:sz w:val="18"/>
          <w:szCs w:val="18"/>
          <w:color w:val="auto"/>
        </w:rPr>
        <w:t>or in the aggregate, of at least Two Hundred Fifty Thousand Dollars ($250,000.00) (not covered by independent third-party insurance as to which liability has been accepted by such</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828282"/>
        </w:rPr>
        <w:t>13</w:t>
      </w:r>
    </w:p>
    <w:p>
      <w:pPr>
        <w:sectPr>
          <w:pgSz w:w="11900" w:h="16838" w:orient="portrait"/>
          <w:cols w:equalWidth="0" w:num="1">
            <w:col w:w="11420"/>
          </w:cols>
          <w:pgMar w:left="240" w:top="607" w:right="239" w:bottom="1440" w:gutter="0" w:footer="0" w:header="0"/>
        </w:sectPr>
      </w:pPr>
    </w:p>
    <w:bookmarkStart w:id="18" w:name="page19"/>
    <w:bookmarkEnd w:id="18"/>
    <w:p>
      <w:pPr>
        <w:jc w:val="both"/>
        <w:spacing w:after="0" w:line="259" w:lineRule="auto"/>
        <w:rPr>
          <w:sz w:val="20"/>
          <w:szCs w:val="20"/>
          <w:color w:val="auto"/>
        </w:rPr>
      </w:pPr>
      <w:r>
        <w:rPr>
          <w:rFonts w:ascii="Arial" w:cs="Arial" w:eastAsia="Arial" w:hAnsi="Arial"/>
          <w:sz w:val="18"/>
          <w:szCs w:val="18"/>
          <w:color w:val="auto"/>
        </w:rPr>
        <w:t>insurance carrier) shall be rendered against Borrower by any Governmental Authority, and the same are not, within ten (10) days after the entry, assessment or issuance thereof, discharged, satisfied, or paid, or after execution thereof, stayed or bonded pending appeal, or such judgments are not discharged prior to the expiration of any such stay (provided that no Credit Extensions will be made prior to the satisfaction, payment, discharge, stay, or bonding of such fine, penalty, judgment, order or decree);</w:t>
      </w:r>
    </w:p>
    <w:p>
      <w:pPr>
        <w:spacing w:after="0" w:line="18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8.8 Misrepresentations</w:t>
      </w:r>
      <w:r>
        <w:rPr>
          <w:rFonts w:ascii="Arial" w:cs="Arial" w:eastAsia="Arial" w:hAnsi="Arial"/>
          <w:sz w:val="18"/>
          <w:szCs w:val="18"/>
          <w:color w:val="auto"/>
        </w:rPr>
        <w:t>. Borrower or any Person acting for Borrower makes any representation, warranty, or other statement now or later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any Loan Document or in any writing delivered to Bank or to induce Bank to enter this Agreement or any Loan Document, and such representation, warranty, or other statement is incorrect in any material respect when made;</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8.9 Subordinated Debt</w:t>
      </w:r>
      <w:r>
        <w:rPr>
          <w:rFonts w:ascii="Arial" w:cs="Arial" w:eastAsia="Arial" w:hAnsi="Arial"/>
          <w:sz w:val="18"/>
          <w:szCs w:val="18"/>
          <w:color w:val="auto"/>
        </w:rPr>
        <w:t>. Any document, instrument, or agreement evidencing any Subordinated Debt shall for any reason be revoked or</w:t>
      </w:r>
      <w:r>
        <w:rPr>
          <w:rFonts w:ascii="Arial" w:cs="Arial" w:eastAsia="Arial" w:hAnsi="Arial"/>
          <w:sz w:val="18"/>
          <w:szCs w:val="18"/>
          <w:b w:val="1"/>
          <w:bCs w:val="1"/>
          <w:color w:val="auto"/>
        </w:rPr>
        <w:t xml:space="preserve"> </w:t>
      </w:r>
      <w:r>
        <w:rPr>
          <w:rFonts w:ascii="Arial" w:cs="Arial" w:eastAsia="Arial" w:hAnsi="Arial"/>
          <w:sz w:val="18"/>
          <w:szCs w:val="18"/>
          <w:color w:val="auto"/>
        </w:rPr>
        <w:t>invalidated or otherwise cease to be in full force and effect, in each case other than pursuant to its terms, any Person shall be in breach thereof or contest in any manner the validity or enforceability thereof or deny that it has any further liability or obligation thereunder, or the Obligations shall for any reason be subordinated or shall not have the priority contemplated by this Agreement; or</w:t>
      </w:r>
    </w:p>
    <w:p>
      <w:pPr>
        <w:spacing w:after="0" w:line="18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 xml:space="preserve">8.10 Governmental Approvals. </w:t>
      </w:r>
      <w:r>
        <w:rPr>
          <w:rFonts w:ascii="Arial" w:cs="Arial" w:eastAsia="Arial" w:hAnsi="Arial"/>
          <w:sz w:val="16"/>
          <w:szCs w:val="16"/>
          <w:color w:val="auto"/>
        </w:rPr>
        <w:t>Any Governmental Approval shall have been (a) revoked, rescinded, suspended, modified in an adverse manner</w:t>
      </w:r>
      <w:r>
        <w:rPr>
          <w:rFonts w:ascii="Arial" w:cs="Arial" w:eastAsia="Arial" w:hAnsi="Arial"/>
          <w:sz w:val="16"/>
          <w:szCs w:val="16"/>
          <w:b w:val="1"/>
          <w:bCs w:val="1"/>
          <w:color w:val="auto"/>
        </w:rPr>
        <w:t xml:space="preserve"> </w:t>
      </w:r>
      <w:r>
        <w:rPr>
          <w:rFonts w:ascii="Arial" w:cs="Arial" w:eastAsia="Arial" w:hAnsi="Arial"/>
          <w:sz w:val="16"/>
          <w:szCs w:val="16"/>
          <w:color w:val="auto"/>
        </w:rPr>
        <w:t>or not renewed in the ordinary course for a full term or (b) subject to any decision by a Governmental Authority that designates a hearing with respect to any applications for renewal of any of such Governmental Approval or that could result in the Governmental Authority taking any of the actions described in clause (a) above, and such decision or such revocation, rescission, suspension, modification or non-renewal (i) cause, or could reasonably be expected to cause, a Material Adverse Change, or (ii) adversely affects the legal qualifications of Borrower or any of its Subsidiaries to hold such Governmental Approval in any applicable jurisdiction and such revocation, rescission, suspension, modification or non-renewal could reasonably be expected to materially adversely affect the status of or legal qualifications of Borrower or any of its Subsidiaries to hold any Governmental Approval in any other jurisdiction.</w:t>
      </w:r>
    </w:p>
    <w:p>
      <w:pPr>
        <w:spacing w:after="0" w:line="189" w:lineRule="exact"/>
        <w:rPr>
          <w:sz w:val="20"/>
          <w:szCs w:val="20"/>
          <w:color w:val="auto"/>
        </w:rPr>
      </w:pPr>
    </w:p>
    <w:p>
      <w:pPr>
        <w:ind w:left="1440" w:hanging="784"/>
        <w:spacing w:after="0"/>
        <w:tabs>
          <w:tab w:leader="none" w:pos="14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BANK’S RIGHTS AND REMEDIES</w:t>
      </w:r>
    </w:p>
    <w:p>
      <w:pPr>
        <w:spacing w:after="0" w:line="239"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9.1 Rights and Remedies</w:t>
      </w:r>
      <w:r>
        <w:rPr>
          <w:rFonts w:ascii="Arial" w:cs="Arial" w:eastAsia="Arial" w:hAnsi="Arial"/>
          <w:sz w:val="18"/>
          <w:szCs w:val="18"/>
          <w:color w:val="auto"/>
        </w:rPr>
        <w:t>. Upon the occurrence and during the continuance of an Event of Default, Bank may, without notice or demand, do any</w:t>
      </w:r>
      <w:r>
        <w:rPr>
          <w:rFonts w:ascii="Arial" w:cs="Arial" w:eastAsia="Arial" w:hAnsi="Arial"/>
          <w:sz w:val="18"/>
          <w:szCs w:val="18"/>
          <w:b w:val="1"/>
          <w:bCs w:val="1"/>
          <w:color w:val="auto"/>
        </w:rPr>
        <w:t xml:space="preserve"> </w:t>
      </w:r>
      <w:r>
        <w:rPr>
          <w:rFonts w:ascii="Arial" w:cs="Arial" w:eastAsia="Arial" w:hAnsi="Arial"/>
          <w:sz w:val="18"/>
          <w:szCs w:val="18"/>
          <w:color w:val="auto"/>
        </w:rPr>
        <w:t>or all of the following:</w:t>
      </w:r>
    </w:p>
    <w:p>
      <w:pPr>
        <w:spacing w:after="0" w:line="193" w:lineRule="exact"/>
        <w:rPr>
          <w:sz w:val="20"/>
          <w:szCs w:val="20"/>
          <w:color w:val="auto"/>
        </w:rPr>
      </w:pPr>
    </w:p>
    <w:p>
      <w:pPr>
        <w:ind w:firstLine="1305"/>
        <w:spacing w:after="0" w:line="324" w:lineRule="auto"/>
        <w:tabs>
          <w:tab w:leader="none" w:pos="2144"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declare all Obligations immediately due and payable (but if an Event of Default described in Section 8.5 occurs all Obligations are immediately due and payable without any action by Bank);</w:t>
      </w:r>
    </w:p>
    <w:p>
      <w:pPr>
        <w:spacing w:after="0" w:line="170" w:lineRule="exact"/>
        <w:rPr>
          <w:rFonts w:ascii="Arial" w:cs="Arial" w:eastAsia="Arial" w:hAnsi="Arial"/>
          <w:sz w:val="18"/>
          <w:szCs w:val="18"/>
          <w:color w:val="auto"/>
        </w:rPr>
      </w:pPr>
    </w:p>
    <w:p>
      <w:pPr>
        <w:ind w:left="2160" w:hanging="855"/>
        <w:spacing w:after="0"/>
        <w:tabs>
          <w:tab w:leader="none" w:pos="21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stop advancing money or extending credit for Borrower’s benefit under this Agreement or under any other agreement between</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Borrower and Bank;</w:t>
      </w:r>
    </w:p>
    <w:p>
      <w:pPr>
        <w:spacing w:after="0" w:line="265" w:lineRule="exact"/>
        <w:rPr>
          <w:rFonts w:ascii="Arial" w:cs="Arial" w:eastAsia="Arial" w:hAnsi="Arial"/>
          <w:sz w:val="16"/>
          <w:szCs w:val="16"/>
          <w:color w:val="auto"/>
        </w:rPr>
      </w:pPr>
    </w:p>
    <w:p>
      <w:pPr>
        <w:jc w:val="both"/>
        <w:ind w:firstLine="1305"/>
        <w:spacing w:after="0" w:line="302" w:lineRule="auto"/>
        <w:tabs>
          <w:tab w:leader="none" w:pos="2144"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demand that Borrower (i) deposit cash with Bank in an amount equal to at least (A) one hundred five percent (105.0%) of the Dollar Equivalent of the aggregate face amount of all Letters of Credit denominated in Dollars remaining undrawn, and (B) one hundred ten percent (110.0%) of the Dollar Equivalent of the aggregate face amount of all Letters of Credit denominated in a Foreign Currency remaining undrawn, (plus, in each case, all interest, fees, and costs due or to become due in connection therewith (as estimated by Bank in its good faith business judgment)), to secure all of the Obligations relating to such Letters of Credit, as collateral security for the repayment of any future drawings under such Letters of Credit, and Borrower shall forthwith deposit and pay such amounts, and (ii) pay in advance all letter of credit fees scheduled to be paid or payable over the remaining term of any Letters of Credit;</w:t>
      </w:r>
    </w:p>
    <w:p>
      <w:pPr>
        <w:spacing w:after="0" w:line="189" w:lineRule="exact"/>
        <w:rPr>
          <w:rFonts w:ascii="Arial" w:cs="Arial" w:eastAsia="Arial" w:hAnsi="Arial"/>
          <w:sz w:val="18"/>
          <w:szCs w:val="18"/>
          <w:color w:val="auto"/>
        </w:rPr>
      </w:pPr>
    </w:p>
    <w:p>
      <w:pPr>
        <w:ind w:left="2160" w:hanging="855"/>
        <w:spacing w:after="0"/>
        <w:tabs>
          <w:tab w:leader="none" w:pos="2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terminate any FX Contracts;</w:t>
      </w:r>
    </w:p>
    <w:p>
      <w:pPr>
        <w:spacing w:after="0" w:line="265" w:lineRule="exact"/>
        <w:rPr>
          <w:rFonts w:ascii="Arial" w:cs="Arial" w:eastAsia="Arial" w:hAnsi="Arial"/>
          <w:sz w:val="18"/>
          <w:szCs w:val="18"/>
          <w:color w:val="auto"/>
        </w:rPr>
      </w:pPr>
    </w:p>
    <w:p>
      <w:pPr>
        <w:ind w:firstLine="1305"/>
        <w:spacing w:after="0" w:line="324" w:lineRule="auto"/>
        <w:tabs>
          <w:tab w:leader="none" w:pos="2144" w:val="left"/>
        </w:tabs>
        <w:numPr>
          <w:ilvl w:val="0"/>
          <w:numId w:val="33"/>
        </w:numPr>
        <w:rPr>
          <w:rFonts w:ascii="Arial" w:cs="Arial" w:eastAsia="Arial" w:hAnsi="Arial"/>
          <w:sz w:val="18"/>
          <w:szCs w:val="18"/>
          <w:color w:val="auto"/>
        </w:rPr>
      </w:pPr>
      <w:r>
        <w:rPr>
          <w:rFonts w:ascii="Arial" w:cs="Arial" w:eastAsia="Arial" w:hAnsi="Arial"/>
          <w:sz w:val="18"/>
          <w:szCs w:val="18"/>
          <w:color w:val="auto"/>
        </w:rPr>
        <w:t>verify the amount of, demand payment of and performance under, and collect any Accounts and General Intangibles, settle or adjust disputes and claims directly with Account Debtors for amounts on terms and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828282"/>
        </w:rPr>
        <w:t>14</w:t>
      </w:r>
    </w:p>
    <w:p>
      <w:pPr>
        <w:sectPr>
          <w:pgSz w:w="11900" w:h="16838" w:orient="portrait"/>
          <w:cols w:equalWidth="0" w:num="1">
            <w:col w:w="11420"/>
          </w:cols>
          <w:pgMar w:left="240" w:top="58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in any order that Bank considers advisable, and notify any Person owing Borrower money of Bank’s security interest in such funds;</w:t>
      </w:r>
    </w:p>
    <w:p>
      <w:pPr>
        <w:spacing w:after="0" w:line="266" w:lineRule="exact"/>
        <w:rPr>
          <w:sz w:val="20"/>
          <w:szCs w:val="20"/>
          <w:color w:val="auto"/>
        </w:rPr>
      </w:pPr>
    </w:p>
    <w:p>
      <w:pPr>
        <w:jc w:val="both"/>
        <w:ind w:firstLine="1305"/>
        <w:spacing w:after="0" w:line="304" w:lineRule="auto"/>
        <w:tabs>
          <w:tab w:leader="none" w:pos="2125"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make any payments and do any acts it considers necessary or reasonable to protect the Collateral and/or its security interest in the Collateral. Borrower shall assemble the Collateral if Bank requests and make it available as Bank designates. Bank may enter premises where the Collateral is located, take and maintain possession of any part of the Collateral, and pay, purchase, contest, or compromise any Lien which appears to be prior or superior to its security interest and pay all expenses incurred. Borrower grants Bank a license to enter and occupy any of its premises, without charge, to exercise any of Bank’s rights or remedies;</w:t>
      </w:r>
    </w:p>
    <w:p>
      <w:pPr>
        <w:spacing w:after="0" w:line="188" w:lineRule="exact"/>
        <w:rPr>
          <w:rFonts w:ascii="Arial" w:cs="Arial" w:eastAsia="Arial" w:hAnsi="Arial"/>
          <w:sz w:val="18"/>
          <w:szCs w:val="18"/>
          <w:color w:val="auto"/>
        </w:rPr>
      </w:pPr>
    </w:p>
    <w:p>
      <w:pPr>
        <w:ind w:right="20" w:firstLine="1305"/>
        <w:spacing w:after="0" w:line="324" w:lineRule="auto"/>
        <w:tabs>
          <w:tab w:leader="none" w:pos="21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apply to the Obligations (i) any balances and deposits of Borrower it holds, or (ii) any amount held by Bank owing to or for the credit or the account of Borrower;</w:t>
      </w:r>
    </w:p>
    <w:p>
      <w:pPr>
        <w:spacing w:after="0" w:line="170" w:lineRule="exact"/>
        <w:rPr>
          <w:rFonts w:ascii="Arial" w:cs="Arial" w:eastAsia="Arial" w:hAnsi="Arial"/>
          <w:sz w:val="18"/>
          <w:szCs w:val="18"/>
          <w:color w:val="auto"/>
        </w:rPr>
      </w:pPr>
    </w:p>
    <w:p>
      <w:pPr>
        <w:jc w:val="both"/>
        <w:ind w:firstLine="1305"/>
        <w:spacing w:after="0" w:line="304" w:lineRule="auto"/>
        <w:tabs>
          <w:tab w:leader="none" w:pos="21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ship, reclaim, recover, store, finish, maintain, repair, prepare for sale, advertise for sale, and sell the Collateral. Bank is hereby granted a non-exclusive, royalty-free license or other right to use, without charge, Borrower’s labels, Patents, Copyrights, mask works, rights of use of any name, trade secrets, trade names, Trademarks, and advertising matter, or any similar property as it pertains to the Collateral, in completing production of, advertising for sale, and selling any Collateral and, in connection with Bank’s exercise of its rights under this Section, Borrower’s rights under all licenses and all franchise agreements inure to Bank’s benefit;</w:t>
      </w:r>
    </w:p>
    <w:p>
      <w:pPr>
        <w:spacing w:after="0" w:line="188" w:lineRule="exact"/>
        <w:rPr>
          <w:rFonts w:ascii="Arial" w:cs="Arial" w:eastAsia="Arial" w:hAnsi="Arial"/>
          <w:sz w:val="18"/>
          <w:szCs w:val="18"/>
          <w:color w:val="auto"/>
        </w:rPr>
      </w:pPr>
    </w:p>
    <w:p>
      <w:pPr>
        <w:ind w:firstLine="1305"/>
        <w:spacing w:after="0" w:line="324" w:lineRule="auto"/>
        <w:tabs>
          <w:tab w:leader="none" w:pos="2115" w:val="left"/>
        </w:tabs>
        <w:numPr>
          <w:ilvl w:val="0"/>
          <w:numId w:val="34"/>
        </w:numPr>
        <w:rPr>
          <w:rFonts w:ascii="Arial" w:cs="Arial" w:eastAsia="Arial" w:hAnsi="Arial"/>
          <w:sz w:val="18"/>
          <w:szCs w:val="18"/>
          <w:color w:val="auto"/>
        </w:rPr>
      </w:pPr>
      <w:r>
        <w:rPr>
          <w:rFonts w:ascii="Arial" w:cs="Arial" w:eastAsia="Arial" w:hAnsi="Arial"/>
          <w:sz w:val="18"/>
          <w:szCs w:val="18"/>
          <w:color w:val="auto"/>
        </w:rPr>
        <w:t>place a “hold” on any account maintained with Bank and/or deliver a notice of exclusive control, any entitlement order, or other directions or instructions pursuant to any Control Agreement or similar agreements providing control of any Collateral;</w:t>
      </w:r>
    </w:p>
    <w:p>
      <w:pPr>
        <w:spacing w:after="0" w:line="170" w:lineRule="exact"/>
        <w:rPr>
          <w:rFonts w:ascii="Arial" w:cs="Arial" w:eastAsia="Arial" w:hAnsi="Arial"/>
          <w:sz w:val="18"/>
          <w:szCs w:val="18"/>
          <w:color w:val="auto"/>
        </w:rPr>
      </w:pPr>
    </w:p>
    <w:p>
      <w:pPr>
        <w:ind w:left="2120" w:hanging="815"/>
        <w:spacing w:after="0"/>
        <w:tabs>
          <w:tab w:leader="none" w:pos="2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demand and receive possession of Borrower’s Books; and</w:t>
      </w:r>
    </w:p>
    <w:p>
      <w:pPr>
        <w:spacing w:after="0" w:line="265" w:lineRule="exact"/>
        <w:rPr>
          <w:rFonts w:ascii="Arial" w:cs="Arial" w:eastAsia="Arial" w:hAnsi="Arial"/>
          <w:sz w:val="18"/>
          <w:szCs w:val="18"/>
          <w:color w:val="auto"/>
        </w:rPr>
      </w:pPr>
    </w:p>
    <w:p>
      <w:pPr>
        <w:ind w:firstLine="1305"/>
        <w:spacing w:after="0" w:line="324" w:lineRule="auto"/>
        <w:tabs>
          <w:tab w:leader="none" w:pos="21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exercise all rights and remedies available to Bank under the Loan Documents or at law or equity, including all remedies provided under the Code (including disposal of the Collateral pursuant to the terms thereof).</w:t>
      </w:r>
    </w:p>
    <w:p>
      <w:pPr>
        <w:spacing w:after="0" w:line="13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9.2 Power of Attorney</w:t>
      </w:r>
      <w:r>
        <w:rPr>
          <w:rFonts w:ascii="Arial" w:cs="Arial" w:eastAsia="Arial" w:hAnsi="Arial"/>
          <w:sz w:val="17"/>
          <w:szCs w:val="17"/>
          <w:color w:val="auto"/>
        </w:rPr>
        <w:t>. Borrower hereby irrevocably appoints Bank as its lawful attorney-in-fact, exercisable upon the occurrence and during the</w:t>
      </w:r>
      <w:r>
        <w:rPr>
          <w:rFonts w:ascii="Arial" w:cs="Arial" w:eastAsia="Arial" w:hAnsi="Arial"/>
          <w:sz w:val="17"/>
          <w:szCs w:val="17"/>
          <w:b w:val="1"/>
          <w:bCs w:val="1"/>
          <w:color w:val="auto"/>
        </w:rPr>
        <w:t xml:space="preserve"> </w:t>
      </w:r>
      <w:r>
        <w:rPr>
          <w:rFonts w:ascii="Arial" w:cs="Arial" w:eastAsia="Arial" w:hAnsi="Arial"/>
          <w:sz w:val="17"/>
          <w:szCs w:val="17"/>
          <w:color w:val="auto"/>
        </w:rPr>
        <w:t>continuance of an Event of Default, to: (a) endorse Borrower’s name on any checks or other forms of payment or security; (b) sign Borrower’s name on any invoice or bill of lading for any Account or drafts against Account Debtors; (c) settle and adjust disputes and claims about the Accounts directly with Account Debtors, for amounts and on terms Bank determines reasonable; (d) make, settle, and adjust all claims under Borrower’s insurance policies; (e) pay, contest or settle any Lien, charge, encumbrance, security interest, and adverse claim in or to the Collateral, or any judgment based thereon, or otherwise take any action to terminate or discharge the same; and (f) transfer the Collateral into the name of Bank or a third party as the Code permits. Borrower hereby appoints Bank as its lawful attorney-in-fact to sign Borrower’s name on any documents necessary to perfect or continue the perfection of Bank’s security interest in the Collateral regardless of whether an Event of Default has occurred until all Obligations (other than inchoate indemnity obligations) have been satisfied in full and Bank is under no further obligation to make Credit Extensions hereunder. Bank’s foregoing appointment as Borrower’s attorney in fact, and all of Bank’s rights and powers, coupled with an interest, are irrevocable until all Obligations (other than inchoate indemnity obligations) have been fully repaid and performed and Bank’s obligation to provide Credit Extensions terminates.</w:t>
      </w:r>
    </w:p>
    <w:p>
      <w:pPr>
        <w:spacing w:after="0" w:line="17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9.3 Protective Payments</w:t>
      </w:r>
      <w:r>
        <w:rPr>
          <w:rFonts w:ascii="Arial" w:cs="Arial" w:eastAsia="Arial" w:hAnsi="Arial"/>
          <w:sz w:val="18"/>
          <w:szCs w:val="18"/>
          <w:color w:val="auto"/>
        </w:rPr>
        <w:t>. If Borrower fails to obtain the insurance called for by Section 6.5 or fails to pay any premium thereon or fails to pay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amount which Borrower is obligated to pay under this Agreement or any other Loan Document or which may be required to preserve the Collateral, Bank may obtain such insurance or make such payment, and all amounts so paid by Bank are Bank Expenses and immediately due and payable, bearing interest at the then highest rate applicable to the Obligations, and secured by the Collateral. Bank will make reasonable efforts to provide Borrower with notice of Bank obtaining such insurance at the time it is obtained or within a reasonable time thereafter. No payments by Bank are deemed an agreement to make similar payments in the future or Bank’s waiver of any Event of Default.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828282"/>
        </w:rPr>
        <w:t>15</w:t>
      </w:r>
    </w:p>
    <w:p>
      <w:pPr>
        <w:sectPr>
          <w:pgSz w:w="11900" w:h="16838" w:orient="portrait"/>
          <w:cols w:equalWidth="0" w:num="1">
            <w:col w:w="11420"/>
          </w:cols>
          <w:pgMar w:left="240" w:top="611" w:right="239" w:bottom="1440" w:gutter="0" w:footer="0" w:header="0"/>
        </w:sectPr>
      </w:pPr>
    </w:p>
    <w:bookmarkStart w:id="20" w:name="page21"/>
    <w:bookmarkEnd w:id="20"/>
    <w:p>
      <w:pPr>
        <w:jc w:val="both"/>
        <w:ind w:firstLine="648"/>
        <w:spacing w:after="0" w:line="255" w:lineRule="auto"/>
        <w:rPr>
          <w:sz w:val="20"/>
          <w:szCs w:val="20"/>
          <w:color w:val="auto"/>
        </w:rPr>
      </w:pPr>
      <w:r>
        <w:rPr>
          <w:rFonts w:ascii="Arial" w:cs="Arial" w:eastAsia="Arial" w:hAnsi="Arial"/>
          <w:sz w:val="18"/>
          <w:szCs w:val="18"/>
          <w:b w:val="1"/>
          <w:bCs w:val="1"/>
          <w:color w:val="auto"/>
        </w:rPr>
        <w:t>9.4 Application of Payments and Proceeds Upon Default</w:t>
      </w:r>
      <w:r>
        <w:rPr>
          <w:rFonts w:ascii="Arial" w:cs="Arial" w:eastAsia="Arial" w:hAnsi="Arial"/>
          <w:sz w:val="18"/>
          <w:szCs w:val="18"/>
          <w:color w:val="auto"/>
        </w:rPr>
        <w:t>. If an Event of Default has occurred and is continuing, Bank shall have the right to</w:t>
      </w:r>
      <w:r>
        <w:rPr>
          <w:rFonts w:ascii="Arial" w:cs="Arial" w:eastAsia="Arial" w:hAnsi="Arial"/>
          <w:sz w:val="18"/>
          <w:szCs w:val="18"/>
          <w:b w:val="1"/>
          <w:bCs w:val="1"/>
          <w:color w:val="auto"/>
        </w:rPr>
        <w:t xml:space="preserve"> </w:t>
      </w:r>
      <w:r>
        <w:rPr>
          <w:rFonts w:ascii="Arial" w:cs="Arial" w:eastAsia="Arial" w:hAnsi="Arial"/>
          <w:sz w:val="18"/>
          <w:szCs w:val="18"/>
          <w:color w:val="auto"/>
        </w:rPr>
        <w:t>apply in any order any funds in its possession, whether from Borrower account balances, payments, proceeds realized as the result of any collection of Accounts or other disposition of the Collateral, or otherwise, to the Obligations. Bank shall pay any surplus to Borrower by credit to the Designated Deposit Account or to other Persons legally entitled thereto; Borrower shall remain liable to Bank for any deficiency. If Bank, directly or indirectly, enters into a deferred payment or other credit transaction with any purchaser at any sale of Collateral, Bank shall have the option, exercisable at any time, of either reducing the Obligations by the principal amount of the purchase price or deferring the reduction of the Obligations until the actual receipt by Bank of cash therefor.</w:t>
      </w:r>
    </w:p>
    <w:p>
      <w:pPr>
        <w:spacing w:after="0" w:line="18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9.5 Bank’s Liability for Collateral</w:t>
      </w:r>
      <w:r>
        <w:rPr>
          <w:rFonts w:ascii="Arial" w:cs="Arial" w:eastAsia="Arial" w:hAnsi="Arial"/>
          <w:sz w:val="18"/>
          <w:szCs w:val="18"/>
          <w:color w:val="auto"/>
        </w:rPr>
        <w:t>. So long as Bank complies with reasonable banking practices regarding the safekeeping of the Collateral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possession or under the control of Bank, Bank shall not be liable or responsible for: (a) the safekeeping of the Collateral; (b) any loss or damage to the Collateral; (c) any diminution in the value of the Collateral; or (d) any act or default of any carrier, warehouseman, bailee, or other Person. Borrower bears all risk of loss, damage or destruction of the Collateral.</w:t>
      </w:r>
    </w:p>
    <w:p>
      <w:pPr>
        <w:spacing w:after="0" w:line="18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9.6 No Waiver; Remedies Cumulative</w:t>
      </w:r>
      <w:r>
        <w:rPr>
          <w:rFonts w:ascii="Arial" w:cs="Arial" w:eastAsia="Arial" w:hAnsi="Arial"/>
          <w:sz w:val="17"/>
          <w:szCs w:val="17"/>
          <w:color w:val="auto"/>
        </w:rPr>
        <w:t>. Bank’s failure, at any time or times, to require strict performance by Borrower of any provision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or any other Loan Document shall not waive, affect, or diminish any right of Bank thereafter to demand strict performance and compliance herewith or therewith. No waiver hereunder shall be effective unless signed by the party granting the waiver and then is only effective for the specific instance and purpose for which it is given. Bank’s rights and remedies under this Agreement and the other Loan Documents are cumulative. Bank has all rights and remedies provided under the Code, by law, or in equity. Bank’s exercise of one right or remedy is not an election and shall not preclude Bank from exercising any other remedy under this Agreement or other remedy available at law or in equity, and Bank’s waiver of any Event of Default is not a continuing waiver. Bank’s delay in exercising any remedy is not a waiver, election, or acquiescence.</w:t>
      </w:r>
    </w:p>
    <w:p>
      <w:pPr>
        <w:spacing w:after="0" w:line="17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9.7 Demand Waiver</w:t>
      </w:r>
      <w:r>
        <w:rPr>
          <w:rFonts w:ascii="Arial" w:cs="Arial" w:eastAsia="Arial" w:hAnsi="Arial"/>
          <w:sz w:val="18"/>
          <w:szCs w:val="18"/>
          <w:color w:val="auto"/>
        </w:rPr>
        <w:t>. Borrower waives demand, notice of default or dishonor, notice of payment and nonpayment, notice of any default,</w:t>
      </w:r>
      <w:r>
        <w:rPr>
          <w:rFonts w:ascii="Arial" w:cs="Arial" w:eastAsia="Arial" w:hAnsi="Arial"/>
          <w:sz w:val="18"/>
          <w:szCs w:val="18"/>
          <w:b w:val="1"/>
          <w:bCs w:val="1"/>
          <w:color w:val="auto"/>
        </w:rPr>
        <w:t xml:space="preserve"> </w:t>
      </w:r>
      <w:r>
        <w:rPr>
          <w:rFonts w:ascii="Arial" w:cs="Arial" w:eastAsia="Arial" w:hAnsi="Arial"/>
          <w:sz w:val="18"/>
          <w:szCs w:val="18"/>
          <w:color w:val="auto"/>
        </w:rPr>
        <w:t>nonpayment at maturity, release, compromise, settlement, extension, or renewal of accounts, documents, instruments, chattel paper, and guarantees held by Bank on which Borrower is liable.</w:t>
      </w:r>
    </w:p>
    <w:p>
      <w:pPr>
        <w:spacing w:after="0" w:line="203" w:lineRule="exact"/>
        <w:rPr>
          <w:sz w:val="20"/>
          <w:szCs w:val="20"/>
          <w:color w:val="auto"/>
        </w:rPr>
      </w:pPr>
    </w:p>
    <w:p>
      <w:pPr>
        <w:ind w:left="1520" w:hanging="864"/>
        <w:spacing w:after="0"/>
        <w:tabs>
          <w:tab w:leader="none" w:pos="152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24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All notices, consents, requests, approvals, demands, or other communication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electronic mail or facsimile transmission; (c) one (1) Business Day after deposit with a reputable overnight courier with all charges prepaid; or (d) when delivered, if hand-delivered by messenger, all of which shall be addressed to the party to be notified and sent to the address, facsimile number, or email address indicated below. Bank or Borrower may change its mailing or electronic mail address or facsimile number by giving the other party written notice thereof in accordance with the terms of this Section 10.</w:t>
      </w:r>
    </w:p>
    <w:p>
      <w:pPr>
        <w:sectPr>
          <w:pgSz w:w="11900" w:h="16838" w:orient="portrait"/>
          <w:cols w:equalWidth="0" w:num="1">
            <w:col w:w="11420"/>
          </w:cols>
          <w:pgMar w:left="240" w:top="580" w:right="239" w:bottom="1440" w:gutter="0" w:footer="0" w:header="0"/>
        </w:sectPr>
      </w:pP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If to Borrower:</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Selecta Biosciences, Inc.</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480 Arsenal Way</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Watertown, Massachusetts 02472</w:t>
      </w:r>
    </w:p>
    <w:p>
      <w:pPr>
        <w:spacing w:after="0" w:line="32" w:lineRule="exact"/>
        <w:rPr>
          <w:sz w:val="20"/>
          <w:szCs w:val="20"/>
          <w:color w:val="auto"/>
        </w:rPr>
      </w:pPr>
    </w:p>
    <w:p>
      <w:pPr>
        <w:ind w:left="480"/>
        <w:spacing w:after="0"/>
        <w:tabs>
          <w:tab w:leader="none" w:pos="1060" w:val="left"/>
        </w:tabs>
        <w:rPr>
          <w:sz w:val="20"/>
          <w:szCs w:val="20"/>
          <w:color w:val="auto"/>
        </w:rPr>
      </w:pPr>
      <w:r>
        <w:rPr>
          <w:rFonts w:ascii="Arial" w:cs="Arial" w:eastAsia="Arial" w:hAnsi="Arial"/>
          <w:sz w:val="18"/>
          <w:szCs w:val="18"/>
          <w:color w:val="auto"/>
        </w:rPr>
        <w:t>Attn:</w:t>
        <w:tab/>
        <w:t>David Siewers, CFO</w:t>
      </w:r>
    </w:p>
    <w:p>
      <w:pPr>
        <w:spacing w:after="0" w:line="9" w:lineRule="exact"/>
        <w:rPr>
          <w:sz w:val="20"/>
          <w:szCs w:val="20"/>
          <w:color w:val="auto"/>
        </w:rPr>
      </w:pPr>
    </w:p>
    <w:p>
      <w:pPr>
        <w:ind w:left="480"/>
        <w:spacing w:after="0"/>
        <w:tabs>
          <w:tab w:leader="none" w:pos="1020" w:val="left"/>
        </w:tabs>
        <w:rPr>
          <w:sz w:val="20"/>
          <w:szCs w:val="20"/>
          <w:color w:val="auto"/>
        </w:rPr>
      </w:pPr>
      <w:r>
        <w:rPr>
          <w:rFonts w:ascii="Arial" w:cs="Arial" w:eastAsia="Arial" w:hAnsi="Arial"/>
          <w:sz w:val="18"/>
          <w:szCs w:val="18"/>
          <w:color w:val="auto"/>
        </w:rPr>
        <w:t>Fax:</w:t>
        <w:tab/>
        <w:t>(617) 924-3454</w:t>
      </w:r>
    </w:p>
    <w:p>
      <w:pPr>
        <w:spacing w:after="0" w:line="9" w:lineRule="exact"/>
        <w:rPr>
          <w:sz w:val="20"/>
          <w:szCs w:val="20"/>
          <w:color w:val="auto"/>
        </w:rPr>
      </w:pPr>
    </w:p>
    <w:p>
      <w:pPr>
        <w:ind w:left="480"/>
        <w:spacing w:after="0"/>
        <w:tabs>
          <w:tab w:leader="none" w:pos="1220" w:val="left"/>
        </w:tabs>
        <w:rPr>
          <w:sz w:val="20"/>
          <w:szCs w:val="20"/>
          <w:color w:val="auto"/>
        </w:rPr>
      </w:pPr>
      <w:r>
        <w:rPr>
          <w:rFonts w:ascii="Arial" w:cs="Arial" w:eastAsia="Arial" w:hAnsi="Arial"/>
          <w:sz w:val="16"/>
          <w:szCs w:val="16"/>
          <w:color w:val="auto"/>
        </w:rPr>
        <w:t>Email:</w:t>
      </w:r>
      <w:r>
        <w:rPr>
          <w:sz w:val="20"/>
          <w:szCs w:val="20"/>
          <w:color w:val="auto"/>
        </w:rPr>
        <w:tab/>
      </w:r>
      <w:r>
        <w:rPr>
          <w:rFonts w:ascii="Arial" w:cs="Arial" w:eastAsia="Arial" w:hAnsi="Arial"/>
          <w:sz w:val="16"/>
          <w:szCs w:val="16"/>
          <w:color w:val="auto"/>
        </w:rPr>
        <w:t>dsiewers@selectbio.com</w:t>
      </w:r>
    </w:p>
    <w:p>
      <w:pPr>
        <w:spacing w:after="0" w:line="200" w:lineRule="exact"/>
        <w:rPr>
          <w:sz w:val="20"/>
          <w:szCs w:val="20"/>
          <w:color w:val="auto"/>
        </w:rPr>
      </w:pPr>
    </w:p>
    <w:p>
      <w:pPr>
        <w:sectPr>
          <w:pgSz w:w="11900" w:h="16838" w:orient="portrait"/>
          <w:cols w:equalWidth="0" w:num="2">
            <w:col w:w="2400" w:space="360"/>
            <w:col w:w="8660"/>
          </w:cols>
          <w:pgMar w:left="240" w:top="580" w:right="239" w:bottom="1440" w:gutter="0" w:footer="0" w:header="0"/>
          <w:type w:val="continuous"/>
        </w:sectPr>
      </w:pPr>
    </w:p>
    <w:p>
      <w:pPr>
        <w:spacing w:after="0" w:line="34"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If to Bank:</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6"/>
          <w:szCs w:val="16"/>
          <w:color w:val="auto"/>
        </w:rPr>
        <w:t>275 Grove Street, Suite 2-200</w:t>
      </w:r>
    </w:p>
    <w:p>
      <w:pPr>
        <w:spacing w:after="0" w:line="32" w:lineRule="exact"/>
        <w:rPr>
          <w:sz w:val="20"/>
          <w:szCs w:val="20"/>
          <w:color w:val="auto"/>
        </w:rPr>
      </w:pPr>
    </w:p>
    <w:p>
      <w:pPr>
        <w:ind w:left="800"/>
        <w:spacing w:after="0"/>
        <w:rPr>
          <w:sz w:val="20"/>
          <w:szCs w:val="20"/>
          <w:color w:val="auto"/>
        </w:rPr>
      </w:pPr>
      <w:r>
        <w:rPr>
          <w:rFonts w:ascii="Arial" w:cs="Arial" w:eastAsia="Arial" w:hAnsi="Arial"/>
          <w:sz w:val="16"/>
          <w:szCs w:val="16"/>
          <w:color w:val="auto"/>
        </w:rPr>
        <w:t>Newton, Massachusetts 02466</w:t>
      </w:r>
    </w:p>
    <w:p>
      <w:pPr>
        <w:spacing w:after="0" w:line="32" w:lineRule="exact"/>
        <w:rPr>
          <w:sz w:val="20"/>
          <w:szCs w:val="20"/>
          <w:color w:val="auto"/>
        </w:rPr>
      </w:pPr>
    </w:p>
    <w:p>
      <w:pPr>
        <w:ind w:left="800"/>
        <w:spacing w:after="0"/>
        <w:tabs>
          <w:tab w:leader="none" w:pos="134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6"/>
          <w:szCs w:val="16"/>
          <w:color w:val="auto"/>
        </w:rPr>
        <w:t>Ryan Roller</w:t>
      </w:r>
    </w:p>
    <w:p>
      <w:pPr>
        <w:spacing w:after="0" w:line="9" w:lineRule="exact"/>
        <w:rPr>
          <w:sz w:val="20"/>
          <w:szCs w:val="20"/>
          <w:color w:val="auto"/>
        </w:rPr>
      </w:pPr>
    </w:p>
    <w:p>
      <w:pPr>
        <w:ind w:left="800"/>
        <w:spacing w:after="0"/>
        <w:tabs>
          <w:tab w:leader="none" w:pos="1540" w:val="left"/>
        </w:tabs>
        <w:rPr>
          <w:sz w:val="20"/>
          <w:szCs w:val="20"/>
          <w:color w:val="auto"/>
        </w:rPr>
      </w:pPr>
      <w:r>
        <w:rPr>
          <w:rFonts w:ascii="Arial" w:cs="Arial" w:eastAsia="Arial" w:hAnsi="Arial"/>
          <w:sz w:val="17"/>
          <w:szCs w:val="17"/>
          <w:color w:val="auto"/>
        </w:rPr>
        <w:t>Email:</w:t>
      </w:r>
      <w:r>
        <w:rPr>
          <w:sz w:val="20"/>
          <w:szCs w:val="20"/>
          <w:color w:val="auto"/>
        </w:rPr>
        <w:tab/>
      </w:r>
      <w:r>
        <w:rPr>
          <w:rFonts w:ascii="Arial" w:cs="Arial" w:eastAsia="Arial" w:hAnsi="Arial"/>
          <w:sz w:val="17"/>
          <w:szCs w:val="17"/>
          <w:color w:val="auto"/>
        </w:rPr>
        <w:t>RRoller@svb.com</w:t>
      </w:r>
    </w:p>
    <w:p>
      <w:pPr>
        <w:spacing w:after="0" w:line="200" w:lineRule="exact"/>
        <w:rPr>
          <w:sz w:val="20"/>
          <w:szCs w:val="20"/>
          <w:color w:val="auto"/>
        </w:rPr>
      </w:pPr>
    </w:p>
    <w:p>
      <w:pPr>
        <w:sectPr>
          <w:pgSz w:w="11900" w:h="16838" w:orient="portrait"/>
          <w:cols w:equalWidth="0" w:num="2">
            <w:col w:w="2080" w:space="360"/>
            <w:col w:w="8980"/>
          </w:cols>
          <w:pgMar w:left="240" w:top="580" w:right="239" w:bottom="1440" w:gutter="0" w:footer="0" w:header="0"/>
          <w:type w:val="continuous"/>
        </w:sect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828282"/>
        </w:rPr>
        <w:t>16</w:t>
      </w:r>
    </w:p>
    <w:p>
      <w:pPr>
        <w:sectPr>
          <w:pgSz w:w="11900" w:h="16838" w:orient="portrait"/>
          <w:cols w:equalWidth="0" w:num="1">
            <w:col w:w="11420"/>
          </w:cols>
          <w:pgMar w:left="240" w:top="580" w:right="239" w:bottom="1440" w:gutter="0" w:footer="0" w:header="0"/>
          <w:type w:val="continuous"/>
        </w:sectPr>
      </w:pPr>
    </w:p>
    <w:bookmarkStart w:id="21" w:name="page22"/>
    <w:bookmarkEnd w:id="21"/>
    <w:p>
      <w:pPr>
        <w:ind w:left="130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Riemer &amp; Braunstein LLP</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Three Center Plaza</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Boston, Massachusetts 02108</w:t>
      </w:r>
    </w:p>
    <w:p>
      <w:pPr>
        <w:spacing w:after="0" w:line="9" w:lineRule="exact"/>
        <w:rPr>
          <w:sz w:val="20"/>
          <w:szCs w:val="20"/>
          <w:color w:val="auto"/>
        </w:rPr>
      </w:pPr>
    </w:p>
    <w:p>
      <w:pPr>
        <w:ind w:left="500"/>
        <w:spacing w:after="0"/>
        <w:tabs>
          <w:tab w:leader="none" w:pos="104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6"/>
          <w:szCs w:val="16"/>
          <w:color w:val="auto"/>
        </w:rPr>
        <w:t>David A. Ephraim, Esquire</w:t>
      </w:r>
    </w:p>
    <w:p>
      <w:pPr>
        <w:spacing w:after="0" w:line="9" w:lineRule="exact"/>
        <w:rPr>
          <w:sz w:val="20"/>
          <w:szCs w:val="20"/>
          <w:color w:val="auto"/>
        </w:rPr>
      </w:pPr>
    </w:p>
    <w:p>
      <w:pPr>
        <w:ind w:left="500"/>
        <w:spacing w:after="0"/>
        <w:tabs>
          <w:tab w:leader="none" w:pos="98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6"/>
          <w:szCs w:val="16"/>
          <w:color w:val="auto"/>
        </w:rPr>
        <w:t>(617) 880-3456</w:t>
      </w:r>
    </w:p>
    <w:p>
      <w:pPr>
        <w:spacing w:after="0" w:line="9" w:lineRule="exact"/>
        <w:rPr>
          <w:sz w:val="20"/>
          <w:szCs w:val="20"/>
          <w:color w:val="auto"/>
        </w:rPr>
      </w:pPr>
    </w:p>
    <w:p>
      <w:pPr>
        <w:ind w:left="500"/>
        <w:spacing w:after="0"/>
        <w:tabs>
          <w:tab w:leader="none" w:pos="11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DEphraim@riemerlaw.com</w:t>
      </w:r>
    </w:p>
    <w:p>
      <w:pPr>
        <w:spacing w:after="0" w:line="200" w:lineRule="exact"/>
        <w:rPr>
          <w:sz w:val="20"/>
          <w:szCs w:val="20"/>
          <w:color w:val="auto"/>
        </w:rPr>
      </w:pPr>
    </w:p>
    <w:p>
      <w:pPr>
        <w:sectPr>
          <w:pgSz w:w="11900" w:h="16838" w:orient="portrait"/>
          <w:cols w:equalWidth="0" w:num="2">
            <w:col w:w="2380" w:space="360"/>
            <w:col w:w="8680"/>
          </w:cols>
          <w:pgMar w:left="240" w:top="800" w:right="239" w:bottom="1440" w:gutter="0" w:footer="0" w:header="0"/>
        </w:sectPr>
      </w:pPr>
    </w:p>
    <w:p>
      <w:pPr>
        <w:spacing w:after="0" w:line="34" w:lineRule="exact"/>
        <w:rPr>
          <w:sz w:val="20"/>
          <w:szCs w:val="20"/>
          <w:color w:val="auto"/>
        </w:rPr>
      </w:pPr>
    </w:p>
    <w:p>
      <w:pPr>
        <w:ind w:left="1520" w:hanging="864"/>
        <w:spacing w:after="0"/>
        <w:tabs>
          <w:tab w:leader="none" w:pos="152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CHOICE OF LAW, VENUE, AND JURY TRIAL WAIVER</w:t>
      </w:r>
    </w:p>
    <w:p>
      <w:pPr>
        <w:spacing w:after="0" w:line="24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Except as otherwise expressly provided in any of the Loan Documents, Massachusetts law governs the Loan Documents without regard to principles of conflicts of law. Borrower and Bank each submit to the exclusive jurisdiction of the State and Federal courts in Boston, Massachusetts; provided, however, that nothing in this Agreement shall be deemed to operate to preclude Bank from bringing suit or taking other legal action in any other jurisdiction to realize on the Collateral or any other security for the Obligations, or to enforce a judgment or other court order in favor of Bank. Borrower expressly submits and consents in advance to such jurisdiction in any action or suit commenced in any such court, and Borrower hereby waives any objection that it may have based upon lack of personal jurisdiction, improper venue, or forum non conveniens and hereby consents to the granting of such legal or equitable relief as is deemed appropriate by such court. Borrower hereby waives personal service of the summons, complaints, and other process issued in such action or suit and agrees that service of such summons, complaints, and other process may be made by registered or certified mail addressed to Borrower at the address set forth in, or subsequently provided by Borrower in accordance with, Section 10 of this Agreement and that service so made shall be deemed completed upon the earlier to occur of Borrower’s actual receipt thereof or three (3) days after deposit in the U.S. mails, proper postage prepaid.</w:t>
      </w:r>
    </w:p>
    <w:p>
      <w:pPr>
        <w:spacing w:after="0" w:line="16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TO THE FULLEST EXTENT PERMITTED BY APPLICABLE LAW, BORROWER AND BANK EACH WAIVE THEIR RIGHT TO A JURY TRIAL OF ANY CLAIM OR CAUSE OF ACTION ARISING OUT OF OR BASED UPON THIS AGREEMENT, THE LOAN DOCUMENTS OR ANY CONTEMPLATED TRANSACTION, INCLUDING CONTRACT, TORT, BREACH OF DUTY AND ALL OTHER CLAIMS. THIS WAIVER IS A MATERIAL INDUCEMENT FOR BOTH PARTIES TO ENTER INTO THIS AGREEMENT. EACH PARTY HAS REVIEWED THIS WAIVER WITH ITS COUNSEL</w:t>
      </w:r>
      <w:r>
        <w:rPr>
          <w:rFonts w:ascii="Arial" w:cs="Arial" w:eastAsia="Arial" w:hAnsi="Arial"/>
          <w:sz w:val="18"/>
          <w:szCs w:val="18"/>
          <w:color w:val="auto"/>
        </w:rPr>
        <w: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Section 11 shall survive the termination of this Agreement.</w:t>
      </w:r>
    </w:p>
    <w:p>
      <w:pPr>
        <w:spacing w:after="0" w:line="248" w:lineRule="exact"/>
        <w:rPr>
          <w:sz w:val="20"/>
          <w:szCs w:val="20"/>
          <w:color w:val="auto"/>
        </w:rPr>
      </w:pPr>
    </w:p>
    <w:p>
      <w:pPr>
        <w:ind w:left="1520" w:hanging="864"/>
        <w:spacing w:after="0"/>
        <w:tabs>
          <w:tab w:leader="none" w:pos="152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 PROVISIONS</w:t>
      </w:r>
    </w:p>
    <w:p>
      <w:pPr>
        <w:spacing w:after="0" w:line="2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12.1 Termination Prior to Term Loan Maturity Date; Survival</w:t>
      </w:r>
      <w:r>
        <w:rPr>
          <w:rFonts w:ascii="Arial" w:cs="Arial" w:eastAsia="Arial" w:hAnsi="Arial"/>
          <w:sz w:val="18"/>
          <w:szCs w:val="18"/>
          <w:color w:val="auto"/>
        </w:rPr>
        <w:t>. All covenants, representations and warranties made in this Agreement continue</w:t>
      </w:r>
      <w:r>
        <w:rPr>
          <w:rFonts w:ascii="Arial" w:cs="Arial" w:eastAsia="Arial" w:hAnsi="Arial"/>
          <w:sz w:val="18"/>
          <w:szCs w:val="18"/>
          <w:b w:val="1"/>
          <w:bCs w:val="1"/>
          <w:color w:val="auto"/>
        </w:rPr>
        <w:t xml:space="preserve"> </w:t>
      </w:r>
      <w:r>
        <w:rPr>
          <w:rFonts w:ascii="Arial" w:cs="Arial" w:eastAsia="Arial" w:hAnsi="Arial"/>
          <w:sz w:val="18"/>
          <w:szCs w:val="18"/>
          <w:color w:val="auto"/>
        </w:rPr>
        <w:t>in full force until this Agreement has terminated pursuant to its terms and all Obligations (other than inchoate indemnity obligations) have been satisfied. So long as Borrower has satisfied the Obligations (other than inchoate indemnity obligations, any other obligations which, by their terms, are to survive the termination of this Agreement, and any Obligations under Bank Services Agreements that are cash collateralized in accordance with Section 4.1 of this Agreement), this Agreement may be terminated prior to the Term Loan Maturity Date by Borrower, effective three (3) Business Days after written notice of termination is given to Bank. Those obligations that are expressly specified in this Agreement as surviving this Agreement’s termination shall continue to survive notwithstanding this Agreement’s termination.</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12.2 Successors and Assigns</w:t>
      </w:r>
      <w:r>
        <w:rPr>
          <w:rFonts w:ascii="Arial" w:cs="Arial" w:eastAsia="Arial" w:hAnsi="Arial"/>
          <w:sz w:val="18"/>
          <w:szCs w:val="18"/>
          <w:color w:val="auto"/>
        </w:rPr>
        <w:t>. This Agreement binds and is for the benefit of the successors and permitted assigns of each party. Borrower may not</w:t>
      </w:r>
      <w:r>
        <w:rPr>
          <w:rFonts w:ascii="Arial" w:cs="Arial" w:eastAsia="Arial" w:hAnsi="Arial"/>
          <w:sz w:val="18"/>
          <w:szCs w:val="18"/>
          <w:b w:val="1"/>
          <w:bCs w:val="1"/>
          <w:color w:val="auto"/>
        </w:rPr>
        <w:t xml:space="preserve"> </w:t>
      </w:r>
      <w:r>
        <w:rPr>
          <w:rFonts w:ascii="Arial" w:cs="Arial" w:eastAsia="Arial" w:hAnsi="Arial"/>
          <w:sz w:val="18"/>
          <w:szCs w:val="18"/>
          <w:color w:val="auto"/>
        </w:rPr>
        <w:t>assign this Agreement or any rights or obligations under it without Bank’s prior written consent (which may be granted or withheld in Bank’s discretion). Bank has the right, without the consent of or notice to Borrower, to sell, transfer, assign, negotiate, or grant participation in all or any part of, or any interest in, Bank’s obligations, rights, and benefits under this Agreement and the other Loan Documents. Provided that no Event of Default has occurred and is continuing, Bank hereby agrees that Bank shall not assign its rights hereunder to any operating company that is a direct competitor of Borrower or a vulture or distressed debt fund.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828282"/>
        </w:rPr>
        <w:t>17</w:t>
      </w:r>
    </w:p>
    <w:p>
      <w:pPr>
        <w:sectPr>
          <w:pgSz w:w="11900" w:h="16838" w:orient="portrait"/>
          <w:cols w:equalWidth="0" w:num="1">
            <w:col w:w="11420"/>
          </w:cols>
          <w:pgMar w:left="240" w:top="800" w:right="239" w:bottom="1440" w:gutter="0" w:footer="0" w:header="0"/>
          <w:type w:val="continuous"/>
        </w:sectPr>
      </w:pPr>
    </w:p>
    <w:bookmarkStart w:id="22" w:name="page23"/>
    <w:bookmarkEnd w:id="22"/>
    <w:p>
      <w:pPr>
        <w:jc w:val="both"/>
        <w:ind w:firstLine="648"/>
        <w:spacing w:after="0" w:line="274" w:lineRule="auto"/>
        <w:rPr>
          <w:sz w:val="20"/>
          <w:szCs w:val="20"/>
          <w:color w:val="auto"/>
        </w:rPr>
      </w:pPr>
      <w:r>
        <w:rPr>
          <w:rFonts w:ascii="Arial" w:cs="Arial" w:eastAsia="Arial" w:hAnsi="Arial"/>
          <w:sz w:val="17"/>
          <w:szCs w:val="17"/>
          <w:b w:val="1"/>
          <w:bCs w:val="1"/>
          <w:color w:val="auto"/>
        </w:rPr>
        <w:t>12.3 Indemnification</w:t>
      </w:r>
      <w:r>
        <w:rPr>
          <w:rFonts w:ascii="Arial" w:cs="Arial" w:eastAsia="Arial" w:hAnsi="Arial"/>
          <w:sz w:val="17"/>
          <w:szCs w:val="17"/>
          <w:color w:val="auto"/>
        </w:rPr>
        <w:t>. Borrower agrees to indemnify, defend and hold Bank and its directors, officers, employees, agents, attorneys, or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Person affiliated with or representing Bank (each, an “</w:t>
      </w:r>
      <w:r>
        <w:rPr>
          <w:rFonts w:ascii="Arial" w:cs="Arial" w:eastAsia="Arial" w:hAnsi="Arial"/>
          <w:sz w:val="17"/>
          <w:szCs w:val="17"/>
          <w:b w:val="1"/>
          <w:bCs w:val="1"/>
          <w:color w:val="auto"/>
        </w:rPr>
        <w:t>Indemnified Person</w:t>
      </w:r>
      <w:r>
        <w:rPr>
          <w:rFonts w:ascii="Arial" w:cs="Arial" w:eastAsia="Arial" w:hAnsi="Arial"/>
          <w:sz w:val="17"/>
          <w:szCs w:val="17"/>
          <w:color w:val="auto"/>
        </w:rPr>
        <w:t>”) harmless against: (i) all obligations, demands, claims, and liabilities (collectively, “</w:t>
      </w:r>
      <w:r>
        <w:rPr>
          <w:rFonts w:ascii="Arial" w:cs="Arial" w:eastAsia="Arial" w:hAnsi="Arial"/>
          <w:sz w:val="17"/>
          <w:szCs w:val="17"/>
          <w:b w:val="1"/>
          <w:bCs w:val="1"/>
          <w:color w:val="auto"/>
        </w:rPr>
        <w:t>Claims</w:t>
      </w:r>
      <w:r>
        <w:rPr>
          <w:rFonts w:ascii="Arial" w:cs="Arial" w:eastAsia="Arial" w:hAnsi="Arial"/>
          <w:sz w:val="17"/>
          <w:szCs w:val="17"/>
          <w:color w:val="auto"/>
        </w:rPr>
        <w:t>”) claimed or asserted by any other party in connection with the transactions contemplated by the Loan Documents; and (ii) all losses or expenses (including Bank Expenses) in any way suffered, incurred, or paid by such Indemnified Person as a result of, following from, consequential to, or arising from transactions between Bank and Borrower contemplated by the Loan Documents (including reasonable attorneys’ fees and expenses), except for Claims and/or losses directly caused by such Indemnified Person’s gross negligence or willful misconduct.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Section 12.3 shall survive until all statutes of limitation with respect to the Claims, losses, and expenses for which indemnity is given shall have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run.</w:t>
      </w:r>
    </w:p>
    <w:p>
      <w:pPr>
        <w:spacing w:after="0" w:line="207"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b w:val="1"/>
          <w:bCs w:val="1"/>
          <w:color w:val="auto"/>
        </w:rPr>
        <w:t>12.4</w:t>
      </w:r>
      <w:r>
        <w:rPr>
          <w:sz w:val="20"/>
          <w:szCs w:val="20"/>
          <w:color w:val="auto"/>
        </w:rPr>
        <w:tab/>
      </w:r>
      <w:r>
        <w:rPr>
          <w:rFonts w:ascii="Arial" w:cs="Arial" w:eastAsia="Arial" w:hAnsi="Arial"/>
          <w:sz w:val="16"/>
          <w:szCs w:val="16"/>
          <w:b w:val="1"/>
          <w:bCs w:val="1"/>
          <w:color w:val="auto"/>
        </w:rPr>
        <w:t>Time of Essence</w:t>
      </w:r>
      <w:r>
        <w:rPr>
          <w:rFonts w:ascii="Arial" w:cs="Arial" w:eastAsia="Arial" w:hAnsi="Arial"/>
          <w:sz w:val="16"/>
          <w:szCs w:val="16"/>
          <w:color w:val="auto"/>
        </w:rPr>
        <w:t>. Time is of the essence for the performance of all Obligations in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12.5 Severability of Provisions</w:t>
      </w:r>
      <w:r>
        <w:rPr>
          <w:rFonts w:ascii="Arial" w:cs="Arial" w:eastAsia="Arial" w:hAnsi="Arial"/>
          <w:sz w:val="18"/>
          <w:szCs w:val="18"/>
          <w:color w:val="auto"/>
        </w:rPr>
        <w:t>. Each provision of this Agreement is severable from every other provision in determining the enforceability of any</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12.6 Correction of Loan Documents</w:t>
      </w:r>
      <w:r>
        <w:rPr>
          <w:rFonts w:ascii="Arial" w:cs="Arial" w:eastAsia="Arial" w:hAnsi="Arial"/>
          <w:sz w:val="18"/>
          <w:szCs w:val="18"/>
          <w:color w:val="auto"/>
        </w:rPr>
        <w:t>. Bank may correct patent errors and fill in any blanks in the Loan Documents consistent with the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parties.</w:t>
      </w:r>
    </w:p>
    <w:p>
      <w:pPr>
        <w:spacing w:after="0" w:line="16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12.7 Amendments in Writing; Waiver; Integration</w:t>
      </w:r>
      <w:r>
        <w:rPr>
          <w:rFonts w:ascii="Arial" w:cs="Arial" w:eastAsia="Arial" w:hAnsi="Arial"/>
          <w:sz w:val="18"/>
          <w:szCs w:val="18"/>
          <w:color w:val="auto"/>
        </w:rPr>
        <w:t>. No purported amendment or modification of any Loan Document, or waiver, discharge or</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of any obligation under any Loan Document, shall be enforceable or admissible unless, and only to the extent, expressly set forth in a writing signed by the party against which enforcement or admission is sought. Without limiting the generality of the foregoing, no oral promise or statement, nor any action, inaction, delay, failure to require performance or course of conduct shall operate as, or evidence, an amendment, supplement or waiver or have any other effect on any Loan Document. Any waiver granted shall be limited to the specific circumstance expressly described in it, and shall not apply to any subsequent or other circumstance, whether similar or dissimilar, or give rise to, or evidence, any obligation or commitment to grant any further waiver. The Loan Documents represent the entire agreement about this subject matter and supersede prior negotiations or agreements. All prior agreements, understandings, representations, warranties, and negotiations between the parties about the subject matter of the Loan Documents merge into the Loan Documents.</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12.8 Counterparts</w:t>
      </w:r>
      <w:r>
        <w:rPr>
          <w:rFonts w:ascii="Arial" w:cs="Arial" w:eastAsia="Arial" w:hAnsi="Arial"/>
          <w:sz w:val="18"/>
          <w:szCs w:val="18"/>
          <w:color w:val="auto"/>
        </w:rPr>
        <w:t>. This Agreement may be executed in any number of counterparts and by different parties on separate counterparts,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when executed and delivered, is an original, and all taken together, constitute one Agreement.</w:t>
      </w:r>
    </w:p>
    <w:p>
      <w:pPr>
        <w:spacing w:after="0" w:line="16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12.9 Confidentiality</w:t>
      </w:r>
      <w:r>
        <w:rPr>
          <w:rFonts w:ascii="Arial" w:cs="Arial" w:eastAsia="Arial" w:hAnsi="Arial"/>
          <w:sz w:val="17"/>
          <w:szCs w:val="17"/>
          <w:color w:val="auto"/>
        </w:rPr>
        <w:t>. In handling any confidential information, Bank shall exercise the same degree of care that it exercises for its own proprietary</w:t>
      </w:r>
      <w:r>
        <w:rPr>
          <w:rFonts w:ascii="Arial" w:cs="Arial" w:eastAsia="Arial" w:hAnsi="Arial"/>
          <w:sz w:val="17"/>
          <w:szCs w:val="17"/>
          <w:b w:val="1"/>
          <w:bCs w:val="1"/>
          <w:color w:val="auto"/>
        </w:rPr>
        <w:t xml:space="preserve"> </w:t>
      </w:r>
      <w:r>
        <w:rPr>
          <w:rFonts w:ascii="Arial" w:cs="Arial" w:eastAsia="Arial" w:hAnsi="Arial"/>
          <w:sz w:val="17"/>
          <w:szCs w:val="17"/>
          <w:color w:val="auto"/>
        </w:rPr>
        <w:t>information, but disclosure of information may be made: (a) to Bank’s Subsidiaries or Affiliates (such Subsidiaries and Affiliates, together with Bank, collectively, “</w:t>
      </w:r>
      <w:r>
        <w:rPr>
          <w:rFonts w:ascii="Arial" w:cs="Arial" w:eastAsia="Arial" w:hAnsi="Arial"/>
          <w:sz w:val="17"/>
          <w:szCs w:val="17"/>
          <w:b w:val="1"/>
          <w:bCs w:val="1"/>
          <w:color w:val="auto"/>
        </w:rPr>
        <w:t>Bank Entities</w:t>
      </w:r>
      <w:r>
        <w:rPr>
          <w:rFonts w:ascii="Arial" w:cs="Arial" w:eastAsia="Arial" w:hAnsi="Arial"/>
          <w:sz w:val="17"/>
          <w:szCs w:val="17"/>
          <w:color w:val="auto"/>
        </w:rPr>
        <w:t>”); (b) to prospective transferees or purchasers of any interest in the Credit Extensions (provided that any prospective transferee or purchaser shall have entered into an agreement containing provisions substantially the same as those in this Section); (c) as required by law, regulation, subpoena, or other order; (d) to Bank’s regulators or as otherwise required in connection with Bank’s examination or audit; (e) as Bank considers appropriate in exercising remedies under the Loan Documents; and (f) to third-party service providers of Bank so long as such service providers have executed a confidentiality agreement with Bank with terms no less restrictive than those contained herein. Confidential information does not include information that is either: (i) in the public domain or in Bank’s possession when disclosed to Bank, or becomes part of the public domain (other than as a result of its disclosure by Bank in violation of this Agreement) after disclosure to Bank; or (ii) disclosed to Bank by a third party, if Bank does not know that the third party is prohibited from disclosing the information.</w:t>
      </w:r>
    </w:p>
    <w:p>
      <w:pPr>
        <w:spacing w:after="0" w:line="18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Bank Entities may use anonymous forms of confidential information for aggregate datasets, for analyses or reporting, and for any other uses not expressly prohibited in writing by Borrower. The provisions of the immediately preceding sentence shall survive termination of this Agreement.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828282"/>
        </w:rPr>
        <w:t>18</w:t>
      </w:r>
    </w:p>
    <w:p>
      <w:pPr>
        <w:sectPr>
          <w:pgSz w:w="11900" w:h="16838" w:orient="portrait"/>
          <w:cols w:equalWidth="0" w:num="1">
            <w:col w:w="11420"/>
          </w:cols>
          <w:pgMar w:left="240" w:top="580" w:right="239" w:bottom="1440" w:gutter="0" w:footer="0" w:header="0"/>
        </w:sectPr>
      </w:pPr>
    </w:p>
    <w:bookmarkStart w:id="23" w:name="page24"/>
    <w:bookmarkEnd w:id="23"/>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12.10 Right of Set Off. </w:t>
      </w:r>
      <w:r>
        <w:rPr>
          <w:rFonts w:ascii="Arial" w:cs="Arial" w:eastAsia="Arial" w:hAnsi="Arial"/>
          <w:sz w:val="17"/>
          <w:szCs w:val="17"/>
          <w:color w:val="auto"/>
        </w:rPr>
        <w:t>Borrower hereby grants to Bank, a lien, security interest and right of set off as security for all Obligations to Bank,</w:t>
      </w:r>
      <w:r>
        <w:rPr>
          <w:rFonts w:ascii="Arial" w:cs="Arial" w:eastAsia="Arial" w:hAnsi="Arial"/>
          <w:sz w:val="17"/>
          <w:szCs w:val="17"/>
          <w:b w:val="1"/>
          <w:bCs w:val="1"/>
          <w:color w:val="auto"/>
        </w:rPr>
        <w:t xml:space="preserve"> </w:t>
      </w:r>
      <w:r>
        <w:rPr>
          <w:rFonts w:ascii="Arial" w:cs="Arial" w:eastAsia="Arial" w:hAnsi="Arial"/>
          <w:sz w:val="17"/>
          <w:szCs w:val="17"/>
          <w:color w:val="auto"/>
        </w:rPr>
        <w:t>whether now existing or hereafter arising upon and against all deposits, credits, collateral and property, now or hereafter in the possession, custody, safekeeping or control of Bank or any entity under the control of Bank (including a Bank subsidiary) or in transit to any of them. At any time after the occurrence and during the continuance of an Event of Default, without demand or notice, Bank may set off the same or any part thereof and apply the same to any liability or obligation of Borrower even though unmatured and regardless of the adequacy of any other collateral securing the Obligations. ANY AND ALL RIGHTS TO REQUIRE BANK TO EXERCISE ITS RIGHTS OR REMEDIES WITH RESPECT TO ANY OTHER COLLATERAL WHICH SECURES THE OBLIGATIONS, PRIOR TO EXERCISING ITS RIGHT OF SETOFF WITH RESPECT TO SUCH DEPOSITS, CREDITS OR OTHER PROPERTY OF BORROWER ARE HEREBY KNOWINGLY, VOLUNTARILY AND IRREVOCABLY WAIVED.</w:t>
      </w:r>
    </w:p>
    <w:p>
      <w:pPr>
        <w:spacing w:after="0" w:line="17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12.11 Electronic Execution of Documents</w:t>
      </w:r>
      <w:r>
        <w:rPr>
          <w:rFonts w:ascii="Arial" w:cs="Arial" w:eastAsia="Arial" w:hAnsi="Arial"/>
          <w:sz w:val="17"/>
          <w:szCs w:val="17"/>
          <w:color w:val="auto"/>
        </w:rPr>
        <w:t>. The words “execution,” “signed,” “signature” and words of like import in any Loan Document shall</w:t>
      </w:r>
      <w:r>
        <w:rPr>
          <w:rFonts w:ascii="Arial" w:cs="Arial" w:eastAsia="Arial" w:hAnsi="Arial"/>
          <w:sz w:val="17"/>
          <w:szCs w:val="17"/>
          <w:b w:val="1"/>
          <w:bCs w:val="1"/>
          <w:color w:val="auto"/>
        </w:rPr>
        <w:t xml:space="preserve"> </w:t>
      </w:r>
      <w:r>
        <w:rPr>
          <w:rFonts w:ascii="Arial" w:cs="Arial" w:eastAsia="Arial" w:hAnsi="Arial"/>
          <w:sz w:val="17"/>
          <w:szCs w:val="17"/>
          <w:color w:val="auto"/>
        </w:rPr>
        <w:t>be deemed to include electronic signatures or the keeping of records in electronic form, each of which shall be of the same legal effect, validity and enforceability as a manually executed signature or the use of a paper-based recordkeeping systems, as the case may be, to the extent and as provided for in any applicable law, including, without limitation, any state law based on the Uniform Electronic Transactions Act.</w:t>
      </w:r>
    </w:p>
    <w:p>
      <w:pPr>
        <w:spacing w:after="0" w:line="165"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b w:val="1"/>
          <w:bCs w:val="1"/>
          <w:color w:val="auto"/>
        </w:rPr>
        <w:t>12.12</w:t>
      </w:r>
      <w:r>
        <w:rPr>
          <w:sz w:val="20"/>
          <w:szCs w:val="20"/>
          <w:color w:val="auto"/>
        </w:rPr>
        <w:tab/>
      </w:r>
      <w:r>
        <w:rPr>
          <w:rFonts w:ascii="Arial" w:cs="Arial" w:eastAsia="Arial" w:hAnsi="Arial"/>
          <w:sz w:val="16"/>
          <w:szCs w:val="16"/>
          <w:b w:val="1"/>
          <w:bCs w:val="1"/>
          <w:color w:val="auto"/>
        </w:rPr>
        <w:t>Captions</w:t>
      </w:r>
      <w:r>
        <w:rPr>
          <w:rFonts w:ascii="Arial" w:cs="Arial" w:eastAsia="Arial" w:hAnsi="Arial"/>
          <w:sz w:val="16"/>
          <w:szCs w:val="16"/>
          <w:color w:val="auto"/>
        </w:rPr>
        <w:t>. The headings used in this Agreement are for convenience only and shall not affect the interpretation of this Agreement.</w:t>
      </w:r>
    </w:p>
    <w:p>
      <w:pPr>
        <w:spacing w:after="0" w:line="225"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12.13 Construction of Agreement</w:t>
      </w:r>
      <w:r>
        <w:rPr>
          <w:rFonts w:ascii="Arial" w:cs="Arial" w:eastAsia="Arial" w:hAnsi="Arial"/>
          <w:sz w:val="16"/>
          <w:szCs w:val="16"/>
          <w:color w:val="auto"/>
        </w:rPr>
        <w:t>. The parties mutually acknowledge that they and their attorneys have participated in the preparation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negotiation of this Agreement. In cases of uncertainty this Agreement shall be construed without regard to which of the parties caused the uncertainty to exist.</w:t>
      </w:r>
    </w:p>
    <w:p>
      <w:pPr>
        <w:spacing w:after="0" w:line="11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12.14 Relationship</w:t>
      </w:r>
      <w:r>
        <w:rPr>
          <w:rFonts w:ascii="Arial" w:cs="Arial" w:eastAsia="Arial" w:hAnsi="Arial"/>
          <w:sz w:val="18"/>
          <w:szCs w:val="18"/>
          <w:color w:val="auto"/>
        </w:rPr>
        <w:t>. The relationship of the parties to this Agreement is determined solely by the provisions of this Agreement. The parties do not</w:t>
      </w:r>
      <w:r>
        <w:rPr>
          <w:rFonts w:ascii="Arial" w:cs="Arial" w:eastAsia="Arial" w:hAnsi="Arial"/>
          <w:sz w:val="18"/>
          <w:szCs w:val="18"/>
          <w:b w:val="1"/>
          <w:bCs w:val="1"/>
          <w:color w:val="auto"/>
        </w:rPr>
        <w:t xml:space="preserve"> </w:t>
      </w:r>
      <w:r>
        <w:rPr>
          <w:rFonts w:ascii="Arial" w:cs="Arial" w:eastAsia="Arial" w:hAnsi="Arial"/>
          <w:sz w:val="18"/>
          <w:szCs w:val="18"/>
          <w:color w:val="auto"/>
        </w:rPr>
        <w:t>intend to create any agency, partnership, joint venture, trust, fiduciary or other relationship with duties or incidents different from those of parties to an arm’s-length contract.</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12.15 Third Parties</w:t>
      </w:r>
      <w:r>
        <w:rPr>
          <w:rFonts w:ascii="Arial" w:cs="Arial" w:eastAsia="Arial" w:hAnsi="Arial"/>
          <w:sz w:val="18"/>
          <w:szCs w:val="18"/>
          <w:color w:val="auto"/>
        </w:rPr>
        <w:t>. Nothing in this Agreement, whether express or implied, is intended to: (a) confer any benefits, rights or remedies under or by</w:t>
      </w:r>
      <w:r>
        <w:rPr>
          <w:rFonts w:ascii="Arial" w:cs="Arial" w:eastAsia="Arial" w:hAnsi="Arial"/>
          <w:sz w:val="18"/>
          <w:szCs w:val="18"/>
          <w:b w:val="1"/>
          <w:bCs w:val="1"/>
          <w:color w:val="auto"/>
        </w:rPr>
        <w:t xml:space="preserve"> </w:t>
      </w:r>
      <w:r>
        <w:rPr>
          <w:rFonts w:ascii="Arial" w:cs="Arial" w:eastAsia="Arial" w:hAnsi="Arial"/>
          <w:sz w:val="18"/>
          <w:szCs w:val="18"/>
          <w:color w:val="auto"/>
        </w:rPr>
        <w:t>reason of this Agreement on any persons other than the express parties to it and their respective permitted successors and assigns; (b) relieve or discharge the obligation or liability of any person not an express party to this Agreement; or (c) give any person not an express party to this Agreement any right of subrogation or action against any party to this Agreement.</w:t>
      </w:r>
    </w:p>
    <w:p>
      <w:pPr>
        <w:spacing w:after="0" w:line="207" w:lineRule="exact"/>
        <w:rPr>
          <w:sz w:val="20"/>
          <w:szCs w:val="20"/>
          <w:color w:val="auto"/>
        </w:rPr>
      </w:pPr>
    </w:p>
    <w:p>
      <w:pPr>
        <w:ind w:left="1520" w:hanging="864"/>
        <w:spacing w:after="0"/>
        <w:tabs>
          <w:tab w:leader="none" w:pos="152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239"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b w:val="1"/>
          <w:bCs w:val="1"/>
          <w:color w:val="auto"/>
        </w:rPr>
        <w:t>13.1 Definitions</w:t>
      </w:r>
      <w:r>
        <w:rPr>
          <w:rFonts w:ascii="Arial" w:cs="Arial" w:eastAsia="Arial" w:hAnsi="Arial"/>
          <w:sz w:val="18"/>
          <w:szCs w:val="18"/>
          <w:color w:val="auto"/>
        </w:rPr>
        <w:t>. As used in the Loan Documents, the word “shall” is mandatory, the word “may” is permissive, the word “or” is not exclusive, the</w:t>
      </w:r>
      <w:r>
        <w:rPr>
          <w:rFonts w:ascii="Arial" w:cs="Arial" w:eastAsia="Arial" w:hAnsi="Arial"/>
          <w:sz w:val="18"/>
          <w:szCs w:val="18"/>
          <w:b w:val="1"/>
          <w:bCs w:val="1"/>
          <w:color w:val="auto"/>
        </w:rPr>
        <w:t xml:space="preserve"> </w:t>
      </w:r>
      <w:r>
        <w:rPr>
          <w:rFonts w:ascii="Arial" w:cs="Arial" w:eastAsia="Arial" w:hAnsi="Arial"/>
          <w:sz w:val="18"/>
          <w:szCs w:val="18"/>
          <w:color w:val="auto"/>
        </w:rPr>
        <w:t>words “includes” and “including” are not limiting, the singular includes the plural, and numbers denoting amounts that are set off in brackets are negative. As used in this Agreement, the following capitalized terms have the following meanings:</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w:t>
      </w:r>
      <w:r>
        <w:rPr>
          <w:rFonts w:ascii="Arial" w:cs="Arial" w:eastAsia="Arial" w:hAnsi="Arial"/>
          <w:sz w:val="18"/>
          <w:szCs w:val="18"/>
          <w:color w:val="auto"/>
        </w:rPr>
        <w:t>” is any “account” as defined in the Code with such additions to such term as may hereafter be made, and includes, without limitation, all accounts receivable and other sums owing to Borrower.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 Debtor</w:t>
      </w:r>
      <w:r>
        <w:rPr>
          <w:rFonts w:ascii="Arial" w:cs="Arial" w:eastAsia="Arial" w:hAnsi="Arial"/>
          <w:sz w:val="18"/>
          <w:szCs w:val="18"/>
          <w:color w:val="auto"/>
        </w:rPr>
        <w:t>” is any “account debtor” as defined in the Code with such additions to such term as may hereafter be made.</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is, with respect to any Person, each other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defined in the preamble hereof.</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828282"/>
        </w:rPr>
        <w:t>19</w:t>
      </w:r>
    </w:p>
    <w:p>
      <w:pPr>
        <w:sectPr>
          <w:pgSz w:w="11900" w:h="16838" w:orient="portrait"/>
          <w:cols w:equalWidth="0" w:num="1">
            <w:col w:w="11420"/>
          </w:cols>
          <w:pgMar w:left="240" w:top="580" w:right="239" w:bottom="1440" w:gutter="0" w:footer="0" w:header="0"/>
        </w:sectPr>
      </w:pPr>
    </w:p>
    <w:bookmarkStart w:id="24" w:name="page25"/>
    <w:bookmarkEnd w:id="2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Entities</w:t>
      </w:r>
      <w:r>
        <w:rPr>
          <w:rFonts w:ascii="Arial" w:cs="Arial" w:eastAsia="Arial" w:hAnsi="Arial"/>
          <w:sz w:val="18"/>
          <w:szCs w:val="18"/>
          <w:color w:val="auto"/>
        </w:rPr>
        <w:t>” is defined in Section 12.9.</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Expenses</w:t>
      </w:r>
      <w:r>
        <w:rPr>
          <w:rFonts w:ascii="Arial" w:cs="Arial" w:eastAsia="Arial" w:hAnsi="Arial"/>
          <w:sz w:val="18"/>
          <w:szCs w:val="18"/>
          <w:color w:val="auto"/>
        </w:rPr>
        <w:t>” are all audit fees and expenses, costs, and expenses (including reasonable attorneys’ fees and expenses) for preparing, amending, negotiating, administering, defending and enforcing the Loan Documents (including, without limitation, those incurred in connection with appeals or Insolvency Proceedings) or otherwise incurred with respect to Borrower.</w:t>
      </w:r>
    </w:p>
    <w:p>
      <w:pPr>
        <w:spacing w:after="0" w:line="17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Bank Services</w:t>
      </w:r>
      <w:r>
        <w:rPr>
          <w:rFonts w:ascii="Arial" w:cs="Arial" w:eastAsia="Arial" w:hAnsi="Arial"/>
          <w:sz w:val="16"/>
          <w:szCs w:val="16"/>
          <w:color w:val="auto"/>
        </w:rPr>
        <w:t>” are any products, credit services, and/or financial accommodations previously, now, or hereafter provided to Borrower or any of its Subsidiaries by Bank or any Bank Affiliate, including, without limitation, any letters of credit, cash management services (including, without limitation, merchant services, direct deposit of payroll, business credit cards, and check cashing services), interest rate swap arrangements, and foreign exchange services as any such products or services may be identified in Bank’s various agreements related thereto (each, a “</w:t>
      </w:r>
      <w:r>
        <w:rPr>
          <w:rFonts w:ascii="Arial" w:cs="Arial" w:eastAsia="Arial" w:hAnsi="Arial"/>
          <w:sz w:val="16"/>
          <w:szCs w:val="16"/>
          <w:b w:val="1"/>
          <w:bCs w:val="1"/>
          <w:color w:val="auto"/>
        </w:rPr>
        <w:t>Bank Services Agreement</w:t>
      </w:r>
      <w:r>
        <w:rPr>
          <w:rFonts w:ascii="Arial" w:cs="Arial" w:eastAsia="Arial" w:hAnsi="Arial"/>
          <w:sz w:val="16"/>
          <w:szCs w:val="16"/>
          <w:color w:val="auto"/>
        </w:rPr>
        <w:t>”).</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Services Agreement</w:t>
      </w:r>
      <w:r>
        <w:rPr>
          <w:rFonts w:ascii="Arial" w:cs="Arial" w:eastAsia="Arial" w:hAnsi="Arial"/>
          <w:sz w:val="18"/>
          <w:szCs w:val="18"/>
          <w:color w:val="auto"/>
        </w:rPr>
        <w:t>” is defined in the definition of Bank Services.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Borrower’s board of directors.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is defined in the preamble hereof.</w:t>
      </w:r>
    </w:p>
    <w:p>
      <w:pPr>
        <w:spacing w:after="0" w:line="225"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Borrower’s Books</w:t>
      </w:r>
      <w:r>
        <w:rPr>
          <w:rFonts w:ascii="Arial" w:cs="Arial" w:eastAsia="Arial" w:hAnsi="Arial"/>
          <w:sz w:val="16"/>
          <w:szCs w:val="16"/>
          <w:color w:val="auto"/>
        </w:rPr>
        <w:t>” are all Borrower’s books and records including ledgers, federal and state tax returns, records regarding Borrower’s assets or liabilities, the Collateral, business operations or financial condition, and all computer programs or storage or any equipment containing such information.</w:t>
      </w:r>
    </w:p>
    <w:p>
      <w:pPr>
        <w:spacing w:after="0" w:line="11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Borrowing Resolutions</w:t>
      </w:r>
      <w:r>
        <w:rPr>
          <w:rFonts w:ascii="Arial" w:cs="Arial" w:eastAsia="Arial" w:hAnsi="Arial"/>
          <w:sz w:val="18"/>
          <w:szCs w:val="18"/>
          <w:color w:val="auto"/>
        </w:rPr>
        <w:t>” are, with respect to any Person, those resolutions adopted by such Person’s board of directors (and, if required under the terms of such Person’s Operating Documents, stockholders) and delivered by such Person to Bank approving the Loan Documents to which such Person is a party and the transactions contemplated thereby, together with a certificate executed by its secretary on behalf of such Person certifying (a) such Person has the authority to execute, deliver, and perform its obligations under each of the Loan Documents to which it is a party, (b) that set forth as a part of or attached as an exhibit to such certificate is a true, correct, and complete copy of the resolutions then in full force and effect authorizing and ratifying the execution, delivery, and performance by such Person of the Loan Documents to which it is a party, (c) the name(s) of the Person(s) authorized to execute the Loan Documents, including any Credit Extension request, on behalf of such Person, together with a sample of the true signature(s) of such Person(s), and (d) that Bank may conclusively rely on such certificate unless and until such Person shall have delivered to Bank a further certificate canceling or amending such prior certificate.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is any day that is not a Saturday, Sunday or a day on which Bank is closed.</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Equivalents</w:t>
      </w:r>
      <w:r>
        <w:rPr>
          <w:rFonts w:ascii="Arial" w:cs="Arial" w:eastAsia="Arial" w:hAnsi="Arial"/>
          <w:sz w:val="18"/>
          <w:szCs w:val="18"/>
          <w:color w:val="auto"/>
        </w:rPr>
        <w:t>” means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the highest rating from either Standard &amp; Poor’s Ratings Group or Moody’s Investors Service, Inc.; and (c) Bank’s certificates of deposit issued maturing no more than one (1) year after issue.</w:t>
      </w:r>
    </w:p>
    <w:p>
      <w:pPr>
        <w:spacing w:after="0" w:line="18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 means (a) at any time, any “person” or “group” (as such terms are used in Sections 13(d) and 14(d) of the Exchange Act), shall become, or obtain rights (whether by means of warrants, options or otherwise) to become, the “beneficial owner” (as defined in Rules 13(d)-3 and 13(d)-5 under the Exchange Act), directly or indirectly, of forty-nine percent (49.0%) or more of the ordinary voting power for the election of directors of Borrower (determined on a fully diluted basis) other than by the sale of Borrower’s equity securities in a public offering or to venture capital or private equity investors so long as Borrower identifies to Bank the venture capital or private equity investors at least seven (7) Business Days prior to the closing of the transaction and provides to Bank a description of</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828282"/>
        </w:rPr>
        <w:t>20</w:t>
      </w:r>
    </w:p>
    <w:p>
      <w:pPr>
        <w:sectPr>
          <w:pgSz w:w="11900" w:h="16838" w:orient="portrait"/>
          <w:cols w:equalWidth="0" w:num="1">
            <w:col w:w="11420"/>
          </w:cols>
          <w:pgMar w:left="240" w:top="796" w:right="239" w:bottom="1440" w:gutter="0" w:footer="0" w:header="0"/>
        </w:sectPr>
      </w:pPr>
    </w:p>
    <w:bookmarkStart w:id="25" w:name="page26"/>
    <w:bookmarkEnd w:id="25"/>
    <w:p>
      <w:pPr>
        <w:jc w:val="both"/>
        <w:spacing w:after="0" w:line="288" w:lineRule="auto"/>
        <w:rPr>
          <w:sz w:val="20"/>
          <w:szCs w:val="20"/>
          <w:color w:val="auto"/>
        </w:rPr>
      </w:pPr>
      <w:r>
        <w:rPr>
          <w:rFonts w:ascii="Arial" w:cs="Arial" w:eastAsia="Arial" w:hAnsi="Arial"/>
          <w:sz w:val="16"/>
          <w:szCs w:val="16"/>
          <w:color w:val="auto"/>
        </w:rPr>
        <w:t>the material terms of the transaction; (b) except for a change in the members of the Board resulting from the sale of Borrower’s equity securities in a public offering or to venture capital or private equity investors so long as Borrower identifies to Bank the venture capital or private equity investors at least seven (7) Business Days prior to the closing of the transaction and provides to Bank a description of the material terms of the transaction, during any period of twelve</w:t>
      </w:r>
    </w:p>
    <w:p>
      <w:pPr>
        <w:jc w:val="both"/>
        <w:ind w:firstLine="8"/>
        <w:spacing w:after="0" w:line="252" w:lineRule="auto"/>
        <w:tabs>
          <w:tab w:leader="none" w:pos="367"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consecutive months, a majority of the members of the board of directors or other equivalent governing body of Borrower cease to be composed of individuals (i) who were members of that board or equivalent governing body on the first day of such period, (ii) whose election or nomination to that board or equivalent governing body was approved by individuals referred to in clause (i) above constituting at the time of such election or nomination at least a majority of that board or equivalent governing body or (iii) whose election or nomination to that board or other equivalent governing body was approved by individuals referred to in clauses (i) and (ii) above constituting at the time of such election or nomination at least a majority of that board or equivalent governing body; or (c) at any time, Borrower shall cease to own and control, of record and beneficially, directly or indirectly, one hundred percent (100.0%) of each class of outstanding capital stock of each Subsidiary of Borrower (unless such Subsidiary is dissolved or merged into Borrower) free and clear of all Liens (except Liens created by this Agreement).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Claims</w:t>
      </w:r>
      <w:r>
        <w:rPr>
          <w:rFonts w:ascii="Arial" w:cs="Arial" w:eastAsia="Arial" w:hAnsi="Arial"/>
          <w:sz w:val="18"/>
          <w:szCs w:val="18"/>
          <w:color w:val="auto"/>
        </w:rPr>
        <w:t>” is defined in Section 12.3.</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Code</w:t>
      </w:r>
      <w:r>
        <w:rPr>
          <w:rFonts w:ascii="Arial" w:cs="Arial" w:eastAsia="Arial" w:hAnsi="Arial"/>
          <w:sz w:val="17"/>
          <w:szCs w:val="17"/>
          <w:color w:val="auto"/>
        </w:rPr>
        <w:t>” is the Uniform Commercial Code, as the same may, from time to time, be enacted and in effect in the Commonwealth of Massachusetts; provided, 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 mandatory provisions of law, any or all of the attachment, perfection, or priority of, or remedies with respect to, Bank’s Lien on any Collateral is governed by the Uniform Commercial Code in effect in a jurisdiction other than the Commonwealth of Massachusetts, the term “</w:t>
      </w:r>
      <w:r>
        <w:rPr>
          <w:rFonts w:ascii="Arial" w:cs="Arial" w:eastAsia="Arial" w:hAnsi="Arial"/>
          <w:sz w:val="17"/>
          <w:szCs w:val="17"/>
          <w:b w:val="1"/>
          <w:bCs w:val="1"/>
          <w:color w:val="auto"/>
        </w:rPr>
        <w:t>Code</w:t>
      </w:r>
      <w:r>
        <w:rPr>
          <w:rFonts w:ascii="Arial" w:cs="Arial" w:eastAsia="Arial" w:hAnsi="Arial"/>
          <w:sz w:val="17"/>
          <w:szCs w:val="17"/>
          <w:color w:val="auto"/>
        </w:rPr>
        <w:t>”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xml:space="preserve">” is any and all properties, rights and assets of Borrower described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Account</w:t>
      </w:r>
      <w:r>
        <w:rPr>
          <w:rFonts w:ascii="Arial" w:cs="Arial" w:eastAsia="Arial" w:hAnsi="Arial"/>
          <w:sz w:val="18"/>
          <w:szCs w:val="18"/>
          <w:color w:val="auto"/>
        </w:rPr>
        <w:t>” is any Deposit Account, Securities Account, or Commodity Account.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Commodity Account</w:t>
      </w:r>
      <w:r>
        <w:rPr>
          <w:rFonts w:ascii="Arial" w:cs="Arial" w:eastAsia="Arial" w:hAnsi="Arial"/>
          <w:sz w:val="17"/>
          <w:szCs w:val="17"/>
          <w:color w:val="auto"/>
        </w:rPr>
        <w:t>” is any “commodity account” as defined in the Code with such additions to such term as may hereafter be made.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xml:space="preserve">” is that certain certificate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Contingent Obligation</w:t>
      </w:r>
      <w:r>
        <w:rPr>
          <w:rFonts w:ascii="Arial" w:cs="Arial" w:eastAsia="Arial" w:hAnsi="Arial"/>
          <w:sz w:val="16"/>
          <w:szCs w:val="16"/>
          <w:color w:val="auto"/>
        </w:rPr>
        <w:t>” is, for any Person, any direct or indirect liability, contingent or not, of that Person for (a) any indebtedness, lease, dividend, letter of credit or other obligation of another such as an obligation, in each case, directly or indirectly guaranteed, endorsed, co</w:t>
      </w:r>
      <w:r>
        <w:rPr>
          <w:rFonts w:ascii="MS PGothic" w:cs="MS PGothic" w:eastAsia="MS PGothic" w:hAnsi="MS PGothic"/>
          <w:sz w:val="16"/>
          <w:szCs w:val="16"/>
          <w:color w:val="auto"/>
        </w:rPr>
        <w:t>‑</w:t>
      </w:r>
      <w:r>
        <w:rPr>
          <w:rFonts w:ascii="Arial" w:cs="Arial" w:eastAsia="Arial" w:hAnsi="Arial"/>
          <w:sz w:val="16"/>
          <w:szCs w:val="16"/>
          <w:color w:val="auto"/>
        </w:rPr>
        <w:t>made, discounted or sold with recourse by that Person, or for which that Person is directly or indirectly liable; (b) any obligations for undrawn letters of credit for the account of that Person; and (c) 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spacing w:after="0" w:line="20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Control Agreement</w:t>
      </w:r>
      <w:r>
        <w:rPr>
          <w:rFonts w:ascii="Arial" w:cs="Arial" w:eastAsia="Arial" w:hAnsi="Arial"/>
          <w:sz w:val="17"/>
          <w:szCs w:val="17"/>
          <w:color w:val="auto"/>
        </w:rPr>
        <w:t>” is any control agreement entered into among the depository institution at which Borrower maintains a Deposit Account or the securities intermediary or commodity intermediary at which Borrower maintains a Securities Account or a Commodity Account, Borrower, and Bank pursuant to which Bank obtains control (within the meaning of the Code) over such Deposit Account, Securities Account, or Commodity Account.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828282"/>
        </w:rPr>
        <w:t>21</w:t>
      </w:r>
    </w:p>
    <w:p>
      <w:pPr>
        <w:sectPr>
          <w:pgSz w:w="11900" w:h="16838" w:orient="portrait"/>
          <w:cols w:equalWidth="0" w:num="1">
            <w:col w:w="11420"/>
          </w:cols>
          <w:pgMar w:left="240" w:top="584" w:right="239" w:bottom="1440" w:gutter="0" w:footer="0" w:header="0"/>
        </w:sectPr>
      </w:pPr>
    </w:p>
    <w:bookmarkStart w:id="26" w:name="page27"/>
    <w:bookmarkEnd w:id="26"/>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Copyrights</w:t>
      </w:r>
      <w:r>
        <w:rPr>
          <w:rFonts w:ascii="Arial" w:cs="Arial" w:eastAsia="Arial" w:hAnsi="Arial"/>
          <w:sz w:val="18"/>
          <w:szCs w:val="18"/>
          <w:color w:val="auto"/>
        </w:rPr>
        <w:t>” are any and all copyright rights, copyright applications, copyright registrations and like protections in each work of authorship and derivative work thereof, whether published or unpublished and whether or not the same also constitutes a trade secret.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Credit Extension</w:t>
      </w:r>
      <w:r>
        <w:rPr>
          <w:rFonts w:ascii="Arial" w:cs="Arial" w:eastAsia="Arial" w:hAnsi="Arial"/>
          <w:sz w:val="17"/>
          <w:szCs w:val="17"/>
          <w:color w:val="auto"/>
        </w:rPr>
        <w:t>” is any Term Loan Advance, or any other extension of credit by Bank for Borrower’s benefit under the Loan Documents.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Rate</w:t>
      </w:r>
      <w:r>
        <w:rPr>
          <w:rFonts w:ascii="Arial" w:cs="Arial" w:eastAsia="Arial" w:hAnsi="Arial"/>
          <w:sz w:val="18"/>
          <w:szCs w:val="18"/>
          <w:color w:val="auto"/>
        </w:rPr>
        <w:t>” is defined in Section 2.2(b).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 Account</w:t>
      </w:r>
      <w:r>
        <w:rPr>
          <w:rFonts w:ascii="Arial" w:cs="Arial" w:eastAsia="Arial" w:hAnsi="Arial"/>
          <w:sz w:val="18"/>
          <w:szCs w:val="18"/>
          <w:color w:val="auto"/>
        </w:rPr>
        <w:t>” is any “deposit account” as defined in the Code with such additions to such term as may hereafter be made.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Designated Deposit Account</w:t>
      </w:r>
      <w:r>
        <w:rPr>
          <w:rFonts w:ascii="Arial" w:cs="Arial" w:eastAsia="Arial" w:hAnsi="Arial"/>
          <w:sz w:val="16"/>
          <w:szCs w:val="16"/>
          <w:color w:val="auto"/>
        </w:rPr>
        <w:t>” is the multicurrency account denominated in Dollars, account number _____, maintained by Borrower with Bank.</w:t>
      </w:r>
    </w:p>
    <w:p>
      <w:pPr>
        <w:spacing w:after="0" w:line="248"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i w:val="1"/>
          <w:iCs w:val="1"/>
          <w:color w:val="auto"/>
        </w:rPr>
        <w:t>,</w:t>
      </w:r>
      <w:r>
        <w:rPr>
          <w:rFonts w:ascii="Arial" w:cs="Arial" w:eastAsia="Arial" w:hAnsi="Arial"/>
          <w:sz w:val="18"/>
          <w:szCs w:val="18"/>
          <w:color w:val="auto"/>
        </w:rPr>
        <w:t>” “</w:t>
      </w:r>
      <w:r>
        <w:rPr>
          <w:rFonts w:ascii="Arial" w:cs="Arial" w:eastAsia="Arial" w:hAnsi="Arial"/>
          <w:sz w:val="18"/>
          <w:szCs w:val="18"/>
          <w:b w:val="1"/>
          <w:bCs w:val="1"/>
          <w:color w:val="auto"/>
        </w:rPr>
        <w:t>dollars</w:t>
      </w:r>
      <w:r>
        <w:rPr>
          <w:rFonts w:ascii="Arial" w:cs="Arial" w:eastAsia="Arial" w:hAnsi="Arial"/>
          <w:sz w:val="18"/>
          <w:szCs w:val="18"/>
          <w:color w:val="auto"/>
        </w:rPr>
        <w:t>” or use of the sign “</w:t>
      </w:r>
      <w:r>
        <w:rPr>
          <w:rFonts w:ascii="Arial" w:cs="Arial" w:eastAsia="Arial" w:hAnsi="Arial"/>
          <w:sz w:val="18"/>
          <w:szCs w:val="18"/>
          <w:b w:val="1"/>
          <w:bCs w:val="1"/>
          <w:color w:val="auto"/>
        </w:rPr>
        <w:t>$</w:t>
      </w:r>
      <w:r>
        <w:rPr>
          <w:rFonts w:ascii="Arial" w:cs="Arial" w:eastAsia="Arial" w:hAnsi="Arial"/>
          <w:sz w:val="18"/>
          <w:szCs w:val="18"/>
          <w:color w:val="auto"/>
        </w:rPr>
        <w:t>” means only lawful money of the United States and not any other currency, regardless of whether that currency uses the “$” sign to denote its currency or may be readily converted into lawful money of the United States.</w:t>
      </w:r>
    </w:p>
    <w:p>
      <w:pPr>
        <w:spacing w:after="0" w:line="16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Dollar Equivalent</w:t>
      </w:r>
      <w:r>
        <w:rPr>
          <w:rFonts w:ascii="Arial" w:cs="Arial" w:eastAsia="Arial" w:hAnsi="Arial"/>
          <w:sz w:val="17"/>
          <w:szCs w:val="17"/>
          <w:color w:val="auto"/>
        </w:rPr>
        <w:t>” is, at any time, (a) with respect to any amount denominated in Dollars, such amount, and (b) with respect to any amount denominated in a Foreign Currency, the equivalent amount therefor in Dollars as determined by Bank at such time on the basis of the then-prevailing rate of exchange in San Francisco, California, for sales of the Foreign Currency for transfer to the country issuing such Foreign Currency.</w:t>
      </w:r>
    </w:p>
    <w:p>
      <w:pPr>
        <w:spacing w:after="0" w:line="15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Domestic Subsidiary</w:t>
      </w:r>
      <w:r>
        <w:rPr>
          <w:rFonts w:ascii="Arial" w:cs="Arial" w:eastAsia="Arial" w:hAnsi="Arial"/>
          <w:sz w:val="18"/>
          <w:szCs w:val="18"/>
          <w:color w:val="auto"/>
        </w:rPr>
        <w:t>” means a Subsidiary organized under the laws of the United States or any state or territory thereof or the District of Columbia.</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Draw Period</w:t>
      </w:r>
      <w:r>
        <w:rPr>
          <w:rFonts w:ascii="Arial" w:cs="Arial" w:eastAsia="Arial" w:hAnsi="Arial"/>
          <w:sz w:val="18"/>
          <w:szCs w:val="18"/>
          <w:color w:val="auto"/>
        </w:rPr>
        <w:t>” is the period of time from the Effective Date through the earlier to occur of (a) December 31, 2017 or (b) an Event of Default has occurred and is continuing.</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is defined in the preamble hereof.</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Equipment</w:t>
      </w:r>
      <w:r>
        <w:rPr>
          <w:rFonts w:ascii="Arial" w:cs="Arial" w:eastAsia="Arial" w:hAnsi="Arial"/>
          <w:sz w:val="18"/>
          <w:szCs w:val="18"/>
          <w:color w:val="auto"/>
        </w:rPr>
        <w:t>” is all “equipment” as defined in the Code with such additions to such term as may hereafter be made, and includes without limitation all machinery, fixtures, goods, vehicles (including motor vehicles and trailers), and any interest in any of the foregoing.</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is the Employee Retirement Income Security Act of 1974, and its regulations.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is defined in Section 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is the Securities Exchange Act of 1934, as amended.</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Payment</w:t>
      </w:r>
      <w:r>
        <w:rPr>
          <w:rFonts w:ascii="Arial" w:cs="Arial" w:eastAsia="Arial" w:hAnsi="Arial"/>
          <w:sz w:val="18"/>
          <w:szCs w:val="18"/>
          <w:color w:val="auto"/>
        </w:rPr>
        <w:t>” is a payment (in addition to and not in substitution for the regular monthly payments of principal plus accrued interest) equal to the original principal amount of each Term Loan Advance extended by Bank to Borrower hereunder multiplied by five percent (5.0%), due on the earliest to occur of (a) the Term Loan Maturity Date, or (b) the acceleration of such Term Loan Advance, or (c) the prepayment of such Term Loan Advance, or (d) as required by Section 2.1.1(d) or 2.1.1(e), or (e) the termination of this Agreement.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Currency</w:t>
      </w:r>
      <w:r>
        <w:rPr>
          <w:rFonts w:ascii="Arial" w:cs="Arial" w:eastAsia="Arial" w:hAnsi="Arial"/>
          <w:sz w:val="18"/>
          <w:szCs w:val="18"/>
          <w:color w:val="auto"/>
        </w:rPr>
        <w:t>” means lawful money of a country other than the United States.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Subsidiary</w:t>
      </w:r>
      <w:r>
        <w:rPr>
          <w:rFonts w:ascii="Arial" w:cs="Arial" w:eastAsia="Arial" w:hAnsi="Arial"/>
          <w:sz w:val="18"/>
          <w:szCs w:val="18"/>
          <w:color w:val="auto"/>
        </w:rPr>
        <w:t>” means any Subsidiary which is not a Domestic Subsidiary.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Funding Date</w:t>
      </w:r>
      <w:r>
        <w:rPr>
          <w:rFonts w:ascii="Arial" w:cs="Arial" w:eastAsia="Arial" w:hAnsi="Arial"/>
          <w:sz w:val="18"/>
          <w:szCs w:val="18"/>
          <w:color w:val="auto"/>
        </w:rPr>
        <w:t>” is any date on which a Credit Extension is made to or for the account of Borrower which shall be a Business Day.</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828282"/>
        </w:rPr>
        <w:t>22</w:t>
      </w:r>
    </w:p>
    <w:p>
      <w:pPr>
        <w:sectPr>
          <w:pgSz w:w="11900" w:h="16838" w:orient="portrait"/>
          <w:cols w:equalWidth="0" w:num="1">
            <w:col w:w="11420"/>
          </w:cols>
          <w:pgMar w:left="240" w:top="580" w:right="239" w:bottom="1440" w:gutter="0" w:footer="0" w:header="0"/>
        </w:sectPr>
      </w:pPr>
    </w:p>
    <w:bookmarkStart w:id="27" w:name="page28"/>
    <w:bookmarkEnd w:id="27"/>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FX Contract</w:t>
      </w:r>
      <w:r>
        <w:rPr>
          <w:rFonts w:ascii="Arial" w:cs="Arial" w:eastAsia="Arial" w:hAnsi="Arial"/>
          <w:sz w:val="18"/>
          <w:szCs w:val="18"/>
          <w:color w:val="auto"/>
        </w:rPr>
        <w:t>” is any foreign exchange contract by and between Borrower and Bank under which Borrower commits to purchase from or sell to Bank a specific amount of Foreign Currency on a specified date.</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which are applicable to the circumstances as of the date of determination.</w:t>
      </w:r>
    </w:p>
    <w:p>
      <w:pPr>
        <w:spacing w:after="0" w:line="18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Intangibles</w:t>
      </w:r>
      <w:r>
        <w:rPr>
          <w:rFonts w:ascii="Arial" w:cs="Arial" w:eastAsia="Arial" w:hAnsi="Arial"/>
          <w:sz w:val="18"/>
          <w:szCs w:val="18"/>
          <w:color w:val="auto"/>
        </w:rPr>
        <w:t>” is all “general intangibles” as defined in the Code in effect on the date hereof with such additions to such term as may hereafter be made, and includes without limitation, all Intellectual Property, claims, income and other tax refunds, security and other deposits, payment intangibles, contract rights,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spacing w:after="0" w:line="18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Approval</w:t>
      </w:r>
      <w:r>
        <w:rPr>
          <w:rFonts w:ascii="Arial" w:cs="Arial" w:eastAsia="Arial" w:hAnsi="Arial"/>
          <w:sz w:val="18"/>
          <w:szCs w:val="18"/>
          <w:color w:val="auto"/>
        </w:rPr>
        <w:t>” is any consent, authorization, approval, order, license, franchise, permit, certificate, accreditation, registration, filing or notice, of, issued by, from or to, or other act by or in respect of, any Governmental Authority.</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is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is (a) indebtedness for borrowed money or the deferred price of property or services, such as reimbursement and other obligations for surety bonds and letters of credit, (b) obligations evidenced by notes, bonds, debentures or similar instruments, (c) capital lease obligations, and (d) Contingent Obligations.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Person</w:t>
      </w:r>
      <w:r>
        <w:rPr>
          <w:rFonts w:ascii="Arial" w:cs="Arial" w:eastAsia="Arial" w:hAnsi="Arial"/>
          <w:sz w:val="18"/>
          <w:szCs w:val="18"/>
          <w:color w:val="auto"/>
        </w:rPr>
        <w:t>” is defined in Section 12.3.</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Proceeding</w:t>
      </w:r>
      <w:r>
        <w:rPr>
          <w:rFonts w:ascii="Arial" w:cs="Arial" w:eastAsia="Arial" w:hAnsi="Arial"/>
          <w:sz w:val="18"/>
          <w:szCs w:val="18"/>
          <w:color w:val="auto"/>
        </w:rPr>
        <w:t>” is any proceeding by or against any Person under the United States Bankruptcy Code, or any other bankruptcy or insolvency law, including assignments for the benefit of creditors, compositions, extensions generally with its creditors, or proceedings seeking reorganization, arrangement, or other relief.</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with respect to any Person, all of such Person’s right, title, and interest in and to the following:</w:t>
      </w:r>
    </w:p>
    <w:p>
      <w:pPr>
        <w:spacing w:after="0" w:line="256" w:lineRule="exact"/>
        <w:rPr>
          <w:sz w:val="20"/>
          <w:szCs w:val="20"/>
          <w:color w:val="auto"/>
        </w:rPr>
      </w:pPr>
    </w:p>
    <w:p>
      <w:pPr>
        <w:ind w:left="2160" w:hanging="855"/>
        <w:spacing w:after="0"/>
        <w:tabs>
          <w:tab w:leader="none" w:pos="2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its Copyrights, Trademarks and Patents;</w:t>
      </w:r>
    </w:p>
    <w:p>
      <w:pPr>
        <w:spacing w:after="0" w:line="265" w:lineRule="exact"/>
        <w:rPr>
          <w:rFonts w:ascii="Arial" w:cs="Arial" w:eastAsia="Arial" w:hAnsi="Arial"/>
          <w:sz w:val="18"/>
          <w:szCs w:val="18"/>
          <w:color w:val="auto"/>
        </w:rPr>
      </w:pPr>
    </w:p>
    <w:p>
      <w:pPr>
        <w:ind w:left="2160" w:hanging="855"/>
        <w:spacing w:after="0"/>
        <w:tabs>
          <w:tab w:leader="none" w:pos="21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any and all trade secrets and trade secret rights, including, without limitation, any rights to unpatented inventions, know-how,</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 operating manuals;</w:t>
      </w:r>
    </w:p>
    <w:p>
      <w:pPr>
        <w:spacing w:after="0" w:line="265" w:lineRule="exact"/>
        <w:rPr>
          <w:rFonts w:ascii="Arial" w:cs="Arial" w:eastAsia="Arial" w:hAnsi="Arial"/>
          <w:sz w:val="16"/>
          <w:szCs w:val="16"/>
          <w:color w:val="auto"/>
        </w:rPr>
      </w:pPr>
    </w:p>
    <w:p>
      <w:pPr>
        <w:ind w:left="2160" w:hanging="855"/>
        <w:spacing w:after="0"/>
        <w:tabs>
          <w:tab w:leader="none" w:pos="2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and all source code;</w:t>
      </w:r>
    </w:p>
    <w:p>
      <w:pPr>
        <w:spacing w:after="0" w:line="265" w:lineRule="exact"/>
        <w:rPr>
          <w:rFonts w:ascii="Arial" w:cs="Arial" w:eastAsia="Arial" w:hAnsi="Arial"/>
          <w:sz w:val="18"/>
          <w:szCs w:val="18"/>
          <w:color w:val="auto"/>
        </w:rPr>
      </w:pPr>
    </w:p>
    <w:p>
      <w:pPr>
        <w:ind w:left="2160" w:hanging="855"/>
        <w:spacing w:after="0"/>
        <w:tabs>
          <w:tab w:leader="none" w:pos="2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and all design rights which may be available to such Person;</w:t>
      </w:r>
    </w:p>
    <w:p>
      <w:pPr>
        <w:spacing w:after="0" w:line="265" w:lineRule="exact"/>
        <w:rPr>
          <w:rFonts w:ascii="Arial" w:cs="Arial" w:eastAsia="Arial" w:hAnsi="Arial"/>
          <w:sz w:val="18"/>
          <w:szCs w:val="18"/>
          <w:color w:val="auto"/>
        </w:rPr>
      </w:pPr>
    </w:p>
    <w:p>
      <w:pPr>
        <w:ind w:firstLine="1305"/>
        <w:spacing w:after="0" w:line="357" w:lineRule="auto"/>
        <w:tabs>
          <w:tab w:leader="none" w:pos="2144"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 and</w:t>
      </w:r>
    </w:p>
    <w:p>
      <w:pPr>
        <w:spacing w:after="0" w:line="147" w:lineRule="exact"/>
        <w:rPr>
          <w:rFonts w:ascii="Arial" w:cs="Arial" w:eastAsia="Arial" w:hAnsi="Arial"/>
          <w:sz w:val="17"/>
          <w:szCs w:val="17"/>
          <w:color w:val="auto"/>
        </w:rPr>
      </w:pPr>
    </w:p>
    <w:p>
      <w:pPr>
        <w:ind w:left="2140" w:hanging="835"/>
        <w:spacing w:after="0"/>
        <w:tabs>
          <w:tab w:leader="none" w:pos="2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amendments, renewals and extensions of any of the Copyrights, Trademarks or Patents.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828282"/>
        </w:rPr>
        <w:t>23</w:t>
      </w:r>
    </w:p>
    <w:p>
      <w:pPr>
        <w:sectPr>
          <w:pgSz w:w="11900" w:h="16838" w:orient="portrait"/>
          <w:cols w:equalWidth="0" w:num="1">
            <w:col w:w="11420"/>
          </w:cols>
          <w:pgMar w:left="240" w:top="796" w:right="239" w:bottom="1440" w:gutter="0" w:footer="0" w:header="0"/>
        </w:sectPr>
      </w:pPr>
    </w:p>
    <w:bookmarkStart w:id="28" w:name="page29"/>
    <w:bookmarkEnd w:id="28"/>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Inventory</w:t>
      </w:r>
      <w:r>
        <w:rPr>
          <w:rFonts w:ascii="Arial" w:cs="Arial" w:eastAsia="Arial" w:hAnsi="Arial"/>
          <w:sz w:val="18"/>
          <w:szCs w:val="18"/>
          <w:color w:val="auto"/>
        </w:rPr>
        <w:t>” is all “inventory” as defined in the Code in effect on the date hereof with such additions to such term as may hereafter be made, and includes without limitation all merchandise, raw materials, parts, supplies, packing and shipping materials, work in process and finished products, including without limitation such inventory as is temporarily out of Borrower’s custody or possession or in transit and including any returned goods and any documents of title representing any of the above.</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w:t>
      </w:r>
      <w:r>
        <w:rPr>
          <w:rFonts w:ascii="Arial" w:cs="Arial" w:eastAsia="Arial" w:hAnsi="Arial"/>
          <w:sz w:val="18"/>
          <w:szCs w:val="18"/>
          <w:color w:val="auto"/>
        </w:rPr>
        <w:t>” is any beneficial ownership interest in any Person (including stock, partnership interest or other securities), and any loan, advance or capital contribution to any Person.</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Key Person</w:t>
      </w:r>
      <w:r>
        <w:rPr>
          <w:rFonts w:ascii="Arial" w:cs="Arial" w:eastAsia="Arial" w:hAnsi="Arial"/>
          <w:sz w:val="18"/>
          <w:szCs w:val="18"/>
          <w:color w:val="auto"/>
        </w:rPr>
        <w:t>” is each of Borrower’s (a) Chief Executive Officer, who is Werner Cautreels as of the Effective Date, and (b) Chief Financial Officer, who is David Siewers as of the Effective Date.</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w:t>
      </w:r>
      <w:r>
        <w:rPr>
          <w:rFonts w:ascii="Arial" w:cs="Arial" w:eastAsia="Arial" w:hAnsi="Arial"/>
          <w:sz w:val="18"/>
          <w:szCs w:val="18"/>
          <w:color w:val="auto"/>
        </w:rPr>
        <w:t>” is a standby or commercial letter of credit issued by Bank upon request of Borrower based upon an application, guarantee, indemnity, or similar agreement.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License Agreement</w:t>
      </w:r>
      <w:r>
        <w:rPr>
          <w:rFonts w:ascii="Arial" w:cs="Arial" w:eastAsia="Arial" w:hAnsi="Arial"/>
          <w:sz w:val="18"/>
          <w:szCs w:val="18"/>
          <w:color w:val="auto"/>
        </w:rPr>
        <w:t>” means that certain Intellectual Property License Agreement, by and between Borrower and Selecta Russia, dated as of November 7, 2011, as in effect on the Effective Date.</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is a claim, mortgage, deed of trust, levy, charge, pledge, security interest or other encumbrance of any kind, whether voluntarily incurred or arising by operation of law or otherwise against any property.</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Documents</w:t>
      </w:r>
      <w:r>
        <w:rPr>
          <w:rFonts w:ascii="Arial" w:cs="Arial" w:eastAsia="Arial" w:hAnsi="Arial"/>
          <w:sz w:val="18"/>
          <w:szCs w:val="18"/>
          <w:color w:val="auto"/>
        </w:rPr>
        <w:t>” are, collectively, this Agreement and any schedules, exhibits, certificates, notices, and any other documents related to this Agreement, the Perfection Certificate, the Stock Pledge Agreement, any Bank Services Agreement, any subordination agreement, any note, or notes or guaranties executed by Borrower, and any other present or future agreement by Borrower with or for the benefit of Bank in connection with this Agreement or Bank Services, all as amended, restated, or otherwise modified.</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Change</w:t>
      </w:r>
      <w:r>
        <w:rPr>
          <w:rFonts w:ascii="Arial" w:cs="Arial" w:eastAsia="Arial" w:hAnsi="Arial"/>
          <w:sz w:val="18"/>
          <w:szCs w:val="18"/>
          <w:color w:val="auto"/>
        </w:rPr>
        <w:t>” is (a) a material impairment in the perfection or priority of Bank’s Lien in the Collateral or in the value of such Collateral; (b) a material adverse change in the business, operations, or condition (financial or otherwise) of Borrower; or (c) a material impairment of the prospect of repayment of any portion of the Obligations.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Monthly Financial Statements</w:t>
      </w:r>
      <w:r>
        <w:rPr>
          <w:rFonts w:ascii="Arial" w:cs="Arial" w:eastAsia="Arial" w:hAnsi="Arial"/>
          <w:sz w:val="18"/>
          <w:szCs w:val="18"/>
          <w:color w:val="auto"/>
        </w:rPr>
        <w:t>” is defined in Section 6.2(a).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MSC</w:t>
      </w:r>
      <w:r>
        <w:rPr>
          <w:rFonts w:ascii="Arial" w:cs="Arial" w:eastAsia="Arial" w:hAnsi="Arial"/>
          <w:sz w:val="18"/>
          <w:szCs w:val="18"/>
          <w:color w:val="auto"/>
        </w:rPr>
        <w:t>” is Selecta Biosciences Security Corporation, a Massachusetts securities corporation and a Subsidiary of Borrower.</w:t>
      </w:r>
    </w:p>
    <w:p>
      <w:pPr>
        <w:spacing w:after="0" w:line="22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Obligations</w:t>
      </w:r>
      <w:r>
        <w:rPr>
          <w:rFonts w:ascii="Arial" w:cs="Arial" w:eastAsia="Arial" w:hAnsi="Arial"/>
          <w:sz w:val="16"/>
          <w:szCs w:val="16"/>
          <w:color w:val="auto"/>
        </w:rPr>
        <w:t>” are Borrower’s obligations to pay when due any debts, principal, interest, fees, the Final Payment, the Prepayment Premium, Bank Expenses, and other amounts Borrower owes Bank now or later, whether under this Agreement, the other Loan Documents (other than any warrants or other equity instruments), or otherwise, including, without limitation, any interest accruing after Insolvency Proceedings begin and debts, liabilities, or obligations of Borrower assigned to Bank, and to perform Borrower’s duties under the Loan Documents (other than any warrants or other equity instruments).</w:t>
      </w:r>
    </w:p>
    <w:p>
      <w:pPr>
        <w:spacing w:after="0" w:line="151"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Operating Documents</w:t>
      </w:r>
      <w:r>
        <w:rPr>
          <w:rFonts w:ascii="Arial" w:cs="Arial" w:eastAsia="Arial" w:hAnsi="Arial"/>
          <w:sz w:val="16"/>
          <w:szCs w:val="16"/>
          <w:color w:val="auto"/>
        </w:rPr>
        <w:t>” are, for any Person, such Person’s formation documents, as certified by the Secretary of State (or equivalent agency) of such Person’s jurisdiction of organization on a date that is no earlier than thirty (30) days prior to the Effective Date, and, (a) if such Person is a corporation, its bylaws in current form, (b) if such Person is a limited liability company, its limited liability company agreement (or similar agreement), and (c) if such Person is a partnership, its partnership agreement (or similar agreement), each of the foregoing with all current amendments or modifications thereto.</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Oxford</w:t>
      </w:r>
      <w:r>
        <w:rPr>
          <w:rFonts w:ascii="Arial" w:cs="Arial" w:eastAsia="Arial" w:hAnsi="Arial"/>
          <w:sz w:val="18"/>
          <w:szCs w:val="18"/>
          <w:color w:val="auto"/>
        </w:rPr>
        <w:t>” means Oxford Finance LLC.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Pacific Western</w:t>
      </w:r>
      <w:r>
        <w:rPr>
          <w:rFonts w:ascii="Arial" w:cs="Arial" w:eastAsia="Arial" w:hAnsi="Arial"/>
          <w:sz w:val="18"/>
          <w:szCs w:val="18"/>
          <w:color w:val="auto"/>
        </w:rPr>
        <w:t>” means Pacific Western Bank.</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828282"/>
        </w:rPr>
        <w:t>24</w:t>
      </w:r>
    </w:p>
    <w:p>
      <w:pPr>
        <w:sectPr>
          <w:pgSz w:w="11900" w:h="16838" w:orient="portrait"/>
          <w:cols w:equalWidth="0" w:num="1">
            <w:col w:w="11420"/>
          </w:cols>
          <w:pgMar w:left="240" w:top="580" w:right="239" w:bottom="1440" w:gutter="0" w:footer="0" w:header="0"/>
        </w:sectPr>
      </w:pPr>
    </w:p>
    <w:bookmarkStart w:id="29" w:name="page30"/>
    <w:bookmarkEnd w:id="2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Pacific Western Accounts</w:t>
      </w:r>
      <w:r>
        <w:rPr>
          <w:rFonts w:ascii="Arial" w:cs="Arial" w:eastAsia="Arial" w:hAnsi="Arial"/>
          <w:sz w:val="18"/>
          <w:szCs w:val="18"/>
          <w:color w:val="auto"/>
        </w:rPr>
        <w:t>” is defined in Section 6.6(a).</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Patents</w:t>
      </w:r>
      <w:r>
        <w:rPr>
          <w:rFonts w:ascii="Arial" w:cs="Arial" w:eastAsia="Arial" w:hAnsi="Arial"/>
          <w:sz w:val="18"/>
          <w:szCs w:val="18"/>
          <w:color w:val="auto"/>
        </w:rPr>
        <w:t>” means all patents, patent applications and like protections including without limitation improvements, divisions, continuations, renewals, reissues, extensions and continuations-in-part of the same.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Payment/Advance Form</w:t>
      </w:r>
      <w:r>
        <w:rPr>
          <w:rFonts w:ascii="Arial" w:cs="Arial" w:eastAsia="Arial" w:hAnsi="Arial"/>
          <w:sz w:val="18"/>
          <w:szCs w:val="18"/>
          <w:color w:val="auto"/>
        </w:rPr>
        <w:t xml:space="preserve">” is that certain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Date</w:t>
      </w:r>
      <w:r>
        <w:rPr>
          <w:rFonts w:ascii="Arial" w:cs="Arial" w:eastAsia="Arial" w:hAnsi="Arial"/>
          <w:sz w:val="18"/>
          <w:szCs w:val="18"/>
          <w:color w:val="auto"/>
        </w:rPr>
        <w:t>” is the first (1</w:t>
      </w:r>
      <w:r>
        <w:rPr>
          <w:rFonts w:ascii="Arial" w:cs="Arial" w:eastAsia="Arial" w:hAnsi="Arial"/>
          <w:sz w:val="25"/>
          <w:szCs w:val="25"/>
          <w:color w:val="auto"/>
          <w:vertAlign w:val="superscript"/>
        </w:rPr>
        <w:t>st</w:t>
      </w:r>
      <w:r>
        <w:rPr>
          <w:rFonts w:ascii="Arial" w:cs="Arial" w:eastAsia="Arial" w:hAnsi="Arial"/>
          <w:sz w:val="18"/>
          <w:szCs w:val="18"/>
          <w:color w:val="auto"/>
        </w:rPr>
        <w:t>) calendar day of each month.</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Perfection Certificate</w:t>
      </w:r>
      <w:r>
        <w:rPr>
          <w:rFonts w:ascii="Arial" w:cs="Arial" w:eastAsia="Arial" w:hAnsi="Arial"/>
          <w:sz w:val="18"/>
          <w:szCs w:val="18"/>
          <w:color w:val="auto"/>
        </w:rPr>
        <w:t>” is defined in Section 5.1.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Indebtedness</w:t>
      </w:r>
      <w:r>
        <w:rPr>
          <w:rFonts w:ascii="Arial" w:cs="Arial" w:eastAsia="Arial" w:hAnsi="Arial"/>
          <w:sz w:val="18"/>
          <w:szCs w:val="18"/>
          <w:color w:val="auto"/>
        </w:rPr>
        <w:t>” is:</w:t>
      </w:r>
    </w:p>
    <w:p>
      <w:pPr>
        <w:spacing w:after="0" w:line="229" w:lineRule="exact"/>
        <w:rPr>
          <w:sz w:val="20"/>
          <w:szCs w:val="20"/>
          <w:color w:val="auto"/>
        </w:rPr>
      </w:pPr>
    </w:p>
    <w:p>
      <w:pPr>
        <w:ind w:left="1680" w:hanging="375"/>
        <w:spacing w:after="0"/>
        <w:tabs>
          <w:tab w:leader="none" w:pos="1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Borrower’s Indebtedness to Bank under this Agreement and the other Loan Documents;</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Indebtedness existing on the Effective Date which is shown on the Perfection Certificate;</w:t>
      </w:r>
    </w:p>
    <w:p>
      <w:pPr>
        <w:spacing w:after="0" w:line="225" w:lineRule="exact"/>
        <w:rPr>
          <w:rFonts w:ascii="Arial" w:cs="Arial" w:eastAsia="Arial" w:hAnsi="Arial"/>
          <w:sz w:val="18"/>
          <w:szCs w:val="18"/>
          <w:color w:val="auto"/>
        </w:rPr>
      </w:pPr>
    </w:p>
    <w:p>
      <w:pPr>
        <w:ind w:left="1680" w:hanging="375"/>
        <w:spacing w:after="0"/>
        <w:tabs>
          <w:tab w:leader="none" w:pos="1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Subordinated Debt;</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unsecured Indebtedness to trade creditors incurred in the ordinary course of business;</w:t>
      </w:r>
    </w:p>
    <w:p>
      <w:pPr>
        <w:spacing w:after="0" w:line="225" w:lineRule="exact"/>
        <w:rPr>
          <w:rFonts w:ascii="Arial" w:cs="Arial" w:eastAsia="Arial" w:hAnsi="Arial"/>
          <w:sz w:val="18"/>
          <w:szCs w:val="18"/>
          <w:color w:val="auto"/>
        </w:rPr>
      </w:pPr>
    </w:p>
    <w:p>
      <w:pPr>
        <w:ind w:left="1680" w:hanging="375"/>
        <w:spacing w:after="0"/>
        <w:tabs>
          <w:tab w:leader="none" w:pos="1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Indebtedness incurred as a result of endorsing negotiable instruments received in the ordinary course of business;</w:t>
      </w:r>
    </w:p>
    <w:p>
      <w:pPr>
        <w:spacing w:after="0" w:line="225" w:lineRule="exact"/>
        <w:rPr>
          <w:rFonts w:ascii="Arial" w:cs="Arial" w:eastAsia="Arial" w:hAnsi="Arial"/>
          <w:sz w:val="18"/>
          <w:szCs w:val="18"/>
          <w:color w:val="auto"/>
        </w:rPr>
      </w:pPr>
    </w:p>
    <w:p>
      <w:pPr>
        <w:ind w:left="1660" w:hanging="355"/>
        <w:spacing w:after="0"/>
        <w:tabs>
          <w:tab w:leader="none" w:pos="1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Indebtedness secured by Liens permitted under clauses (a) and (c) of the definition of “Permitted Liens” hereunder;</w:t>
      </w:r>
    </w:p>
    <w:p>
      <w:pPr>
        <w:spacing w:after="0" w:line="252" w:lineRule="exact"/>
        <w:rPr>
          <w:rFonts w:ascii="Arial" w:cs="Arial" w:eastAsia="Arial" w:hAnsi="Arial"/>
          <w:sz w:val="18"/>
          <w:szCs w:val="18"/>
          <w:color w:val="auto"/>
        </w:rPr>
      </w:pPr>
    </w:p>
    <w:p>
      <w:pPr>
        <w:ind w:left="2160" w:hanging="855"/>
        <w:spacing w:after="0"/>
        <w:tabs>
          <w:tab w:leader="none" w:pos="21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unsecured Indebtedness under corporate credit cards in an aggregate amount not to exceed Seventy-Five Thousand Dollars</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($75,000.00) at any time;</w:t>
      </w:r>
    </w:p>
    <w:p>
      <w:pPr>
        <w:spacing w:after="0" w:line="265" w:lineRule="exact"/>
        <w:rPr>
          <w:rFonts w:ascii="Arial" w:cs="Arial" w:eastAsia="Arial" w:hAnsi="Arial"/>
          <w:sz w:val="16"/>
          <w:szCs w:val="16"/>
          <w:color w:val="auto"/>
        </w:rPr>
      </w:pPr>
    </w:p>
    <w:p>
      <w:pPr>
        <w:ind w:firstLine="1305"/>
        <w:spacing w:after="0" w:line="324" w:lineRule="auto"/>
        <w:tabs>
          <w:tab w:leader="none" w:pos="21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 unsecured Indebtedness not otherwise permitted hereunder, in an aggregate amount not to exceed One Hundred Thousand Dollars ($100,000.00) at any time; and</w:t>
      </w:r>
    </w:p>
    <w:p>
      <w:pPr>
        <w:spacing w:after="0" w:line="170" w:lineRule="exact"/>
        <w:rPr>
          <w:rFonts w:ascii="Arial" w:cs="Arial" w:eastAsia="Arial" w:hAnsi="Arial"/>
          <w:sz w:val="18"/>
          <w:szCs w:val="18"/>
          <w:color w:val="auto"/>
        </w:rPr>
      </w:pPr>
    </w:p>
    <w:p>
      <w:pPr>
        <w:jc w:val="both"/>
        <w:ind w:right="20" w:firstLine="1305"/>
        <w:spacing w:after="0" w:line="311" w:lineRule="auto"/>
        <w:tabs>
          <w:tab w:leader="none" w:pos="2115"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extensions, refinancings, modifications, amendments and restatements of any items of Permitted Indebtedness (a) through (f) above, provided that the principal amount thereof is not increased or the terms thereof are not modified to impose more burdensome terms upon Borrower or its Subsidiary, as the case may be.</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Investments</w:t>
      </w:r>
      <w:r>
        <w:rPr>
          <w:rFonts w:ascii="Arial" w:cs="Arial" w:eastAsia="Arial" w:hAnsi="Arial"/>
          <w:sz w:val="18"/>
          <w:szCs w:val="18"/>
          <w:color w:val="auto"/>
        </w:rPr>
        <w:t>” are:</w:t>
      </w:r>
    </w:p>
    <w:p>
      <w:pPr>
        <w:spacing w:after="0" w:line="229" w:lineRule="exact"/>
        <w:rPr>
          <w:sz w:val="20"/>
          <w:szCs w:val="20"/>
          <w:color w:val="auto"/>
        </w:rPr>
      </w:pPr>
    </w:p>
    <w:p>
      <w:pPr>
        <w:ind w:left="1680" w:hanging="375"/>
        <w:spacing w:after="0"/>
        <w:tabs>
          <w:tab w:leader="none" w:pos="16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Investments (including, without limitation, Subsidiaries) existing on the Effective Date which are shown on the Perfection Certificate;</w:t>
      </w:r>
    </w:p>
    <w:p>
      <w:pPr>
        <w:spacing w:after="0" w:line="248" w:lineRule="exact"/>
        <w:rPr>
          <w:rFonts w:ascii="Arial" w:cs="Arial" w:eastAsia="Arial" w:hAnsi="Arial"/>
          <w:sz w:val="16"/>
          <w:szCs w:val="16"/>
          <w:color w:val="auto"/>
        </w:rPr>
      </w:pPr>
    </w:p>
    <w:p>
      <w:pPr>
        <w:ind w:firstLine="1305"/>
        <w:spacing w:after="0" w:line="342" w:lineRule="auto"/>
        <w:tabs>
          <w:tab w:leader="none" w:pos="1697" w:val="left"/>
        </w:tabs>
        <w:numPr>
          <w:ilvl w:val="0"/>
          <w:numId w:val="42"/>
        </w:numPr>
        <w:rPr>
          <w:rFonts w:ascii="Arial" w:cs="Arial" w:eastAsia="Arial" w:hAnsi="Arial"/>
          <w:sz w:val="16"/>
          <w:szCs w:val="16"/>
          <w:color w:val="auto"/>
        </w:rPr>
      </w:pPr>
      <w:r>
        <w:rPr>
          <w:rFonts w:ascii="Arial" w:cs="Arial" w:eastAsia="Arial" w:hAnsi="Arial"/>
          <w:sz w:val="16"/>
          <w:szCs w:val="16"/>
          <w:color w:val="auto"/>
        </w:rPr>
        <w:t>(i) Investments consisting of Cash Equivalents, and (ii) any Investments permitted by Borrower’s investment policy delivered to Bank prior to the Effective Date or as otherwise amended from time to time, provided that any such amendment thereto has been approved in writing by Bank;</w:t>
      </w:r>
    </w:p>
    <w:p>
      <w:pPr>
        <w:spacing w:after="0" w:line="123" w:lineRule="exact"/>
        <w:rPr>
          <w:rFonts w:ascii="Arial" w:cs="Arial" w:eastAsia="Arial" w:hAnsi="Arial"/>
          <w:sz w:val="16"/>
          <w:szCs w:val="16"/>
          <w:color w:val="auto"/>
        </w:rPr>
      </w:pPr>
    </w:p>
    <w:p>
      <w:pPr>
        <w:ind w:left="1720" w:hanging="415"/>
        <w:spacing w:after="0"/>
        <w:tabs>
          <w:tab w:leader="none" w:pos="17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cash Investments by Borrower in MSC, provided that no Event of Default has occurred and is continuing or would result from such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Investment;</w:t>
      </w:r>
    </w:p>
    <w:p>
      <w:pPr>
        <w:spacing w:after="0" w:line="210" w:lineRule="exact"/>
        <w:rPr>
          <w:rFonts w:ascii="Arial" w:cs="Arial" w:eastAsia="Arial" w:hAnsi="Arial"/>
          <w:sz w:val="16"/>
          <w:szCs w:val="16"/>
          <w:color w:val="auto"/>
        </w:rPr>
      </w:pPr>
    </w:p>
    <w:p>
      <w:pPr>
        <w:ind w:left="1740" w:hanging="435"/>
        <w:spacing w:after="0"/>
        <w:tabs>
          <w:tab w:leader="none" w:pos="17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Investments consisting of the endorsement of negotiable instruments for deposit or collection or similar transactions in the ordinary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course of Borrower;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828282"/>
        </w:rPr>
        <w:t>25</w:t>
      </w:r>
    </w:p>
    <w:p>
      <w:pPr>
        <w:sectPr>
          <w:pgSz w:w="11900" w:h="16838" w:orient="portrait"/>
          <w:cols w:equalWidth="0" w:num="1">
            <w:col w:w="11420"/>
          </w:cols>
          <w:pgMar w:left="240" w:top="796" w:right="239" w:bottom="1440" w:gutter="0" w:footer="0" w:header="0"/>
        </w:sectPr>
      </w:pPr>
    </w:p>
    <w:bookmarkStart w:id="30" w:name="page31"/>
    <w:bookmarkEnd w:id="30"/>
    <w:p>
      <w:pPr>
        <w:ind w:left="1680" w:hanging="375"/>
        <w:spacing w:after="0"/>
        <w:tabs>
          <w:tab w:leader="none" w:pos="1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Investments consisting of deposit accounts in which Bank has a first priority perfected security interest;</w:t>
      </w:r>
    </w:p>
    <w:p>
      <w:pPr>
        <w:spacing w:after="0" w:line="225" w:lineRule="exact"/>
        <w:rPr>
          <w:rFonts w:ascii="Arial" w:cs="Arial" w:eastAsia="Arial" w:hAnsi="Arial"/>
          <w:sz w:val="18"/>
          <w:szCs w:val="18"/>
          <w:color w:val="auto"/>
        </w:rPr>
      </w:pPr>
    </w:p>
    <w:p>
      <w:pPr>
        <w:ind w:left="1660" w:hanging="355"/>
        <w:spacing w:after="0"/>
        <w:tabs>
          <w:tab w:leader="none" w:pos="1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Investments accepted in connection with Transfers permitted by Section 7.1;</w:t>
      </w:r>
    </w:p>
    <w:p>
      <w:pPr>
        <w:spacing w:after="0" w:line="225" w:lineRule="exact"/>
        <w:rPr>
          <w:rFonts w:ascii="Arial" w:cs="Arial" w:eastAsia="Arial" w:hAnsi="Arial"/>
          <w:sz w:val="18"/>
          <w:szCs w:val="18"/>
          <w:color w:val="auto"/>
        </w:rPr>
      </w:pPr>
    </w:p>
    <w:p>
      <w:pPr>
        <w:jc w:val="both"/>
        <w:ind w:firstLine="1305"/>
        <w:spacing w:after="0" w:line="264" w:lineRule="auto"/>
        <w:tabs>
          <w:tab w:leader="none" w:pos="1733"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Investments consisting of (i) travel advances and employee relocation loans and other employee loans and advances in the ordinary course of business, and (ii) loans to employees, officers or directors relating to the purchase of equity securities of Borrower or its Subsidiaries pursuant to employee stock purchase plans or agreements approved by the Board;</w:t>
      </w:r>
    </w:p>
    <w:p>
      <w:pPr>
        <w:spacing w:after="0" w:line="181" w:lineRule="exact"/>
        <w:rPr>
          <w:rFonts w:ascii="Arial" w:cs="Arial" w:eastAsia="Arial" w:hAnsi="Arial"/>
          <w:sz w:val="18"/>
          <w:szCs w:val="18"/>
          <w:color w:val="auto"/>
        </w:rPr>
      </w:pPr>
    </w:p>
    <w:p>
      <w:pPr>
        <w:ind w:right="20" w:firstLine="1305"/>
        <w:spacing w:after="0" w:line="308" w:lineRule="auto"/>
        <w:tabs>
          <w:tab w:leader="none" w:pos="1689"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46" w:lineRule="exact"/>
        <w:rPr>
          <w:rFonts w:ascii="Arial" w:cs="Arial" w:eastAsia="Arial" w:hAnsi="Arial"/>
          <w:sz w:val="17"/>
          <w:szCs w:val="17"/>
          <w:color w:val="auto"/>
        </w:rPr>
      </w:pPr>
    </w:p>
    <w:p>
      <w:pPr>
        <w:jc w:val="both"/>
        <w:ind w:firstLine="1305"/>
        <w:spacing w:after="0" w:line="286" w:lineRule="auto"/>
        <w:tabs>
          <w:tab w:leader="none" w:pos="1651"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Investments by Borrower in (A) Selecta Russia consisting of payments or Investments made by Borrower to Selecta Russia pursuant to the terms of Section 4.1 of the License Agreement, so long as an Event of Default does not exist at the time of any such Investment or payment and would not exist after giving effect to any such Investment or payment, (B) Selecta Russia not exceeding Five Hundred Thousand Dollars ($500,000.00) per fiscal year (inclusive of Investments under clause (A) hereof), so long as (i) an Event of Default does not exist at the time of any such Investment and would not exist after giving effect to any such Investment and (ii) the Quarterly Financial Statement (and the opinion of an independent certified public accounting firm reasonably acceptable to Bank) for the fiscal quarter in which such Investment is made does not contain a qualification as to going concern and a going concern qualification would not result after giving effect to any such Investment, (C) Selecta Russia not exceeding One Million Dollars ($1,000,000.00) per fiscal year (inclusive of Investments under clauses (A) and (B) hereof), so long as (i) an Event of Default does not exist at the time of any such Investment and would not exist after giving effect to any such Investment, (ii) the Quarterly Financial Statement (and the opinion of an independent certified public accounting firm reasonably acceptable to Bank) for the fiscal quarter in which such Investment is made does not contain a qualification as to going concern and a going concern qualification would not result after giving effect to any such Investment, and (iii) Borrower (individually and not on a consolidated basis) has on deposit in accounts maintained with Bank at the time of such Investment, unrestricted and unencumbered cash in an amount equal to at least One Hundred Million Dollars ($100,000,000.00), and (D) other Subsidiaries of Borrower not exceeding Two Hundred Fifty Thousand Dollars ($250,000.00) per fiscal year, so long as an Event of Default does not exist at the time of any such Investment and would not exist after giving effect to any such Investment;</w:t>
      </w:r>
    </w:p>
    <w:p>
      <w:pPr>
        <w:spacing w:after="0" w:line="198" w:lineRule="exact"/>
        <w:rPr>
          <w:rFonts w:ascii="Arial" w:cs="Arial" w:eastAsia="Arial" w:hAnsi="Arial"/>
          <w:sz w:val="16"/>
          <w:szCs w:val="16"/>
          <w:color w:val="auto"/>
        </w:rPr>
      </w:pPr>
    </w:p>
    <w:p>
      <w:pPr>
        <w:ind w:firstLine="1305"/>
        <w:spacing w:after="0" w:line="395" w:lineRule="auto"/>
        <w:tabs>
          <w:tab w:leader="none" w:pos="2115"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Investments consisting of notes receivable of, or prepaid royalties and other credit extensions, to customers and suppliers who are not Affiliates, in the ordinary course of business; provided that this paragraph (j) shall not apply to Investments of Borrower in any Subsidiary; and</w:t>
      </w:r>
    </w:p>
    <w:p>
      <w:pPr>
        <w:spacing w:after="0" w:line="123" w:lineRule="exact"/>
        <w:rPr>
          <w:rFonts w:ascii="Arial" w:cs="Arial" w:eastAsia="Arial" w:hAnsi="Arial"/>
          <w:sz w:val="16"/>
          <w:szCs w:val="16"/>
          <w:color w:val="auto"/>
        </w:rPr>
      </w:pPr>
    </w:p>
    <w:p>
      <w:pPr>
        <w:jc w:val="both"/>
        <w:ind w:firstLine="1305"/>
        <w:spacing w:after="0" w:line="323" w:lineRule="auto"/>
        <w:tabs>
          <w:tab w:leader="none" w:pos="2155" w:val="left"/>
        </w:tabs>
        <w:numPr>
          <w:ilvl w:val="0"/>
          <w:numId w:val="43"/>
        </w:numPr>
        <w:rPr>
          <w:rFonts w:ascii="Arial" w:cs="Arial" w:eastAsia="Arial" w:hAnsi="Arial"/>
          <w:sz w:val="17"/>
          <w:szCs w:val="17"/>
          <w:color w:val="auto"/>
        </w:rPr>
      </w:pPr>
      <w:r>
        <w:rPr>
          <w:rFonts w:ascii="Arial" w:cs="Arial" w:eastAsia="Arial" w:hAnsi="Arial"/>
          <w:sz w:val="17"/>
          <w:szCs w:val="17"/>
          <w:color w:val="auto"/>
        </w:rPr>
        <w:t>joint ventures or strategic alliances in the ordinary course of Borrower’s business consisting of licenses not prohibited hereunder, the development of technology or the providing of technical support, provided that any cash Investments by Borrower do not exceed Five Hundred Thousand Dollars ($500,000.00) per fiscal year, and provided further that (i) an Event of Default does not exist at the time of any such Investment and would not exist after giving effect to any such Investment and (ii) the Quarterly Financial Statement (and the opinion of an independent certified public accounting firm reasonably acceptable to Bank) for the fiscal quarter in which such Investment is made does not contain a qualification as to going concern and a going concern qualification would not result after giving effect to any such Investment.</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are:</w:t>
      </w:r>
    </w:p>
    <w:p>
      <w:pPr>
        <w:spacing w:after="0" w:line="229" w:lineRule="exact"/>
        <w:rPr>
          <w:sz w:val="20"/>
          <w:szCs w:val="20"/>
          <w:color w:val="auto"/>
        </w:rPr>
      </w:pPr>
    </w:p>
    <w:p>
      <w:pPr>
        <w:ind w:left="1700" w:hanging="395"/>
        <w:spacing w:after="0"/>
        <w:tabs>
          <w:tab w:leader="none" w:pos="17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Liens existing on the Effective Date which are shown on the Perfection Certificate or arising under this Agreement and the other Loan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Documents;</w:t>
      </w:r>
    </w:p>
    <w:p>
      <w:pPr>
        <w:spacing w:after="0" w:line="211" w:lineRule="exact"/>
        <w:rPr>
          <w:sz w:val="20"/>
          <w:szCs w:val="20"/>
          <w:color w:val="auto"/>
        </w:rPr>
      </w:pPr>
    </w:p>
    <w:p>
      <w:pPr>
        <w:ind w:firstLine="1305"/>
        <w:spacing w:after="0" w:line="277" w:lineRule="auto"/>
        <w:tabs>
          <w:tab w:leader="none" w:pos="1705"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Liens for taxes, fees, assessments or other government charges or levies, either (i) not due and payable or (ii) being contested in good faith and for which Borrower maintains adequate reserves on its Books,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828282"/>
        </w:rPr>
        <w:t>26</w:t>
      </w:r>
    </w:p>
    <w:p>
      <w:pPr>
        <w:sectPr>
          <w:pgSz w:w="11900" w:h="16838" w:orient="portrait"/>
          <w:cols w:equalWidth="0" w:num="1">
            <w:col w:w="11420"/>
          </w:cols>
          <w:pgMar w:left="240" w:top="584" w:right="239" w:bottom="1440" w:gutter="0" w:footer="0" w:header="0"/>
        </w:sectPr>
      </w:pPr>
    </w:p>
    <w:bookmarkStart w:id="31" w:name="page32"/>
    <w:bookmarkEnd w:id="31"/>
    <w:p>
      <w:pPr>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notice of any such Lien has been filed or recorded under the Internal Revenue Code of 1986, as amended, and the Treasury Regulations adopted thereunder;</w:t>
      </w:r>
    </w:p>
    <w:p>
      <w:pPr>
        <w:spacing w:after="0" w:line="170" w:lineRule="exact"/>
        <w:rPr>
          <w:sz w:val="20"/>
          <w:szCs w:val="20"/>
          <w:color w:val="auto"/>
        </w:rPr>
      </w:pPr>
    </w:p>
    <w:p>
      <w:pPr>
        <w:jc w:val="both"/>
        <w:ind w:firstLine="1305"/>
        <w:spacing w:after="0" w:line="264" w:lineRule="auto"/>
        <w:tabs>
          <w:tab w:leader="none" w:pos="1794"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purchase money Liens (i) on Equipment acquired or held by Borrower incurred for financing the acquisition of the Equipment securing no more than Two Million Five Hundred Thousand Dollars ($2,500,000.00) in the aggregate amount outstanding, or (ii) existing on Equipment when acquired, </w:t>
      </w:r>
      <w:r>
        <w:rPr>
          <w:rFonts w:ascii="Arial" w:cs="Arial" w:eastAsia="Arial" w:hAnsi="Arial"/>
          <w:sz w:val="18"/>
          <w:szCs w:val="18"/>
          <w:u w:val="single" w:color="auto"/>
          <w:color w:val="auto"/>
        </w:rPr>
        <w:t>if</w:t>
      </w:r>
      <w:r>
        <w:rPr>
          <w:rFonts w:ascii="Arial" w:cs="Arial" w:eastAsia="Arial" w:hAnsi="Arial"/>
          <w:sz w:val="18"/>
          <w:szCs w:val="18"/>
          <w:color w:val="auto"/>
        </w:rPr>
        <w:t xml:space="preserve"> the Lien is confined to the property and improvements and the proceeds of the Equipment;</w:t>
      </w:r>
    </w:p>
    <w:p>
      <w:pPr>
        <w:spacing w:after="0" w:line="181" w:lineRule="exact"/>
        <w:rPr>
          <w:rFonts w:ascii="Arial" w:cs="Arial" w:eastAsia="Arial" w:hAnsi="Arial"/>
          <w:sz w:val="18"/>
          <w:szCs w:val="18"/>
          <w:color w:val="auto"/>
        </w:rPr>
      </w:pPr>
    </w:p>
    <w:p>
      <w:pPr>
        <w:jc w:val="both"/>
        <w:ind w:firstLine="1305"/>
        <w:spacing w:after="0" w:line="259" w:lineRule="auto"/>
        <w:tabs>
          <w:tab w:leader="none" w:pos="1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Liens of carriers, warehousemen, suppliers, or other Persons that are possessory in nature arising in the ordinary course of business so long as such Liens attach only to Inventory, securing liabilities in the aggregate amount not to exceed Two Hundred Fifty Thousand Dollars ($250,000.00) and which are not delinquent or remain payable without penalty or which are being contested in good faith and by appropriate proceedings which proceedings have the effect of preventing the forfeiture or sale of the property subject thereto;</w:t>
      </w:r>
    </w:p>
    <w:p>
      <w:pPr>
        <w:spacing w:after="0" w:line="186" w:lineRule="exact"/>
        <w:rPr>
          <w:rFonts w:ascii="Arial" w:cs="Arial" w:eastAsia="Arial" w:hAnsi="Arial"/>
          <w:sz w:val="18"/>
          <w:szCs w:val="18"/>
          <w:color w:val="auto"/>
        </w:rPr>
      </w:pPr>
    </w:p>
    <w:p>
      <w:pPr>
        <w:ind w:firstLine="1305"/>
        <w:spacing w:after="0" w:line="277" w:lineRule="auto"/>
        <w:tabs>
          <w:tab w:leader="none" w:pos="1679"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Liens to secure payment of workers’ compensation, employment insurance, old-age pensions, social security and other like obligations incurred in the ordinary course of business (other than Liens imposed by ERISA);</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734"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Liens incurred in the extension, renewal or refinancing of the indebtedness secured by Liens described in (a) through (c), </w:t>
      </w:r>
      <w:r>
        <w:rPr>
          <w:rFonts w:ascii="Arial" w:cs="Arial" w:eastAsia="Arial" w:hAnsi="Arial"/>
          <w:sz w:val="18"/>
          <w:szCs w:val="18"/>
          <w:u w:val="single" w:color="auto"/>
          <w:color w:val="auto"/>
        </w:rPr>
        <w:t>but</w:t>
      </w:r>
      <w:r>
        <w:rPr>
          <w:rFonts w:ascii="Arial" w:cs="Arial" w:eastAsia="Arial" w:hAnsi="Arial"/>
          <w:sz w:val="18"/>
          <w:szCs w:val="18"/>
          <w:color w:val="auto"/>
        </w:rPr>
        <w:t xml:space="preserve"> any extension, renewal or replacement Lien must be limited to the property encumbered by the existing Lien and the principal amount of the indebtedness may not increase;</w:t>
      </w:r>
    </w:p>
    <w:p>
      <w:pPr>
        <w:spacing w:after="0" w:line="181" w:lineRule="exact"/>
        <w:rPr>
          <w:rFonts w:ascii="Arial" w:cs="Arial" w:eastAsia="Arial" w:hAnsi="Arial"/>
          <w:sz w:val="18"/>
          <w:szCs w:val="18"/>
          <w:color w:val="auto"/>
        </w:rPr>
      </w:pPr>
    </w:p>
    <w:p>
      <w:pPr>
        <w:jc w:val="both"/>
        <w:ind w:firstLine="1305"/>
        <w:spacing w:after="0" w:line="259" w:lineRule="auto"/>
        <w:tabs>
          <w:tab w:leader="none" w:pos="1745"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leases or subleases of real property granted in the ordinary course of Borrower’s business (or, if referring to another Person, in the ordinary course of such Person’s business), and leases, subleases, non-exclusive licenses or sublicenses of personal property (other than Intellectual Property) granted in the ordinary course of Borrower’s business (or, if referring to another Person, in the ordinary course of such Person’s business), </w:t>
      </w:r>
      <w:r>
        <w:rPr>
          <w:rFonts w:ascii="Arial" w:cs="Arial" w:eastAsia="Arial" w:hAnsi="Arial"/>
          <w:sz w:val="18"/>
          <w:szCs w:val="18"/>
          <w:u w:val="single" w:color="auto"/>
          <w:color w:val="auto"/>
        </w:rPr>
        <w:t>if</w:t>
      </w:r>
      <w:r>
        <w:rPr>
          <w:rFonts w:ascii="Arial" w:cs="Arial" w:eastAsia="Arial" w:hAnsi="Arial"/>
          <w:sz w:val="18"/>
          <w:szCs w:val="18"/>
          <w:color w:val="auto"/>
        </w:rPr>
        <w:t xml:space="preserve"> the leases, subleases, licenses and sublicenses do not prohibit granting Bank a security interest therein;</w:t>
      </w:r>
    </w:p>
    <w:p>
      <w:pPr>
        <w:spacing w:after="0" w:line="186" w:lineRule="exact"/>
        <w:rPr>
          <w:rFonts w:ascii="Arial" w:cs="Arial" w:eastAsia="Arial" w:hAnsi="Arial"/>
          <w:sz w:val="18"/>
          <w:szCs w:val="18"/>
          <w:color w:val="auto"/>
        </w:rPr>
      </w:pPr>
    </w:p>
    <w:p>
      <w:pPr>
        <w:ind w:left="1700" w:hanging="395"/>
        <w:spacing w:after="0"/>
        <w:tabs>
          <w:tab w:leader="none" w:pos="1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licenses not prohibited hereunder;</w:t>
      </w:r>
    </w:p>
    <w:p>
      <w:pPr>
        <w:spacing w:after="0" w:line="225" w:lineRule="exact"/>
        <w:rPr>
          <w:rFonts w:ascii="Arial" w:cs="Arial" w:eastAsia="Arial" w:hAnsi="Arial"/>
          <w:sz w:val="18"/>
          <w:szCs w:val="18"/>
          <w:color w:val="auto"/>
        </w:rPr>
      </w:pPr>
    </w:p>
    <w:p>
      <w:pPr>
        <w:ind w:left="1680" w:hanging="375"/>
        <w:spacing w:after="0"/>
        <w:tabs>
          <w:tab w:leader="none" w:pos="16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Liens arising from attachments or judgments, orders, or decrees in circumstances not constituting an Event of Default under Sections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8.4 and 8.7; and</w:t>
      </w:r>
    </w:p>
    <w:p>
      <w:pPr>
        <w:spacing w:after="0" w:line="210" w:lineRule="exact"/>
        <w:rPr>
          <w:rFonts w:ascii="Arial" w:cs="Arial" w:eastAsia="Arial" w:hAnsi="Arial"/>
          <w:sz w:val="16"/>
          <w:szCs w:val="16"/>
          <w:color w:val="auto"/>
        </w:rPr>
      </w:pPr>
    </w:p>
    <w:p>
      <w:pPr>
        <w:ind w:right="20" w:firstLine="1305"/>
        <w:spacing w:after="0" w:line="308" w:lineRule="auto"/>
        <w:tabs>
          <w:tab w:leader="none" w:pos="1730" w:val="left"/>
        </w:tabs>
        <w:numPr>
          <w:ilvl w:val="0"/>
          <w:numId w:val="46"/>
        </w:numPr>
        <w:rPr>
          <w:rFonts w:ascii="Arial" w:cs="Arial" w:eastAsia="Arial" w:hAnsi="Arial"/>
          <w:sz w:val="17"/>
          <w:szCs w:val="17"/>
          <w:color w:val="auto"/>
        </w:rPr>
      </w:pPr>
      <w:r>
        <w:rPr>
          <w:rFonts w:ascii="Arial" w:cs="Arial" w:eastAsia="Arial" w:hAnsi="Arial"/>
          <w:sz w:val="17"/>
          <w:szCs w:val="17"/>
          <w:color w:val="auto"/>
        </w:rPr>
        <w:t>Liens in favor of other financial institutions arising in connection with Borrower’s deposit and/or securities accounts held at such institutions, provided that Bank has a first priority perfected security interest in the amounts held in such deposit and/or securities accounts.</w:t>
      </w:r>
    </w:p>
    <w:p>
      <w:pPr>
        <w:spacing w:after="0" w:line="143"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is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Prepayment Premium</w:t>
      </w:r>
      <w:r>
        <w:rPr>
          <w:rFonts w:ascii="Arial" w:cs="Arial" w:eastAsia="Arial" w:hAnsi="Arial"/>
          <w:sz w:val="18"/>
          <w:szCs w:val="18"/>
          <w:color w:val="auto"/>
        </w:rPr>
        <w:t>” shall be an additional fee, payable to Bank, with respect to the Term Loan Advances, in an amount equal to:</w:t>
      </w:r>
    </w:p>
    <w:p>
      <w:pPr>
        <w:spacing w:after="0" w:line="229" w:lineRule="exact"/>
        <w:rPr>
          <w:sz w:val="20"/>
          <w:szCs w:val="20"/>
          <w:color w:val="auto"/>
        </w:rPr>
      </w:pPr>
    </w:p>
    <w:p>
      <w:pPr>
        <w:ind w:firstLine="656"/>
        <w:spacing w:after="0" w:line="216" w:lineRule="auto"/>
        <w:tabs>
          <w:tab w:leader="none" w:pos="1065" w:val="left"/>
        </w:tabs>
        <w:numPr>
          <w:ilvl w:val="0"/>
          <w:numId w:val="47"/>
        </w:numPr>
        <w:rPr>
          <w:rFonts w:ascii="Arial" w:cs="Arial" w:eastAsia="Arial" w:hAnsi="Arial"/>
          <w:sz w:val="18"/>
          <w:szCs w:val="18"/>
          <w:color w:val="auto"/>
        </w:rPr>
      </w:pPr>
      <w:r>
        <w:rPr>
          <w:rFonts w:ascii="Arial" w:cs="Arial" w:eastAsia="Arial" w:hAnsi="Arial"/>
          <w:sz w:val="18"/>
          <w:szCs w:val="18"/>
          <w:color w:val="auto"/>
        </w:rPr>
        <w:t>for a prepayment of the Term Loan Advances made on or prior to the first (1</w:t>
      </w:r>
      <w:r>
        <w:rPr>
          <w:rFonts w:ascii="Arial" w:cs="Arial" w:eastAsia="Arial" w:hAnsi="Arial"/>
          <w:sz w:val="25"/>
          <w:szCs w:val="25"/>
          <w:color w:val="auto"/>
          <w:vertAlign w:val="superscript"/>
        </w:rPr>
        <w:t>st</w:t>
      </w:r>
      <w:r>
        <w:rPr>
          <w:rFonts w:ascii="Arial" w:cs="Arial" w:eastAsia="Arial" w:hAnsi="Arial"/>
          <w:sz w:val="18"/>
          <w:szCs w:val="18"/>
          <w:color w:val="auto"/>
        </w:rPr>
        <w:t>) anniversary of the Effective Date, three percent (3.0%) of the then outstanding principal amount of the Term Loan Advances as of the date immediately and prior to such prepayment;</w:t>
      </w:r>
    </w:p>
    <w:p>
      <w:pPr>
        <w:spacing w:after="0" w:line="203" w:lineRule="exact"/>
        <w:rPr>
          <w:rFonts w:ascii="Arial" w:cs="Arial" w:eastAsia="Arial" w:hAnsi="Arial"/>
          <w:sz w:val="18"/>
          <w:szCs w:val="18"/>
          <w:color w:val="auto"/>
        </w:rPr>
      </w:pPr>
    </w:p>
    <w:p>
      <w:pPr>
        <w:jc w:val="both"/>
        <w:ind w:right="20" w:firstLine="656"/>
        <w:spacing w:after="0" w:line="203" w:lineRule="auto"/>
        <w:tabs>
          <w:tab w:leader="none" w:pos="1092" w:val="left"/>
        </w:tabs>
        <w:numPr>
          <w:ilvl w:val="0"/>
          <w:numId w:val="47"/>
        </w:numPr>
        <w:rPr>
          <w:rFonts w:ascii="Arial" w:cs="Arial" w:eastAsia="Arial" w:hAnsi="Arial"/>
          <w:sz w:val="18"/>
          <w:szCs w:val="18"/>
          <w:color w:val="auto"/>
        </w:rPr>
      </w:pPr>
      <w:r>
        <w:rPr>
          <w:rFonts w:ascii="Arial" w:cs="Arial" w:eastAsia="Arial" w:hAnsi="Arial"/>
          <w:sz w:val="18"/>
          <w:szCs w:val="18"/>
          <w:color w:val="auto"/>
        </w:rPr>
        <w:t>for a prepayment of the Term Loan Advances made after the first (1</w:t>
      </w:r>
      <w:r>
        <w:rPr>
          <w:rFonts w:ascii="Arial" w:cs="Arial" w:eastAsia="Arial" w:hAnsi="Arial"/>
          <w:sz w:val="25"/>
          <w:szCs w:val="25"/>
          <w:color w:val="auto"/>
          <w:vertAlign w:val="superscript"/>
        </w:rPr>
        <w:t>st</w:t>
      </w:r>
      <w:r>
        <w:rPr>
          <w:rFonts w:ascii="Arial" w:cs="Arial" w:eastAsia="Arial" w:hAnsi="Arial"/>
          <w:sz w:val="18"/>
          <w:szCs w:val="18"/>
          <w:color w:val="auto"/>
        </w:rPr>
        <w:t>) anniversary of the Effective Date, but on or prior to the second (2</w:t>
      </w:r>
      <w:r>
        <w:rPr>
          <w:rFonts w:ascii="Arial" w:cs="Arial" w:eastAsia="Arial" w:hAnsi="Arial"/>
          <w:sz w:val="25"/>
          <w:szCs w:val="25"/>
          <w:color w:val="auto"/>
          <w:vertAlign w:val="superscript"/>
        </w:rPr>
        <w:t>nd</w:t>
      </w:r>
      <w:r>
        <w:rPr>
          <w:rFonts w:ascii="Arial" w:cs="Arial" w:eastAsia="Arial" w:hAnsi="Arial"/>
          <w:sz w:val="18"/>
          <w:szCs w:val="18"/>
          <w:color w:val="auto"/>
        </w:rPr>
        <w:t>) anniversary of the Effective Date, two percent (2.0%) of the then outstanding principal amount of the Term Loan Advances as of the date immediately and prior to such prepayment; and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828282"/>
        </w:rPr>
        <w:t>27</w:t>
      </w:r>
    </w:p>
    <w:p>
      <w:pPr>
        <w:sectPr>
          <w:pgSz w:w="11900" w:h="16838" w:orient="portrait"/>
          <w:cols w:equalWidth="0" w:num="1">
            <w:col w:w="11420"/>
          </w:cols>
          <w:pgMar w:left="240" w:top="584" w:right="239" w:bottom="1440" w:gutter="0" w:footer="0" w:header="0"/>
        </w:sectPr>
      </w:pPr>
    </w:p>
    <w:bookmarkStart w:id="32" w:name="page33"/>
    <w:bookmarkEnd w:id="32"/>
    <w:p>
      <w:pPr>
        <w:ind w:firstLine="656"/>
        <w:spacing w:after="0" w:line="252" w:lineRule="auto"/>
        <w:tabs>
          <w:tab w:leader="none" w:pos="1031" w:val="left"/>
        </w:tabs>
        <w:numPr>
          <w:ilvl w:val="0"/>
          <w:numId w:val="48"/>
        </w:numPr>
        <w:rPr>
          <w:rFonts w:ascii="Arial" w:cs="Arial" w:eastAsia="Arial" w:hAnsi="Arial"/>
          <w:sz w:val="16"/>
          <w:szCs w:val="16"/>
          <w:color w:val="auto"/>
        </w:rPr>
      </w:pPr>
      <w:r>
        <w:rPr>
          <w:rFonts w:ascii="Arial" w:cs="Arial" w:eastAsia="Arial" w:hAnsi="Arial"/>
          <w:sz w:val="16"/>
          <w:szCs w:val="16"/>
          <w:color w:val="auto"/>
        </w:rPr>
        <w:t>for a prepayment of the Term Loan Advances made after the second (2</w:t>
      </w:r>
      <w:r>
        <w:rPr>
          <w:rFonts w:ascii="Arial" w:cs="Arial" w:eastAsia="Arial" w:hAnsi="Arial"/>
          <w:sz w:val="22"/>
          <w:szCs w:val="22"/>
          <w:color w:val="auto"/>
          <w:vertAlign w:val="superscript"/>
        </w:rPr>
        <w:t>nd</w:t>
      </w:r>
      <w:r>
        <w:rPr>
          <w:rFonts w:ascii="Arial" w:cs="Arial" w:eastAsia="Arial" w:hAnsi="Arial"/>
          <w:sz w:val="16"/>
          <w:szCs w:val="16"/>
          <w:color w:val="auto"/>
        </w:rPr>
        <w:t>) anniversary of the Effective Date but prior to the Term Loan Maturity Date, one percent (1.0%) of the then outstanding principal amount of the Term Loan Advances as of the date immediately and prior to such prepayment.</w:t>
      </w:r>
    </w:p>
    <w:p>
      <w:pPr>
        <w:spacing w:after="0" w:line="189" w:lineRule="exact"/>
        <w:rPr>
          <w:sz w:val="20"/>
          <w:szCs w:val="20"/>
          <w:color w:val="auto"/>
        </w:rPr>
      </w:pPr>
    </w:p>
    <w:p>
      <w:pPr>
        <w:ind w:right="120" w:firstLine="324"/>
        <w:spacing w:after="0" w:line="308" w:lineRule="auto"/>
        <w:rPr>
          <w:sz w:val="20"/>
          <w:szCs w:val="20"/>
          <w:color w:val="auto"/>
        </w:rPr>
      </w:pPr>
      <w:r>
        <w:rPr>
          <w:rFonts w:ascii="Arial" w:cs="Arial" w:eastAsia="Arial" w:hAnsi="Arial"/>
          <w:sz w:val="17"/>
          <w:szCs w:val="17"/>
          <w:color w:val="auto"/>
        </w:rPr>
        <w:t>Notwithstanding the foregoing, provided no Event of Default has occurred and is continuing, the Prepayment Premium shall be waived by Bank if Bank closes on the refinance and redocumentation of this Agreement (in its sole and absolute discretion) prior to the Term Loan Maturity Date.</w:t>
      </w:r>
    </w:p>
    <w:p>
      <w:pPr>
        <w:spacing w:after="0" w:line="14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Prime Rate</w:t>
      </w:r>
      <w:r>
        <w:rPr>
          <w:rFonts w:ascii="Arial" w:cs="Arial" w:eastAsia="Arial" w:hAnsi="Arial"/>
          <w:sz w:val="18"/>
          <w:szCs w:val="18"/>
          <w:color w:val="auto"/>
        </w:rPr>
        <w:t>” is the rate of interest per annum from time to time published in the money rates section of The Wall Street Journal or any successor publication thereto as the “prime rate” then in effect; provided that, in the event such rate of interest is less than zero, such rate shall be deemed to be zero for purposes of this Agreement; and provided further that if such rate of interest, as set forth from time to time in the money rates section of The Wall Street Journal, becomes unavailable for any reason as determined by Bank, the “Prime Rate” shall mean the rate of interest per annum announced by Bank as its prime rate in effect at its principal office in the State of California (such Bank announced Prime Rate not being intended to be the lowest rate of interest charged by Bank in connection with extensions of credit to debtors); provided that, in the event such rate of interest is less than zero, such rate shall be deemed to be zero for purposes of this Agreement.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Quarterly Financial Statements</w:t>
      </w:r>
      <w:r>
        <w:rPr>
          <w:rFonts w:ascii="Arial" w:cs="Arial" w:eastAsia="Arial" w:hAnsi="Arial"/>
          <w:sz w:val="18"/>
          <w:szCs w:val="18"/>
          <w:color w:val="auto"/>
        </w:rPr>
        <w:t>” is defined in Section 6.2(d).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Registered Organization</w:t>
      </w:r>
      <w:r>
        <w:rPr>
          <w:rFonts w:ascii="Arial" w:cs="Arial" w:eastAsia="Arial" w:hAnsi="Arial"/>
          <w:sz w:val="17"/>
          <w:szCs w:val="17"/>
          <w:color w:val="auto"/>
        </w:rPr>
        <w:t>” is any “registered organization” as defined in the Code with such additions to such term as may hereafter be made.</w:t>
      </w:r>
    </w:p>
    <w:p>
      <w:pPr>
        <w:spacing w:after="0" w:line="23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Requirement of Law</w:t>
      </w:r>
      <w:r>
        <w:rPr>
          <w:rFonts w:ascii="Arial" w:cs="Arial" w:eastAsia="Arial" w:hAnsi="Arial"/>
          <w:sz w:val="18"/>
          <w:szCs w:val="18"/>
          <w:color w:val="auto"/>
        </w:rPr>
        <w:t>” is as to any Person, the organizational or governing documents of such Person, and any law (statutory or common), treaty, rule or regulation or determination of an arbitrator or a court or other Governmental Authority, in each case applicable to or binding upon such Person or any of its property or to which such Person or any of its property is subject.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is any of the Chief Executive Officer, President, Chief Financial Officer and Controller of Borrower.</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License</w:t>
      </w:r>
      <w:r>
        <w:rPr>
          <w:rFonts w:ascii="Arial" w:cs="Arial" w:eastAsia="Arial" w:hAnsi="Arial"/>
          <w:sz w:val="18"/>
          <w:szCs w:val="18"/>
          <w:color w:val="auto"/>
        </w:rPr>
        <w:t>” is any material license or other material agreement with respect to which Borrower is the licensee (a) that prohibits or otherwise restricts Borrower from granting a security interest in Borrower’s interest in such license or agreement or any other property, or (b) for which a default under or termination of could interfere with the Bank’s right to sell any Collateral.</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shall mean the Securities and Exchange Commission, any successor thereto, and any analogous Governmental Authority.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Account</w:t>
      </w:r>
      <w:r>
        <w:rPr>
          <w:rFonts w:ascii="Arial" w:cs="Arial" w:eastAsia="Arial" w:hAnsi="Arial"/>
          <w:sz w:val="18"/>
          <w:szCs w:val="18"/>
          <w:color w:val="auto"/>
        </w:rPr>
        <w:t>” is any “securities account” as defined in the Code with such additions to such term as may hereafter be made.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Selecta Russia</w:t>
      </w:r>
      <w:r>
        <w:rPr>
          <w:rFonts w:ascii="Arial" w:cs="Arial" w:eastAsia="Arial" w:hAnsi="Arial"/>
          <w:sz w:val="18"/>
          <w:szCs w:val="18"/>
          <w:color w:val="auto"/>
        </w:rPr>
        <w:t>” is Selecta (RUS) LLC, a limited liability company organized under the laws of Russia and a Subsidiary of Borrower.</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 Pledge Agreement</w:t>
      </w:r>
      <w:r>
        <w:rPr>
          <w:rFonts w:ascii="Arial" w:cs="Arial" w:eastAsia="Arial" w:hAnsi="Arial"/>
          <w:sz w:val="18"/>
          <w:szCs w:val="18"/>
          <w:color w:val="auto"/>
        </w:rPr>
        <w:t>” means that certain Stock Pledge Agreement by and between Borrower and Bank dated as of the Effective Date, as may be amended, modified, supplemented or restated from time to time.</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Debt</w:t>
      </w:r>
      <w:r>
        <w:rPr>
          <w:rFonts w:ascii="Arial" w:cs="Arial" w:eastAsia="Arial" w:hAnsi="Arial"/>
          <w:sz w:val="18"/>
          <w:szCs w:val="18"/>
          <w:color w:val="auto"/>
        </w:rPr>
        <w:t>” is indebtedness incurred by Borrower subordinated to all of Borrower’s now or hereafter indebtedness to Bank (pursuant to a subordination, intercreditor, or other similar agreement in form and substance satisfactory to Bank entered into between Bank and the other creditor), on terms acceptable to Bank.</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is, as to any Person, a corporation, partnership, limited liability company or other entity of which shares of stock or other ownership interests having ordinary voting power (other than stock or such other ownership</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828282"/>
        </w:rPr>
        <w:t>28</w:t>
      </w:r>
    </w:p>
    <w:p>
      <w:pPr>
        <w:sectPr>
          <w:pgSz w:w="11900" w:h="16838" w:orient="portrait"/>
          <w:cols w:equalWidth="0" w:num="1">
            <w:col w:w="11420"/>
          </w:cols>
          <w:pgMar w:left="240" w:top="584" w:right="239" w:bottom="1440" w:gutter="0" w:footer="0" w:header="0"/>
        </w:sectPr>
      </w:pPr>
    </w:p>
    <w:bookmarkStart w:id="33" w:name="page34"/>
    <w:bookmarkEnd w:id="33"/>
    <w:p>
      <w:pPr>
        <w:jc w:val="both"/>
        <w:spacing w:after="0" w:line="259" w:lineRule="auto"/>
        <w:rPr>
          <w:sz w:val="20"/>
          <w:szCs w:val="20"/>
          <w:color w:val="auto"/>
        </w:rPr>
      </w:pPr>
      <w:r>
        <w:rPr>
          <w:rFonts w:ascii="Arial" w:cs="Arial" w:eastAsia="Arial" w:hAnsi="Arial"/>
          <w:sz w:val="18"/>
          <w:szCs w:val="18"/>
          <w:color w:val="auto"/>
        </w:rPr>
        <w:t>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the context otherwise requires, each reference to a Subsidiary herein shall be a reference to a Subsidiary of Borrower.</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A Loan Advance</w:t>
      </w:r>
      <w:r>
        <w:rPr>
          <w:rFonts w:ascii="Arial" w:cs="Arial" w:eastAsia="Arial" w:hAnsi="Arial"/>
          <w:sz w:val="18"/>
          <w:szCs w:val="18"/>
          <w:color w:val="auto"/>
        </w:rPr>
        <w:t>” is defined in Section 2.1.1(a).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B Loan Advance</w:t>
      </w:r>
      <w:r>
        <w:rPr>
          <w:rFonts w:ascii="Arial" w:cs="Arial" w:eastAsia="Arial" w:hAnsi="Arial"/>
          <w:sz w:val="18"/>
          <w:szCs w:val="18"/>
          <w:color w:val="auto"/>
        </w:rPr>
        <w:t>” is defined in Section 2.1.1(a).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Advance</w:t>
      </w:r>
      <w:r>
        <w:rPr>
          <w:rFonts w:ascii="Arial" w:cs="Arial" w:eastAsia="Arial" w:hAnsi="Arial"/>
          <w:sz w:val="18"/>
          <w:szCs w:val="18"/>
          <w:color w:val="auto"/>
        </w:rPr>
        <w:t>” and “</w:t>
      </w:r>
      <w:r>
        <w:rPr>
          <w:rFonts w:ascii="Arial" w:cs="Arial" w:eastAsia="Arial" w:hAnsi="Arial"/>
          <w:sz w:val="18"/>
          <w:szCs w:val="18"/>
          <w:b w:val="1"/>
          <w:bCs w:val="1"/>
          <w:color w:val="auto"/>
        </w:rPr>
        <w:t>Term Loan Advances</w:t>
      </w:r>
      <w:r>
        <w:rPr>
          <w:rFonts w:ascii="Arial" w:cs="Arial" w:eastAsia="Arial" w:hAnsi="Arial"/>
          <w:sz w:val="18"/>
          <w:szCs w:val="18"/>
          <w:color w:val="auto"/>
        </w:rPr>
        <w:t>” are each defined in Section 2.1.1(a).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Maturity Date</w:t>
      </w:r>
      <w:r>
        <w:rPr>
          <w:rFonts w:ascii="Arial" w:cs="Arial" w:eastAsia="Arial" w:hAnsi="Arial"/>
          <w:sz w:val="18"/>
          <w:szCs w:val="18"/>
          <w:color w:val="auto"/>
        </w:rPr>
        <w:t>” is February 1, 2022.</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Trademarks</w:t>
      </w:r>
      <w:r>
        <w:rPr>
          <w:rFonts w:ascii="Arial" w:cs="Arial" w:eastAsia="Arial" w:hAnsi="Arial"/>
          <w:sz w:val="18"/>
          <w:szCs w:val="18"/>
          <w:color w:val="auto"/>
        </w:rPr>
        <w:t>” means any trademark and servicemark rights, whether registered or not, applications to register and registrations of the same and like protections, and the entire goodwill of the business of Borrower connected with and symbolized by such trademarks.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is defined in Section 7.1.</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Transition Period</w:t>
      </w:r>
      <w:r>
        <w:rPr>
          <w:rFonts w:ascii="Arial" w:cs="Arial" w:eastAsia="Arial" w:hAnsi="Arial"/>
          <w:sz w:val="18"/>
          <w:szCs w:val="18"/>
          <w:color w:val="auto"/>
        </w:rPr>
        <w:t>” means the period of time commencing on the Effective Date and continuing through the earlier to occur of (a) October 26, 2017 or (b) an Event of Default.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Signature page follows.</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828282"/>
        </w:rPr>
        <w:t>29</w:t>
      </w:r>
    </w:p>
    <w:p>
      <w:pPr>
        <w:sectPr>
          <w:pgSz w:w="11900" w:h="16838" w:orient="portrait"/>
          <w:cols w:equalWidth="0" w:num="1">
            <w:col w:w="11420"/>
          </w:cols>
          <w:pgMar w:left="240" w:top="584" w:right="239" w:bottom="1440" w:gutter="0" w:footer="0" w:header="0"/>
        </w:sectPr>
      </w:pPr>
    </w:p>
    <w:bookmarkStart w:id="34" w:name="page35"/>
    <w:bookmarkEnd w:id="34"/>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Agreement to be executed as a sealed instrument under the laws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Commonwealth of Massachusetts as of the Effective Date.</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BORROWER: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SELECTA BIOSCIENCES,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Title:_______________________________________</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BANK: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Title:_______________________________________</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828282"/>
        </w:rPr>
        <w:t>Signature Page to Loan and Security Agreement</w:t>
      </w:r>
    </w:p>
    <w:p>
      <w:pPr>
        <w:sectPr>
          <w:pgSz w:w="11900" w:h="16838" w:orient="portrait"/>
          <w:cols w:equalWidth="0" w:num="1">
            <w:col w:w="11420"/>
          </w:cols>
          <w:pgMar w:left="240" w:top="796"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u w:val="single" w:color="auto"/>
          <w:color w:val="auto"/>
        </w:rPr>
        <w:t>EXHIBIT A - COLLATERAL DESCRIPTION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Collateral consists of all of Borrower’s right, title and interest in and to the following personal property: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All goods, Accounts (including health-care receivables), Equipment, Inventory, contract rights or rights to payment of money, leases, license agreements, franchise agreements, General Intangibles (except as provided below), commercial tort claims, documents, instruments (including any promissory notes), chattel paper (whether tangible or electronic), cash, deposit accounts, certificates of deposit, fixtures, letters of credit rights (whether or not the letter of credit is evidenced by a writing), securities, and all other investment property, supporting obligations, and financial assets, whether now owned or hereafter acquired, wherever located; and</w:t>
      </w:r>
    </w:p>
    <w:p>
      <w:pPr>
        <w:spacing w:after="0" w:line="18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2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Notwithstanding the foregoing, the Collateral does not include (a) more than sixty-five percent (65.0%) of the presently existing and hereafter arising issued and outstanding shares of capital stock owned by Borrower of any Foreign Subsidiary which shares entitle the holder thereof to vote for directors or any other matter; (b) any interest of Borrower as a lessee or sublessee under a real property lease; (c) rights held under a license that are not assignable by their terms without the consent of the licensor thereof (but only to the extent such restriction on assignment is enforceable under applicable law); (d) any interest of Borrower as a lessee under an Equipment lease if Borrower is prohibited by the terms of such lease from granting a security interest in such lease or under which such an assignment or Lien would cause a default to occur under such lease; </w:t>
      </w:r>
      <w:r>
        <w:rPr>
          <w:rFonts w:ascii="Arial" w:cs="Arial" w:eastAsia="Arial" w:hAnsi="Arial"/>
          <w:sz w:val="16"/>
          <w:szCs w:val="16"/>
          <w:i w:val="1"/>
          <w:iCs w:val="1"/>
          <w:color w:val="auto"/>
        </w:rPr>
        <w:t>provided, however</w:t>
      </w:r>
      <w:r>
        <w:rPr>
          <w:rFonts w:ascii="Arial" w:cs="Arial" w:eastAsia="Arial" w:hAnsi="Arial"/>
          <w:sz w:val="16"/>
          <w:szCs w:val="16"/>
          <w:color w:val="auto"/>
        </w:rPr>
        <w:t>, that upon termination of such prohibition, such interest shall immediately become Collateral without any action by Borrower or Bank; or (e) any Intellectual Property; provided, however, the Collateral shall include all Accounts and all proceeds of Intellectual Property. If a judicial authority (including a U.S. Bankruptcy Court) would hold that a security interest in the underlying Intellectual Property is necessary to have a security interest in such Accounts and such property that are proceeds of Intellectual Property, then the Collateral shall automatically, and effective as of the Effective Date, include the Intellectual Property to the extent necessary to permit perfection of Bank’s security interest in such Accounts and such other property of Borrower that are proceeds of the Intellectual Property.</w:t>
      </w:r>
    </w:p>
    <w:p>
      <w:pPr>
        <w:sectPr>
          <w:pgSz w:w="11900" w:h="16838" w:orient="portrait"/>
          <w:cols w:equalWidth="0" w:num="1">
            <w:col w:w="11420"/>
          </w:cols>
          <w:pgMar w:left="240" w:top="796" w:right="239" w:bottom="1440" w:gutter="0" w:footer="0" w:header="0"/>
        </w:sectPr>
      </w:pPr>
    </w:p>
    <w:bookmarkStart w:id="36" w:name="page37"/>
    <w:bookmarkEnd w:id="36"/>
    <w:tbl>
      <w:tblPr>
        <w:tblLayout w:type="fixed"/>
        <w:tblInd w:w="40" w:type="dxa"/>
        <w:tblCellMar>
          <w:top w:w="0" w:type="dxa"/>
          <w:left w:w="0" w:type="dxa"/>
          <w:bottom w:w="0" w:type="dxa"/>
          <w:right w:w="0" w:type="dxa"/>
        </w:tblCellMar>
      </w:tblPr>
      <w:tr>
        <w:trPr>
          <w:trHeight w:val="207"/>
        </w:trPr>
        <w:tc>
          <w:tcPr>
            <w:tcW w:w="74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740" w:type="dxa"/>
            <w:vAlign w:val="bottom"/>
            <w:gridSpan w:val="3"/>
          </w:tcPr>
          <w:p>
            <w:pPr>
              <w:jc w:val="center"/>
              <w:ind w:right="1710"/>
              <w:spacing w:after="0"/>
              <w:rPr>
                <w:sz w:val="20"/>
                <w:szCs w:val="20"/>
                <w:color w:val="auto"/>
              </w:rPr>
            </w:pPr>
            <w:r>
              <w:rPr>
                <w:rFonts w:ascii="Arial" w:cs="Arial" w:eastAsia="Arial" w:hAnsi="Arial"/>
                <w:sz w:val="18"/>
                <w:szCs w:val="18"/>
                <w:b w:val="1"/>
                <w:bCs w:val="1"/>
                <w:color w:val="auto"/>
              </w:rPr>
              <w:t>EXHIBIT B</w:t>
            </w:r>
          </w:p>
        </w:tc>
      </w:tr>
      <w:tr>
        <w:trPr>
          <w:trHeight w:val="20"/>
        </w:trPr>
        <w:tc>
          <w:tcPr>
            <w:tcW w:w="7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12"/>
        </w:trPr>
        <w:tc>
          <w:tcPr>
            <w:tcW w:w="7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060" w:type="dxa"/>
            <w:vAlign w:val="bottom"/>
            <w:gridSpan w:val="5"/>
          </w:tcPr>
          <w:p>
            <w:pPr>
              <w:jc w:val="center"/>
              <w:ind w:right="370"/>
              <w:spacing w:after="0"/>
              <w:rPr>
                <w:sz w:val="20"/>
                <w:szCs w:val="20"/>
                <w:color w:val="auto"/>
              </w:rPr>
            </w:pPr>
            <w:r>
              <w:rPr>
                <w:rFonts w:ascii="Arial" w:cs="Arial" w:eastAsia="Arial" w:hAnsi="Arial"/>
                <w:sz w:val="18"/>
                <w:szCs w:val="18"/>
                <w:b w:val="1"/>
                <w:bCs w:val="1"/>
                <w:color w:val="auto"/>
              </w:rPr>
              <w:t>COMPLIANCE CERTIFICATE</w:t>
            </w:r>
          </w:p>
        </w:tc>
      </w:tr>
      <w:tr>
        <w:trPr>
          <w:trHeight w:val="615"/>
        </w:trPr>
        <w:tc>
          <w:tcPr>
            <w:tcW w:w="740" w:type="dxa"/>
            <w:vAlign w:val="bottom"/>
          </w:tcPr>
          <w:p>
            <w:pPr>
              <w:spacing w:after="0"/>
              <w:rPr>
                <w:sz w:val="20"/>
                <w:szCs w:val="20"/>
                <w:color w:val="auto"/>
              </w:rPr>
            </w:pPr>
            <w:r>
              <w:rPr>
                <w:rFonts w:ascii="Arial" w:cs="Arial" w:eastAsia="Arial" w:hAnsi="Arial"/>
                <w:sz w:val="18"/>
                <w:szCs w:val="18"/>
                <w:color w:val="auto"/>
              </w:rPr>
              <w:t>TO:</w:t>
            </w:r>
          </w:p>
        </w:tc>
        <w:tc>
          <w:tcPr>
            <w:tcW w:w="3140" w:type="dxa"/>
            <w:vAlign w:val="bottom"/>
          </w:tcPr>
          <w:p>
            <w:pPr>
              <w:ind w:left="180"/>
              <w:spacing w:after="0"/>
              <w:rPr>
                <w:sz w:val="20"/>
                <w:szCs w:val="20"/>
                <w:color w:val="auto"/>
              </w:rPr>
            </w:pPr>
            <w:r>
              <w:rPr>
                <w:rFonts w:ascii="Arial" w:cs="Arial" w:eastAsia="Arial" w:hAnsi="Arial"/>
                <w:sz w:val="18"/>
                <w:szCs w:val="18"/>
                <w:color w:val="auto"/>
              </w:rPr>
              <w:t>SILICON VALLEY BANK</w:t>
            </w:r>
          </w:p>
        </w:tc>
        <w:tc>
          <w:tcPr>
            <w:tcW w:w="54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0" w:type="dxa"/>
            <w:vAlign w:val="bottom"/>
          </w:tcPr>
          <w:p>
            <w:pPr>
              <w:ind w:left="600"/>
              <w:spacing w:after="0"/>
              <w:rPr>
                <w:sz w:val="20"/>
                <w:szCs w:val="20"/>
                <w:color w:val="auto"/>
              </w:rPr>
            </w:pPr>
            <w:r>
              <w:rPr>
                <w:rFonts w:ascii="Arial" w:cs="Arial" w:eastAsia="Arial" w:hAnsi="Arial"/>
                <w:sz w:val="18"/>
                <w:szCs w:val="18"/>
                <w:color w:val="auto"/>
                <w:w w:val="88"/>
              </w:rPr>
              <w:t>Date:</w:t>
            </w:r>
          </w:p>
        </w:tc>
      </w:tr>
      <w:tr>
        <w:trPr>
          <w:trHeight w:val="284"/>
        </w:trPr>
        <w:tc>
          <w:tcPr>
            <w:tcW w:w="740" w:type="dxa"/>
            <w:vAlign w:val="bottom"/>
          </w:tcPr>
          <w:p>
            <w:pPr>
              <w:spacing w:after="0"/>
              <w:rPr>
                <w:sz w:val="20"/>
                <w:szCs w:val="20"/>
                <w:color w:val="auto"/>
              </w:rPr>
            </w:pPr>
            <w:r>
              <w:rPr>
                <w:rFonts w:ascii="Arial" w:cs="Arial" w:eastAsia="Arial" w:hAnsi="Arial"/>
                <w:sz w:val="18"/>
                <w:szCs w:val="18"/>
                <w:color w:val="auto"/>
              </w:rPr>
              <w:t>FROM:</w:t>
            </w:r>
          </w:p>
        </w:tc>
        <w:tc>
          <w:tcPr>
            <w:tcW w:w="3140" w:type="dxa"/>
            <w:vAlign w:val="bottom"/>
          </w:tcPr>
          <w:p>
            <w:pPr>
              <w:ind w:left="180"/>
              <w:spacing w:after="0"/>
              <w:rPr>
                <w:sz w:val="20"/>
                <w:szCs w:val="20"/>
                <w:color w:val="auto"/>
              </w:rPr>
            </w:pPr>
            <w:r>
              <w:rPr>
                <w:rFonts w:ascii="Arial" w:cs="Arial" w:eastAsia="Arial" w:hAnsi="Arial"/>
                <w:sz w:val="18"/>
                <w:szCs w:val="18"/>
                <w:color w:val="auto"/>
              </w:rPr>
              <w:t>SELECTA BIOSCIENCES, INC.</w:t>
            </w: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-162560</wp:posOffset>
            </wp:positionV>
            <wp:extent cx="2169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undersigned authorized officer of SELECTA BIOSCIENCES, INC. (“Borrower”) certifies that solely in his/her capacity as an officer of Borrower and not in his/her individual capacity, under the terms and conditions of the Loan and Security Agreement between Borrower and Bank (the “Agreement”):</w:t>
      </w:r>
    </w:p>
    <w:p>
      <w:pPr>
        <w:spacing w:after="0" w:line="181" w:lineRule="exact"/>
        <w:rPr>
          <w:sz w:val="20"/>
          <w:szCs w:val="20"/>
          <w:color w:val="auto"/>
        </w:rPr>
      </w:pPr>
    </w:p>
    <w:p>
      <w:pPr>
        <w:jc w:val="both"/>
        <w:ind w:right="20" w:firstLine="656"/>
        <w:spacing w:after="0" w:line="271" w:lineRule="auto"/>
        <w:tabs>
          <w:tab w:leader="none" w:pos="907" w:val="left"/>
        </w:tabs>
        <w:numPr>
          <w:ilvl w:val="0"/>
          <w:numId w:val="49"/>
        </w:numPr>
        <w:rPr>
          <w:rFonts w:ascii="Arial" w:cs="Arial" w:eastAsia="Arial" w:hAnsi="Arial"/>
          <w:sz w:val="17"/>
          <w:szCs w:val="17"/>
          <w:color w:val="auto"/>
        </w:rPr>
      </w:pPr>
      <w:r>
        <w:rPr>
          <w:rFonts w:ascii="Arial" w:cs="Arial" w:eastAsia="Arial" w:hAnsi="Arial"/>
          <w:sz w:val="17"/>
          <w:szCs w:val="17"/>
          <w:color w:val="auto"/>
        </w:rPr>
        <w:t>Borrower is in complete compliance for the period ending _______________ with all required covenants except as noted below; (2) there are no Events of Default; (3) all representations and warranties in the Agreement are true and correct in all material respects on this date except as noted below;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(4) Borrower, and each of its Subsidiaries, has timely filed all required tax returns and reports, and Borrower has timely paid all foreign, federal, state and local taxes, assessments, deposits and contributions owed by Borrower except as otherwise permitted pursuant to the terms of Section 5.8 of the Agreement; and (5) no Liens have been levied or claims made against Borrower or any of its Subsidiaries relating to unpaid employee payroll or benefits of which Borrower has not previously provided written notification to Bank.</w:t>
      </w:r>
    </w:p>
    <w:p>
      <w:pPr>
        <w:spacing w:after="0" w:line="179"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Attached are the required documents supporting the certification. The undersigned certifies that these are prepared in accordance with GAAP, with the exception of monthly financial statements, consistently applied from one period to the next except as explained in an accompanying letter or footnotes. The undersigned acknowledges that no borrowings may be requested at any time or date of determination that Borrower is not in compliance with any of the terms of the Agreement, and that compliance is determined not just at the date this certificate is delivered. Capitalized terms used but not otherwise defined herein shall have the meanings given them in the Agreement.</w:t>
      </w:r>
    </w:p>
    <w:p>
      <w:pPr>
        <w:spacing w:after="0" w:line="346"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Please indicate compliance status by circling Yes/No under “Complies” column.</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40" w:type="dxa"/>
            <w:vAlign w:val="bottom"/>
            <w:tcBorders>
              <w:top w:val="single" w:sz="8" w:color="auto"/>
              <w:left w:val="single" w:sz="8" w:color="auto"/>
            </w:tcBorders>
          </w:tcPr>
          <w:p>
            <w:pPr>
              <w:spacing w:after="0"/>
              <w:rPr>
                <w:sz w:val="18"/>
                <w:szCs w:val="18"/>
                <w:color w:val="auto"/>
              </w:rPr>
            </w:pPr>
          </w:p>
        </w:tc>
        <w:tc>
          <w:tcPr>
            <w:tcW w:w="490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Reporting Covenants</w:t>
            </w:r>
          </w:p>
        </w:tc>
        <w:tc>
          <w:tcPr>
            <w:tcW w:w="1860" w:type="dxa"/>
            <w:vAlign w:val="bottom"/>
            <w:tcBorders>
              <w:top w:val="single" w:sz="8" w:color="auto"/>
            </w:tcBorders>
          </w:tcPr>
          <w:p>
            <w:pPr>
              <w:spacing w:after="0"/>
              <w:rPr>
                <w:sz w:val="18"/>
                <w:szCs w:val="18"/>
                <w:color w:val="auto"/>
              </w:rPr>
            </w:pPr>
          </w:p>
        </w:tc>
        <w:tc>
          <w:tcPr>
            <w:tcW w:w="258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Required</w:t>
            </w:r>
          </w:p>
        </w:tc>
        <w:tc>
          <w:tcPr>
            <w:tcW w:w="660" w:type="dxa"/>
            <w:vAlign w:val="bottom"/>
            <w:tcBorders>
              <w:top w:val="single" w:sz="8" w:color="auto"/>
            </w:tcBorders>
          </w:tcPr>
          <w:p>
            <w:pPr>
              <w:spacing w:after="0"/>
              <w:rPr>
                <w:sz w:val="18"/>
                <w:szCs w:val="18"/>
                <w:color w:val="auto"/>
              </w:rPr>
            </w:pPr>
          </w:p>
        </w:tc>
        <w:tc>
          <w:tcPr>
            <w:tcW w:w="1400" w:type="dxa"/>
            <w:vAlign w:val="bottom"/>
            <w:tcBorders>
              <w:top w:val="single" w:sz="8" w:color="auto"/>
              <w:right w:val="single" w:sz="8" w:color="auto"/>
            </w:tcBorders>
            <w:gridSpan w:val="2"/>
          </w:tcPr>
          <w:p>
            <w:pPr>
              <w:jc w:val="center"/>
              <w:ind w:right="680"/>
              <w:spacing w:after="0"/>
              <w:rPr>
                <w:sz w:val="20"/>
                <w:szCs w:val="20"/>
                <w:color w:val="auto"/>
              </w:rPr>
            </w:pPr>
            <w:r>
              <w:rPr>
                <w:rFonts w:ascii="Arial" w:cs="Arial" w:eastAsia="Arial" w:hAnsi="Arial"/>
                <w:sz w:val="18"/>
                <w:szCs w:val="18"/>
                <w:b w:val="1"/>
                <w:bCs w:val="1"/>
                <w:color w:val="auto"/>
                <w:w w:val="88"/>
              </w:rPr>
              <w:t>Complies</w:t>
            </w: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1640" w:type="dxa"/>
            <w:vAlign w:val="bottom"/>
            <w:tcBorders>
              <w:top w:val="single" w:sz="8" w:color="auto"/>
              <w:bottom w:val="single" w:sz="8" w:color="auto"/>
            </w:tcBorders>
          </w:tcPr>
          <w:p>
            <w:pPr>
              <w:spacing w:after="0"/>
              <w:rPr>
                <w:sz w:val="4"/>
                <w:szCs w:val="4"/>
                <w:color w:val="auto"/>
              </w:rPr>
            </w:pPr>
          </w:p>
        </w:tc>
        <w:tc>
          <w:tcPr>
            <w:tcW w:w="3260" w:type="dxa"/>
            <w:vAlign w:val="bottom"/>
            <w:tcBorders>
              <w:bottom w:val="single" w:sz="8" w:color="auto"/>
              <w:right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720" w:type="dxa"/>
            <w:vAlign w:val="bottom"/>
            <w:tcBorders>
              <w:top w:val="single" w:sz="8" w:color="auto"/>
              <w:bottom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720" w:type="dxa"/>
            <w:vAlign w:val="bottom"/>
            <w:tcBorders>
              <w:top w:val="single" w:sz="8" w:color="auto"/>
              <w:bottom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r>
      <w:tr>
        <w:trPr>
          <w:trHeight w:val="277"/>
        </w:trPr>
        <w:tc>
          <w:tcPr>
            <w:tcW w:w="40" w:type="dxa"/>
            <w:vAlign w:val="bottom"/>
            <w:tcBorders>
              <w:left w:val="single" w:sz="8" w:color="auto"/>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3260" w:type="dxa"/>
            <w:vAlign w:val="bottom"/>
            <w:tcBorders>
              <w:bottom w:val="single" w:sz="8" w:color="auto"/>
              <w:right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49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Monthly financial statements (not in conformity with GAAP)</w:t>
            </w:r>
          </w:p>
        </w:tc>
        <w:tc>
          <w:tcPr>
            <w:tcW w:w="44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Monthly within 30 days</w:t>
            </w:r>
          </w:p>
        </w:tc>
        <w:tc>
          <w:tcPr>
            <w:tcW w:w="660" w:type="dxa"/>
            <w:vAlign w:val="bottom"/>
          </w:tcPr>
          <w:p>
            <w:pPr>
              <w:spacing w:after="0"/>
              <w:rPr>
                <w:sz w:val="20"/>
                <w:szCs w:val="20"/>
                <w:color w:val="auto"/>
              </w:rPr>
            </w:pPr>
          </w:p>
        </w:tc>
        <w:tc>
          <w:tcPr>
            <w:tcW w:w="1400" w:type="dxa"/>
            <w:vAlign w:val="bottom"/>
            <w:tcBorders>
              <w:right w:val="single" w:sz="8" w:color="auto"/>
            </w:tcBorders>
            <w:gridSpan w:val="2"/>
          </w:tcPr>
          <w:p>
            <w:pPr>
              <w:jc w:val="center"/>
              <w:ind w:right="680"/>
              <w:spacing w:after="0"/>
              <w:rPr>
                <w:sz w:val="20"/>
                <w:szCs w:val="20"/>
                <w:color w:val="auto"/>
              </w:rPr>
            </w:pPr>
            <w:r>
              <w:rPr>
                <w:rFonts w:ascii="Arial" w:cs="Arial" w:eastAsia="Arial" w:hAnsi="Arial"/>
                <w:sz w:val="18"/>
                <w:szCs w:val="18"/>
                <w:color w:val="auto"/>
                <w:w w:val="88"/>
              </w:rPr>
              <w:t>Yes No</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49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Monthly Compliance Certificate</w:t>
            </w:r>
          </w:p>
        </w:tc>
        <w:tc>
          <w:tcPr>
            <w:tcW w:w="44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Monthly within 30 days</w:t>
            </w:r>
          </w:p>
        </w:tc>
        <w:tc>
          <w:tcPr>
            <w:tcW w:w="660" w:type="dxa"/>
            <w:vAlign w:val="bottom"/>
          </w:tcPr>
          <w:p>
            <w:pPr>
              <w:spacing w:after="0"/>
              <w:rPr>
                <w:sz w:val="20"/>
                <w:szCs w:val="20"/>
                <w:color w:val="auto"/>
              </w:rPr>
            </w:pPr>
          </w:p>
        </w:tc>
        <w:tc>
          <w:tcPr>
            <w:tcW w:w="1400" w:type="dxa"/>
            <w:vAlign w:val="bottom"/>
            <w:tcBorders>
              <w:right w:val="single" w:sz="8" w:color="auto"/>
            </w:tcBorders>
            <w:gridSpan w:val="2"/>
          </w:tcPr>
          <w:p>
            <w:pPr>
              <w:jc w:val="center"/>
              <w:ind w:right="680"/>
              <w:spacing w:after="0"/>
              <w:rPr>
                <w:sz w:val="20"/>
                <w:szCs w:val="20"/>
                <w:color w:val="auto"/>
              </w:rPr>
            </w:pPr>
            <w:r>
              <w:rPr>
                <w:rFonts w:ascii="Arial" w:cs="Arial" w:eastAsia="Arial" w:hAnsi="Arial"/>
                <w:sz w:val="18"/>
                <w:szCs w:val="18"/>
                <w:color w:val="auto"/>
                <w:w w:val="88"/>
              </w:rPr>
              <w:t>Yes No</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49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Quarterly financial statements</w:t>
            </w:r>
          </w:p>
        </w:tc>
        <w:tc>
          <w:tcPr>
            <w:tcW w:w="44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Quarterly within 45 days (except last quarter, within 90</w:t>
            </w:r>
          </w:p>
        </w:tc>
        <w:tc>
          <w:tcPr>
            <w:tcW w:w="660" w:type="dxa"/>
            <w:vAlign w:val="bottom"/>
          </w:tcPr>
          <w:p>
            <w:pPr>
              <w:spacing w:after="0"/>
              <w:rPr>
                <w:sz w:val="19"/>
                <w:szCs w:val="19"/>
                <w:color w:val="auto"/>
              </w:rPr>
            </w:pPr>
          </w:p>
        </w:tc>
        <w:tc>
          <w:tcPr>
            <w:tcW w:w="1400" w:type="dxa"/>
            <w:vAlign w:val="bottom"/>
            <w:tcBorders>
              <w:right w:val="single" w:sz="8" w:color="auto"/>
            </w:tcBorders>
            <w:gridSpan w:val="2"/>
          </w:tcPr>
          <w:p>
            <w:pPr>
              <w:jc w:val="center"/>
              <w:ind w:right="680"/>
              <w:spacing w:after="0"/>
              <w:rPr>
                <w:sz w:val="20"/>
                <w:szCs w:val="20"/>
                <w:color w:val="auto"/>
              </w:rPr>
            </w:pPr>
            <w:r>
              <w:rPr>
                <w:rFonts w:ascii="Arial" w:cs="Arial" w:eastAsia="Arial" w:hAnsi="Arial"/>
                <w:sz w:val="18"/>
                <w:szCs w:val="18"/>
                <w:color w:val="auto"/>
                <w:w w:val="88"/>
              </w:rPr>
              <w:t>Yes No</w:t>
            </w:r>
          </w:p>
        </w:tc>
      </w:tr>
      <w:tr>
        <w:trPr>
          <w:trHeight w:val="230"/>
        </w:trPr>
        <w:tc>
          <w:tcPr>
            <w:tcW w:w="40" w:type="dxa"/>
            <w:vAlign w:val="bottom"/>
            <w:tcBorders>
              <w:left w:val="single" w:sz="8" w:color="auto"/>
            </w:tcBorders>
          </w:tcPr>
          <w:p>
            <w:pPr>
              <w:spacing w:after="0"/>
              <w:rPr>
                <w:sz w:val="20"/>
                <w:szCs w:val="20"/>
                <w:color w:val="auto"/>
              </w:rPr>
            </w:pPr>
          </w:p>
        </w:tc>
        <w:tc>
          <w:tcPr>
            <w:tcW w:w="1640" w:type="dxa"/>
            <w:vAlign w:val="bottom"/>
          </w:tcPr>
          <w:p>
            <w:pPr>
              <w:spacing w:after="0"/>
              <w:rPr>
                <w:sz w:val="20"/>
                <w:szCs w:val="20"/>
                <w:color w:val="auto"/>
              </w:rPr>
            </w:pPr>
          </w:p>
        </w:tc>
        <w:tc>
          <w:tcPr>
            <w:tcW w:w="3260" w:type="dxa"/>
            <w:vAlign w:val="bottom"/>
            <w:tcBorders>
              <w:right w:val="single" w:sz="8" w:color="auto"/>
            </w:tcBorders>
          </w:tcPr>
          <w:p>
            <w:pPr>
              <w:spacing w:after="0"/>
              <w:rPr>
                <w:sz w:val="20"/>
                <w:szCs w:val="20"/>
                <w:color w:val="auto"/>
              </w:rPr>
            </w:pPr>
          </w:p>
        </w:tc>
        <w:tc>
          <w:tcPr>
            <w:tcW w:w="44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days)</w:t>
            </w:r>
          </w:p>
        </w:tc>
        <w:tc>
          <w:tcPr>
            <w:tcW w:w="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49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Quarterly Compliance Certificate</w:t>
            </w:r>
          </w:p>
        </w:tc>
        <w:tc>
          <w:tcPr>
            <w:tcW w:w="44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Quarterly within 45 days (except last quarter, within 90</w:t>
            </w:r>
          </w:p>
        </w:tc>
        <w:tc>
          <w:tcPr>
            <w:tcW w:w="660" w:type="dxa"/>
            <w:vAlign w:val="bottom"/>
          </w:tcPr>
          <w:p>
            <w:pPr>
              <w:spacing w:after="0"/>
              <w:rPr>
                <w:sz w:val="19"/>
                <w:szCs w:val="19"/>
                <w:color w:val="auto"/>
              </w:rPr>
            </w:pPr>
          </w:p>
        </w:tc>
        <w:tc>
          <w:tcPr>
            <w:tcW w:w="1400" w:type="dxa"/>
            <w:vAlign w:val="bottom"/>
            <w:tcBorders>
              <w:right w:val="single" w:sz="8" w:color="auto"/>
            </w:tcBorders>
            <w:gridSpan w:val="2"/>
          </w:tcPr>
          <w:p>
            <w:pPr>
              <w:jc w:val="center"/>
              <w:ind w:right="680"/>
              <w:spacing w:after="0"/>
              <w:rPr>
                <w:sz w:val="20"/>
                <w:szCs w:val="20"/>
                <w:color w:val="auto"/>
              </w:rPr>
            </w:pPr>
            <w:r>
              <w:rPr>
                <w:rFonts w:ascii="Arial" w:cs="Arial" w:eastAsia="Arial" w:hAnsi="Arial"/>
                <w:sz w:val="18"/>
                <w:szCs w:val="18"/>
                <w:color w:val="auto"/>
                <w:w w:val="88"/>
              </w:rPr>
              <w:t>Yes No</w:t>
            </w:r>
          </w:p>
        </w:tc>
      </w:tr>
      <w:tr>
        <w:trPr>
          <w:trHeight w:val="230"/>
        </w:trPr>
        <w:tc>
          <w:tcPr>
            <w:tcW w:w="40" w:type="dxa"/>
            <w:vAlign w:val="bottom"/>
            <w:tcBorders>
              <w:left w:val="single" w:sz="8" w:color="auto"/>
            </w:tcBorders>
          </w:tcPr>
          <w:p>
            <w:pPr>
              <w:spacing w:after="0"/>
              <w:rPr>
                <w:sz w:val="20"/>
                <w:szCs w:val="20"/>
                <w:color w:val="auto"/>
              </w:rPr>
            </w:pPr>
          </w:p>
        </w:tc>
        <w:tc>
          <w:tcPr>
            <w:tcW w:w="1640" w:type="dxa"/>
            <w:vAlign w:val="bottom"/>
          </w:tcPr>
          <w:p>
            <w:pPr>
              <w:spacing w:after="0"/>
              <w:rPr>
                <w:sz w:val="20"/>
                <w:szCs w:val="20"/>
                <w:color w:val="auto"/>
              </w:rPr>
            </w:pPr>
          </w:p>
        </w:tc>
        <w:tc>
          <w:tcPr>
            <w:tcW w:w="3260" w:type="dxa"/>
            <w:vAlign w:val="bottom"/>
            <w:tcBorders>
              <w:right w:val="single" w:sz="8" w:color="auto"/>
            </w:tcBorders>
          </w:tcPr>
          <w:p>
            <w:pPr>
              <w:spacing w:after="0"/>
              <w:rPr>
                <w:sz w:val="20"/>
                <w:szCs w:val="20"/>
                <w:color w:val="auto"/>
              </w:rPr>
            </w:pPr>
          </w:p>
        </w:tc>
        <w:tc>
          <w:tcPr>
            <w:tcW w:w="44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days)</w:t>
            </w:r>
          </w:p>
        </w:tc>
        <w:tc>
          <w:tcPr>
            <w:tcW w:w="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49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Board-Approved Projections</w:t>
            </w:r>
          </w:p>
        </w:tc>
        <w:tc>
          <w:tcPr>
            <w:tcW w:w="44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w w:val="97"/>
              </w:rPr>
              <w:t>Earlier of within 60 days of Board approval or 60 days of</w:t>
            </w:r>
          </w:p>
        </w:tc>
        <w:tc>
          <w:tcPr>
            <w:tcW w:w="660" w:type="dxa"/>
            <w:vAlign w:val="bottom"/>
          </w:tcPr>
          <w:p>
            <w:pPr>
              <w:spacing w:after="0"/>
              <w:rPr>
                <w:sz w:val="19"/>
                <w:szCs w:val="19"/>
                <w:color w:val="auto"/>
              </w:rPr>
            </w:pPr>
          </w:p>
        </w:tc>
        <w:tc>
          <w:tcPr>
            <w:tcW w:w="1400" w:type="dxa"/>
            <w:vAlign w:val="bottom"/>
            <w:tcBorders>
              <w:right w:val="single" w:sz="8" w:color="auto"/>
            </w:tcBorders>
            <w:gridSpan w:val="2"/>
          </w:tcPr>
          <w:p>
            <w:pPr>
              <w:jc w:val="center"/>
              <w:ind w:right="680"/>
              <w:spacing w:after="0"/>
              <w:rPr>
                <w:sz w:val="20"/>
                <w:szCs w:val="20"/>
                <w:color w:val="auto"/>
              </w:rPr>
            </w:pPr>
            <w:r>
              <w:rPr>
                <w:rFonts w:ascii="Arial" w:cs="Arial" w:eastAsia="Arial" w:hAnsi="Arial"/>
                <w:sz w:val="18"/>
                <w:szCs w:val="18"/>
                <w:color w:val="auto"/>
                <w:w w:val="88"/>
              </w:rPr>
              <w:t>Yes No</w:t>
            </w:r>
          </w:p>
        </w:tc>
      </w:tr>
      <w:tr>
        <w:trPr>
          <w:trHeight w:val="230"/>
        </w:trPr>
        <w:tc>
          <w:tcPr>
            <w:tcW w:w="40" w:type="dxa"/>
            <w:vAlign w:val="bottom"/>
            <w:tcBorders>
              <w:left w:val="single" w:sz="8" w:color="auto"/>
            </w:tcBorders>
          </w:tcPr>
          <w:p>
            <w:pPr>
              <w:spacing w:after="0"/>
              <w:rPr>
                <w:sz w:val="20"/>
                <w:szCs w:val="20"/>
                <w:color w:val="auto"/>
              </w:rPr>
            </w:pPr>
          </w:p>
        </w:tc>
        <w:tc>
          <w:tcPr>
            <w:tcW w:w="1640" w:type="dxa"/>
            <w:vAlign w:val="bottom"/>
          </w:tcPr>
          <w:p>
            <w:pPr>
              <w:spacing w:after="0"/>
              <w:rPr>
                <w:sz w:val="20"/>
                <w:szCs w:val="20"/>
                <w:color w:val="auto"/>
              </w:rPr>
            </w:pPr>
          </w:p>
        </w:tc>
        <w:tc>
          <w:tcPr>
            <w:tcW w:w="3260" w:type="dxa"/>
            <w:vAlign w:val="bottom"/>
            <w:tcBorders>
              <w:right w:val="single" w:sz="8" w:color="auto"/>
            </w:tcBorders>
          </w:tcPr>
          <w:p>
            <w:pPr>
              <w:spacing w:after="0"/>
              <w:rPr>
                <w:sz w:val="20"/>
                <w:szCs w:val="20"/>
                <w:color w:val="auto"/>
              </w:rPr>
            </w:pPr>
          </w:p>
        </w:tc>
        <w:tc>
          <w:tcPr>
            <w:tcW w:w="44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FYE</w:t>
            </w:r>
          </w:p>
        </w:tc>
        <w:tc>
          <w:tcPr>
            <w:tcW w:w="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49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Annual financial statements (CPA Audited)</w:t>
            </w:r>
          </w:p>
        </w:tc>
        <w:tc>
          <w:tcPr>
            <w:tcW w:w="44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FYE within 180 days</w:t>
            </w:r>
          </w:p>
        </w:tc>
        <w:tc>
          <w:tcPr>
            <w:tcW w:w="660" w:type="dxa"/>
            <w:vAlign w:val="bottom"/>
          </w:tcPr>
          <w:p>
            <w:pPr>
              <w:spacing w:after="0"/>
              <w:rPr>
                <w:sz w:val="20"/>
                <w:szCs w:val="20"/>
                <w:color w:val="auto"/>
              </w:rPr>
            </w:pPr>
          </w:p>
        </w:tc>
        <w:tc>
          <w:tcPr>
            <w:tcW w:w="1400" w:type="dxa"/>
            <w:vAlign w:val="bottom"/>
            <w:tcBorders>
              <w:right w:val="single" w:sz="8" w:color="auto"/>
            </w:tcBorders>
            <w:gridSpan w:val="2"/>
          </w:tcPr>
          <w:p>
            <w:pPr>
              <w:jc w:val="center"/>
              <w:ind w:right="680"/>
              <w:spacing w:after="0"/>
              <w:rPr>
                <w:sz w:val="20"/>
                <w:szCs w:val="20"/>
                <w:color w:val="auto"/>
              </w:rPr>
            </w:pPr>
            <w:r>
              <w:rPr>
                <w:rFonts w:ascii="Arial" w:cs="Arial" w:eastAsia="Arial" w:hAnsi="Arial"/>
                <w:sz w:val="18"/>
                <w:szCs w:val="18"/>
                <w:color w:val="auto"/>
                <w:w w:val="88"/>
              </w:rPr>
              <w:t>Yes No</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4900" w:type="dxa"/>
            <w:vAlign w:val="bottom"/>
            <w:tcBorders>
              <w:right w:val="single" w:sz="8" w:color="auto"/>
            </w:tcBorders>
            <w:gridSpan w:val="2"/>
          </w:tcPr>
          <w:p>
            <w:pPr>
              <w:spacing w:after="0" w:line="207" w:lineRule="exact"/>
              <w:rPr>
                <w:sz w:val="20"/>
                <w:szCs w:val="20"/>
                <w:color w:val="auto"/>
              </w:rPr>
            </w:pPr>
            <w:r>
              <w:rPr>
                <w:rFonts w:ascii="Arial" w:cs="Arial" w:eastAsia="Arial" w:hAnsi="Arial"/>
                <w:sz w:val="18"/>
                <w:szCs w:val="18"/>
                <w:color w:val="auto"/>
              </w:rPr>
              <w:t>10</w:t>
            </w:r>
            <w:r>
              <w:rPr>
                <w:rFonts w:ascii="MS PGothic" w:cs="MS PGothic" w:eastAsia="MS PGothic" w:hAnsi="MS PGothic"/>
                <w:sz w:val="18"/>
                <w:szCs w:val="18"/>
                <w:color w:val="auto"/>
              </w:rPr>
              <w:t>‑</w:t>
            </w:r>
            <w:r>
              <w:rPr>
                <w:rFonts w:ascii="Arial" w:cs="Arial" w:eastAsia="Arial" w:hAnsi="Arial"/>
                <w:sz w:val="18"/>
                <w:szCs w:val="18"/>
                <w:color w:val="auto"/>
              </w:rPr>
              <w:t>Q, 10</w:t>
            </w:r>
            <w:r>
              <w:rPr>
                <w:rFonts w:ascii="MS PGothic" w:cs="MS PGothic" w:eastAsia="MS PGothic" w:hAnsi="MS PGothic"/>
                <w:sz w:val="18"/>
                <w:szCs w:val="18"/>
                <w:color w:val="auto"/>
              </w:rPr>
              <w:t>‑</w:t>
            </w:r>
            <w:r>
              <w:rPr>
                <w:rFonts w:ascii="Arial" w:cs="Arial" w:eastAsia="Arial" w:hAnsi="Arial"/>
                <w:sz w:val="18"/>
                <w:szCs w:val="18"/>
                <w:color w:val="auto"/>
              </w:rPr>
              <w:t>K and 8-K</w:t>
            </w:r>
          </w:p>
        </w:tc>
        <w:tc>
          <w:tcPr>
            <w:tcW w:w="44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w w:val="94"/>
              </w:rPr>
              <w:t>Within 5 days after filing with SEC (except when posted or</w:t>
            </w:r>
          </w:p>
        </w:tc>
        <w:tc>
          <w:tcPr>
            <w:tcW w:w="660" w:type="dxa"/>
            <w:vAlign w:val="bottom"/>
          </w:tcPr>
          <w:p>
            <w:pPr>
              <w:spacing w:after="0"/>
              <w:rPr>
                <w:sz w:val="19"/>
                <w:szCs w:val="19"/>
                <w:color w:val="auto"/>
              </w:rPr>
            </w:pPr>
          </w:p>
        </w:tc>
        <w:tc>
          <w:tcPr>
            <w:tcW w:w="1400" w:type="dxa"/>
            <w:vAlign w:val="bottom"/>
            <w:tcBorders>
              <w:right w:val="single" w:sz="8" w:color="auto"/>
            </w:tcBorders>
            <w:gridSpan w:val="2"/>
          </w:tcPr>
          <w:p>
            <w:pPr>
              <w:jc w:val="center"/>
              <w:ind w:right="680"/>
              <w:spacing w:after="0"/>
              <w:rPr>
                <w:sz w:val="20"/>
                <w:szCs w:val="20"/>
                <w:color w:val="auto"/>
              </w:rPr>
            </w:pPr>
            <w:r>
              <w:rPr>
                <w:rFonts w:ascii="Arial" w:cs="Arial" w:eastAsia="Arial" w:hAnsi="Arial"/>
                <w:sz w:val="18"/>
                <w:szCs w:val="18"/>
                <w:color w:val="auto"/>
                <w:w w:val="88"/>
              </w:rPr>
              <w:t>Yes No</w:t>
            </w:r>
          </w:p>
        </w:tc>
      </w:tr>
      <w:tr>
        <w:trPr>
          <w:trHeight w:val="230"/>
        </w:trPr>
        <w:tc>
          <w:tcPr>
            <w:tcW w:w="40" w:type="dxa"/>
            <w:vAlign w:val="bottom"/>
            <w:tcBorders>
              <w:left w:val="single" w:sz="8" w:color="auto"/>
            </w:tcBorders>
          </w:tcPr>
          <w:p>
            <w:pPr>
              <w:spacing w:after="0"/>
              <w:rPr>
                <w:sz w:val="20"/>
                <w:szCs w:val="20"/>
                <w:color w:val="auto"/>
              </w:rPr>
            </w:pPr>
          </w:p>
        </w:tc>
        <w:tc>
          <w:tcPr>
            <w:tcW w:w="1640" w:type="dxa"/>
            <w:vAlign w:val="bottom"/>
          </w:tcPr>
          <w:p>
            <w:pPr>
              <w:spacing w:after="0"/>
              <w:rPr>
                <w:sz w:val="20"/>
                <w:szCs w:val="20"/>
                <w:color w:val="auto"/>
              </w:rPr>
            </w:pPr>
          </w:p>
        </w:tc>
        <w:tc>
          <w:tcPr>
            <w:tcW w:w="3260" w:type="dxa"/>
            <w:vAlign w:val="bottom"/>
            <w:tcBorders>
              <w:right w:val="single" w:sz="8" w:color="auto"/>
            </w:tcBorders>
          </w:tcPr>
          <w:p>
            <w:pPr>
              <w:spacing w:after="0"/>
              <w:rPr>
                <w:sz w:val="20"/>
                <w:szCs w:val="20"/>
                <w:color w:val="auto"/>
              </w:rPr>
            </w:pPr>
          </w:p>
        </w:tc>
        <w:tc>
          <w:tcPr>
            <w:tcW w:w="44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linked on Borrower’s website)</w:t>
            </w:r>
          </w:p>
        </w:tc>
        <w:tc>
          <w:tcPr>
            <w:tcW w:w="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exceptions with respect to the certification above: (If no exceptions exist, state “No exceptions to note.”)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828282"/>
        </w:rPr>
        <w:t>1</w:t>
      </w:r>
    </w:p>
    <w:p>
      <w:pPr>
        <w:sectPr>
          <w:pgSz w:w="11900" w:h="16838" w:orient="portrait"/>
          <w:cols w:equalWidth="0" w:num="1">
            <w:col w:w="11440"/>
          </w:cols>
          <w:pgMar w:left="240" w:top="783" w:right="21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4"/>
        </w:trPr>
        <w:tc>
          <w:tcPr>
            <w:tcW w:w="4880" w:type="dxa"/>
            <w:vAlign w:val="bottom"/>
            <w:gridSpan w:val="2"/>
          </w:tcPr>
          <w:p>
            <w:pPr>
              <w:spacing w:after="0"/>
              <w:rPr>
                <w:sz w:val="20"/>
                <w:szCs w:val="20"/>
                <w:color w:val="auto"/>
              </w:rPr>
            </w:pPr>
            <w:r>
              <w:rPr>
                <w:rFonts w:ascii="Arial" w:cs="Arial" w:eastAsia="Arial" w:hAnsi="Arial"/>
                <w:sz w:val="18"/>
                <w:szCs w:val="18"/>
                <w:color w:val="auto"/>
              </w:rPr>
              <w:t>SELECTA BIOSCIENCES, INC.</w:t>
            </w:r>
          </w:p>
        </w:tc>
        <w:tc>
          <w:tcPr>
            <w:tcW w:w="2280" w:type="dxa"/>
            <w:vAlign w:val="bottom"/>
          </w:tcPr>
          <w:p>
            <w:pPr>
              <w:ind w:left="360"/>
              <w:spacing w:after="0"/>
              <w:rPr>
                <w:sz w:val="20"/>
                <w:szCs w:val="20"/>
                <w:color w:val="auto"/>
              </w:rPr>
            </w:pPr>
            <w:r>
              <w:rPr>
                <w:rFonts w:ascii="Arial" w:cs="Arial" w:eastAsia="Arial" w:hAnsi="Arial"/>
                <w:sz w:val="18"/>
                <w:szCs w:val="18"/>
                <w:b w:val="1"/>
                <w:bCs w:val="1"/>
                <w:color w:val="auto"/>
              </w:rPr>
              <w:t>BANK USE ONLY</w:t>
            </w:r>
          </w:p>
        </w:tc>
        <w:tc>
          <w:tcPr>
            <w:tcW w:w="4220" w:type="dxa"/>
            <w:vAlign w:val="bottom"/>
          </w:tcPr>
          <w:p>
            <w:pPr>
              <w:spacing w:after="0"/>
              <w:rPr>
                <w:sz w:val="20"/>
                <w:szCs w:val="20"/>
                <w:color w:val="auto"/>
              </w:rPr>
            </w:pPr>
          </w:p>
        </w:tc>
      </w:tr>
      <w:tr>
        <w:trPr>
          <w:trHeight w:val="594"/>
        </w:trPr>
        <w:tc>
          <w:tcPr>
            <w:tcW w:w="4880" w:type="dxa"/>
            <w:vAlign w:val="bottom"/>
            <w:gridSpan w:val="2"/>
          </w:tcPr>
          <w:p>
            <w:pPr>
              <w:spacing w:after="0"/>
              <w:rPr>
                <w:sz w:val="20"/>
                <w:szCs w:val="20"/>
                <w:color w:val="auto"/>
              </w:rPr>
            </w:pPr>
            <w:r>
              <w:rPr>
                <w:rFonts w:ascii="Arial" w:cs="Arial" w:eastAsia="Arial" w:hAnsi="Arial"/>
                <w:sz w:val="18"/>
                <w:szCs w:val="18"/>
                <w:color w:val="auto"/>
              </w:rPr>
              <w:t>By:</w:t>
            </w:r>
          </w:p>
        </w:tc>
        <w:tc>
          <w:tcPr>
            <w:tcW w:w="2280" w:type="dxa"/>
            <w:vAlign w:val="bottom"/>
          </w:tcPr>
          <w:p>
            <w:pPr>
              <w:ind w:left="360"/>
              <w:spacing w:after="0"/>
              <w:rPr>
                <w:sz w:val="20"/>
                <w:szCs w:val="20"/>
                <w:color w:val="auto"/>
              </w:rPr>
            </w:pPr>
            <w:r>
              <w:rPr>
                <w:rFonts w:ascii="Arial" w:cs="Arial" w:eastAsia="Arial" w:hAnsi="Arial"/>
                <w:sz w:val="18"/>
                <w:szCs w:val="18"/>
                <w:color w:val="auto"/>
              </w:rPr>
              <w:t>Received by:</w:t>
            </w:r>
          </w:p>
        </w:tc>
        <w:tc>
          <w:tcPr>
            <w:tcW w:w="4220" w:type="dxa"/>
            <w:vAlign w:val="bottom"/>
          </w:tcPr>
          <w:p>
            <w:pPr>
              <w:spacing w:after="0"/>
              <w:rPr>
                <w:sz w:val="24"/>
                <w:szCs w:val="24"/>
                <w:color w:val="auto"/>
              </w:rPr>
            </w:pPr>
          </w:p>
        </w:tc>
      </w:tr>
      <w:tr>
        <w:trPr>
          <w:trHeight w:val="27"/>
        </w:trPr>
        <w:tc>
          <w:tcPr>
            <w:tcW w:w="66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r>
      <w:tr>
        <w:trPr>
          <w:trHeight w:val="167"/>
        </w:trPr>
        <w:tc>
          <w:tcPr>
            <w:tcW w:w="6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4220" w:type="dxa"/>
            <w:vAlign w:val="bottom"/>
          </w:tcPr>
          <w:p>
            <w:pPr>
              <w:jc w:val="center"/>
              <w:ind w:left="48"/>
              <w:spacing w:after="0"/>
              <w:rPr>
                <w:sz w:val="20"/>
                <w:szCs w:val="20"/>
                <w:color w:val="auto"/>
              </w:rPr>
            </w:pPr>
            <w:r>
              <w:rPr>
                <w:rFonts w:ascii="Arial" w:cs="Arial" w:eastAsia="Arial" w:hAnsi="Arial"/>
                <w:sz w:val="13"/>
                <w:szCs w:val="13"/>
                <w:color w:val="auto"/>
                <w:w w:val="93"/>
              </w:rPr>
              <w:t>AUTHORIZED SIGNOR</w:t>
            </w:r>
          </w:p>
        </w:tc>
      </w:tr>
      <w:tr>
        <w:trPr>
          <w:trHeight w:val="340"/>
        </w:trPr>
        <w:tc>
          <w:tcPr>
            <w:tcW w:w="4880" w:type="dxa"/>
            <w:vAlign w:val="bottom"/>
            <w:gridSpan w:val="2"/>
          </w:tcPr>
          <w:p>
            <w:pPr>
              <w:spacing w:after="0"/>
              <w:rPr>
                <w:sz w:val="20"/>
                <w:szCs w:val="20"/>
                <w:color w:val="auto"/>
              </w:rPr>
            </w:pPr>
            <w:r>
              <w:rPr>
                <w:rFonts w:ascii="Arial" w:cs="Arial" w:eastAsia="Arial" w:hAnsi="Arial"/>
                <w:sz w:val="18"/>
                <w:szCs w:val="18"/>
                <w:color w:val="auto"/>
              </w:rPr>
              <w:t>Name:</w:t>
            </w:r>
          </w:p>
        </w:tc>
        <w:tc>
          <w:tcPr>
            <w:tcW w:w="2280" w:type="dxa"/>
            <w:vAlign w:val="bottom"/>
          </w:tcPr>
          <w:p>
            <w:pPr>
              <w:ind w:left="360"/>
              <w:spacing w:after="0"/>
              <w:rPr>
                <w:sz w:val="20"/>
                <w:szCs w:val="20"/>
                <w:color w:val="auto"/>
              </w:rPr>
            </w:pPr>
            <w:r>
              <w:rPr>
                <w:rFonts w:ascii="Arial" w:cs="Arial" w:eastAsia="Arial" w:hAnsi="Arial"/>
                <w:sz w:val="18"/>
                <w:szCs w:val="18"/>
                <w:color w:val="auto"/>
              </w:rPr>
              <w:t>Date:</w:t>
            </w:r>
          </w:p>
        </w:tc>
        <w:tc>
          <w:tcPr>
            <w:tcW w:w="4220" w:type="dxa"/>
            <w:vAlign w:val="bottom"/>
          </w:tcPr>
          <w:p>
            <w:pPr>
              <w:spacing w:after="0"/>
              <w:rPr>
                <w:sz w:val="24"/>
                <w:szCs w:val="24"/>
                <w:color w:val="auto"/>
              </w:rPr>
            </w:pPr>
          </w:p>
        </w:tc>
      </w:tr>
      <w:tr>
        <w:trPr>
          <w:trHeight w:val="27"/>
        </w:trPr>
        <w:tc>
          <w:tcPr>
            <w:tcW w:w="66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r>
      <w:tr>
        <w:trPr>
          <w:trHeight w:val="561"/>
        </w:trPr>
        <w:tc>
          <w:tcPr>
            <w:tcW w:w="4880" w:type="dxa"/>
            <w:vAlign w:val="bottom"/>
            <w:gridSpan w:val="2"/>
          </w:tcPr>
          <w:p>
            <w:pPr>
              <w:spacing w:after="0"/>
              <w:rPr>
                <w:sz w:val="20"/>
                <w:szCs w:val="20"/>
                <w:color w:val="auto"/>
              </w:rPr>
            </w:pPr>
            <w:r>
              <w:rPr>
                <w:rFonts w:ascii="Arial" w:cs="Arial" w:eastAsia="Arial" w:hAnsi="Arial"/>
                <w:sz w:val="18"/>
                <w:szCs w:val="18"/>
                <w:color w:val="auto"/>
              </w:rPr>
              <w:t>Title:</w:t>
            </w:r>
          </w:p>
        </w:tc>
        <w:tc>
          <w:tcPr>
            <w:tcW w:w="2280" w:type="dxa"/>
            <w:vAlign w:val="bottom"/>
          </w:tcPr>
          <w:p>
            <w:pPr>
              <w:ind w:left="360"/>
              <w:spacing w:after="0"/>
              <w:rPr>
                <w:sz w:val="20"/>
                <w:szCs w:val="20"/>
                <w:color w:val="auto"/>
              </w:rPr>
            </w:pPr>
            <w:r>
              <w:rPr>
                <w:rFonts w:ascii="Arial" w:cs="Arial" w:eastAsia="Arial" w:hAnsi="Arial"/>
                <w:sz w:val="18"/>
                <w:szCs w:val="18"/>
                <w:color w:val="auto"/>
              </w:rPr>
              <w:t>Verified:</w:t>
            </w:r>
          </w:p>
        </w:tc>
        <w:tc>
          <w:tcPr>
            <w:tcW w:w="4220" w:type="dxa"/>
            <w:vAlign w:val="bottom"/>
          </w:tcPr>
          <w:p>
            <w:pPr>
              <w:spacing w:after="0"/>
              <w:rPr>
                <w:sz w:val="24"/>
                <w:szCs w:val="24"/>
                <w:color w:val="auto"/>
              </w:rPr>
            </w:pPr>
          </w:p>
        </w:tc>
      </w:tr>
      <w:tr>
        <w:trPr>
          <w:trHeight w:val="27"/>
        </w:trPr>
        <w:tc>
          <w:tcPr>
            <w:tcW w:w="66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r>
      <w:tr>
        <w:trPr>
          <w:trHeight w:val="167"/>
        </w:trPr>
        <w:tc>
          <w:tcPr>
            <w:tcW w:w="6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4220" w:type="dxa"/>
            <w:vAlign w:val="bottom"/>
          </w:tcPr>
          <w:p>
            <w:pPr>
              <w:jc w:val="center"/>
              <w:ind w:left="48"/>
              <w:spacing w:after="0"/>
              <w:rPr>
                <w:sz w:val="20"/>
                <w:szCs w:val="20"/>
                <w:color w:val="auto"/>
              </w:rPr>
            </w:pPr>
            <w:r>
              <w:rPr>
                <w:rFonts w:ascii="Arial" w:cs="Arial" w:eastAsia="Arial" w:hAnsi="Arial"/>
                <w:sz w:val="13"/>
                <w:szCs w:val="13"/>
                <w:color w:val="auto"/>
                <w:w w:val="93"/>
              </w:rPr>
              <w:t>AUTHORIZED SIGNOR</w:t>
            </w:r>
          </w:p>
        </w:tc>
      </w:tr>
      <w:tr>
        <w:trPr>
          <w:trHeight w:val="340"/>
        </w:trPr>
        <w:tc>
          <w:tcPr>
            <w:tcW w:w="6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280" w:type="dxa"/>
            <w:vAlign w:val="bottom"/>
          </w:tcPr>
          <w:p>
            <w:pPr>
              <w:ind w:left="360"/>
              <w:spacing w:after="0"/>
              <w:rPr>
                <w:sz w:val="20"/>
                <w:szCs w:val="20"/>
                <w:color w:val="auto"/>
              </w:rPr>
            </w:pPr>
            <w:r>
              <w:rPr>
                <w:rFonts w:ascii="Arial" w:cs="Arial" w:eastAsia="Arial" w:hAnsi="Arial"/>
                <w:sz w:val="18"/>
                <w:szCs w:val="18"/>
                <w:color w:val="auto"/>
              </w:rPr>
              <w:t>Date:</w:t>
            </w:r>
          </w:p>
        </w:tc>
        <w:tc>
          <w:tcPr>
            <w:tcW w:w="4220" w:type="dxa"/>
            <w:vAlign w:val="bottom"/>
          </w:tcPr>
          <w:p>
            <w:pPr>
              <w:spacing w:after="0"/>
              <w:rPr>
                <w:sz w:val="24"/>
                <w:szCs w:val="24"/>
                <w:color w:val="auto"/>
              </w:rPr>
            </w:pPr>
          </w:p>
        </w:tc>
      </w:tr>
      <w:tr>
        <w:trPr>
          <w:trHeight w:val="27"/>
        </w:trPr>
        <w:tc>
          <w:tcPr>
            <w:tcW w:w="66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r>
      <w:tr>
        <w:trPr>
          <w:trHeight w:val="561"/>
        </w:trPr>
        <w:tc>
          <w:tcPr>
            <w:tcW w:w="6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280" w:type="dxa"/>
            <w:vAlign w:val="bottom"/>
          </w:tcPr>
          <w:p>
            <w:pPr>
              <w:ind w:left="360"/>
              <w:spacing w:after="0"/>
              <w:rPr>
                <w:sz w:val="20"/>
                <w:szCs w:val="20"/>
                <w:color w:val="auto"/>
              </w:rPr>
            </w:pPr>
            <w:r>
              <w:rPr>
                <w:rFonts w:ascii="Arial" w:cs="Arial" w:eastAsia="Arial" w:hAnsi="Arial"/>
                <w:sz w:val="18"/>
                <w:szCs w:val="18"/>
                <w:color w:val="auto"/>
              </w:rPr>
              <w:t>Compliance Status:</w:t>
            </w:r>
          </w:p>
        </w:tc>
        <w:tc>
          <w:tcPr>
            <w:tcW w:w="4220" w:type="dxa"/>
            <w:vAlign w:val="bottom"/>
          </w:tcPr>
          <w:p>
            <w:pPr>
              <w:jc w:val="center"/>
              <w:ind w:left="48"/>
              <w:spacing w:after="0"/>
              <w:rPr>
                <w:sz w:val="20"/>
                <w:szCs w:val="20"/>
                <w:color w:val="auto"/>
              </w:rPr>
            </w:pPr>
            <w:r>
              <w:rPr>
                <w:rFonts w:ascii="Arial" w:cs="Arial" w:eastAsia="Arial" w:hAnsi="Arial"/>
                <w:sz w:val="18"/>
                <w:szCs w:val="18"/>
                <w:color w:val="auto"/>
                <w:w w:val="91"/>
              </w:rPr>
              <w:t>Yes No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828282"/>
        </w:rPr>
        <w:t>2</w:t>
      </w:r>
    </w:p>
    <w:p>
      <w:pPr>
        <w:sectPr>
          <w:pgSz w:w="11900" w:h="16838" w:orient="portrait"/>
          <w:cols w:equalWidth="0" w:num="1">
            <w:col w:w="11380"/>
          </w:cols>
          <w:pgMar w:left="280" w:top="742" w:right="239" w:bottom="1440" w:gutter="0" w:footer="0" w:header="0"/>
        </w:sectPr>
      </w:pPr>
    </w:p>
    <w:bookmarkStart w:id="38" w:name="page39"/>
    <w:bookmarkEnd w:id="38"/>
    <w:p>
      <w:pPr>
        <w:jc w:val="center"/>
        <w:ind w:right="20"/>
        <w:spacing w:after="0"/>
        <w:rPr>
          <w:sz w:val="20"/>
          <w:szCs w:val="20"/>
          <w:color w:val="auto"/>
        </w:rPr>
      </w:pPr>
      <w:r>
        <w:rPr>
          <w:rFonts w:ascii="Arial" w:cs="Arial" w:eastAsia="Arial" w:hAnsi="Arial"/>
          <w:sz w:val="18"/>
          <w:szCs w:val="18"/>
          <w:b w:val="1"/>
          <w:bCs w:val="1"/>
          <w:u w:val="single" w:color="auto"/>
          <w:color w:val="auto"/>
        </w:rPr>
        <w:t>EXHIBIT C - LOAN PAYMENT/ADVANCE REQUEST FORM</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Deadline for same day processing is Noon Eastern Time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0" w:type="dxa"/>
            <w:vAlign w:val="bottom"/>
            <w:gridSpan w:val="2"/>
          </w:tcPr>
          <w:p>
            <w:pPr>
              <w:spacing w:after="0"/>
              <w:rPr>
                <w:sz w:val="20"/>
                <w:szCs w:val="20"/>
                <w:color w:val="auto"/>
              </w:rPr>
            </w:pPr>
            <w:r>
              <w:rPr>
                <w:rFonts w:ascii="Arial" w:cs="Arial" w:eastAsia="Arial" w:hAnsi="Arial"/>
                <w:sz w:val="18"/>
                <w:szCs w:val="18"/>
                <w:color w:val="auto"/>
              </w:rPr>
              <w:t>Fax To:</w:t>
            </w:r>
          </w:p>
        </w:tc>
        <w:tc>
          <w:tcPr>
            <w:tcW w:w="3420" w:type="dxa"/>
            <w:vAlign w:val="bottom"/>
          </w:tcPr>
          <w:p>
            <w:pPr>
              <w:ind w:left="200"/>
              <w:spacing w:after="0"/>
              <w:rPr>
                <w:sz w:val="20"/>
                <w:szCs w:val="20"/>
                <w:color w:val="auto"/>
              </w:rPr>
            </w:pPr>
            <w:r>
              <w:rPr>
                <w:rFonts w:ascii="Arial" w:cs="Arial" w:eastAsia="Arial" w:hAnsi="Arial"/>
                <w:sz w:val="18"/>
                <w:szCs w:val="18"/>
                <w:color w:val="auto"/>
              </w:rPr>
              <w:t>Date: _____________________</w:t>
            </w:r>
          </w:p>
        </w:tc>
        <w:tc>
          <w:tcPr>
            <w:tcW w:w="2380" w:type="dxa"/>
            <w:vAlign w:val="bottom"/>
          </w:tcPr>
          <w:p>
            <w:pPr>
              <w:spacing w:after="0"/>
              <w:rPr>
                <w:sz w:val="20"/>
                <w:szCs w:val="20"/>
                <w:color w:val="auto"/>
              </w:rPr>
            </w:pPr>
          </w:p>
        </w:tc>
        <w:tc>
          <w:tcPr>
            <w:tcW w:w="3440" w:type="dxa"/>
            <w:vAlign w:val="bottom"/>
          </w:tcPr>
          <w:p>
            <w:pPr>
              <w:spacing w:after="0"/>
              <w:rPr>
                <w:sz w:val="20"/>
                <w:szCs w:val="20"/>
                <w:color w:val="auto"/>
              </w:rPr>
            </w:pPr>
          </w:p>
        </w:tc>
      </w:tr>
      <w:tr>
        <w:trPr>
          <w:trHeight w:val="135"/>
        </w:trPr>
        <w:tc>
          <w:tcPr>
            <w:tcW w:w="80" w:type="dxa"/>
            <w:vAlign w:val="bottom"/>
          </w:tcPr>
          <w:p>
            <w:pPr>
              <w:spacing w:after="0"/>
              <w:rPr>
                <w:sz w:val="11"/>
                <w:szCs w:val="11"/>
                <w:color w:val="auto"/>
              </w:rPr>
            </w:pPr>
          </w:p>
        </w:tc>
        <w:tc>
          <w:tcPr>
            <w:tcW w:w="2120" w:type="dxa"/>
            <w:vAlign w:val="bottom"/>
            <w:tcBorders>
              <w:bottom w:val="single" w:sz="8" w:color="auto"/>
            </w:tcBorders>
          </w:tcPr>
          <w:p>
            <w:pPr>
              <w:spacing w:after="0"/>
              <w:rPr>
                <w:sz w:val="11"/>
                <w:szCs w:val="11"/>
                <w:color w:val="auto"/>
              </w:rPr>
            </w:pPr>
          </w:p>
        </w:tc>
        <w:tc>
          <w:tcPr>
            <w:tcW w:w="3420" w:type="dxa"/>
            <w:vAlign w:val="bottom"/>
            <w:tcBorders>
              <w:bottom w:val="single" w:sz="8" w:color="auto"/>
            </w:tcBorders>
          </w:tcPr>
          <w:p>
            <w:pPr>
              <w:spacing w:after="0"/>
              <w:rPr>
                <w:sz w:val="11"/>
                <w:szCs w:val="11"/>
                <w:color w:val="auto"/>
              </w:rPr>
            </w:pPr>
          </w:p>
        </w:tc>
        <w:tc>
          <w:tcPr>
            <w:tcW w:w="5820" w:type="dxa"/>
            <w:vAlign w:val="bottom"/>
            <w:tcBorders>
              <w:bottom w:val="single" w:sz="8" w:color="auto"/>
            </w:tcBorders>
            <w:gridSpan w:val="2"/>
          </w:tcPr>
          <w:p>
            <w:pPr>
              <w:spacing w:after="0"/>
              <w:rPr>
                <w:sz w:val="11"/>
                <w:szCs w:val="11"/>
                <w:color w:val="auto"/>
              </w:rPr>
            </w:pPr>
          </w:p>
        </w:tc>
      </w:tr>
      <w:tr>
        <w:trPr>
          <w:trHeight w:val="237"/>
        </w:trPr>
        <w:tc>
          <w:tcPr>
            <w:tcW w:w="80" w:type="dxa"/>
            <w:vAlign w:val="bottom"/>
            <w:tcBorders>
              <w:right w:val="single" w:sz="8" w:color="auto"/>
            </w:tcBorders>
          </w:tcPr>
          <w:p>
            <w:pPr>
              <w:spacing w:after="0"/>
              <w:rPr>
                <w:sz w:val="20"/>
                <w:szCs w:val="20"/>
                <w:color w:val="auto"/>
              </w:rPr>
            </w:pPr>
          </w:p>
        </w:tc>
        <w:tc>
          <w:tcPr>
            <w:tcW w:w="2120" w:type="dxa"/>
            <w:vAlign w:val="bottom"/>
          </w:tcPr>
          <w:p>
            <w:pPr>
              <w:ind w:left="20"/>
              <w:spacing w:after="0"/>
              <w:rPr>
                <w:sz w:val="20"/>
                <w:szCs w:val="20"/>
                <w:color w:val="auto"/>
              </w:rPr>
            </w:pPr>
            <w:r>
              <w:rPr>
                <w:rFonts w:ascii="Arial" w:cs="Arial" w:eastAsia="Arial" w:hAnsi="Arial"/>
                <w:sz w:val="18"/>
                <w:szCs w:val="18"/>
                <w:b w:val="1"/>
                <w:bCs w:val="1"/>
                <w:color w:val="auto"/>
              </w:rPr>
              <w:t>LOAN PAYMENT:</w:t>
            </w:r>
          </w:p>
        </w:tc>
        <w:tc>
          <w:tcPr>
            <w:tcW w:w="3420" w:type="dxa"/>
            <w:vAlign w:val="bottom"/>
          </w:tcPr>
          <w:p>
            <w:pPr>
              <w:spacing w:after="0"/>
              <w:rPr>
                <w:sz w:val="20"/>
                <w:szCs w:val="20"/>
                <w:color w:val="auto"/>
              </w:rPr>
            </w:pPr>
          </w:p>
        </w:tc>
        <w:tc>
          <w:tcPr>
            <w:tcW w:w="582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color w:val="auto"/>
              </w:rPr>
              <w:t>SELECTA BIOSCIENCES, INC.</w:t>
            </w:r>
          </w:p>
        </w:tc>
      </w:tr>
      <w:tr>
        <w:trPr>
          <w:trHeight w:val="291"/>
        </w:trPr>
        <w:tc>
          <w:tcPr>
            <w:tcW w:w="80" w:type="dxa"/>
            <w:vAlign w:val="bottom"/>
            <w:tcBorders>
              <w:right w:val="single" w:sz="8" w:color="auto"/>
            </w:tcBorders>
          </w:tcPr>
          <w:p>
            <w:pPr>
              <w:spacing w:after="0"/>
              <w:rPr>
                <w:sz w:val="24"/>
                <w:szCs w:val="24"/>
                <w:color w:val="auto"/>
              </w:rPr>
            </w:pPr>
          </w:p>
        </w:tc>
        <w:tc>
          <w:tcPr>
            <w:tcW w:w="2120" w:type="dxa"/>
            <w:vAlign w:val="bottom"/>
          </w:tcPr>
          <w:p>
            <w:pPr>
              <w:ind w:left="20"/>
              <w:spacing w:after="0"/>
              <w:rPr>
                <w:sz w:val="20"/>
                <w:szCs w:val="20"/>
                <w:color w:val="auto"/>
              </w:rPr>
            </w:pPr>
            <w:r>
              <w:rPr>
                <w:rFonts w:ascii="Arial" w:cs="Arial" w:eastAsia="Arial" w:hAnsi="Arial"/>
                <w:sz w:val="14"/>
                <w:szCs w:val="14"/>
                <w:color w:val="auto"/>
              </w:rPr>
              <w:t>From Account #</w:t>
            </w:r>
          </w:p>
        </w:tc>
        <w:tc>
          <w:tcPr>
            <w:tcW w:w="3420" w:type="dxa"/>
            <w:vAlign w:val="bottom"/>
          </w:tcPr>
          <w:p>
            <w:pPr>
              <w:spacing w:after="0"/>
              <w:rPr>
                <w:sz w:val="24"/>
                <w:szCs w:val="24"/>
                <w:color w:val="auto"/>
              </w:rPr>
            </w:pPr>
          </w:p>
        </w:tc>
        <w:tc>
          <w:tcPr>
            <w:tcW w:w="5820" w:type="dxa"/>
            <w:vAlign w:val="bottom"/>
            <w:tcBorders>
              <w:right w:val="single" w:sz="8" w:color="auto"/>
            </w:tcBorders>
            <w:gridSpan w:val="2"/>
          </w:tcPr>
          <w:p>
            <w:pPr>
              <w:ind w:left="240"/>
              <w:spacing w:after="0"/>
              <w:rPr>
                <w:sz w:val="20"/>
                <w:szCs w:val="20"/>
                <w:color w:val="auto"/>
              </w:rPr>
            </w:pPr>
            <w:r>
              <w:rPr>
                <w:rFonts w:ascii="Arial" w:cs="Arial" w:eastAsia="Arial" w:hAnsi="Arial"/>
                <w:sz w:val="14"/>
                <w:szCs w:val="14"/>
                <w:color w:val="auto"/>
              </w:rPr>
              <w:t>To Account #</w:t>
            </w:r>
          </w:p>
        </w:tc>
      </w:tr>
      <w:tr>
        <w:trPr>
          <w:trHeight w:val="173"/>
        </w:trPr>
        <w:tc>
          <w:tcPr>
            <w:tcW w:w="80" w:type="dxa"/>
            <w:vAlign w:val="bottom"/>
            <w:tcBorders>
              <w:right w:val="single" w:sz="8" w:color="auto"/>
            </w:tcBorders>
          </w:tcPr>
          <w:p>
            <w:pPr>
              <w:spacing w:after="0"/>
              <w:rPr>
                <w:sz w:val="15"/>
                <w:szCs w:val="15"/>
                <w:color w:val="auto"/>
              </w:rPr>
            </w:pPr>
          </w:p>
        </w:tc>
        <w:tc>
          <w:tcPr>
            <w:tcW w:w="2120" w:type="dxa"/>
            <w:vAlign w:val="bottom"/>
          </w:tcPr>
          <w:p>
            <w:pPr>
              <w:spacing w:after="0"/>
              <w:rPr>
                <w:sz w:val="15"/>
                <w:szCs w:val="15"/>
                <w:color w:val="auto"/>
              </w:rPr>
            </w:pPr>
          </w:p>
        </w:tc>
        <w:tc>
          <w:tcPr>
            <w:tcW w:w="3420" w:type="dxa"/>
            <w:vAlign w:val="bottom"/>
            <w:tcBorders>
              <w:top w:val="single" w:sz="8" w:color="auto"/>
            </w:tcBorders>
          </w:tcPr>
          <w:p>
            <w:pPr>
              <w:ind w:left="1220"/>
              <w:spacing w:after="0"/>
              <w:rPr>
                <w:sz w:val="20"/>
                <w:szCs w:val="20"/>
                <w:color w:val="auto"/>
              </w:rPr>
            </w:pPr>
            <w:r>
              <w:rPr>
                <w:rFonts w:ascii="Arial" w:cs="Arial" w:eastAsia="Arial" w:hAnsi="Arial"/>
                <w:sz w:val="13"/>
                <w:szCs w:val="13"/>
                <w:color w:val="auto"/>
              </w:rPr>
              <w:t>(Deposit Amount #)</w:t>
            </w:r>
          </w:p>
        </w:tc>
        <w:tc>
          <w:tcPr>
            <w:tcW w:w="2380" w:type="dxa"/>
            <w:vAlign w:val="bottom"/>
          </w:tcPr>
          <w:p>
            <w:pPr>
              <w:spacing w:after="0"/>
              <w:rPr>
                <w:sz w:val="15"/>
                <w:szCs w:val="15"/>
                <w:color w:val="auto"/>
              </w:rPr>
            </w:pPr>
          </w:p>
        </w:tc>
        <w:tc>
          <w:tcPr>
            <w:tcW w:w="3440" w:type="dxa"/>
            <w:vAlign w:val="bottom"/>
            <w:tcBorders>
              <w:top w:val="single" w:sz="8" w:color="auto"/>
              <w:right w:val="single" w:sz="8" w:color="auto"/>
            </w:tcBorders>
          </w:tcPr>
          <w:p>
            <w:pPr>
              <w:ind w:left="1260"/>
              <w:spacing w:after="0"/>
              <w:rPr>
                <w:sz w:val="20"/>
                <w:szCs w:val="20"/>
                <w:color w:val="auto"/>
              </w:rPr>
            </w:pPr>
            <w:r>
              <w:rPr>
                <w:rFonts w:ascii="Arial" w:cs="Arial" w:eastAsia="Arial" w:hAnsi="Arial"/>
                <w:sz w:val="13"/>
                <w:szCs w:val="13"/>
                <w:color w:val="auto"/>
              </w:rPr>
              <w:t>(Loan Account #)</w:t>
            </w:r>
          </w:p>
        </w:tc>
      </w:tr>
      <w:tr>
        <w:trPr>
          <w:trHeight w:val="564"/>
        </w:trPr>
        <w:tc>
          <w:tcPr>
            <w:tcW w:w="80" w:type="dxa"/>
            <w:vAlign w:val="bottom"/>
            <w:tcBorders>
              <w:right w:val="single" w:sz="8" w:color="auto"/>
            </w:tcBorders>
          </w:tcPr>
          <w:p>
            <w:pPr>
              <w:spacing w:after="0"/>
              <w:rPr>
                <w:sz w:val="24"/>
                <w:szCs w:val="24"/>
                <w:color w:val="auto"/>
              </w:rPr>
            </w:pPr>
          </w:p>
        </w:tc>
        <w:tc>
          <w:tcPr>
            <w:tcW w:w="2120" w:type="dxa"/>
            <w:vAlign w:val="bottom"/>
          </w:tcPr>
          <w:p>
            <w:pPr>
              <w:ind w:left="20"/>
              <w:spacing w:after="0"/>
              <w:rPr>
                <w:sz w:val="20"/>
                <w:szCs w:val="20"/>
                <w:color w:val="auto"/>
              </w:rPr>
            </w:pPr>
            <w:r>
              <w:rPr>
                <w:rFonts w:ascii="Arial" w:cs="Arial" w:eastAsia="Arial" w:hAnsi="Arial"/>
                <w:sz w:val="14"/>
                <w:szCs w:val="14"/>
                <w:color w:val="auto"/>
              </w:rPr>
              <w:t>Principal $</w:t>
            </w:r>
          </w:p>
        </w:tc>
        <w:tc>
          <w:tcPr>
            <w:tcW w:w="3420" w:type="dxa"/>
            <w:vAlign w:val="bottom"/>
            <w:tcBorders>
              <w:bottom w:val="single" w:sz="8" w:color="auto"/>
            </w:tcBorders>
          </w:tcPr>
          <w:p>
            <w:pPr>
              <w:spacing w:after="0"/>
              <w:rPr>
                <w:sz w:val="24"/>
                <w:szCs w:val="24"/>
                <w:color w:val="auto"/>
              </w:rPr>
            </w:pPr>
          </w:p>
        </w:tc>
        <w:tc>
          <w:tcPr>
            <w:tcW w:w="2380" w:type="dxa"/>
            <w:vAlign w:val="bottom"/>
          </w:tcPr>
          <w:p>
            <w:pPr>
              <w:ind w:left="240"/>
              <w:spacing w:after="0"/>
              <w:rPr>
                <w:sz w:val="20"/>
                <w:szCs w:val="20"/>
                <w:color w:val="auto"/>
              </w:rPr>
            </w:pPr>
            <w:r>
              <w:rPr>
                <w:rFonts w:ascii="Arial" w:cs="Arial" w:eastAsia="Arial" w:hAnsi="Arial"/>
                <w:sz w:val="14"/>
                <w:szCs w:val="14"/>
                <w:color w:val="auto"/>
              </w:rPr>
              <w:t>and/or Interest $</w:t>
            </w:r>
          </w:p>
        </w:tc>
        <w:tc>
          <w:tcPr>
            <w:tcW w:w="3440" w:type="dxa"/>
            <w:vAlign w:val="bottom"/>
            <w:tcBorders>
              <w:bottom w:val="single" w:sz="8" w:color="auto"/>
              <w:right w:val="single" w:sz="8" w:color="auto"/>
            </w:tcBorders>
          </w:tcPr>
          <w:p>
            <w:pPr>
              <w:spacing w:after="0"/>
              <w:rPr>
                <w:sz w:val="24"/>
                <w:szCs w:val="24"/>
                <w:color w:val="auto"/>
              </w:rPr>
            </w:pPr>
          </w:p>
        </w:tc>
      </w:tr>
      <w:tr>
        <w:trPr>
          <w:trHeight w:val="263"/>
        </w:trPr>
        <w:tc>
          <w:tcPr>
            <w:tcW w:w="80" w:type="dxa"/>
            <w:vAlign w:val="bottom"/>
            <w:tcBorders>
              <w:right w:val="single" w:sz="8" w:color="auto"/>
            </w:tcBorders>
          </w:tcPr>
          <w:p>
            <w:pPr>
              <w:spacing w:after="0"/>
              <w:rPr>
                <w:sz w:val="22"/>
                <w:szCs w:val="22"/>
                <w:color w:val="auto"/>
              </w:rPr>
            </w:pPr>
          </w:p>
        </w:tc>
        <w:tc>
          <w:tcPr>
            <w:tcW w:w="2120" w:type="dxa"/>
            <w:vAlign w:val="bottom"/>
          </w:tcPr>
          <w:p>
            <w:pPr>
              <w:ind w:left="20"/>
              <w:spacing w:after="0"/>
              <w:rPr>
                <w:sz w:val="20"/>
                <w:szCs w:val="20"/>
                <w:color w:val="auto"/>
              </w:rPr>
            </w:pPr>
            <w:r>
              <w:rPr>
                <w:rFonts w:ascii="Arial" w:cs="Arial" w:eastAsia="Arial" w:hAnsi="Arial"/>
                <w:sz w:val="14"/>
                <w:szCs w:val="14"/>
                <w:color w:val="auto"/>
              </w:rPr>
              <w:t>Authorized Signature:</w:t>
            </w:r>
          </w:p>
        </w:tc>
        <w:tc>
          <w:tcPr>
            <w:tcW w:w="3420" w:type="dxa"/>
            <w:vAlign w:val="bottom"/>
          </w:tcPr>
          <w:p>
            <w:pPr>
              <w:spacing w:after="0"/>
              <w:rPr>
                <w:sz w:val="22"/>
                <w:szCs w:val="22"/>
                <w:color w:val="auto"/>
              </w:rPr>
            </w:pPr>
          </w:p>
        </w:tc>
        <w:tc>
          <w:tcPr>
            <w:tcW w:w="5820" w:type="dxa"/>
            <w:vAlign w:val="bottom"/>
            <w:tcBorders>
              <w:right w:val="single" w:sz="8" w:color="auto"/>
            </w:tcBorders>
            <w:gridSpan w:val="2"/>
          </w:tcPr>
          <w:p>
            <w:pPr>
              <w:ind w:left="240"/>
              <w:spacing w:after="0"/>
              <w:rPr>
                <w:sz w:val="20"/>
                <w:szCs w:val="20"/>
                <w:color w:val="auto"/>
              </w:rPr>
            </w:pPr>
            <w:r>
              <w:rPr>
                <w:rFonts w:ascii="Arial" w:cs="Arial" w:eastAsia="Arial" w:hAnsi="Arial"/>
                <w:sz w:val="14"/>
                <w:szCs w:val="14"/>
                <w:color w:val="auto"/>
              </w:rPr>
              <w:t>Phone Number:</w:t>
            </w:r>
          </w:p>
        </w:tc>
      </w:tr>
      <w:tr>
        <w:trPr>
          <w:trHeight w:val="264"/>
        </w:trPr>
        <w:tc>
          <w:tcPr>
            <w:tcW w:w="80" w:type="dxa"/>
            <w:vAlign w:val="bottom"/>
            <w:tcBorders>
              <w:right w:val="single" w:sz="8" w:color="auto"/>
            </w:tcBorders>
          </w:tcPr>
          <w:p>
            <w:pPr>
              <w:spacing w:after="0"/>
              <w:rPr>
                <w:sz w:val="22"/>
                <w:szCs w:val="22"/>
                <w:color w:val="auto"/>
              </w:rPr>
            </w:pPr>
          </w:p>
        </w:tc>
        <w:tc>
          <w:tcPr>
            <w:tcW w:w="2120" w:type="dxa"/>
            <w:vAlign w:val="bottom"/>
          </w:tcPr>
          <w:p>
            <w:pPr>
              <w:ind w:left="20"/>
              <w:spacing w:after="0"/>
              <w:rPr>
                <w:sz w:val="20"/>
                <w:szCs w:val="20"/>
                <w:color w:val="auto"/>
              </w:rPr>
            </w:pPr>
            <w:r>
              <w:rPr>
                <w:rFonts w:ascii="Arial" w:cs="Arial" w:eastAsia="Arial" w:hAnsi="Arial"/>
                <w:sz w:val="14"/>
                <w:szCs w:val="14"/>
                <w:color w:val="auto"/>
              </w:rPr>
              <w:t>Print Name/Title:</w:t>
            </w:r>
          </w:p>
        </w:tc>
        <w:tc>
          <w:tcPr>
            <w:tcW w:w="3420" w:type="dxa"/>
            <w:vAlign w:val="bottom"/>
            <w:tcBorders>
              <w:top w:val="single" w:sz="8" w:color="auto"/>
              <w:bottom w:val="single" w:sz="8" w:color="auto"/>
            </w:tcBorders>
          </w:tcPr>
          <w:p>
            <w:pPr>
              <w:spacing w:after="0"/>
              <w:rPr>
                <w:sz w:val="22"/>
                <w:szCs w:val="22"/>
                <w:color w:val="auto"/>
              </w:rPr>
            </w:pPr>
          </w:p>
        </w:tc>
        <w:tc>
          <w:tcPr>
            <w:tcW w:w="2380" w:type="dxa"/>
            <w:vAlign w:val="bottom"/>
          </w:tcPr>
          <w:p>
            <w:pPr>
              <w:spacing w:after="0"/>
              <w:rPr>
                <w:sz w:val="22"/>
                <w:szCs w:val="22"/>
                <w:color w:val="auto"/>
              </w:rPr>
            </w:pPr>
          </w:p>
        </w:tc>
        <w:tc>
          <w:tcPr>
            <w:tcW w:w="3440" w:type="dxa"/>
            <w:vAlign w:val="bottom"/>
            <w:tcBorders>
              <w:top w:val="single" w:sz="8" w:color="auto"/>
              <w:right w:val="single" w:sz="8" w:color="auto"/>
            </w:tcBorders>
          </w:tcPr>
          <w:p>
            <w:pPr>
              <w:spacing w:after="0"/>
              <w:rPr>
                <w:sz w:val="22"/>
                <w:szCs w:val="22"/>
                <w:color w:val="auto"/>
              </w:rPr>
            </w:pPr>
          </w:p>
        </w:tc>
      </w:tr>
      <w:tr>
        <w:trPr>
          <w:trHeight w:val="324"/>
        </w:trPr>
        <w:tc>
          <w:tcPr>
            <w:tcW w:w="80" w:type="dxa"/>
            <w:vAlign w:val="bottom"/>
            <w:tcBorders>
              <w:right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3440" w:type="dxa"/>
            <w:vAlign w:val="bottom"/>
            <w:tcBorders>
              <w:bottom w:val="single" w:sz="8" w:color="auto"/>
              <w:right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205740</wp:posOffset>
            </wp:positionV>
            <wp:extent cx="7220585" cy="20923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0585" cy="2092325"/>
                    </a:xfrm>
                    <a:prstGeom prst="rect">
                      <a:avLst/>
                    </a:prstGeom>
                    <a:noFill/>
                  </pic:spPr>
                </pic:pic>
              </a:graphicData>
            </a:graphic>
          </wp:anchor>
        </w:drawing>
      </w:r>
    </w:p>
    <w:p>
      <w:pPr>
        <w:spacing w:after="0" w:line="32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LOAN ADVANCE:</w:t>
      </w:r>
    </w:p>
    <w:p>
      <w:pPr>
        <w:spacing w:after="0" w:line="76" w:lineRule="exact"/>
        <w:rPr>
          <w:sz w:val="20"/>
          <w:szCs w:val="20"/>
          <w:color w:val="auto"/>
        </w:rPr>
      </w:pPr>
    </w:p>
    <w:p>
      <w:pPr>
        <w:ind w:left="100"/>
        <w:spacing w:after="0"/>
        <w:rPr>
          <w:sz w:val="20"/>
          <w:szCs w:val="20"/>
          <w:color w:val="auto"/>
        </w:rPr>
      </w:pPr>
      <w:r>
        <w:rPr>
          <w:rFonts w:ascii="Arial" w:cs="Arial" w:eastAsia="Arial" w:hAnsi="Arial"/>
          <w:sz w:val="14"/>
          <w:szCs w:val="14"/>
          <w:color w:val="auto"/>
        </w:rPr>
        <w:t xml:space="preserve">Complete </w:t>
      </w:r>
      <w:r>
        <w:rPr>
          <w:rFonts w:ascii="Arial" w:cs="Arial" w:eastAsia="Arial" w:hAnsi="Arial"/>
          <w:sz w:val="14"/>
          <w:szCs w:val="14"/>
          <w:i w:val="1"/>
          <w:iCs w:val="1"/>
          <w:color w:val="auto"/>
        </w:rPr>
        <w:t>Outgoing Wire Request</w:t>
      </w:r>
      <w:r>
        <w:rPr>
          <w:rFonts w:ascii="Arial" w:cs="Arial" w:eastAsia="Arial" w:hAnsi="Arial"/>
          <w:sz w:val="14"/>
          <w:szCs w:val="14"/>
          <w:color w:val="auto"/>
        </w:rPr>
        <w:t xml:space="preserve"> section below if all or a portion of the funds from this loan advance are for an outgoing wire.</w:t>
      </w:r>
    </w:p>
    <w:p>
      <w:pPr>
        <w:spacing w:after="0" w:line="109" w:lineRule="exact"/>
        <w:rPr>
          <w:sz w:val="20"/>
          <w:szCs w:val="20"/>
          <w:color w:val="auto"/>
        </w:rPr>
      </w:pPr>
    </w:p>
    <w:tbl>
      <w:tblPr>
        <w:tblLayout w:type="fixed"/>
        <w:tblInd w:w="100" w:type="dxa"/>
        <w:tblCellMar>
          <w:top w:w="0" w:type="dxa"/>
          <w:left w:w="0" w:type="dxa"/>
          <w:bottom w:w="0" w:type="dxa"/>
          <w:right w:w="0" w:type="dxa"/>
        </w:tblCellMar>
      </w:tblPr>
      <w:tr>
        <w:trPr>
          <w:trHeight w:val="188"/>
        </w:trPr>
        <w:tc>
          <w:tcPr>
            <w:tcW w:w="5520" w:type="dxa"/>
            <w:vAlign w:val="bottom"/>
            <w:gridSpan w:val="2"/>
          </w:tcPr>
          <w:p>
            <w:pPr>
              <w:spacing w:after="0"/>
              <w:rPr>
                <w:sz w:val="20"/>
                <w:szCs w:val="20"/>
                <w:color w:val="auto"/>
              </w:rPr>
            </w:pPr>
            <w:r>
              <w:rPr>
                <w:rFonts w:ascii="Arial" w:cs="Arial" w:eastAsia="Arial" w:hAnsi="Arial"/>
                <w:sz w:val="14"/>
                <w:szCs w:val="14"/>
                <w:color w:val="auto"/>
              </w:rPr>
              <w:t>From Account #</w:t>
            </w:r>
          </w:p>
        </w:tc>
        <w:tc>
          <w:tcPr>
            <w:tcW w:w="5820" w:type="dxa"/>
            <w:vAlign w:val="bottom"/>
            <w:gridSpan w:val="2"/>
          </w:tcPr>
          <w:p>
            <w:pPr>
              <w:ind w:left="240"/>
              <w:spacing w:after="0"/>
              <w:rPr>
                <w:sz w:val="20"/>
                <w:szCs w:val="20"/>
                <w:color w:val="auto"/>
              </w:rPr>
            </w:pPr>
            <w:r>
              <w:rPr>
                <w:rFonts w:ascii="Arial" w:cs="Arial" w:eastAsia="Arial" w:hAnsi="Arial"/>
                <w:sz w:val="14"/>
                <w:szCs w:val="14"/>
                <w:color w:val="auto"/>
              </w:rPr>
              <w:t>To Account #</w:t>
            </w:r>
          </w:p>
        </w:tc>
      </w:tr>
      <w:tr>
        <w:trPr>
          <w:trHeight w:val="173"/>
        </w:trPr>
        <w:tc>
          <w:tcPr>
            <w:tcW w:w="2100" w:type="dxa"/>
            <w:vAlign w:val="bottom"/>
          </w:tcPr>
          <w:p>
            <w:pPr>
              <w:spacing w:after="0"/>
              <w:rPr>
                <w:sz w:val="15"/>
                <w:szCs w:val="15"/>
                <w:color w:val="auto"/>
              </w:rPr>
            </w:pPr>
          </w:p>
        </w:tc>
        <w:tc>
          <w:tcPr>
            <w:tcW w:w="3420" w:type="dxa"/>
            <w:vAlign w:val="bottom"/>
            <w:tcBorders>
              <w:top w:val="single" w:sz="8" w:color="auto"/>
            </w:tcBorders>
          </w:tcPr>
          <w:p>
            <w:pPr>
              <w:ind w:left="1280"/>
              <w:spacing w:after="0"/>
              <w:rPr>
                <w:sz w:val="20"/>
                <w:szCs w:val="20"/>
                <w:color w:val="auto"/>
              </w:rPr>
            </w:pPr>
            <w:r>
              <w:rPr>
                <w:rFonts w:ascii="Arial" w:cs="Arial" w:eastAsia="Arial" w:hAnsi="Arial"/>
                <w:sz w:val="13"/>
                <w:szCs w:val="13"/>
                <w:color w:val="auto"/>
              </w:rPr>
              <w:t>(Loan Account #)</w:t>
            </w:r>
          </w:p>
        </w:tc>
        <w:tc>
          <w:tcPr>
            <w:tcW w:w="2380" w:type="dxa"/>
            <w:vAlign w:val="bottom"/>
          </w:tcPr>
          <w:p>
            <w:pPr>
              <w:spacing w:after="0"/>
              <w:rPr>
                <w:sz w:val="15"/>
                <w:szCs w:val="15"/>
                <w:color w:val="auto"/>
              </w:rPr>
            </w:pPr>
          </w:p>
        </w:tc>
        <w:tc>
          <w:tcPr>
            <w:tcW w:w="3440" w:type="dxa"/>
            <w:vAlign w:val="bottom"/>
            <w:tcBorders>
              <w:top w:val="single" w:sz="8" w:color="auto"/>
            </w:tcBorders>
          </w:tcPr>
          <w:p>
            <w:pPr>
              <w:ind w:left="1200"/>
              <w:spacing w:after="0"/>
              <w:rPr>
                <w:sz w:val="20"/>
                <w:szCs w:val="20"/>
                <w:color w:val="auto"/>
              </w:rPr>
            </w:pPr>
            <w:r>
              <w:rPr>
                <w:rFonts w:ascii="Arial" w:cs="Arial" w:eastAsia="Arial" w:hAnsi="Arial"/>
                <w:sz w:val="13"/>
                <w:szCs w:val="13"/>
                <w:color w:val="auto"/>
              </w:rPr>
              <w:t>(Deposit Amount #)</w:t>
            </w:r>
          </w:p>
        </w:tc>
      </w:tr>
      <w:tr>
        <w:trPr>
          <w:trHeight w:val="348"/>
        </w:trPr>
        <w:tc>
          <w:tcPr>
            <w:tcW w:w="2100" w:type="dxa"/>
            <w:vAlign w:val="bottom"/>
          </w:tcPr>
          <w:p>
            <w:pPr>
              <w:spacing w:after="0"/>
              <w:rPr>
                <w:sz w:val="20"/>
                <w:szCs w:val="20"/>
                <w:color w:val="auto"/>
              </w:rPr>
            </w:pPr>
            <w:r>
              <w:rPr>
                <w:rFonts w:ascii="Arial" w:cs="Arial" w:eastAsia="Arial" w:hAnsi="Arial"/>
                <w:sz w:val="14"/>
                <w:szCs w:val="14"/>
                <w:color w:val="auto"/>
              </w:rPr>
              <w:t>Amount of Advance $</w:t>
            </w:r>
          </w:p>
        </w:tc>
        <w:tc>
          <w:tcPr>
            <w:tcW w:w="3420" w:type="dxa"/>
            <w:vAlign w:val="bottom"/>
            <w:tcBorders>
              <w:bottom w:val="single" w:sz="8" w:color="auto"/>
            </w:tcBorders>
          </w:tcPr>
          <w:p>
            <w:pPr>
              <w:spacing w:after="0"/>
              <w:rPr>
                <w:sz w:val="24"/>
                <w:szCs w:val="24"/>
                <w:color w:val="auto"/>
              </w:rPr>
            </w:pPr>
          </w:p>
        </w:tc>
        <w:tc>
          <w:tcPr>
            <w:tcW w:w="2380" w:type="dxa"/>
            <w:vAlign w:val="bottom"/>
          </w:tcPr>
          <w:p>
            <w:pPr>
              <w:spacing w:after="0"/>
              <w:rPr>
                <w:sz w:val="24"/>
                <w:szCs w:val="24"/>
                <w:color w:val="auto"/>
              </w:rPr>
            </w:pPr>
          </w:p>
        </w:tc>
        <w:tc>
          <w:tcPr>
            <w:tcW w:w="3440" w:type="dxa"/>
            <w:vAlign w:val="bottom"/>
          </w:tcPr>
          <w:p>
            <w:pPr>
              <w:spacing w:after="0"/>
              <w:rPr>
                <w:sz w:val="24"/>
                <w:szCs w:val="24"/>
                <w:color w:val="auto"/>
              </w:rPr>
            </w:pPr>
          </w:p>
        </w:tc>
      </w:tr>
    </w:tbl>
    <w:p>
      <w:pPr>
        <w:spacing w:after="0" w:line="211" w:lineRule="exact"/>
        <w:rPr>
          <w:sz w:val="20"/>
          <w:szCs w:val="20"/>
          <w:color w:val="auto"/>
        </w:rPr>
      </w:pPr>
    </w:p>
    <w:p>
      <w:pPr>
        <w:jc w:val="both"/>
        <w:ind w:left="100" w:right="60"/>
        <w:spacing w:after="0" w:line="238" w:lineRule="auto"/>
        <w:rPr>
          <w:sz w:val="20"/>
          <w:szCs w:val="20"/>
          <w:color w:val="auto"/>
        </w:rPr>
      </w:pPr>
      <w:r>
        <w:rPr>
          <w:rFonts w:ascii="Arial" w:cs="Arial" w:eastAsia="Arial" w:hAnsi="Arial"/>
          <w:sz w:val="14"/>
          <w:szCs w:val="14"/>
          <w:color w:val="auto"/>
        </w:rPr>
        <w:t>All Borrower’s representations and warranties in the Loan and Security Agreement are true, correct and complete in all material respects on the date of the request for an advance;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spacing w:after="0" w:line="200" w:lineRule="exact"/>
        <w:rPr>
          <w:sz w:val="20"/>
          <w:szCs w:val="20"/>
          <w:color w:val="auto"/>
        </w:rPr>
      </w:pPr>
    </w:p>
    <w:p>
      <w:pPr>
        <w:spacing w:after="0" w:line="253" w:lineRule="exact"/>
        <w:rPr>
          <w:sz w:val="20"/>
          <w:szCs w:val="20"/>
          <w:color w:val="auto"/>
        </w:rPr>
      </w:pPr>
    </w:p>
    <w:tbl>
      <w:tblPr>
        <w:tblLayout w:type="fixed"/>
        <w:tblInd w:w="100" w:type="dxa"/>
        <w:tblCellMar>
          <w:top w:w="0" w:type="dxa"/>
          <w:left w:w="0" w:type="dxa"/>
          <w:bottom w:w="0" w:type="dxa"/>
          <w:right w:w="0" w:type="dxa"/>
        </w:tblCellMar>
      </w:tblPr>
      <w:tr>
        <w:trPr>
          <w:trHeight w:val="188"/>
        </w:trPr>
        <w:tc>
          <w:tcPr>
            <w:tcW w:w="2100" w:type="dxa"/>
            <w:vAlign w:val="bottom"/>
          </w:tcPr>
          <w:p>
            <w:pPr>
              <w:spacing w:after="0"/>
              <w:rPr>
                <w:sz w:val="20"/>
                <w:szCs w:val="20"/>
                <w:color w:val="auto"/>
              </w:rPr>
            </w:pPr>
            <w:r>
              <w:rPr>
                <w:rFonts w:ascii="Arial" w:cs="Arial" w:eastAsia="Arial" w:hAnsi="Arial"/>
                <w:sz w:val="14"/>
                <w:szCs w:val="14"/>
                <w:color w:val="auto"/>
              </w:rPr>
              <w:t>Authorized Signature:</w:t>
            </w:r>
          </w:p>
        </w:tc>
        <w:tc>
          <w:tcPr>
            <w:tcW w:w="3420" w:type="dxa"/>
            <w:vAlign w:val="bottom"/>
            <w:tcBorders>
              <w:bottom w:val="single" w:sz="8" w:color="auto"/>
            </w:tcBorders>
          </w:tcPr>
          <w:p>
            <w:pPr>
              <w:spacing w:after="0"/>
              <w:rPr>
                <w:sz w:val="16"/>
                <w:szCs w:val="16"/>
                <w:color w:val="auto"/>
              </w:rPr>
            </w:pPr>
          </w:p>
        </w:tc>
        <w:tc>
          <w:tcPr>
            <w:tcW w:w="1160" w:type="dxa"/>
            <w:vAlign w:val="bottom"/>
          </w:tcPr>
          <w:p>
            <w:pPr>
              <w:ind w:left="240"/>
              <w:spacing w:after="0"/>
              <w:rPr>
                <w:sz w:val="20"/>
                <w:szCs w:val="20"/>
                <w:color w:val="auto"/>
              </w:rPr>
            </w:pPr>
            <w:r>
              <w:rPr>
                <w:rFonts w:ascii="Arial" w:cs="Arial" w:eastAsia="Arial" w:hAnsi="Arial"/>
                <w:sz w:val="14"/>
                <w:szCs w:val="14"/>
                <w:color w:val="auto"/>
                <w:w w:val="91"/>
              </w:rPr>
              <w:t>Phone Number:</w:t>
            </w:r>
          </w:p>
        </w:tc>
      </w:tr>
      <w:tr>
        <w:trPr>
          <w:trHeight w:val="264"/>
        </w:trPr>
        <w:tc>
          <w:tcPr>
            <w:tcW w:w="2100" w:type="dxa"/>
            <w:vAlign w:val="bottom"/>
          </w:tcPr>
          <w:p>
            <w:pPr>
              <w:spacing w:after="0"/>
              <w:rPr>
                <w:sz w:val="20"/>
                <w:szCs w:val="20"/>
                <w:color w:val="auto"/>
              </w:rPr>
            </w:pPr>
            <w:r>
              <w:rPr>
                <w:rFonts w:ascii="Arial" w:cs="Arial" w:eastAsia="Arial" w:hAnsi="Arial"/>
                <w:sz w:val="14"/>
                <w:szCs w:val="14"/>
                <w:color w:val="auto"/>
              </w:rPr>
              <w:t>Print Name/Title:</w:t>
            </w:r>
          </w:p>
        </w:tc>
        <w:tc>
          <w:tcPr>
            <w:tcW w:w="3420" w:type="dxa"/>
            <w:vAlign w:val="bottom"/>
            <w:tcBorders>
              <w:bottom w:val="single" w:sz="8" w:color="auto"/>
            </w:tcBorders>
          </w:tcPr>
          <w:p>
            <w:pPr>
              <w:spacing w:after="0"/>
              <w:rPr>
                <w:sz w:val="22"/>
                <w:szCs w:val="22"/>
                <w:color w:val="auto"/>
              </w:rPr>
            </w:pPr>
          </w:p>
        </w:tc>
        <w:tc>
          <w:tcPr>
            <w:tcW w:w="11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420370</wp:posOffset>
            </wp:positionV>
            <wp:extent cx="7220585" cy="3447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0585" cy="344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OUTGOING WIRE REQUEST:</w:t>
      </w:r>
    </w:p>
    <w:p>
      <w:pPr>
        <w:spacing w:after="0" w:line="72"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Complete only if all or a portion of funds from the loan advance above is to be wired.</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4"/>
          <w:szCs w:val="14"/>
          <w:color w:val="auto"/>
        </w:rPr>
        <w:t>Deadline for same day processing is noon, Eastern Time</w:t>
      </w:r>
    </w:p>
    <w:p>
      <w:pPr>
        <w:spacing w:after="0" w:line="325" w:lineRule="exact"/>
        <w:rPr>
          <w:sz w:val="20"/>
          <w:szCs w:val="20"/>
          <w:color w:val="auto"/>
        </w:rPr>
      </w:pPr>
    </w:p>
    <w:tbl>
      <w:tblPr>
        <w:tblLayout w:type="fixed"/>
        <w:tblInd w:w="100" w:type="dxa"/>
        <w:tblCellMar>
          <w:top w:w="0" w:type="dxa"/>
          <w:left w:w="0" w:type="dxa"/>
          <w:bottom w:w="0" w:type="dxa"/>
          <w:right w:w="0" w:type="dxa"/>
        </w:tblCellMar>
      </w:tblPr>
      <w:tr>
        <w:trPr>
          <w:trHeight w:val="188"/>
        </w:trPr>
        <w:tc>
          <w:tcPr>
            <w:tcW w:w="2100" w:type="dxa"/>
            <w:vAlign w:val="bottom"/>
          </w:tcPr>
          <w:p>
            <w:pPr>
              <w:spacing w:after="0"/>
              <w:rPr>
                <w:sz w:val="20"/>
                <w:szCs w:val="20"/>
                <w:color w:val="auto"/>
              </w:rPr>
            </w:pPr>
            <w:r>
              <w:rPr>
                <w:rFonts w:ascii="Arial" w:cs="Arial" w:eastAsia="Arial" w:hAnsi="Arial"/>
                <w:sz w:val="14"/>
                <w:szCs w:val="14"/>
                <w:color w:val="auto"/>
              </w:rPr>
              <w:t>Beneficiary Name:</w:t>
            </w:r>
          </w:p>
        </w:tc>
        <w:tc>
          <w:tcPr>
            <w:tcW w:w="3420" w:type="dxa"/>
            <w:vAlign w:val="bottom"/>
            <w:tcBorders>
              <w:bottom w:val="single" w:sz="8" w:color="auto"/>
            </w:tcBorders>
          </w:tcPr>
          <w:p>
            <w:pPr>
              <w:spacing w:after="0"/>
              <w:rPr>
                <w:sz w:val="16"/>
                <w:szCs w:val="16"/>
                <w:color w:val="auto"/>
              </w:rPr>
            </w:pPr>
          </w:p>
        </w:tc>
        <w:tc>
          <w:tcPr>
            <w:tcW w:w="2380" w:type="dxa"/>
            <w:vAlign w:val="bottom"/>
          </w:tcPr>
          <w:p>
            <w:pPr>
              <w:ind w:left="240"/>
              <w:spacing w:after="0"/>
              <w:rPr>
                <w:sz w:val="20"/>
                <w:szCs w:val="20"/>
                <w:color w:val="auto"/>
              </w:rPr>
            </w:pPr>
            <w:r>
              <w:rPr>
                <w:rFonts w:ascii="Arial" w:cs="Arial" w:eastAsia="Arial" w:hAnsi="Arial"/>
                <w:sz w:val="14"/>
                <w:szCs w:val="14"/>
                <w:color w:val="auto"/>
              </w:rPr>
              <w:t>Amount of Wire: $</w:t>
            </w:r>
          </w:p>
        </w:tc>
        <w:tc>
          <w:tcPr>
            <w:tcW w:w="3440" w:type="dxa"/>
            <w:vAlign w:val="bottom"/>
            <w:tcBorders>
              <w:bottom w:val="single" w:sz="8" w:color="auto"/>
            </w:tcBorders>
          </w:tcPr>
          <w:p>
            <w:pPr>
              <w:spacing w:after="0"/>
              <w:rPr>
                <w:sz w:val="16"/>
                <w:szCs w:val="16"/>
                <w:color w:val="auto"/>
              </w:rPr>
            </w:pPr>
          </w:p>
        </w:tc>
      </w:tr>
      <w:tr>
        <w:trPr>
          <w:trHeight w:val="263"/>
        </w:trPr>
        <w:tc>
          <w:tcPr>
            <w:tcW w:w="2100" w:type="dxa"/>
            <w:vAlign w:val="bottom"/>
          </w:tcPr>
          <w:p>
            <w:pPr>
              <w:spacing w:after="0"/>
              <w:rPr>
                <w:sz w:val="20"/>
                <w:szCs w:val="20"/>
                <w:color w:val="auto"/>
              </w:rPr>
            </w:pPr>
            <w:r>
              <w:rPr>
                <w:rFonts w:ascii="Arial" w:cs="Arial" w:eastAsia="Arial" w:hAnsi="Arial"/>
                <w:sz w:val="14"/>
                <w:szCs w:val="14"/>
                <w:color w:val="auto"/>
              </w:rPr>
              <w:t>Beneficiary Bank:</w:t>
            </w:r>
          </w:p>
        </w:tc>
        <w:tc>
          <w:tcPr>
            <w:tcW w:w="3420" w:type="dxa"/>
            <w:vAlign w:val="bottom"/>
          </w:tcPr>
          <w:p>
            <w:pPr>
              <w:spacing w:after="0"/>
              <w:rPr>
                <w:sz w:val="22"/>
                <w:szCs w:val="22"/>
                <w:color w:val="auto"/>
              </w:rPr>
            </w:pPr>
          </w:p>
        </w:tc>
        <w:tc>
          <w:tcPr>
            <w:tcW w:w="5820" w:type="dxa"/>
            <w:vAlign w:val="bottom"/>
            <w:gridSpan w:val="2"/>
          </w:tcPr>
          <w:p>
            <w:pPr>
              <w:ind w:left="240"/>
              <w:spacing w:after="0"/>
              <w:rPr>
                <w:sz w:val="20"/>
                <w:szCs w:val="20"/>
                <w:color w:val="auto"/>
              </w:rPr>
            </w:pPr>
            <w:r>
              <w:rPr>
                <w:rFonts w:ascii="Arial" w:cs="Arial" w:eastAsia="Arial" w:hAnsi="Arial"/>
                <w:sz w:val="14"/>
                <w:szCs w:val="14"/>
                <w:color w:val="auto"/>
              </w:rPr>
              <w:t>Account Number:</w:t>
            </w:r>
          </w:p>
        </w:tc>
      </w:tr>
      <w:tr>
        <w:trPr>
          <w:trHeight w:val="264"/>
        </w:trPr>
        <w:tc>
          <w:tcPr>
            <w:tcW w:w="2100" w:type="dxa"/>
            <w:vAlign w:val="bottom"/>
          </w:tcPr>
          <w:p>
            <w:pPr>
              <w:spacing w:after="0"/>
              <w:rPr>
                <w:sz w:val="20"/>
                <w:szCs w:val="20"/>
                <w:color w:val="auto"/>
              </w:rPr>
            </w:pPr>
            <w:r>
              <w:rPr>
                <w:rFonts w:ascii="Arial" w:cs="Arial" w:eastAsia="Arial" w:hAnsi="Arial"/>
                <w:sz w:val="14"/>
                <w:szCs w:val="14"/>
                <w:color w:val="auto"/>
              </w:rPr>
              <w:t>City and State:</w:t>
            </w:r>
          </w:p>
        </w:tc>
        <w:tc>
          <w:tcPr>
            <w:tcW w:w="3420" w:type="dxa"/>
            <w:vAlign w:val="bottom"/>
            <w:tcBorders>
              <w:top w:val="single" w:sz="8" w:color="auto"/>
              <w:bottom w:val="single" w:sz="8" w:color="auto"/>
            </w:tcBorders>
          </w:tcPr>
          <w:p>
            <w:pPr>
              <w:spacing w:after="0"/>
              <w:rPr>
                <w:sz w:val="22"/>
                <w:szCs w:val="22"/>
                <w:color w:val="auto"/>
              </w:rPr>
            </w:pPr>
          </w:p>
        </w:tc>
        <w:tc>
          <w:tcPr>
            <w:tcW w:w="2380" w:type="dxa"/>
            <w:vAlign w:val="bottom"/>
          </w:tcPr>
          <w:p>
            <w:pPr>
              <w:spacing w:after="0"/>
              <w:rPr>
                <w:sz w:val="22"/>
                <w:szCs w:val="22"/>
                <w:color w:val="auto"/>
              </w:rPr>
            </w:pPr>
          </w:p>
        </w:tc>
        <w:tc>
          <w:tcPr>
            <w:tcW w:w="3440" w:type="dxa"/>
            <w:vAlign w:val="bottom"/>
            <w:tcBorders>
              <w:top w:val="single" w:sz="8" w:color="auto"/>
            </w:tcBorders>
          </w:tcPr>
          <w:p>
            <w:pPr>
              <w:spacing w:after="0"/>
              <w:rPr>
                <w:sz w:val="22"/>
                <w:szCs w:val="22"/>
                <w:color w:val="auto"/>
              </w:rPr>
            </w:pPr>
          </w:p>
        </w:tc>
      </w:tr>
      <w:tr>
        <w:trPr>
          <w:trHeight w:val="143"/>
        </w:trPr>
        <w:tc>
          <w:tcPr>
            <w:tcW w:w="21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5820" w:type="dxa"/>
            <w:vAlign w:val="bottom"/>
            <w:gridSpan w:val="2"/>
          </w:tcPr>
          <w:p>
            <w:pPr>
              <w:ind w:left="240"/>
              <w:spacing w:after="0" w:line="143" w:lineRule="exact"/>
              <w:rPr>
                <w:sz w:val="20"/>
                <w:szCs w:val="20"/>
                <w:color w:val="auto"/>
              </w:rPr>
            </w:pPr>
            <w:r>
              <w:rPr>
                <w:rFonts w:ascii="Arial" w:cs="Arial" w:eastAsia="Arial" w:hAnsi="Arial"/>
                <w:sz w:val="14"/>
                <w:szCs w:val="14"/>
                <w:color w:val="auto"/>
              </w:rPr>
              <w:t>Beneficiary Bank Code (Swift, Sort,</w:t>
            </w:r>
          </w:p>
        </w:tc>
      </w:tr>
      <w:tr>
        <w:trPr>
          <w:trHeight w:val="188"/>
        </w:trPr>
        <w:tc>
          <w:tcPr>
            <w:tcW w:w="2100" w:type="dxa"/>
            <w:vAlign w:val="bottom"/>
          </w:tcPr>
          <w:p>
            <w:pPr>
              <w:spacing w:after="0"/>
              <w:rPr>
                <w:sz w:val="20"/>
                <w:szCs w:val="20"/>
                <w:color w:val="auto"/>
              </w:rPr>
            </w:pPr>
            <w:r>
              <w:rPr>
                <w:rFonts w:ascii="Arial" w:cs="Arial" w:eastAsia="Arial" w:hAnsi="Arial"/>
                <w:sz w:val="14"/>
                <w:szCs w:val="14"/>
                <w:color w:val="auto"/>
                <w:w w:val="99"/>
              </w:rPr>
              <w:t>Beneficiary Bank Transit (ABA) #:</w:t>
            </w:r>
          </w:p>
        </w:tc>
        <w:tc>
          <w:tcPr>
            <w:tcW w:w="3420" w:type="dxa"/>
            <w:vAlign w:val="bottom"/>
          </w:tcPr>
          <w:p>
            <w:pPr>
              <w:spacing w:after="0"/>
              <w:rPr>
                <w:sz w:val="16"/>
                <w:szCs w:val="16"/>
                <w:color w:val="auto"/>
              </w:rPr>
            </w:pPr>
          </w:p>
        </w:tc>
        <w:tc>
          <w:tcPr>
            <w:tcW w:w="5820" w:type="dxa"/>
            <w:vAlign w:val="bottom"/>
            <w:gridSpan w:val="2"/>
          </w:tcPr>
          <w:p>
            <w:pPr>
              <w:ind w:left="240"/>
              <w:spacing w:after="0"/>
              <w:rPr>
                <w:sz w:val="20"/>
                <w:szCs w:val="20"/>
                <w:color w:val="auto"/>
              </w:rPr>
            </w:pPr>
            <w:r>
              <w:rPr>
                <w:rFonts w:ascii="Arial" w:cs="Arial" w:eastAsia="Arial" w:hAnsi="Arial"/>
                <w:sz w:val="14"/>
                <w:szCs w:val="14"/>
                <w:color w:val="auto"/>
              </w:rPr>
              <w:t>Chip, etc.):</w:t>
            </w:r>
          </w:p>
        </w:tc>
      </w:tr>
      <w:tr>
        <w:trPr>
          <w:trHeight w:val="177"/>
        </w:trPr>
        <w:tc>
          <w:tcPr>
            <w:tcW w:w="2100" w:type="dxa"/>
            <w:vAlign w:val="bottom"/>
          </w:tcPr>
          <w:p>
            <w:pPr>
              <w:spacing w:after="0"/>
              <w:rPr>
                <w:sz w:val="15"/>
                <w:szCs w:val="15"/>
                <w:color w:val="auto"/>
              </w:rPr>
            </w:pPr>
          </w:p>
        </w:tc>
        <w:tc>
          <w:tcPr>
            <w:tcW w:w="3420" w:type="dxa"/>
            <w:vAlign w:val="bottom"/>
            <w:tcBorders>
              <w:top w:val="single" w:sz="8" w:color="auto"/>
            </w:tcBorders>
          </w:tcPr>
          <w:p>
            <w:pPr>
              <w:spacing w:after="0"/>
              <w:rPr>
                <w:sz w:val="15"/>
                <w:szCs w:val="15"/>
                <w:color w:val="auto"/>
              </w:rPr>
            </w:pPr>
          </w:p>
        </w:tc>
        <w:tc>
          <w:tcPr>
            <w:tcW w:w="2380" w:type="dxa"/>
            <w:vAlign w:val="bottom"/>
          </w:tcPr>
          <w:p>
            <w:pPr>
              <w:ind w:left="600"/>
              <w:spacing w:after="0"/>
              <w:rPr>
                <w:sz w:val="20"/>
                <w:szCs w:val="20"/>
                <w:color w:val="auto"/>
              </w:rPr>
            </w:pPr>
            <w:r>
              <w:rPr>
                <w:rFonts w:ascii="Arial" w:cs="Arial" w:eastAsia="Arial" w:hAnsi="Arial"/>
                <w:sz w:val="14"/>
                <w:szCs w:val="14"/>
                <w:b w:val="1"/>
                <w:bCs w:val="1"/>
                <w:color w:val="auto"/>
                <w:w w:val="93"/>
              </w:rPr>
              <w:t>(For International Wire Only)</w:t>
            </w:r>
          </w:p>
        </w:tc>
        <w:tc>
          <w:tcPr>
            <w:tcW w:w="3440" w:type="dxa"/>
            <w:vAlign w:val="bottom"/>
            <w:tcBorders>
              <w:top w:val="single" w:sz="8" w:color="auto"/>
            </w:tcBorders>
          </w:tcPr>
          <w:p>
            <w:pPr>
              <w:spacing w:after="0"/>
              <w:rPr>
                <w:sz w:val="15"/>
                <w:szCs w:val="15"/>
                <w:color w:val="auto"/>
              </w:rPr>
            </w:pPr>
          </w:p>
        </w:tc>
      </w:tr>
      <w:tr>
        <w:trPr>
          <w:trHeight w:val="573"/>
        </w:trPr>
        <w:tc>
          <w:tcPr>
            <w:tcW w:w="2100" w:type="dxa"/>
            <w:vAlign w:val="bottom"/>
          </w:tcPr>
          <w:p>
            <w:pPr>
              <w:spacing w:after="0"/>
              <w:rPr>
                <w:sz w:val="20"/>
                <w:szCs w:val="20"/>
                <w:color w:val="auto"/>
              </w:rPr>
            </w:pPr>
            <w:r>
              <w:rPr>
                <w:rFonts w:ascii="Arial" w:cs="Arial" w:eastAsia="Arial" w:hAnsi="Arial"/>
                <w:sz w:val="14"/>
                <w:szCs w:val="14"/>
                <w:color w:val="auto"/>
              </w:rPr>
              <w:t>Intermediary Bank:</w:t>
            </w:r>
          </w:p>
        </w:tc>
        <w:tc>
          <w:tcPr>
            <w:tcW w:w="3420" w:type="dxa"/>
            <w:vAlign w:val="bottom"/>
          </w:tcPr>
          <w:p>
            <w:pPr>
              <w:spacing w:after="0"/>
              <w:rPr>
                <w:sz w:val="24"/>
                <w:szCs w:val="24"/>
                <w:color w:val="auto"/>
              </w:rPr>
            </w:pPr>
          </w:p>
        </w:tc>
        <w:tc>
          <w:tcPr>
            <w:tcW w:w="5820" w:type="dxa"/>
            <w:vAlign w:val="bottom"/>
            <w:gridSpan w:val="2"/>
          </w:tcPr>
          <w:p>
            <w:pPr>
              <w:ind w:left="240"/>
              <w:spacing w:after="0"/>
              <w:rPr>
                <w:sz w:val="20"/>
                <w:szCs w:val="20"/>
                <w:color w:val="auto"/>
              </w:rPr>
            </w:pPr>
            <w:r>
              <w:rPr>
                <w:rFonts w:ascii="Arial" w:cs="Arial" w:eastAsia="Arial" w:hAnsi="Arial"/>
                <w:sz w:val="14"/>
                <w:szCs w:val="14"/>
                <w:color w:val="auto"/>
              </w:rPr>
              <w:t>Transit (ABA) #:</w:t>
            </w:r>
          </w:p>
        </w:tc>
      </w:tr>
      <w:tr>
        <w:trPr>
          <w:trHeight w:val="264"/>
        </w:trPr>
        <w:tc>
          <w:tcPr>
            <w:tcW w:w="2100" w:type="dxa"/>
            <w:vAlign w:val="bottom"/>
          </w:tcPr>
          <w:p>
            <w:pPr>
              <w:spacing w:after="0"/>
              <w:rPr>
                <w:sz w:val="20"/>
                <w:szCs w:val="20"/>
                <w:color w:val="auto"/>
              </w:rPr>
            </w:pPr>
            <w:r>
              <w:rPr>
                <w:rFonts w:ascii="Arial" w:cs="Arial" w:eastAsia="Arial" w:hAnsi="Arial"/>
                <w:sz w:val="14"/>
                <w:szCs w:val="14"/>
                <w:color w:val="auto"/>
              </w:rPr>
              <w:t>For Further Credit to:</w:t>
            </w:r>
          </w:p>
        </w:tc>
        <w:tc>
          <w:tcPr>
            <w:tcW w:w="3420" w:type="dxa"/>
            <w:vAlign w:val="bottom"/>
            <w:tcBorders>
              <w:top w:val="single" w:sz="8" w:color="auto"/>
              <w:bottom w:val="single" w:sz="8" w:color="auto"/>
            </w:tcBorders>
          </w:tcPr>
          <w:p>
            <w:pPr>
              <w:spacing w:after="0"/>
              <w:rPr>
                <w:sz w:val="22"/>
                <w:szCs w:val="22"/>
                <w:color w:val="auto"/>
              </w:rPr>
            </w:pPr>
          </w:p>
        </w:tc>
        <w:tc>
          <w:tcPr>
            <w:tcW w:w="2380" w:type="dxa"/>
            <w:vAlign w:val="bottom"/>
          </w:tcPr>
          <w:p>
            <w:pPr>
              <w:spacing w:after="0"/>
              <w:rPr>
                <w:sz w:val="22"/>
                <w:szCs w:val="22"/>
                <w:color w:val="auto"/>
              </w:rPr>
            </w:pPr>
          </w:p>
        </w:tc>
        <w:tc>
          <w:tcPr>
            <w:tcW w:w="3440" w:type="dxa"/>
            <w:vAlign w:val="bottom"/>
            <w:tcBorders>
              <w:top w:val="single" w:sz="8" w:color="auto"/>
            </w:tcBorders>
          </w:tcPr>
          <w:p>
            <w:pPr>
              <w:spacing w:after="0"/>
              <w:rPr>
                <w:sz w:val="22"/>
                <w:szCs w:val="22"/>
                <w:color w:val="auto"/>
              </w:rPr>
            </w:pPr>
          </w:p>
        </w:tc>
      </w:tr>
      <w:tr>
        <w:trPr>
          <w:trHeight w:val="264"/>
        </w:trPr>
        <w:tc>
          <w:tcPr>
            <w:tcW w:w="2100" w:type="dxa"/>
            <w:vAlign w:val="bottom"/>
          </w:tcPr>
          <w:p>
            <w:pPr>
              <w:spacing w:after="0"/>
              <w:rPr>
                <w:sz w:val="20"/>
                <w:szCs w:val="20"/>
                <w:color w:val="auto"/>
              </w:rPr>
            </w:pPr>
            <w:r>
              <w:rPr>
                <w:rFonts w:ascii="Arial" w:cs="Arial" w:eastAsia="Arial" w:hAnsi="Arial"/>
                <w:sz w:val="14"/>
                <w:szCs w:val="14"/>
                <w:color w:val="auto"/>
              </w:rPr>
              <w:t>Special Instruction:</w:t>
            </w:r>
          </w:p>
        </w:tc>
        <w:tc>
          <w:tcPr>
            <w:tcW w:w="3420" w:type="dxa"/>
            <w:vAlign w:val="bottom"/>
            <w:tcBorders>
              <w:bottom w:val="single" w:sz="8" w:color="auto"/>
            </w:tcBorders>
          </w:tcPr>
          <w:p>
            <w:pPr>
              <w:spacing w:after="0"/>
              <w:rPr>
                <w:sz w:val="22"/>
                <w:szCs w:val="22"/>
                <w:color w:val="auto"/>
              </w:rPr>
            </w:pPr>
          </w:p>
        </w:tc>
        <w:tc>
          <w:tcPr>
            <w:tcW w:w="2380" w:type="dxa"/>
            <w:vAlign w:val="bottom"/>
          </w:tcPr>
          <w:p>
            <w:pPr>
              <w:spacing w:after="0"/>
              <w:rPr>
                <w:sz w:val="22"/>
                <w:szCs w:val="22"/>
                <w:color w:val="auto"/>
              </w:rPr>
            </w:pPr>
          </w:p>
        </w:tc>
        <w:tc>
          <w:tcPr>
            <w:tcW w:w="3440" w:type="dxa"/>
            <w:vAlign w:val="bottom"/>
          </w:tcPr>
          <w:p>
            <w:pPr>
              <w:spacing w:after="0"/>
              <w:rPr>
                <w:sz w:val="22"/>
                <w:szCs w:val="22"/>
                <w:color w:val="auto"/>
              </w:rPr>
            </w:pPr>
          </w:p>
        </w:tc>
      </w:tr>
    </w:tbl>
    <w:p>
      <w:pPr>
        <w:spacing w:after="0" w:line="211" w:lineRule="exact"/>
        <w:rPr>
          <w:sz w:val="20"/>
          <w:szCs w:val="20"/>
          <w:color w:val="auto"/>
        </w:rPr>
      </w:pPr>
    </w:p>
    <w:p>
      <w:pPr>
        <w:ind w:left="100" w:right="220"/>
        <w:spacing w:after="0" w:line="253" w:lineRule="auto"/>
        <w:rPr>
          <w:sz w:val="20"/>
          <w:szCs w:val="20"/>
          <w:color w:val="auto"/>
        </w:rPr>
      </w:pPr>
      <w:r>
        <w:rPr>
          <w:rFonts w:ascii="Arial" w:cs="Arial" w:eastAsia="Arial" w:hAnsi="Arial"/>
          <w:sz w:val="14"/>
          <w:szCs w:val="14"/>
          <w:i w:val="1"/>
          <w:iCs w:val="1"/>
          <w:color w:val="auto"/>
        </w:rPr>
        <w:t>By signing below, I (we) acknowledge and agree that my (our) funds transfer request shall be processed in accordance with and subject to the terms and conditions set forth in the agreements(s) covering funds transfer service(s), which agreements(s) were previously received and executed by me (us).</w:t>
      </w:r>
    </w:p>
    <w:p>
      <w:pPr>
        <w:spacing w:after="0" w:line="295" w:lineRule="exact"/>
        <w:rPr>
          <w:sz w:val="20"/>
          <w:szCs w:val="20"/>
          <w:color w:val="auto"/>
        </w:rPr>
      </w:pPr>
    </w:p>
    <w:tbl>
      <w:tblPr>
        <w:tblLayout w:type="fixed"/>
        <w:tblInd w:w="100" w:type="dxa"/>
        <w:tblCellMar>
          <w:top w:w="0" w:type="dxa"/>
          <w:left w:w="0" w:type="dxa"/>
          <w:bottom w:w="0" w:type="dxa"/>
          <w:right w:w="0" w:type="dxa"/>
        </w:tblCellMar>
      </w:tblPr>
      <w:tr>
        <w:trPr>
          <w:trHeight w:val="188"/>
        </w:trPr>
        <w:tc>
          <w:tcPr>
            <w:tcW w:w="2100" w:type="dxa"/>
            <w:vAlign w:val="bottom"/>
          </w:tcPr>
          <w:p>
            <w:pPr>
              <w:spacing w:after="0"/>
              <w:rPr>
                <w:sz w:val="20"/>
                <w:szCs w:val="20"/>
                <w:color w:val="auto"/>
              </w:rPr>
            </w:pPr>
            <w:r>
              <w:rPr>
                <w:rFonts w:ascii="Arial" w:cs="Arial" w:eastAsia="Arial" w:hAnsi="Arial"/>
                <w:sz w:val="14"/>
                <w:szCs w:val="14"/>
                <w:color w:val="auto"/>
              </w:rPr>
              <w:t>Authorized Signature:</w:t>
            </w:r>
          </w:p>
        </w:tc>
        <w:tc>
          <w:tcPr>
            <w:tcW w:w="3420" w:type="dxa"/>
            <w:vAlign w:val="bottom"/>
            <w:tcBorders>
              <w:bottom w:val="single" w:sz="8" w:color="auto"/>
            </w:tcBorders>
          </w:tcPr>
          <w:p>
            <w:pPr>
              <w:spacing w:after="0"/>
              <w:rPr>
                <w:sz w:val="16"/>
                <w:szCs w:val="16"/>
                <w:color w:val="auto"/>
              </w:rPr>
            </w:pPr>
          </w:p>
        </w:tc>
        <w:tc>
          <w:tcPr>
            <w:tcW w:w="1820" w:type="dxa"/>
            <w:vAlign w:val="bottom"/>
          </w:tcPr>
          <w:p>
            <w:pPr>
              <w:ind w:left="240"/>
              <w:spacing w:after="0"/>
              <w:rPr>
                <w:sz w:val="20"/>
                <w:szCs w:val="20"/>
                <w:color w:val="auto"/>
              </w:rPr>
            </w:pPr>
            <w:r>
              <w:rPr>
                <w:rFonts w:ascii="Arial" w:cs="Arial" w:eastAsia="Arial" w:hAnsi="Arial"/>
                <w:sz w:val="14"/>
                <w:szCs w:val="14"/>
                <w:color w:val="auto"/>
                <w:w w:val="93"/>
              </w:rPr>
              <w:t>2nd Signature (if required):</w:t>
            </w:r>
          </w:p>
        </w:tc>
      </w:tr>
      <w:tr>
        <w:trPr>
          <w:trHeight w:val="264"/>
        </w:trPr>
        <w:tc>
          <w:tcPr>
            <w:tcW w:w="2100" w:type="dxa"/>
            <w:vAlign w:val="bottom"/>
          </w:tcPr>
          <w:p>
            <w:pPr>
              <w:spacing w:after="0"/>
              <w:rPr>
                <w:sz w:val="20"/>
                <w:szCs w:val="20"/>
                <w:color w:val="auto"/>
              </w:rPr>
            </w:pPr>
            <w:r>
              <w:rPr>
                <w:rFonts w:ascii="Arial" w:cs="Arial" w:eastAsia="Arial" w:hAnsi="Arial"/>
                <w:sz w:val="14"/>
                <w:szCs w:val="14"/>
                <w:color w:val="auto"/>
              </w:rPr>
              <w:t>Print Name/Title:</w:t>
            </w:r>
          </w:p>
        </w:tc>
        <w:tc>
          <w:tcPr>
            <w:tcW w:w="3420" w:type="dxa"/>
            <w:vAlign w:val="bottom"/>
            <w:tcBorders>
              <w:bottom w:val="single" w:sz="8" w:color="auto"/>
            </w:tcBorders>
          </w:tcPr>
          <w:p>
            <w:pPr>
              <w:spacing w:after="0"/>
              <w:rPr>
                <w:sz w:val="22"/>
                <w:szCs w:val="22"/>
                <w:color w:val="auto"/>
              </w:rPr>
            </w:pPr>
          </w:p>
        </w:tc>
        <w:tc>
          <w:tcPr>
            <w:tcW w:w="1820" w:type="dxa"/>
            <w:vAlign w:val="bottom"/>
          </w:tcPr>
          <w:p>
            <w:pPr>
              <w:ind w:left="240"/>
              <w:spacing w:after="0"/>
              <w:rPr>
                <w:sz w:val="20"/>
                <w:szCs w:val="20"/>
                <w:color w:val="auto"/>
              </w:rPr>
            </w:pPr>
            <w:r>
              <w:rPr>
                <w:rFonts w:ascii="Arial" w:cs="Arial" w:eastAsia="Arial" w:hAnsi="Arial"/>
                <w:sz w:val="14"/>
                <w:szCs w:val="14"/>
                <w:color w:val="auto"/>
              </w:rPr>
              <w:t>Print Name/Title:</w:t>
            </w:r>
          </w:p>
        </w:tc>
      </w:tr>
      <w:tr>
        <w:trPr>
          <w:trHeight w:val="264"/>
        </w:trPr>
        <w:tc>
          <w:tcPr>
            <w:tcW w:w="2100" w:type="dxa"/>
            <w:vAlign w:val="bottom"/>
          </w:tcPr>
          <w:p>
            <w:pPr>
              <w:spacing w:after="0"/>
              <w:rPr>
                <w:sz w:val="20"/>
                <w:szCs w:val="20"/>
                <w:color w:val="auto"/>
              </w:rPr>
            </w:pPr>
            <w:r>
              <w:rPr>
                <w:rFonts w:ascii="Arial" w:cs="Arial" w:eastAsia="Arial" w:hAnsi="Arial"/>
                <w:sz w:val="14"/>
                <w:szCs w:val="14"/>
                <w:color w:val="auto"/>
              </w:rPr>
              <w:t>Telephone #:</w:t>
            </w:r>
          </w:p>
        </w:tc>
        <w:tc>
          <w:tcPr>
            <w:tcW w:w="3420" w:type="dxa"/>
            <w:vAlign w:val="bottom"/>
            <w:tcBorders>
              <w:bottom w:val="single" w:sz="8" w:color="auto"/>
            </w:tcBorders>
          </w:tcPr>
          <w:p>
            <w:pPr>
              <w:spacing w:after="0"/>
              <w:rPr>
                <w:sz w:val="22"/>
                <w:szCs w:val="22"/>
                <w:color w:val="auto"/>
              </w:rPr>
            </w:pPr>
          </w:p>
        </w:tc>
        <w:tc>
          <w:tcPr>
            <w:tcW w:w="1820" w:type="dxa"/>
            <w:vAlign w:val="bottom"/>
          </w:tcPr>
          <w:p>
            <w:pPr>
              <w:ind w:left="240"/>
              <w:spacing w:after="0"/>
              <w:rPr>
                <w:sz w:val="20"/>
                <w:szCs w:val="20"/>
                <w:color w:val="auto"/>
              </w:rPr>
            </w:pPr>
            <w:r>
              <w:rPr>
                <w:rFonts w:ascii="Arial" w:cs="Arial" w:eastAsia="Arial" w:hAnsi="Arial"/>
                <w:sz w:val="14"/>
                <w:szCs w:val="14"/>
                <w:color w:val="auto"/>
              </w:rPr>
              <w:t>Telephone #:</w:t>
            </w:r>
          </w:p>
        </w:tc>
      </w:tr>
    </w:tbl>
    <w:p>
      <w:pPr>
        <w:sectPr>
          <w:pgSz w:w="11900" w:h="16838" w:orient="portrait"/>
          <w:cols w:equalWidth="0" w:num="1">
            <w:col w:w="11440"/>
          </w:cols>
          <w:pgMar w:left="240" w:top="688" w:right="219" w:bottom="1440" w:gutter="0" w:footer="0" w:header="0"/>
        </w:sectPr>
      </w:pPr>
    </w:p>
    <w:bookmarkStart w:id="39" w:name="page40"/>
    <w:bookmarkEnd w:id="39"/>
    <w:p>
      <w:pPr>
        <w:spacing w:after="0"/>
        <w:rPr>
          <w:sz w:val="20"/>
          <w:szCs w:val="20"/>
          <w:color w:val="auto"/>
        </w:rPr>
      </w:pPr>
      <w:r>
        <w:rPr>
          <w:rFonts w:ascii="Arial" w:cs="Arial" w:eastAsia="Arial" w:hAnsi="Arial"/>
          <w:sz w:val="14"/>
          <w:szCs w:val="14"/>
          <w:color w:val="auto"/>
        </w:rPr>
        <w:t>2174500.7\56120.04048</w:t>
      </w:r>
    </w:p>
    <w:sectPr>
      <w:pgSz w:w="11900" w:h="16838" w:orient="portrait"/>
      <w:cols w:equalWidth="0" w:num="1">
        <w:col w:w="10219"/>
      </w:cols>
      <w:pgMar w:left="240" w:top="80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o"/>
      <w:numFmt w:val="bullet"/>
      <w:start w:val="1"/>
    </w:lvl>
  </w:abstractNum>
  <w:abstractNum w:abstractNumId="1">
    <w:nsid w:val="4353D0CD"/>
    <w:multiLevelType w:val="hybridMultilevel"/>
    <w:lvl w:ilvl="0">
      <w:lvlJc w:val="left"/>
      <w:lvlText w:val="%1."/>
      <w:numFmt w:val="decimal"/>
      <w:start w:val="1"/>
    </w:lvl>
  </w:abstractNum>
  <w:abstractNum w:abstractNumId="2">
    <w:nsid w:val="B03E0C6"/>
    <w:multiLevelType w:val="hybridMultilevel"/>
    <w:lvl w:ilvl="0">
      <w:lvlJc w:val="left"/>
      <w:lvlText w:val="%1."/>
      <w:numFmt w:val="decimal"/>
      <w:start w:val="2"/>
    </w:lvl>
  </w:abstractNum>
  <w:abstractNum w:abstractNumId="3">
    <w:nsid w:val="189A769B"/>
    <w:multiLevelType w:val="hybridMultilevel"/>
    <w:lvl w:ilvl="0">
      <w:lvlJc w:val="left"/>
      <w:lvlText w:val="%1"/>
      <w:numFmt w:val="decimal"/>
      <w:start w:val="1"/>
    </w:lvl>
    <w:lvl w:ilvl="1">
      <w:lvlJc w:val="left"/>
      <w:lvlText w:val="(%2)"/>
      <w:numFmt w:val="lowerLetter"/>
      <w:start w:val="1"/>
    </w:lvl>
  </w:abstractNum>
  <w:abstractNum w:abstractNumId="4">
    <w:nsid w:val="54E49EB4"/>
    <w:multiLevelType w:val="hybridMultilevel"/>
    <w:lvl w:ilvl="0">
      <w:lvlJc w:val="left"/>
      <w:lvlText w:val="(%1)"/>
      <w:numFmt w:val="decimal"/>
      <w:start w:val="1"/>
    </w:lvl>
    <w:lvl w:ilvl="1">
      <w:lvlJc w:val="left"/>
      <w:lvlText w:val="(%2)"/>
      <w:numFmt w:val="lowerLetter"/>
      <w:start w:val="2"/>
    </w:lvl>
  </w:abstractNum>
  <w:abstractNum w:abstractNumId="5">
    <w:nsid w:val="71F32454"/>
    <w:multiLevelType w:val="hybridMultilevel"/>
    <w:lvl w:ilvl="0">
      <w:lvlJc w:val="left"/>
      <w:lvlText w:val="(%1)"/>
      <w:numFmt w:val="lowerLetter"/>
      <w:start w:val="5"/>
    </w:lvl>
  </w:abstractNum>
  <w:abstractNum w:abstractNumId="6">
    <w:nsid w:val="2CA88611"/>
    <w:multiLevelType w:val="hybridMultilevel"/>
    <w:lvl w:ilvl="0">
      <w:lvlJc w:val="left"/>
      <w:lvlText w:val="(%1)"/>
      <w:numFmt w:val="lowerLetter"/>
      <w:start w:val="1"/>
    </w:lvl>
  </w:abstractNum>
  <w:abstractNum w:abstractNumId="7">
    <w:nsid w:val="836C40E"/>
    <w:multiLevelType w:val="hybridMultilevel"/>
    <w:lvl w:ilvl="0">
      <w:lvlJc w:val="left"/>
      <w:lvlText w:val="(%1)"/>
      <w:numFmt w:val="lowerLetter"/>
      <w:start w:val="1"/>
    </w:lvl>
  </w:abstractNum>
  <w:abstractNum w:abstractNumId="8">
    <w:nsid w:val="2901D82"/>
    <w:multiLevelType w:val="hybridMultilevel"/>
    <w:lvl w:ilvl="0">
      <w:lvlJc w:val="left"/>
      <w:lvlText w:val="(%1)"/>
      <w:numFmt w:val="lowerLetter"/>
      <w:start w:val="1"/>
    </w:lvl>
  </w:abstractNum>
  <w:abstractNum w:abstractNumId="9">
    <w:nsid w:val="3A95F874"/>
    <w:multiLevelType w:val="hybridMultilevel"/>
    <w:lvl w:ilvl="0">
      <w:lvlJc w:val="left"/>
      <w:lvlText w:val="%1"/>
      <w:numFmt w:val="decimal"/>
      <w:start w:val="1"/>
    </w:lvl>
    <w:lvl w:ilvl="1">
      <w:lvlJc w:val="left"/>
      <w:lvlText w:val="(%2)"/>
      <w:numFmt w:val="lowerLetter"/>
      <w:start w:val="2"/>
    </w:lvl>
  </w:abstractNum>
  <w:abstractNum w:abstractNumId="10">
    <w:nsid w:val="8138641"/>
    <w:multiLevelType w:val="hybridMultilevel"/>
    <w:lvl w:ilvl="0">
      <w:lvlJc w:val="left"/>
      <w:lvlText w:val="%1."/>
      <w:numFmt w:val="decimal"/>
      <w:start w:val="3"/>
    </w:lvl>
    <w:lvl w:ilvl="1">
      <w:lvlJc w:val="left"/>
      <w:lvlText w:val="%2"/>
      <w:numFmt w:val="lowerLetter"/>
      <w:start w:val="1"/>
    </w:lvl>
  </w:abstractNum>
  <w:abstractNum w:abstractNumId="11">
    <w:nsid w:val="1E7FF521"/>
    <w:multiLevelType w:val="hybridMultilevel"/>
    <w:lvl w:ilvl="0">
      <w:lvlJc w:val="left"/>
      <w:lvlText w:val="(%1)"/>
      <w:numFmt w:val="lowerLetter"/>
      <w:start w:val="1"/>
    </w:lvl>
  </w:abstractNum>
  <w:abstractNum w:abstractNumId="12">
    <w:nsid w:val="7C3DBD3D"/>
    <w:multiLevelType w:val="hybridMultilevel"/>
    <w:lvl w:ilvl="0">
      <w:lvlJc w:val="left"/>
      <w:lvlText w:val="(%1)"/>
      <w:numFmt w:val="lowerLetter"/>
      <w:start w:val="1"/>
    </w:lvl>
  </w:abstractNum>
  <w:abstractNum w:abstractNumId="13">
    <w:nsid w:val="737B8DDC"/>
    <w:multiLevelType w:val="hybridMultilevel"/>
    <w:lvl w:ilvl="0">
      <w:lvlJc w:val="left"/>
      <w:lvlText w:val="%1."/>
      <w:numFmt w:val="decimal"/>
      <w:start w:val="4"/>
    </w:lvl>
  </w:abstractNum>
  <w:abstractNum w:abstractNumId="14">
    <w:nsid w:val="6CEAF087"/>
    <w:multiLevelType w:val="hybridMultilevel"/>
    <w:lvl w:ilvl="0">
      <w:lvlJc w:val="left"/>
      <w:lvlText w:val="%1."/>
      <w:numFmt w:val="decimal"/>
      <w:start w:val="5"/>
    </w:lvl>
  </w:abstractNum>
  <w:abstractNum w:abstractNumId="15">
    <w:nsid w:val="22221A70"/>
    <w:multiLevelType w:val="hybridMultilevel"/>
    <w:lvl w:ilvl="0">
      <w:lvlJc w:val="left"/>
      <w:lvlText w:val="(%1)"/>
      <w:numFmt w:val="lowerLetter"/>
      <w:start w:val="2"/>
    </w:lvl>
  </w:abstractNum>
  <w:abstractNum w:abstractNumId="16">
    <w:nsid w:val="4516DDE9"/>
    <w:multiLevelType w:val="hybridMultilevel"/>
    <w:lvl w:ilvl="0">
      <w:lvlJc w:val="left"/>
      <w:lvlText w:val="%1."/>
      <w:numFmt w:val="decimal"/>
      <w:start w:val="6"/>
    </w:lvl>
  </w:abstractNum>
  <w:abstractNum w:abstractNumId="17">
    <w:nsid w:val="3006C83E"/>
    <w:multiLevelType w:val="hybridMultilevel"/>
    <w:lvl w:ilvl="0">
      <w:lvlJc w:val="left"/>
      <w:lvlText w:val="(%1)"/>
      <w:numFmt w:val="lowerLetter"/>
      <w:start w:val="1"/>
    </w:lvl>
  </w:abstractNum>
  <w:abstractNum w:abstractNumId="18">
    <w:nsid w:val="614FD4A1"/>
    <w:multiLevelType w:val="hybridMultilevel"/>
    <w:lvl w:ilvl="0">
      <w:lvlJc w:val="left"/>
      <w:lvlText w:val="(%1)"/>
      <w:numFmt w:val="lowerLetter"/>
      <w:start w:val="2"/>
    </w:lvl>
  </w:abstractNum>
  <w:abstractNum w:abstractNumId="19">
    <w:nsid w:val="419AC241"/>
    <w:multiLevelType w:val="hybridMultilevel"/>
    <w:lvl w:ilvl="0">
      <w:lvlJc w:val="left"/>
      <w:lvlText w:val="(%1)"/>
      <w:numFmt w:val="lowerLetter"/>
      <w:start w:val="1"/>
    </w:lvl>
  </w:abstractNum>
  <w:abstractNum w:abstractNumId="20">
    <w:nsid w:val="5577F8E1"/>
    <w:multiLevelType w:val="hybridMultilevel"/>
    <w:lvl w:ilvl="0">
      <w:lvlJc w:val="left"/>
      <w:lvlText w:val="(%1)"/>
      <w:numFmt w:val="lowerLetter"/>
      <w:start w:val="9"/>
    </w:lvl>
  </w:abstractNum>
  <w:abstractNum w:abstractNumId="21">
    <w:nsid w:val="440BADFC"/>
    <w:multiLevelType w:val="hybridMultilevel"/>
    <w:lvl w:ilvl="0">
      <w:lvlJc w:val="left"/>
      <w:lvlText w:val="(%1)"/>
      <w:numFmt w:val="lowerLetter"/>
      <w:start w:val="1"/>
    </w:lvl>
  </w:abstractNum>
  <w:abstractNum w:abstractNumId="22">
    <w:nsid w:val="5072367"/>
    <w:multiLevelType w:val="hybridMultilevel"/>
    <w:lvl w:ilvl="0">
      <w:lvlJc w:val="left"/>
      <w:lvlText w:val="(%1)"/>
      <w:numFmt w:val="lowerLetter"/>
      <w:start w:val="1"/>
    </w:lvl>
  </w:abstractNum>
  <w:abstractNum w:abstractNumId="23">
    <w:nsid w:val="3804823E"/>
    <w:multiLevelType w:val="hybridMultilevel"/>
    <w:lvl w:ilvl="0">
      <w:lvlJc w:val="left"/>
      <w:lvlText w:val="(%1)"/>
      <w:numFmt w:val="lowerLetter"/>
      <w:start w:val="2"/>
    </w:lvl>
  </w:abstractNum>
  <w:abstractNum w:abstractNumId="24">
    <w:nsid w:val="77465F01"/>
    <w:multiLevelType w:val="hybridMultilevel"/>
    <w:lvl w:ilvl="0">
      <w:lvlJc w:val="left"/>
      <w:lvlText w:val="(%1)"/>
      <w:numFmt w:val="lowerLetter"/>
      <w:start w:val="1"/>
    </w:lvl>
  </w:abstractNum>
  <w:abstractNum w:abstractNumId="25">
    <w:nsid w:val="7724C67E"/>
    <w:multiLevelType w:val="hybridMultilevel"/>
    <w:lvl w:ilvl="0">
      <w:lvlJc w:val="left"/>
      <w:lvlText w:val="(%1)"/>
      <w:numFmt w:val="decimal"/>
      <w:start w:val="10"/>
    </w:lvl>
  </w:abstractNum>
  <w:abstractNum w:abstractNumId="26">
    <w:nsid w:val="5C482A97"/>
    <w:multiLevelType w:val="hybridMultilevel"/>
    <w:lvl w:ilvl="0">
      <w:lvlJc w:val="left"/>
      <w:lvlText w:val="%1."/>
      <w:numFmt w:val="decimal"/>
      <w:start w:val="7"/>
    </w:lvl>
  </w:abstractNum>
  <w:abstractNum w:abstractNumId="27">
    <w:nsid w:val="2463B9EA"/>
    <w:multiLevelType w:val="hybridMultilevel"/>
    <w:lvl w:ilvl="0">
      <w:lvlJc w:val="left"/>
      <w:lvlText w:val="%1."/>
      <w:numFmt w:val="decimal"/>
      <w:start w:val="8"/>
    </w:lvl>
  </w:abstractNum>
  <w:abstractNum w:abstractNumId="28">
    <w:nsid w:val="5E884ADC"/>
    <w:multiLevelType w:val="hybridMultilevel"/>
    <w:lvl w:ilvl="0">
      <w:lvlJc w:val="left"/>
      <w:lvlText w:val="(%1)"/>
      <w:numFmt w:val="lowerLetter"/>
      <w:start w:val="1"/>
    </w:lvl>
  </w:abstractNum>
  <w:abstractNum w:abstractNumId="29">
    <w:nsid w:val="51EAD36B"/>
    <w:multiLevelType w:val="hybridMultilevel"/>
    <w:lvl w:ilvl="0">
      <w:lvlJc w:val="left"/>
      <w:lvlText w:val="(%1)"/>
      <w:numFmt w:val="lowerLetter"/>
      <w:start w:val="2"/>
    </w:lvl>
  </w:abstractNum>
  <w:abstractNum w:abstractNumId="30">
    <w:nsid w:val="2D517796"/>
    <w:multiLevelType w:val="hybridMultilevel"/>
    <w:lvl w:ilvl="0">
      <w:lvlJc w:val="left"/>
      <w:lvlText w:val="(%1)"/>
      <w:numFmt w:val="lowerLetter"/>
      <w:start w:val="1"/>
    </w:lvl>
  </w:abstractNum>
  <w:abstractNum w:abstractNumId="31">
    <w:nsid w:val="580BD78F"/>
    <w:multiLevelType w:val="hybridMultilevel"/>
    <w:lvl w:ilvl="0">
      <w:lvlJc w:val="left"/>
      <w:lvlText w:val="%1."/>
      <w:numFmt w:val="decimal"/>
      <w:start w:val="9"/>
    </w:lvl>
  </w:abstractNum>
  <w:abstractNum w:abstractNumId="32">
    <w:nsid w:val="153EA438"/>
    <w:multiLevelType w:val="hybridMultilevel"/>
    <w:lvl w:ilvl="0">
      <w:lvlJc w:val="left"/>
      <w:lvlText w:val="(%1)"/>
      <w:numFmt w:val="lowerLetter"/>
      <w:start w:val="1"/>
    </w:lvl>
  </w:abstractNum>
  <w:abstractNum w:abstractNumId="33">
    <w:nsid w:val="3855585C"/>
    <w:multiLevelType w:val="hybridMultilevel"/>
    <w:lvl w:ilvl="0">
      <w:lvlJc w:val="left"/>
      <w:lvlText w:val="(%1)"/>
      <w:numFmt w:val="lowerLetter"/>
      <w:start w:val="6"/>
    </w:lvl>
  </w:abstractNum>
  <w:abstractNum w:abstractNumId="34">
    <w:nsid w:val="70A64E2A"/>
    <w:multiLevelType w:val="hybridMultilevel"/>
    <w:lvl w:ilvl="0">
      <w:lvlJc w:val="left"/>
      <w:lvlText w:val="%1."/>
      <w:numFmt w:val="decimal"/>
      <w:start w:val="10"/>
    </w:lvl>
  </w:abstractNum>
  <w:abstractNum w:abstractNumId="35">
    <w:nsid w:val="6A2342EC"/>
    <w:multiLevelType w:val="hybridMultilevel"/>
    <w:lvl w:ilvl="0">
      <w:lvlJc w:val="left"/>
      <w:lvlText w:val="%1."/>
      <w:numFmt w:val="decimal"/>
      <w:start w:val="11"/>
    </w:lvl>
  </w:abstractNum>
  <w:abstractNum w:abstractNumId="36">
    <w:nsid w:val="2A487CB0"/>
    <w:multiLevelType w:val="hybridMultilevel"/>
    <w:lvl w:ilvl="0">
      <w:lvlJc w:val="left"/>
      <w:lvlText w:val="%1."/>
      <w:numFmt w:val="decimal"/>
      <w:start w:val="12"/>
    </w:lvl>
  </w:abstractNum>
  <w:abstractNum w:abstractNumId="37">
    <w:nsid w:val="1D4ED43B"/>
    <w:multiLevelType w:val="hybridMultilevel"/>
    <w:lvl w:ilvl="0">
      <w:lvlJc w:val="left"/>
      <w:lvlText w:val="%1."/>
      <w:numFmt w:val="decimal"/>
      <w:start w:val="13"/>
    </w:lvl>
  </w:abstractNum>
  <w:abstractNum w:abstractNumId="38">
    <w:nsid w:val="725A06FB"/>
    <w:multiLevelType w:val="hybridMultilevel"/>
    <w:lvl w:ilvl="0">
      <w:lvlJc w:val="left"/>
      <w:lvlText w:val="(%1)"/>
      <w:numFmt w:val="decimal"/>
      <w:start w:val="12"/>
    </w:lvl>
  </w:abstractNum>
  <w:abstractNum w:abstractNumId="39">
    <w:nsid w:val="2CD89A32"/>
    <w:multiLevelType w:val="hybridMultilevel"/>
    <w:lvl w:ilvl="0">
      <w:lvlJc w:val="left"/>
      <w:lvlText w:val="(%1)"/>
      <w:numFmt w:val="lowerLetter"/>
      <w:start w:val="1"/>
    </w:lvl>
  </w:abstractNum>
  <w:abstractNum w:abstractNumId="40">
    <w:nsid w:val="57E4CCAF"/>
    <w:multiLevelType w:val="hybridMultilevel"/>
    <w:lvl w:ilvl="0">
      <w:lvlJc w:val="left"/>
      <w:lvlText w:val="(%1)"/>
      <w:numFmt w:val="lowerLetter"/>
      <w:start w:val="1"/>
    </w:lvl>
  </w:abstractNum>
  <w:abstractNum w:abstractNumId="41">
    <w:nsid w:val="7A6D8D3C"/>
    <w:multiLevelType w:val="hybridMultilevel"/>
    <w:lvl w:ilvl="0">
      <w:lvlJc w:val="left"/>
      <w:lvlText w:val="(%1)"/>
      <w:numFmt w:val="lowerLetter"/>
      <w:start w:val="1"/>
    </w:lvl>
  </w:abstractNum>
  <w:abstractNum w:abstractNumId="42">
    <w:nsid w:val="4B588F54"/>
    <w:multiLevelType w:val="hybridMultilevel"/>
    <w:lvl w:ilvl="0">
      <w:lvlJc w:val="left"/>
      <w:lvlText w:val="(%1)"/>
      <w:numFmt w:val="lowerLetter"/>
      <w:start w:val="5"/>
    </w:lvl>
  </w:abstractNum>
  <w:abstractNum w:abstractNumId="43">
    <w:nsid w:val="542289EC"/>
    <w:multiLevelType w:val="hybridMultilevel"/>
    <w:lvl w:ilvl="0">
      <w:lvlJc w:val="left"/>
      <w:lvlText w:val="(%1)"/>
      <w:numFmt w:val="lowerLetter"/>
      <w:start w:val="1"/>
    </w:lvl>
  </w:abstractNum>
  <w:abstractNum w:abstractNumId="44">
    <w:nsid w:val="6DE91B18"/>
    <w:multiLevelType w:val="hybridMultilevel"/>
    <w:lvl w:ilvl="0">
      <w:lvlJc w:val="left"/>
      <w:lvlText w:val="(%1)"/>
      <w:numFmt w:val="lowerLetter"/>
      <w:start w:val="2"/>
    </w:lvl>
  </w:abstractNum>
  <w:abstractNum w:abstractNumId="45">
    <w:nsid w:val="38437FDB"/>
    <w:multiLevelType w:val="hybridMultilevel"/>
    <w:lvl w:ilvl="0">
      <w:lvlJc w:val="left"/>
      <w:lvlText w:val="(%1)"/>
      <w:numFmt w:val="lowerLetter"/>
      <w:start w:val="3"/>
    </w:lvl>
  </w:abstractNum>
  <w:abstractNum w:abstractNumId="46">
    <w:nsid w:val="7644A45C"/>
    <w:multiLevelType w:val="hybridMultilevel"/>
    <w:lvl w:ilvl="0">
      <w:lvlJc w:val="left"/>
      <w:lvlText w:val="(%1)"/>
      <w:numFmt w:val="lowerLetter"/>
      <w:start w:val="1"/>
    </w:lvl>
  </w:abstractNum>
  <w:abstractNum w:abstractNumId="47">
    <w:nsid w:val="32FFF902"/>
    <w:multiLevelType w:val="hybridMultilevel"/>
    <w:lvl w:ilvl="0">
      <w:lvlJc w:val="left"/>
      <w:lvlText w:val="(%1)"/>
      <w:numFmt w:val="lowerLetter"/>
      <w:start w:val="3"/>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2019-12-07T10:30:22Z</dcterms:created>
  <dcterms:modified xsi:type="dcterms:W3CDTF">2019-12-07T10:30:22Z</dcterms:modified>
</cp:coreProperties>
</file>