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Selecta Biosciences,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816212104</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June 27, 2016</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00" w:hanging="215"/>
        <w:spacing w:after="0"/>
        <w:tabs>
          <w:tab w:leader="none" w:pos="11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00" w:hanging="215"/>
        <w:spacing w:after="0"/>
        <w:tabs>
          <w:tab w:leader="none" w:pos="11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00" w:hanging="215"/>
        <w:spacing w:after="0"/>
        <w:tabs>
          <w:tab w:leader="none" w:pos="11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43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816212104</w:t>
            </w:r>
          </w:p>
        </w:tc>
        <w:tc>
          <w:tcPr>
            <w:tcW w:w="254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13 G</w:t>
            </w:r>
          </w:p>
        </w:tc>
        <w:tc>
          <w:tcPr>
            <w:tcW w:w="4180" w:type="dxa"/>
            <w:vAlign w:val="bottom"/>
            <w:tcBorders>
              <w:top w:val="single" w:sz="8" w:color="auto"/>
              <w:bottom w:val="single" w:sz="8" w:color="auto"/>
              <w:right w:val="single" w:sz="8" w:color="auto"/>
            </w:tcBorders>
          </w:tcPr>
          <w:p>
            <w:pPr>
              <w:ind w:left="3300"/>
              <w:spacing w:after="0"/>
              <w:rPr>
                <w:sz w:val="20"/>
                <w:szCs w:val="20"/>
                <w:color w:val="auto"/>
              </w:rPr>
            </w:pPr>
            <w:r>
              <w:rPr>
                <w:rFonts w:ascii="Arial" w:cs="Arial" w:eastAsia="Arial" w:hAnsi="Arial"/>
                <w:sz w:val="18"/>
                <w:szCs w:val="18"/>
                <w:color w:val="auto"/>
                <w:w w:val="91"/>
              </w:rPr>
              <w:t>Page 2 of 7</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80" w:hanging="24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006590" cy="5539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5539740"/>
                    </a:xfrm>
                    <a:prstGeom prst="rect">
                      <a:avLst/>
                    </a:prstGeom>
                    <a:noFill/>
                  </pic:spPr>
                </pic:pic>
              </a:graphicData>
            </a:graphic>
          </wp:anchor>
        </w:drawing>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Timothy A. Springer</w:t>
      </w:r>
    </w:p>
    <w:p>
      <w:pPr>
        <w:spacing w:after="0" w:line="2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 (See Instructions)</w:t>
      </w:r>
    </w:p>
    <w:p>
      <w:pPr>
        <w:spacing w:after="0" w:line="18" w:lineRule="exact"/>
        <w:rPr>
          <w:sz w:val="20"/>
          <w:szCs w:val="20"/>
          <w:color w:val="auto"/>
        </w:rPr>
      </w:pPr>
    </w:p>
    <w:p>
      <w:pPr>
        <w:ind w:left="480"/>
        <w:spacing w:after="0" w:line="207" w:lineRule="exact"/>
        <w:tabs>
          <w:tab w:leader="none" w:pos="12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 USE ONLY</w:t>
      </w:r>
    </w:p>
    <w:p>
      <w:pPr>
        <w:spacing w:after="0" w:line="279"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CITIZENSHIP OR PLACE OF ORGANIZATION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United States</w:t>
      </w:r>
    </w:p>
    <w:p>
      <w:pPr>
        <w:spacing w:after="0" w:line="24"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89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8"/>
        </w:trPr>
        <w:tc>
          <w:tcPr>
            <w:tcW w:w="156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NUMBER OF</w:t>
            </w:r>
          </w:p>
        </w:tc>
        <w:tc>
          <w:tcPr>
            <w:tcW w:w="28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1,692,234 shares</w:t>
            </w:r>
          </w:p>
        </w:tc>
        <w:tc>
          <w:tcPr>
            <w:tcW w:w="0" w:type="dxa"/>
            <w:vAlign w:val="bottom"/>
          </w:tcPr>
          <w:p>
            <w:pPr>
              <w:spacing w:after="0"/>
              <w:rPr>
                <w:sz w:val="1"/>
                <w:szCs w:val="1"/>
                <w:color w:val="auto"/>
              </w:rPr>
            </w:pPr>
          </w:p>
        </w:tc>
      </w:tr>
      <w:tr>
        <w:trPr>
          <w:trHeight w:val="157"/>
        </w:trPr>
        <w:tc>
          <w:tcPr>
            <w:tcW w:w="1560" w:type="dxa"/>
            <w:vAlign w:val="bottom"/>
            <w:vMerge w:val="continue"/>
          </w:tcPr>
          <w:p>
            <w:pPr>
              <w:spacing w:after="0"/>
              <w:rPr>
                <w:sz w:val="13"/>
                <w:szCs w:val="13"/>
                <w:color w:val="auto"/>
              </w:rPr>
            </w:pPr>
          </w:p>
        </w:tc>
        <w:tc>
          <w:tcPr>
            <w:tcW w:w="280" w:type="dxa"/>
            <w:vAlign w:val="bottom"/>
          </w:tcPr>
          <w:p>
            <w:pPr>
              <w:jc w:val="right"/>
              <w:spacing w:after="0" w:line="157" w:lineRule="exact"/>
              <w:rPr>
                <w:sz w:val="20"/>
                <w:szCs w:val="20"/>
                <w:color w:val="auto"/>
              </w:rPr>
            </w:pPr>
            <w:r>
              <w:rPr>
                <w:rFonts w:ascii="Arial" w:cs="Arial" w:eastAsia="Arial" w:hAnsi="Arial"/>
                <w:sz w:val="18"/>
                <w:szCs w:val="18"/>
                <w:color w:val="auto"/>
              </w:rPr>
              <w:t>6</w:t>
            </w:r>
          </w:p>
        </w:tc>
        <w:tc>
          <w:tcPr>
            <w:tcW w:w="8940" w:type="dxa"/>
            <w:vAlign w:val="bottom"/>
          </w:tcPr>
          <w:p>
            <w:pPr>
              <w:ind w:left="100"/>
              <w:spacing w:after="0" w:line="157"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560" w:type="dxa"/>
            <w:vAlign w:val="bottom"/>
          </w:tcPr>
          <w:p>
            <w:pPr>
              <w:jc w:val="center"/>
              <w:ind w:right="10"/>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ind w:right="10"/>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89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6"/>
              </w:rPr>
              <w:t>OWNED BY EACH</w:t>
            </w:r>
          </w:p>
        </w:tc>
        <w:tc>
          <w:tcPr>
            <w:tcW w:w="28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560" w:type="dxa"/>
            <w:vAlign w:val="bottom"/>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60" w:type="dxa"/>
            <w:vAlign w:val="bottom"/>
            <w:vMerge w:val="restart"/>
          </w:tcPr>
          <w:p>
            <w:pPr>
              <w:jc w:val="center"/>
              <w:ind w:right="30"/>
              <w:spacing w:after="0"/>
              <w:rPr>
                <w:sz w:val="20"/>
                <w:szCs w:val="20"/>
                <w:color w:val="auto"/>
              </w:rPr>
            </w:pPr>
            <w:r>
              <w:rPr>
                <w:rFonts w:ascii="Arial" w:cs="Arial" w:eastAsia="Arial" w:hAnsi="Arial"/>
                <w:sz w:val="18"/>
                <w:szCs w:val="18"/>
                <w:color w:val="auto"/>
                <w:w w:val="93"/>
              </w:rPr>
              <w:t>REPORTING</w:t>
            </w:r>
          </w:p>
        </w:tc>
        <w:tc>
          <w:tcPr>
            <w:tcW w:w="28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ind w:right="10"/>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8"/>
                <w:szCs w:val="18"/>
                <w:color w:val="auto"/>
              </w:rPr>
            </w:pPr>
          </w:p>
        </w:tc>
        <w:tc>
          <w:tcPr>
            <w:tcW w:w="8940" w:type="dxa"/>
            <w:vAlign w:val="bottom"/>
            <w:vMerge w:val="restart"/>
          </w:tcPr>
          <w:p>
            <w:pPr>
              <w:ind w:left="100"/>
              <w:spacing w:after="0"/>
              <w:rPr>
                <w:sz w:val="20"/>
                <w:szCs w:val="20"/>
                <w:color w:val="auto"/>
              </w:rPr>
            </w:pPr>
            <w:r>
              <w:rPr>
                <w:rFonts w:ascii="Arial" w:cs="Arial" w:eastAsia="Arial" w:hAnsi="Arial"/>
                <w:sz w:val="22"/>
                <w:szCs w:val="22"/>
                <w:color w:val="auto"/>
              </w:rPr>
              <w:t>1,692,234 shares</w:t>
            </w:r>
          </w:p>
        </w:tc>
        <w:tc>
          <w:tcPr>
            <w:tcW w:w="0" w:type="dxa"/>
            <w:vAlign w:val="bottom"/>
          </w:tcPr>
          <w:p>
            <w:pPr>
              <w:spacing w:after="0"/>
              <w:rPr>
                <w:sz w:val="1"/>
                <w:szCs w:val="1"/>
                <w:color w:val="auto"/>
              </w:rPr>
            </w:pPr>
          </w:p>
        </w:tc>
      </w:tr>
      <w:tr>
        <w:trPr>
          <w:trHeight w:val="203"/>
        </w:trPr>
        <w:tc>
          <w:tcPr>
            <w:tcW w:w="1560" w:type="dxa"/>
            <w:vAlign w:val="bottom"/>
          </w:tcPr>
          <w:p>
            <w:pPr>
              <w:jc w:val="center"/>
              <w:ind w:right="10"/>
              <w:spacing w:after="0" w:line="203" w:lineRule="exact"/>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17"/>
                <w:szCs w:val="17"/>
                <w:color w:val="auto"/>
              </w:rPr>
            </w:pPr>
          </w:p>
        </w:tc>
        <w:tc>
          <w:tcPr>
            <w:tcW w:w="8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89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1,692,234 shares</w:t>
      </w:r>
    </w:p>
    <w:p>
      <w:pPr>
        <w:spacing w:after="0" w:line="24"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BOX IF THE AGGREGATE AMOUNT IN ROW (9) EXCLUDES CERTAIN SHARES (See Instructions)</w:t>
      </w:r>
    </w:p>
    <w:p>
      <w:pPr>
        <w:spacing w:after="0" w:line="219" w:lineRule="exact"/>
        <w:rPr>
          <w:sz w:val="20"/>
          <w:szCs w:val="20"/>
          <w:color w:val="auto"/>
        </w:rPr>
      </w:pPr>
    </w:p>
    <w:p>
      <w:pPr>
        <w:ind w:left="48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PERCENT OF CLASS REPRESENTED BY AMOUNT IN ROW (9)</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22"/>
          <w:szCs w:val="22"/>
          <w:color w:val="auto"/>
        </w:rPr>
        <w:t>9.4%</w:t>
      </w:r>
    </w:p>
    <w:p>
      <w:pPr>
        <w:spacing w:after="0" w:line="24"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IN, OO</w:t>
      </w:r>
    </w:p>
    <w:p>
      <w:pPr>
        <w:sectPr>
          <w:pgSz w:w="11900" w:h="16838" w:orient="portrait"/>
          <w:cols w:equalWidth="0" w:num="1">
            <w:col w:w="11020"/>
          </w:cols>
          <w:pgMar w:left="460" w:top="268" w:right="4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43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816212104</w:t>
            </w:r>
          </w:p>
        </w:tc>
        <w:tc>
          <w:tcPr>
            <w:tcW w:w="254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13 G</w:t>
            </w:r>
          </w:p>
        </w:tc>
        <w:tc>
          <w:tcPr>
            <w:tcW w:w="4180" w:type="dxa"/>
            <w:vAlign w:val="bottom"/>
            <w:tcBorders>
              <w:top w:val="single" w:sz="8" w:color="auto"/>
              <w:bottom w:val="single" w:sz="8" w:color="auto"/>
              <w:right w:val="single" w:sz="8" w:color="auto"/>
            </w:tcBorders>
          </w:tcPr>
          <w:p>
            <w:pPr>
              <w:ind w:left="3300"/>
              <w:spacing w:after="0"/>
              <w:rPr>
                <w:sz w:val="20"/>
                <w:szCs w:val="20"/>
                <w:color w:val="auto"/>
              </w:rPr>
            </w:pPr>
            <w:r>
              <w:rPr>
                <w:rFonts w:ascii="Arial" w:cs="Arial" w:eastAsia="Arial" w:hAnsi="Arial"/>
                <w:sz w:val="18"/>
                <w:szCs w:val="18"/>
                <w:color w:val="auto"/>
                <w:w w:val="91"/>
              </w:rPr>
              <w:t>Page 3 of 7</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80" w:hanging="24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006590" cy="5539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5539740"/>
                    </a:xfrm>
                    <a:prstGeom prst="rect">
                      <a:avLst/>
                    </a:prstGeom>
                    <a:noFill/>
                  </pic:spPr>
                </pic:pic>
              </a:graphicData>
            </a:graphic>
          </wp:anchor>
        </w:drawing>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TAS Partners LLC</w:t>
      </w:r>
    </w:p>
    <w:p>
      <w:pPr>
        <w:spacing w:after="0" w:line="2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 (See Instructions)</w:t>
      </w:r>
    </w:p>
    <w:p>
      <w:pPr>
        <w:spacing w:after="0" w:line="18" w:lineRule="exact"/>
        <w:rPr>
          <w:sz w:val="20"/>
          <w:szCs w:val="20"/>
          <w:color w:val="auto"/>
        </w:rPr>
      </w:pPr>
    </w:p>
    <w:p>
      <w:pPr>
        <w:ind w:left="480"/>
        <w:spacing w:after="0" w:line="207" w:lineRule="exact"/>
        <w:tabs>
          <w:tab w:leader="none" w:pos="12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 USE ONLY</w:t>
      </w:r>
    </w:p>
    <w:p>
      <w:pPr>
        <w:spacing w:after="0" w:line="279"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CITIZENSHIP OR PLACE OF ORGANIZATION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89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8"/>
        </w:trPr>
        <w:tc>
          <w:tcPr>
            <w:tcW w:w="156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NUMBER OF</w:t>
            </w:r>
          </w:p>
        </w:tc>
        <w:tc>
          <w:tcPr>
            <w:tcW w:w="28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449,880 shares</w:t>
            </w:r>
          </w:p>
        </w:tc>
        <w:tc>
          <w:tcPr>
            <w:tcW w:w="0" w:type="dxa"/>
            <w:vAlign w:val="bottom"/>
          </w:tcPr>
          <w:p>
            <w:pPr>
              <w:spacing w:after="0"/>
              <w:rPr>
                <w:sz w:val="1"/>
                <w:szCs w:val="1"/>
                <w:color w:val="auto"/>
              </w:rPr>
            </w:pPr>
          </w:p>
        </w:tc>
      </w:tr>
      <w:tr>
        <w:trPr>
          <w:trHeight w:val="157"/>
        </w:trPr>
        <w:tc>
          <w:tcPr>
            <w:tcW w:w="1560" w:type="dxa"/>
            <w:vAlign w:val="bottom"/>
            <w:vMerge w:val="continue"/>
          </w:tcPr>
          <w:p>
            <w:pPr>
              <w:spacing w:after="0"/>
              <w:rPr>
                <w:sz w:val="13"/>
                <w:szCs w:val="13"/>
                <w:color w:val="auto"/>
              </w:rPr>
            </w:pPr>
          </w:p>
        </w:tc>
        <w:tc>
          <w:tcPr>
            <w:tcW w:w="280" w:type="dxa"/>
            <w:vAlign w:val="bottom"/>
          </w:tcPr>
          <w:p>
            <w:pPr>
              <w:jc w:val="right"/>
              <w:spacing w:after="0" w:line="157" w:lineRule="exact"/>
              <w:rPr>
                <w:sz w:val="20"/>
                <w:szCs w:val="20"/>
                <w:color w:val="auto"/>
              </w:rPr>
            </w:pPr>
            <w:r>
              <w:rPr>
                <w:rFonts w:ascii="Arial" w:cs="Arial" w:eastAsia="Arial" w:hAnsi="Arial"/>
                <w:sz w:val="18"/>
                <w:szCs w:val="18"/>
                <w:color w:val="auto"/>
              </w:rPr>
              <w:t>6</w:t>
            </w:r>
          </w:p>
        </w:tc>
        <w:tc>
          <w:tcPr>
            <w:tcW w:w="8940" w:type="dxa"/>
            <w:vAlign w:val="bottom"/>
          </w:tcPr>
          <w:p>
            <w:pPr>
              <w:ind w:left="100"/>
              <w:spacing w:after="0" w:line="157"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560" w:type="dxa"/>
            <w:vAlign w:val="bottom"/>
          </w:tcPr>
          <w:p>
            <w:pPr>
              <w:jc w:val="center"/>
              <w:ind w:right="10"/>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ind w:right="10"/>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89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6"/>
              </w:rPr>
              <w:t>OWNED BY EACH</w:t>
            </w:r>
          </w:p>
        </w:tc>
        <w:tc>
          <w:tcPr>
            <w:tcW w:w="28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560" w:type="dxa"/>
            <w:vAlign w:val="bottom"/>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60" w:type="dxa"/>
            <w:vAlign w:val="bottom"/>
            <w:vMerge w:val="restart"/>
          </w:tcPr>
          <w:p>
            <w:pPr>
              <w:jc w:val="center"/>
              <w:ind w:right="30"/>
              <w:spacing w:after="0"/>
              <w:rPr>
                <w:sz w:val="20"/>
                <w:szCs w:val="20"/>
                <w:color w:val="auto"/>
              </w:rPr>
            </w:pPr>
            <w:r>
              <w:rPr>
                <w:rFonts w:ascii="Arial" w:cs="Arial" w:eastAsia="Arial" w:hAnsi="Arial"/>
                <w:sz w:val="18"/>
                <w:szCs w:val="18"/>
                <w:color w:val="auto"/>
                <w:w w:val="93"/>
              </w:rPr>
              <w:t>REPORTING</w:t>
            </w:r>
          </w:p>
        </w:tc>
        <w:tc>
          <w:tcPr>
            <w:tcW w:w="28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ind w:right="10"/>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8"/>
                <w:szCs w:val="18"/>
                <w:color w:val="auto"/>
              </w:rPr>
            </w:pPr>
          </w:p>
        </w:tc>
        <w:tc>
          <w:tcPr>
            <w:tcW w:w="8940" w:type="dxa"/>
            <w:vAlign w:val="bottom"/>
            <w:vMerge w:val="restart"/>
          </w:tcPr>
          <w:p>
            <w:pPr>
              <w:ind w:left="100"/>
              <w:spacing w:after="0"/>
              <w:rPr>
                <w:sz w:val="20"/>
                <w:szCs w:val="20"/>
                <w:color w:val="auto"/>
              </w:rPr>
            </w:pPr>
            <w:r>
              <w:rPr>
                <w:rFonts w:ascii="Arial" w:cs="Arial" w:eastAsia="Arial" w:hAnsi="Arial"/>
                <w:sz w:val="22"/>
                <w:szCs w:val="22"/>
                <w:color w:val="auto"/>
              </w:rPr>
              <w:t>449,880 shares</w:t>
            </w:r>
          </w:p>
        </w:tc>
        <w:tc>
          <w:tcPr>
            <w:tcW w:w="0" w:type="dxa"/>
            <w:vAlign w:val="bottom"/>
          </w:tcPr>
          <w:p>
            <w:pPr>
              <w:spacing w:after="0"/>
              <w:rPr>
                <w:sz w:val="1"/>
                <w:szCs w:val="1"/>
                <w:color w:val="auto"/>
              </w:rPr>
            </w:pPr>
          </w:p>
        </w:tc>
      </w:tr>
      <w:tr>
        <w:trPr>
          <w:trHeight w:val="203"/>
        </w:trPr>
        <w:tc>
          <w:tcPr>
            <w:tcW w:w="1560" w:type="dxa"/>
            <w:vAlign w:val="bottom"/>
          </w:tcPr>
          <w:p>
            <w:pPr>
              <w:jc w:val="center"/>
              <w:ind w:right="10"/>
              <w:spacing w:after="0" w:line="203" w:lineRule="exact"/>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17"/>
                <w:szCs w:val="17"/>
                <w:color w:val="auto"/>
              </w:rPr>
            </w:pPr>
          </w:p>
        </w:tc>
        <w:tc>
          <w:tcPr>
            <w:tcW w:w="8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89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449,880 shares</w:t>
      </w:r>
    </w:p>
    <w:p>
      <w:pPr>
        <w:spacing w:after="0" w:line="24"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BOX IF THE AGGREGATE AMOUNT IN ROW (9) EXCLUDES CERTAIN SHARES (See Instructions)</w:t>
      </w:r>
    </w:p>
    <w:p>
      <w:pPr>
        <w:spacing w:after="0" w:line="219" w:lineRule="exact"/>
        <w:rPr>
          <w:sz w:val="20"/>
          <w:szCs w:val="20"/>
          <w:color w:val="auto"/>
        </w:rPr>
      </w:pPr>
    </w:p>
    <w:p>
      <w:pPr>
        <w:ind w:left="48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PERCENT OF CLASS REPRESENTED BY AMOUNT IN ROW (9)</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22"/>
          <w:szCs w:val="22"/>
          <w:color w:val="auto"/>
        </w:rPr>
        <w:t>2.5%</w:t>
      </w:r>
    </w:p>
    <w:p>
      <w:pPr>
        <w:spacing w:after="0" w:line="24"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020"/>
          </w:cols>
          <w:pgMar w:left="460" w:top="268" w:right="4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43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816212104</w:t>
            </w:r>
          </w:p>
        </w:tc>
        <w:tc>
          <w:tcPr>
            <w:tcW w:w="254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13 G</w:t>
            </w:r>
          </w:p>
        </w:tc>
        <w:tc>
          <w:tcPr>
            <w:tcW w:w="4180" w:type="dxa"/>
            <w:vAlign w:val="bottom"/>
            <w:tcBorders>
              <w:top w:val="single" w:sz="8" w:color="auto"/>
              <w:bottom w:val="single" w:sz="8" w:color="auto"/>
              <w:right w:val="single" w:sz="8" w:color="auto"/>
            </w:tcBorders>
          </w:tcPr>
          <w:p>
            <w:pPr>
              <w:ind w:left="3300"/>
              <w:spacing w:after="0"/>
              <w:rPr>
                <w:sz w:val="20"/>
                <w:szCs w:val="20"/>
                <w:color w:val="auto"/>
              </w:rPr>
            </w:pPr>
            <w:r>
              <w:rPr>
                <w:rFonts w:ascii="Arial" w:cs="Arial" w:eastAsia="Arial" w:hAnsi="Arial"/>
                <w:sz w:val="18"/>
                <w:szCs w:val="18"/>
                <w:color w:val="auto"/>
                <w:w w:val="91"/>
              </w:rPr>
              <w:t>Page 4 of 7</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80" w:hanging="249"/>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006590" cy="5539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5539740"/>
                    </a:xfrm>
                    <a:prstGeom prst="rect">
                      <a:avLst/>
                    </a:prstGeom>
                    <a:noFill/>
                  </pic:spPr>
                </pic:pic>
              </a:graphicData>
            </a:graphic>
          </wp:anchor>
        </w:drawing>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Leukon Investments, LP</w:t>
      </w:r>
    </w:p>
    <w:p>
      <w:pPr>
        <w:spacing w:after="0" w:line="2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 (See Instructions)</w:t>
      </w:r>
    </w:p>
    <w:p>
      <w:pPr>
        <w:spacing w:after="0" w:line="18" w:lineRule="exact"/>
        <w:rPr>
          <w:sz w:val="20"/>
          <w:szCs w:val="20"/>
          <w:color w:val="auto"/>
        </w:rPr>
      </w:pPr>
    </w:p>
    <w:p>
      <w:pPr>
        <w:ind w:left="480"/>
        <w:spacing w:after="0" w:line="207" w:lineRule="exact"/>
        <w:tabs>
          <w:tab w:leader="none" w:pos="12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 USE ONLY</w:t>
      </w:r>
    </w:p>
    <w:p>
      <w:pPr>
        <w:spacing w:after="0" w:line="279"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CITIZENSHIP OR PLACE OF ORGANIZATION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89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8"/>
        </w:trPr>
        <w:tc>
          <w:tcPr>
            <w:tcW w:w="156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NUMBER OF</w:t>
            </w:r>
          </w:p>
        </w:tc>
        <w:tc>
          <w:tcPr>
            <w:tcW w:w="28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1,242,354 shares</w:t>
            </w:r>
          </w:p>
        </w:tc>
        <w:tc>
          <w:tcPr>
            <w:tcW w:w="0" w:type="dxa"/>
            <w:vAlign w:val="bottom"/>
          </w:tcPr>
          <w:p>
            <w:pPr>
              <w:spacing w:after="0"/>
              <w:rPr>
                <w:sz w:val="1"/>
                <w:szCs w:val="1"/>
                <w:color w:val="auto"/>
              </w:rPr>
            </w:pPr>
          </w:p>
        </w:tc>
      </w:tr>
      <w:tr>
        <w:trPr>
          <w:trHeight w:val="157"/>
        </w:trPr>
        <w:tc>
          <w:tcPr>
            <w:tcW w:w="1560" w:type="dxa"/>
            <w:vAlign w:val="bottom"/>
            <w:vMerge w:val="continue"/>
          </w:tcPr>
          <w:p>
            <w:pPr>
              <w:spacing w:after="0"/>
              <w:rPr>
                <w:sz w:val="13"/>
                <w:szCs w:val="13"/>
                <w:color w:val="auto"/>
              </w:rPr>
            </w:pPr>
          </w:p>
        </w:tc>
        <w:tc>
          <w:tcPr>
            <w:tcW w:w="280" w:type="dxa"/>
            <w:vAlign w:val="bottom"/>
          </w:tcPr>
          <w:p>
            <w:pPr>
              <w:jc w:val="right"/>
              <w:spacing w:after="0" w:line="157" w:lineRule="exact"/>
              <w:rPr>
                <w:sz w:val="20"/>
                <w:szCs w:val="20"/>
                <w:color w:val="auto"/>
              </w:rPr>
            </w:pPr>
            <w:r>
              <w:rPr>
                <w:rFonts w:ascii="Arial" w:cs="Arial" w:eastAsia="Arial" w:hAnsi="Arial"/>
                <w:sz w:val="18"/>
                <w:szCs w:val="18"/>
                <w:color w:val="auto"/>
              </w:rPr>
              <w:t>6</w:t>
            </w:r>
          </w:p>
        </w:tc>
        <w:tc>
          <w:tcPr>
            <w:tcW w:w="8940" w:type="dxa"/>
            <w:vAlign w:val="bottom"/>
          </w:tcPr>
          <w:p>
            <w:pPr>
              <w:ind w:left="100"/>
              <w:spacing w:after="0" w:line="157"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560" w:type="dxa"/>
            <w:vAlign w:val="bottom"/>
          </w:tcPr>
          <w:p>
            <w:pPr>
              <w:jc w:val="center"/>
              <w:ind w:right="10"/>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ind w:right="10"/>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89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6"/>
              </w:rPr>
              <w:t>OWNED BY EACH</w:t>
            </w:r>
          </w:p>
        </w:tc>
        <w:tc>
          <w:tcPr>
            <w:tcW w:w="28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560" w:type="dxa"/>
            <w:vAlign w:val="bottom"/>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9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560" w:type="dxa"/>
            <w:vAlign w:val="bottom"/>
            <w:vMerge w:val="restart"/>
          </w:tcPr>
          <w:p>
            <w:pPr>
              <w:jc w:val="center"/>
              <w:ind w:right="30"/>
              <w:spacing w:after="0"/>
              <w:rPr>
                <w:sz w:val="20"/>
                <w:szCs w:val="20"/>
                <w:color w:val="auto"/>
              </w:rPr>
            </w:pPr>
            <w:r>
              <w:rPr>
                <w:rFonts w:ascii="Arial" w:cs="Arial" w:eastAsia="Arial" w:hAnsi="Arial"/>
                <w:sz w:val="18"/>
                <w:szCs w:val="18"/>
                <w:color w:val="auto"/>
                <w:w w:val="93"/>
              </w:rPr>
              <w:t>REPORTING</w:t>
            </w:r>
          </w:p>
        </w:tc>
        <w:tc>
          <w:tcPr>
            <w:tcW w:w="28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ind w:right="10"/>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8"/>
                <w:szCs w:val="18"/>
                <w:color w:val="auto"/>
              </w:rPr>
            </w:pPr>
          </w:p>
        </w:tc>
        <w:tc>
          <w:tcPr>
            <w:tcW w:w="8940" w:type="dxa"/>
            <w:vAlign w:val="bottom"/>
            <w:vMerge w:val="restart"/>
          </w:tcPr>
          <w:p>
            <w:pPr>
              <w:ind w:left="100"/>
              <w:spacing w:after="0"/>
              <w:rPr>
                <w:sz w:val="20"/>
                <w:szCs w:val="20"/>
                <w:color w:val="auto"/>
              </w:rPr>
            </w:pPr>
            <w:r>
              <w:rPr>
                <w:rFonts w:ascii="Arial" w:cs="Arial" w:eastAsia="Arial" w:hAnsi="Arial"/>
                <w:sz w:val="22"/>
                <w:szCs w:val="22"/>
                <w:color w:val="auto"/>
              </w:rPr>
              <w:t>1,242,354 shares</w:t>
            </w:r>
          </w:p>
        </w:tc>
        <w:tc>
          <w:tcPr>
            <w:tcW w:w="0" w:type="dxa"/>
            <w:vAlign w:val="bottom"/>
          </w:tcPr>
          <w:p>
            <w:pPr>
              <w:spacing w:after="0"/>
              <w:rPr>
                <w:sz w:val="1"/>
                <w:szCs w:val="1"/>
                <w:color w:val="auto"/>
              </w:rPr>
            </w:pPr>
          </w:p>
        </w:tc>
      </w:tr>
      <w:tr>
        <w:trPr>
          <w:trHeight w:val="203"/>
        </w:trPr>
        <w:tc>
          <w:tcPr>
            <w:tcW w:w="1560" w:type="dxa"/>
            <w:vAlign w:val="bottom"/>
          </w:tcPr>
          <w:p>
            <w:pPr>
              <w:jc w:val="center"/>
              <w:ind w:right="10"/>
              <w:spacing w:after="0" w:line="203" w:lineRule="exact"/>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17"/>
                <w:szCs w:val="17"/>
                <w:color w:val="auto"/>
              </w:rPr>
            </w:pPr>
          </w:p>
        </w:tc>
        <w:tc>
          <w:tcPr>
            <w:tcW w:w="8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89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1,242,354 shares</w:t>
      </w:r>
    </w:p>
    <w:p>
      <w:pPr>
        <w:spacing w:after="0" w:line="24"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BOX IF THE AGGREGATE AMOUNT IN ROW (9) EXCLUDES CERTAIN SHARES (See Instructions)</w:t>
      </w:r>
    </w:p>
    <w:p>
      <w:pPr>
        <w:spacing w:after="0" w:line="219" w:lineRule="exact"/>
        <w:rPr>
          <w:sz w:val="20"/>
          <w:szCs w:val="20"/>
          <w:color w:val="auto"/>
        </w:rPr>
      </w:pPr>
    </w:p>
    <w:p>
      <w:pPr>
        <w:ind w:left="48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PERCENT OF CLASS REPRESENTED BY AMOUNT IN ROW (9)</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22"/>
          <w:szCs w:val="22"/>
          <w:color w:val="auto"/>
        </w:rPr>
        <w:t>6.9%</w:t>
      </w:r>
    </w:p>
    <w:p>
      <w:pPr>
        <w:spacing w:after="0" w:line="24"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020"/>
          </w:cols>
          <w:pgMar w:left="460" w:top="268" w:right="41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230"/>
        </w:trPr>
        <w:tc>
          <w:tcPr>
            <w:tcW w:w="43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816212104</w:t>
            </w:r>
          </w:p>
        </w:tc>
        <w:tc>
          <w:tcPr>
            <w:tcW w:w="254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13 G</w:t>
            </w:r>
          </w:p>
        </w:tc>
        <w:tc>
          <w:tcPr>
            <w:tcW w:w="4180" w:type="dxa"/>
            <w:vAlign w:val="bottom"/>
            <w:tcBorders>
              <w:top w:val="single" w:sz="8" w:color="auto"/>
              <w:bottom w:val="single" w:sz="8" w:color="auto"/>
              <w:right w:val="single" w:sz="8" w:color="auto"/>
            </w:tcBorders>
          </w:tcPr>
          <w:p>
            <w:pPr>
              <w:ind w:left="3300"/>
              <w:spacing w:after="0"/>
              <w:rPr>
                <w:sz w:val="20"/>
                <w:szCs w:val="20"/>
                <w:color w:val="auto"/>
              </w:rPr>
            </w:pPr>
            <w:r>
              <w:rPr>
                <w:rFonts w:ascii="Arial" w:cs="Arial" w:eastAsia="Arial" w:hAnsi="Arial"/>
                <w:sz w:val="18"/>
                <w:szCs w:val="18"/>
                <w:color w:val="auto"/>
                <w:w w:val="91"/>
              </w:rPr>
              <w:t>Page 5 of 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11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u w:val="single" w:color="auto"/>
          <w:color w:val="auto"/>
        </w:rPr>
        <w:t>NAME OF ISSUER</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Selecta Biosciences, Inc. (the “Issuer”)</w:t>
      </w:r>
    </w:p>
    <w:p>
      <w:pPr>
        <w:spacing w:after="0" w:line="33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u w:val="single" w:color="auto"/>
          <w:color w:val="auto"/>
        </w:rPr>
        <w:t>ADDRESS OF ISSUER’S PRINCIPAL EXECUTIVE OFFICES</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480 Arsenal Way</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Watertown, MA 02472</w:t>
      </w:r>
    </w:p>
    <w:p>
      <w:pPr>
        <w:spacing w:after="0" w:line="31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7"/>
          <w:szCs w:val="17"/>
          <w:u w:val="single" w:color="auto"/>
          <w:color w:val="auto"/>
        </w:rPr>
        <w:t>NAME OF PERSONS FILING</w:t>
      </w:r>
    </w:p>
    <w:p>
      <w:pPr>
        <w:spacing w:after="0" w:line="117" w:lineRule="exact"/>
        <w:rPr>
          <w:sz w:val="20"/>
          <w:szCs w:val="20"/>
          <w:color w:val="auto"/>
        </w:rPr>
      </w:pPr>
    </w:p>
    <w:p>
      <w:pPr>
        <w:ind w:left="1120" w:right="660"/>
        <w:spacing w:after="0" w:line="277" w:lineRule="auto"/>
        <w:rPr>
          <w:sz w:val="20"/>
          <w:szCs w:val="20"/>
          <w:color w:val="auto"/>
        </w:rPr>
      </w:pPr>
      <w:r>
        <w:rPr>
          <w:rFonts w:ascii="Arial" w:cs="Arial" w:eastAsia="Arial" w:hAnsi="Arial"/>
          <w:sz w:val="18"/>
          <w:szCs w:val="18"/>
          <w:color w:val="auto"/>
        </w:rPr>
        <w:t>This joint statement on Schedule 13G is filed by Timothy A. Springer (“Dr. Springer”), TAS Partners LLC (“TAS”), and Leukon Investments, LP (“Leukon”), who are collectively referred to herein as the “Reporting Persons.”</w:t>
      </w:r>
    </w:p>
    <w:p>
      <w:pPr>
        <w:spacing w:after="0" w:line="62" w:lineRule="exact"/>
        <w:rPr>
          <w:sz w:val="20"/>
          <w:szCs w:val="20"/>
          <w:color w:val="auto"/>
        </w:rPr>
      </w:pPr>
    </w:p>
    <w:p>
      <w:pPr>
        <w:ind w:left="1120" w:right="160"/>
        <w:spacing w:after="0" w:line="264" w:lineRule="auto"/>
        <w:rPr>
          <w:sz w:val="20"/>
          <w:szCs w:val="20"/>
          <w:color w:val="auto"/>
        </w:rPr>
      </w:pPr>
      <w:r>
        <w:rPr>
          <w:rFonts w:ascii="Arial" w:cs="Arial" w:eastAsia="Arial" w:hAnsi="Arial"/>
          <w:sz w:val="18"/>
          <w:szCs w:val="18"/>
          <w:color w:val="auto"/>
        </w:rPr>
        <w:t xml:space="preserve">The Reporting Persons have entered into a Joint Filing Agreement, dated as of the date hereof, a copy of which is filed with this Schedule 13G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(which is incorporated herein by reference), pursuant to which the Reporting Persons have agreed to file this statement jointly in accordance with the provisions of Rule 13d-1(k) under the Act.</w:t>
      </w:r>
    </w:p>
    <w:p>
      <w:pPr>
        <w:spacing w:after="0" w:line="28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PRINCIPAL BUSINESS OFFICE</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business address of each of Dr. Springer, TAS and Leukon is 36 Woodman Road, Newton, MA, 02467.</w:t>
      </w:r>
    </w:p>
    <w:p>
      <w:pPr>
        <w:spacing w:after="0" w:line="33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7"/>
          <w:szCs w:val="17"/>
          <w:u w:val="single" w:color="auto"/>
          <w:color w:val="auto"/>
        </w:rPr>
        <w:t>CITIZENSHIP</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TAS is a Delaware limited liability company; Leukon is a Delaware limited partnership; Dr. Springer is a citizen of the United States.</w:t>
      </w:r>
    </w:p>
    <w:p>
      <w:pPr>
        <w:spacing w:after="0" w:line="34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7"/>
          <w:szCs w:val="17"/>
          <w:u w:val="single" w:color="auto"/>
          <w:color w:val="auto"/>
        </w:rPr>
        <w:t>TITLE OF CLASS OF SECURITIES</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Shares of Common Stock, $0.0001 par value per share (the “Shares”).</w:t>
      </w:r>
    </w:p>
    <w:p>
      <w:pPr>
        <w:spacing w:after="0" w:line="33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7"/>
          <w:szCs w:val="17"/>
          <w:u w:val="single" w:color="auto"/>
          <w:color w:val="auto"/>
        </w:rPr>
        <w:t>CUSIP NUMBER</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816212104</w:t>
      </w:r>
    </w:p>
    <w:p>
      <w:pPr>
        <w:spacing w:after="0" w:line="33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Not Applicable.</w:t>
      </w:r>
    </w:p>
    <w:p>
      <w:pPr>
        <w:spacing w:after="0" w:line="33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p>
    <w:p>
      <w:pPr>
        <w:spacing w:after="0" w:line="117" w:lineRule="exact"/>
        <w:rPr>
          <w:sz w:val="20"/>
          <w:szCs w:val="20"/>
          <w:color w:val="auto"/>
        </w:rPr>
      </w:pPr>
    </w:p>
    <w:p>
      <w:pPr>
        <w:ind w:left="1120" w:right="80"/>
        <w:spacing w:after="0" w:line="297" w:lineRule="auto"/>
        <w:rPr>
          <w:sz w:val="20"/>
          <w:szCs w:val="20"/>
          <w:color w:val="auto"/>
        </w:rPr>
      </w:pPr>
      <w:r>
        <w:rPr>
          <w:rFonts w:ascii="Arial" w:cs="Arial" w:eastAsia="Arial" w:hAnsi="Arial"/>
          <w:sz w:val="16"/>
          <w:szCs w:val="16"/>
          <w:color w:val="auto"/>
        </w:rPr>
        <w:t>The percentages of beneficial ownership stated herein and on each Reporting Person’s cover page to this Schedule 13G are based on a total of 17,899,586 Shares outstanding as set forth in the Issuer’s final prospectus, dated June 21, 2016, filed with the Securities and Exchange Commission on June 23, 2016, pursuant to Rule 424(b)(4) under the Securities Act of 1933, as amended (the “Final Prospectus”), and assumes no exercise by the underwriters of their over-allotment option to purchase up to an additional 750,000 Shares. The cover page to this Schedule 13G for each Reporting Person is incorporated by reference in its entirety into this Item 4.</w:t>
      </w:r>
    </w:p>
    <w:p>
      <w:pPr>
        <w:spacing w:after="0" w:line="50" w:lineRule="exact"/>
        <w:rPr>
          <w:sz w:val="20"/>
          <w:szCs w:val="20"/>
          <w:color w:val="auto"/>
        </w:rPr>
      </w:pPr>
    </w:p>
    <w:p>
      <w:pPr>
        <w:ind w:left="1120" w:right="300"/>
        <w:spacing w:after="0" w:line="277" w:lineRule="auto"/>
        <w:rPr>
          <w:sz w:val="20"/>
          <w:szCs w:val="20"/>
          <w:color w:val="auto"/>
        </w:rPr>
      </w:pPr>
      <w:r>
        <w:rPr>
          <w:rFonts w:ascii="Arial" w:cs="Arial" w:eastAsia="Arial" w:hAnsi="Arial"/>
          <w:sz w:val="18"/>
          <w:szCs w:val="18"/>
          <w:color w:val="auto"/>
        </w:rPr>
        <w:t>On June 27, 2016, the Reporting Persons, in the aggregate, beneficially owned 1,692,234 Shares, representing approximately 9.4% of such class of securities.</w:t>
      </w:r>
    </w:p>
    <w:p>
      <w:pPr>
        <w:sectPr>
          <w:pgSz w:w="11900" w:h="16838" w:orient="portrait"/>
          <w:cols w:equalWidth="0" w:num="1">
            <w:col w:w="11040"/>
          </w:cols>
          <w:pgMar w:left="440" w:top="268" w:right="4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4340" w:type="dxa"/>
            <w:vAlign w:val="bottom"/>
            <w:tcBorders>
              <w:top w:val="single" w:sz="8" w:color="auto"/>
              <w:left w:val="single" w:sz="8" w:color="auto"/>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CUSIP NO. 816212104</w:t>
            </w:r>
          </w:p>
        </w:tc>
        <w:tc>
          <w:tcPr>
            <w:tcW w:w="1100" w:type="dxa"/>
            <w:vAlign w:val="bottom"/>
          </w:tcPr>
          <w:p>
            <w:pPr>
              <w:spacing w:after="0"/>
              <w:rPr>
                <w:sz w:val="19"/>
                <w:szCs w:val="19"/>
                <w:color w:val="auto"/>
              </w:rPr>
            </w:pPr>
          </w:p>
        </w:tc>
        <w:tc>
          <w:tcPr>
            <w:tcW w:w="14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13 G</w:t>
            </w:r>
          </w:p>
        </w:tc>
        <w:tc>
          <w:tcPr>
            <w:tcW w:w="8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right w:val="single" w:sz="8" w:color="auto"/>
            </w:tcBorders>
            <w:gridSpan w:val="2"/>
          </w:tcPr>
          <w:p>
            <w:pPr>
              <w:ind w:left="1220"/>
              <w:spacing w:after="0"/>
              <w:rPr>
                <w:sz w:val="20"/>
                <w:szCs w:val="20"/>
                <w:color w:val="auto"/>
              </w:rPr>
            </w:pPr>
            <w:r>
              <w:rPr>
                <w:rFonts w:ascii="Arial" w:cs="Arial" w:eastAsia="Arial" w:hAnsi="Arial"/>
                <w:sz w:val="18"/>
                <w:szCs w:val="18"/>
                <w:color w:val="auto"/>
                <w:w w:val="91"/>
              </w:rPr>
              <w:t>Page 6 of 7</w:t>
            </w:r>
          </w:p>
        </w:tc>
      </w:tr>
      <w:tr>
        <w:trPr>
          <w:trHeight w:val="344"/>
        </w:trPr>
        <w:tc>
          <w:tcPr>
            <w:tcW w:w="100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w w:val="98"/>
              </w:rPr>
              <w:t>On June 27, 2016, Dr. Springer was the beneficial owner of a total of 1,692,234 Shares, representing approximately 9.4% of the</w:t>
            </w:r>
          </w:p>
        </w:tc>
      </w:tr>
      <w:tr>
        <w:trPr>
          <w:trHeight w:val="216"/>
        </w:trPr>
        <w:tc>
          <w:tcPr>
            <w:tcW w:w="1000" w:type="dxa"/>
            <w:vAlign w:val="bottom"/>
          </w:tcPr>
          <w:p>
            <w:pPr>
              <w:spacing w:after="0"/>
              <w:rPr>
                <w:sz w:val="18"/>
                <w:szCs w:val="18"/>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w w:val="91"/>
              </w:rPr>
              <w:t>outstanding Shares and consisting of (i) 445,576 Shares held by TAS, (ii) 4,304 Shares underlying warrants exercisable within 60 days of</w:t>
            </w:r>
          </w:p>
        </w:tc>
      </w:tr>
      <w:tr>
        <w:trPr>
          <w:trHeight w:val="216"/>
        </w:trPr>
        <w:tc>
          <w:tcPr>
            <w:tcW w:w="1000" w:type="dxa"/>
            <w:vAlign w:val="bottom"/>
          </w:tcPr>
          <w:p>
            <w:pPr>
              <w:spacing w:after="0"/>
              <w:rPr>
                <w:sz w:val="18"/>
                <w:szCs w:val="18"/>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w w:val="91"/>
              </w:rPr>
              <w:t>June 27, 2016 held by TAS, (iii) 1,237,028 Shares held by Leukon and (ii) 5,326 Shares underlying warrants exercisable within 60 days of</w:t>
            </w:r>
          </w:p>
        </w:tc>
      </w:tr>
      <w:tr>
        <w:trPr>
          <w:trHeight w:val="216"/>
        </w:trPr>
        <w:tc>
          <w:tcPr>
            <w:tcW w:w="1000" w:type="dxa"/>
            <w:vAlign w:val="bottom"/>
          </w:tcPr>
          <w:p>
            <w:pPr>
              <w:spacing w:after="0"/>
              <w:rPr>
                <w:sz w:val="18"/>
                <w:szCs w:val="18"/>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w w:val="91"/>
              </w:rPr>
              <w:t>June 27, 2016 held by Leukon. Dr. Springer disclaims beneficial ownership of the Shares held by TAS and Leukon, except to the extent of</w:t>
            </w:r>
          </w:p>
        </w:tc>
      </w:tr>
      <w:tr>
        <w:trPr>
          <w:trHeight w:val="230"/>
        </w:trPr>
        <w:tc>
          <w:tcPr>
            <w:tcW w:w="1000" w:type="dxa"/>
            <w:vAlign w:val="bottom"/>
          </w:tcPr>
          <w:p>
            <w:pPr>
              <w:spacing w:after="0"/>
              <w:rPr>
                <w:sz w:val="20"/>
                <w:szCs w:val="20"/>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his pecuniary interest therein.</w:t>
            </w: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10"/>
        </w:trPr>
        <w:tc>
          <w:tcPr>
            <w:tcW w:w="100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w w:val="91"/>
              </w:rPr>
              <w:t>On June 27, 2016, TAS was the beneficial owner of a total of 449,880 Shares, representing approximately 2.5% of the outstanding Shares</w:t>
            </w:r>
          </w:p>
        </w:tc>
      </w:tr>
      <w:tr>
        <w:trPr>
          <w:trHeight w:val="216"/>
        </w:trPr>
        <w:tc>
          <w:tcPr>
            <w:tcW w:w="1000" w:type="dxa"/>
            <w:vAlign w:val="bottom"/>
          </w:tcPr>
          <w:p>
            <w:pPr>
              <w:spacing w:after="0"/>
              <w:rPr>
                <w:sz w:val="18"/>
                <w:szCs w:val="18"/>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w w:val="91"/>
              </w:rPr>
              <w:t>and consisting of (i) 445,576 Shares and (ii) 4,304 Shares underlying warrants exercisable within 60 days of June 27, 2016. TAS holds all</w:t>
            </w:r>
          </w:p>
        </w:tc>
      </w:tr>
      <w:tr>
        <w:trPr>
          <w:trHeight w:val="230"/>
        </w:trPr>
        <w:tc>
          <w:tcPr>
            <w:tcW w:w="1000" w:type="dxa"/>
            <w:vAlign w:val="bottom"/>
          </w:tcPr>
          <w:p>
            <w:pPr>
              <w:spacing w:after="0"/>
              <w:rPr>
                <w:sz w:val="20"/>
                <w:szCs w:val="20"/>
                <w:color w:val="auto"/>
              </w:rPr>
            </w:pPr>
          </w:p>
        </w:tc>
        <w:tc>
          <w:tcPr>
            <w:tcW w:w="7960" w:type="dxa"/>
            <w:vAlign w:val="bottom"/>
            <w:gridSpan w:val="8"/>
          </w:tcPr>
          <w:p>
            <w:pPr>
              <w:spacing w:after="0"/>
              <w:rPr>
                <w:sz w:val="20"/>
                <w:szCs w:val="20"/>
                <w:color w:val="auto"/>
              </w:rPr>
            </w:pPr>
            <w:r>
              <w:rPr>
                <w:rFonts w:ascii="Arial" w:cs="Arial" w:eastAsia="Arial" w:hAnsi="Arial"/>
                <w:sz w:val="18"/>
                <w:szCs w:val="18"/>
                <w:color w:val="auto"/>
              </w:rPr>
              <w:t>such Shares directly. Dr. Springer is the sole managing member of TAS.</w:t>
            </w: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10"/>
        </w:trPr>
        <w:tc>
          <w:tcPr>
            <w:tcW w:w="100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w w:val="93"/>
              </w:rPr>
              <w:t>On June 27, 2016, Leukon was the beneficial owner of a total of 1,242,354 Shares, representing approximately 6.9% of the outstanding</w:t>
            </w:r>
          </w:p>
        </w:tc>
      </w:tr>
      <w:tr>
        <w:trPr>
          <w:trHeight w:val="216"/>
        </w:trPr>
        <w:tc>
          <w:tcPr>
            <w:tcW w:w="1000" w:type="dxa"/>
            <w:vAlign w:val="bottom"/>
          </w:tcPr>
          <w:p>
            <w:pPr>
              <w:spacing w:after="0"/>
              <w:rPr>
                <w:sz w:val="18"/>
                <w:szCs w:val="18"/>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w w:val="94"/>
              </w:rPr>
              <w:t>Shares and consisting of (i) 1,237,028 Shares and (ii) 5,326 Shares underlying warrants exercisable within 60 days of June 27, 2016.</w:t>
            </w:r>
          </w:p>
        </w:tc>
      </w:tr>
      <w:tr>
        <w:trPr>
          <w:trHeight w:val="230"/>
        </w:trPr>
        <w:tc>
          <w:tcPr>
            <w:tcW w:w="1000" w:type="dxa"/>
            <w:vAlign w:val="bottom"/>
          </w:tcPr>
          <w:p>
            <w:pPr>
              <w:spacing w:after="0"/>
              <w:rPr>
                <w:sz w:val="20"/>
                <w:szCs w:val="20"/>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w w:val="97"/>
              </w:rPr>
              <w:t>Leukon holds all such Shares directly. LKST, Inc. is the general partner of Leukon and Dr. Springer is the president of LKST, Inc.</w:t>
            </w: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ITEM5.</w:t>
            </w:r>
          </w:p>
        </w:tc>
        <w:tc>
          <w:tcPr>
            <w:tcW w:w="4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OWNERSHIP OF FIVE PERCENT OR LESS OF A CLASS</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5"/>
        </w:trPr>
        <w:tc>
          <w:tcPr>
            <w:tcW w:w="10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Not applicable.</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ITEM6.</w:t>
            </w:r>
          </w:p>
        </w:tc>
        <w:tc>
          <w:tcPr>
            <w:tcW w:w="7960" w:type="dxa"/>
            <w:vAlign w:val="bottom"/>
            <w:gridSpan w:val="8"/>
          </w:tcPr>
          <w:p>
            <w:pPr>
              <w:spacing w:after="0"/>
              <w:rPr>
                <w:sz w:val="20"/>
                <w:szCs w:val="20"/>
                <w:color w:val="auto"/>
              </w:rPr>
            </w:pPr>
            <w:r>
              <w:rPr>
                <w:rFonts w:ascii="Arial" w:cs="Arial" w:eastAsia="Arial" w:hAnsi="Arial"/>
                <w:sz w:val="18"/>
                <w:szCs w:val="18"/>
                <w:color w:val="auto"/>
              </w:rPr>
              <w:t>OWNERSHIP OF MORE THAN FIVE PERCENT ON BEHALF OF ANOTHER PERSON.</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5"/>
        </w:trPr>
        <w:tc>
          <w:tcPr>
            <w:tcW w:w="1000" w:type="dxa"/>
            <w:vAlign w:val="bottom"/>
          </w:tcPr>
          <w:p>
            <w:pPr>
              <w:spacing w:after="0"/>
              <w:rPr>
                <w:sz w:val="24"/>
                <w:szCs w:val="24"/>
                <w:color w:val="auto"/>
              </w:rPr>
            </w:pPr>
          </w:p>
        </w:tc>
        <w:tc>
          <w:tcPr>
            <w:tcW w:w="44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Not applicable.</w:t>
            </w:r>
          </w:p>
        </w:tc>
        <w:tc>
          <w:tcPr>
            <w:tcW w:w="6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ITEM7.</w:t>
            </w:r>
          </w:p>
        </w:tc>
        <w:tc>
          <w:tcPr>
            <w:tcW w:w="10060" w:type="dxa"/>
            <w:vAlign w:val="bottom"/>
            <w:gridSpan w:val="10"/>
          </w:tcPr>
          <w:p>
            <w:pPr>
              <w:spacing w:after="0"/>
              <w:rPr>
                <w:sz w:val="20"/>
                <w:szCs w:val="20"/>
                <w:color w:val="auto"/>
              </w:rPr>
            </w:pPr>
            <w:r>
              <w:rPr>
                <w:rFonts w:ascii="Arial" w:cs="Arial" w:eastAsia="Arial" w:hAnsi="Arial"/>
                <w:sz w:val="18"/>
                <w:szCs w:val="18"/>
                <w:color w:val="auto"/>
                <w:w w:val="97"/>
              </w:rPr>
              <w:t>IDENTIFICATION AND CLASSIFICATION OF THE SUBSIDIARY WHICH ACQUIRED THE SECURITY BEING REPORTED ON</w:t>
            </w:r>
          </w:p>
        </w:tc>
      </w:tr>
      <w:tr>
        <w:trPr>
          <w:trHeight w:val="196"/>
        </w:trPr>
        <w:tc>
          <w:tcPr>
            <w:tcW w:w="1000" w:type="dxa"/>
            <w:vAlign w:val="bottom"/>
          </w:tcPr>
          <w:p>
            <w:pPr>
              <w:spacing w:after="0"/>
              <w:rPr>
                <w:sz w:val="17"/>
                <w:szCs w:val="17"/>
                <w:color w:val="auto"/>
              </w:rPr>
            </w:pPr>
          </w:p>
        </w:tc>
        <w:tc>
          <w:tcPr>
            <w:tcW w:w="796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BY THE PARENT HOLDING COMPANY OR CONTROL PERSON</w:t>
            </w:r>
          </w:p>
        </w:tc>
        <w:tc>
          <w:tcPr>
            <w:tcW w:w="1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345"/>
        </w:trPr>
        <w:tc>
          <w:tcPr>
            <w:tcW w:w="1000" w:type="dxa"/>
            <w:vAlign w:val="bottom"/>
          </w:tcPr>
          <w:p>
            <w:pPr>
              <w:spacing w:after="0"/>
              <w:rPr>
                <w:sz w:val="24"/>
                <w:szCs w:val="24"/>
                <w:color w:val="auto"/>
              </w:rPr>
            </w:pPr>
          </w:p>
        </w:tc>
        <w:tc>
          <w:tcPr>
            <w:tcW w:w="44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Not applicable.</w:t>
            </w:r>
          </w:p>
        </w:tc>
        <w:tc>
          <w:tcPr>
            <w:tcW w:w="6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ITEM8.</w:t>
            </w:r>
          </w:p>
        </w:tc>
        <w:tc>
          <w:tcPr>
            <w:tcW w:w="7960" w:type="dxa"/>
            <w:vAlign w:val="bottom"/>
            <w:gridSpan w:val="8"/>
          </w:tcPr>
          <w:p>
            <w:pPr>
              <w:spacing w:after="0"/>
              <w:rPr>
                <w:sz w:val="20"/>
                <w:szCs w:val="20"/>
                <w:color w:val="auto"/>
              </w:rPr>
            </w:pPr>
            <w:r>
              <w:rPr>
                <w:rFonts w:ascii="Arial" w:cs="Arial" w:eastAsia="Arial" w:hAnsi="Arial"/>
                <w:sz w:val="18"/>
                <w:szCs w:val="18"/>
                <w:color w:val="auto"/>
              </w:rPr>
              <w:t>IDENTIFICATION AND CLASSIFICATION OF MEMBERS OF THE GROUP.</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5"/>
        </w:trPr>
        <w:tc>
          <w:tcPr>
            <w:tcW w:w="1000" w:type="dxa"/>
            <w:vAlign w:val="bottom"/>
          </w:tcPr>
          <w:p>
            <w:pPr>
              <w:spacing w:after="0"/>
              <w:rPr>
                <w:sz w:val="24"/>
                <w:szCs w:val="24"/>
                <w:color w:val="auto"/>
              </w:rPr>
            </w:pPr>
          </w:p>
        </w:tc>
        <w:tc>
          <w:tcPr>
            <w:tcW w:w="44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Not applicable.</w:t>
            </w:r>
          </w:p>
        </w:tc>
        <w:tc>
          <w:tcPr>
            <w:tcW w:w="6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ITEM9.</w:t>
            </w:r>
          </w:p>
        </w:tc>
        <w:tc>
          <w:tcPr>
            <w:tcW w:w="4440" w:type="dxa"/>
            <w:vAlign w:val="bottom"/>
            <w:gridSpan w:val="4"/>
          </w:tcPr>
          <w:p>
            <w:pPr>
              <w:spacing w:after="0"/>
              <w:rPr>
                <w:sz w:val="20"/>
                <w:szCs w:val="20"/>
                <w:color w:val="auto"/>
              </w:rPr>
            </w:pPr>
            <w:r>
              <w:rPr>
                <w:rFonts w:ascii="Arial" w:cs="Arial" w:eastAsia="Arial" w:hAnsi="Arial"/>
                <w:sz w:val="18"/>
                <w:szCs w:val="18"/>
                <w:color w:val="auto"/>
              </w:rPr>
              <w:t>NOTICE OF DISSOLUTION OF GROUP.</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5"/>
        </w:trPr>
        <w:tc>
          <w:tcPr>
            <w:tcW w:w="1000" w:type="dxa"/>
            <w:vAlign w:val="bottom"/>
          </w:tcPr>
          <w:p>
            <w:pPr>
              <w:spacing w:after="0"/>
              <w:rPr>
                <w:sz w:val="24"/>
                <w:szCs w:val="24"/>
                <w:color w:val="auto"/>
              </w:rPr>
            </w:pPr>
          </w:p>
        </w:tc>
        <w:tc>
          <w:tcPr>
            <w:tcW w:w="3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Not applicable.</w:t>
            </w:r>
          </w:p>
        </w:tc>
        <w:tc>
          <w:tcPr>
            <w:tcW w:w="134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ITEM10.</w:t>
            </w:r>
          </w:p>
        </w:tc>
        <w:tc>
          <w:tcPr>
            <w:tcW w:w="4440" w:type="dxa"/>
            <w:vAlign w:val="bottom"/>
            <w:gridSpan w:val="4"/>
          </w:tcPr>
          <w:p>
            <w:pPr>
              <w:spacing w:after="0"/>
              <w:rPr>
                <w:sz w:val="20"/>
                <w:szCs w:val="20"/>
                <w:color w:val="auto"/>
              </w:rPr>
            </w:pPr>
            <w:r>
              <w:rPr>
                <w:rFonts w:ascii="Arial" w:cs="Arial" w:eastAsia="Arial" w:hAnsi="Arial"/>
                <w:sz w:val="18"/>
                <w:szCs w:val="18"/>
                <w:color w:val="auto"/>
              </w:rPr>
              <w:t>CERTIFICATION.</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5"/>
        </w:trPr>
        <w:tc>
          <w:tcPr>
            <w:tcW w:w="1000" w:type="dxa"/>
            <w:vAlign w:val="bottom"/>
          </w:tcPr>
          <w:p>
            <w:pPr>
              <w:spacing w:after="0"/>
              <w:rPr>
                <w:sz w:val="24"/>
                <w:szCs w:val="24"/>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Not applicable.</w:t>
            </w:r>
          </w:p>
        </w:tc>
        <w:tc>
          <w:tcPr>
            <w:tcW w:w="310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440" w:top="268"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jc w:val="center"/>
        <w:ind w:right="-6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2019</w:t>
      </w:r>
    </w:p>
    <w:p>
      <w:pPr>
        <w:spacing w:after="0" w:line="252"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14605</wp:posOffset>
            </wp:positionV>
            <wp:extent cx="27101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Timothy A Springer</w:t>
      </w:r>
    </w:p>
    <w:p>
      <w:pPr>
        <w:spacing w:after="0" w:line="200" w:lineRule="exact"/>
        <w:rPr>
          <w:sz w:val="20"/>
          <w:szCs w:val="20"/>
          <w:color w:val="auto"/>
        </w:rPr>
      </w:pPr>
    </w:p>
    <w:p>
      <w:pPr>
        <w:spacing w:after="0" w:line="28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TAS Partners LLC</w:t>
      </w:r>
    </w:p>
    <w:p>
      <w:pPr>
        <w:spacing w:after="0" w:line="131" w:lineRule="exact"/>
        <w:rPr>
          <w:sz w:val="20"/>
          <w:szCs w:val="20"/>
          <w:color w:val="auto"/>
        </w:rPr>
      </w:pPr>
    </w:p>
    <w:p>
      <w:pPr>
        <w:ind w:left="708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2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24" w:lineRule="exact"/>
        <w:rPr>
          <w:sz w:val="20"/>
          <w:szCs w:val="20"/>
          <w:color w:val="auto"/>
        </w:rPr>
      </w:pPr>
    </w:p>
    <w:p>
      <w:pPr>
        <w:ind w:left="7080"/>
        <w:spacing w:after="0"/>
        <w:tabs>
          <w:tab w:leader="none" w:pos="766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Leukon Investments,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LKST Inc., its General Partner</w:t>
      </w:r>
    </w:p>
    <w:p>
      <w:pPr>
        <w:spacing w:after="0" w:line="224" w:lineRule="exact"/>
        <w:rPr>
          <w:sz w:val="20"/>
          <w:szCs w:val="20"/>
          <w:color w:val="auto"/>
        </w:rPr>
      </w:pPr>
    </w:p>
    <w:p>
      <w:pPr>
        <w:ind w:left="708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2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24" w:lineRule="exact"/>
        <w:rPr>
          <w:sz w:val="20"/>
          <w:szCs w:val="20"/>
          <w:color w:val="auto"/>
        </w:rPr>
      </w:pPr>
    </w:p>
    <w:p>
      <w:pPr>
        <w:ind w:left="7080"/>
        <w:spacing w:after="0"/>
        <w:tabs>
          <w:tab w:leader="none" w:pos="766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ectPr>
          <w:pgSz w:w="11900" w:h="16838" w:orient="portrait"/>
          <w:cols w:equalWidth="0" w:num="1">
            <w:col w:w="10340"/>
          </w:cols>
          <w:pgMar w:left="440" w:top="274" w:right="11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Pursuant to Rule 13d-1(k)(1) under the Securities Exchange Act of 1934, as amended, the undersigned hereby agree, as of March 27, 2019, that only one statement containing the information required by Schedule 13G, and each amendment thereto, need be filed with respect to the ownership by each of the undersigned of shares of common stock, $0.0001 par value per share of Selecta Biosciences, Inc., and such statement to which this Joint Filing Agreement is attached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is filed on behalf of each of the undersigned.</w:t>
      </w:r>
    </w:p>
    <w:p>
      <w:pPr>
        <w:spacing w:after="0" w:line="21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14605</wp:posOffset>
            </wp:positionV>
            <wp:extent cx="26498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Timothy A Springer</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TAS Partners LLC</w:t>
      </w:r>
    </w:p>
    <w:p>
      <w:pPr>
        <w:spacing w:after="0" w:line="239" w:lineRule="exact"/>
        <w:rPr>
          <w:sz w:val="20"/>
          <w:szCs w:val="20"/>
          <w:color w:val="auto"/>
        </w:rPr>
      </w:pPr>
    </w:p>
    <w:p>
      <w:pPr>
        <w:ind w:left="708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2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24" w:lineRule="exact"/>
        <w:rPr>
          <w:sz w:val="20"/>
          <w:szCs w:val="20"/>
          <w:color w:val="auto"/>
        </w:rPr>
      </w:pPr>
    </w:p>
    <w:p>
      <w:pPr>
        <w:ind w:left="7080"/>
        <w:spacing w:after="0"/>
        <w:tabs>
          <w:tab w:leader="none" w:pos="766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Leukon Investments,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LKST Inc., its General Partner</w:t>
      </w:r>
    </w:p>
    <w:p>
      <w:pPr>
        <w:spacing w:after="0" w:line="224" w:lineRule="exact"/>
        <w:rPr>
          <w:sz w:val="20"/>
          <w:szCs w:val="20"/>
          <w:color w:val="auto"/>
        </w:rPr>
      </w:pPr>
    </w:p>
    <w:p>
      <w:pPr>
        <w:ind w:left="708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2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24" w:lineRule="exact"/>
        <w:rPr>
          <w:sz w:val="20"/>
          <w:szCs w:val="20"/>
          <w:color w:val="auto"/>
        </w:rPr>
      </w:pPr>
    </w:p>
    <w:p>
      <w:pPr>
        <w:ind w:left="7080"/>
        <w:spacing w:after="0"/>
        <w:tabs>
          <w:tab w:leader="none" w:pos="766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14605</wp:posOffset>
            </wp:positionV>
            <wp:extent cx="21183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2019-12-03T20:21:40Z</dcterms:created>
  <dcterms:modified xsi:type="dcterms:W3CDTF">2019-12-03T20:21:40Z</dcterms:modified>
</cp:coreProperties>
</file>