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7048500" cy="4760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76059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Kalayoglu Murat</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704 QUINCE ORCHARD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jc w:val="center"/>
        <w:ind w:right="1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10/11/2024</w:t>
      </w:r>
    </w:p>
    <w:p>
      <w:pPr>
        <w:spacing w:after="0" w:line="20" w:lineRule="exact"/>
        <w:rPr>
          <w:sz w:val="24"/>
          <w:szCs w:val="24"/>
          <w:color w:val="auto"/>
        </w:rPr>
      </w:pPr>
      <w:r>
        <w:rPr>
          <w:sz w:val="24"/>
          <w:szCs w:val="24"/>
          <w:color w:val="auto"/>
        </w:rPr>
        <w:br w:type="column"/>
      </w:r>
    </w:p>
    <w:p>
      <w:pPr>
        <w:ind w:left="-3" w:right="720" w:firstLine="3"/>
        <w:spacing w:after="0" w:line="281"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7"/>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3"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300" w:type="dxa"/>
            <w:vAlign w:val="bottom"/>
            <w:gridSpan w:val="6"/>
          </w:tcPr>
          <w:p>
            <w:pPr>
              <w:jc w:val="center"/>
              <w:ind w:left="78"/>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3"/>
                <w:szCs w:val="13"/>
                <w:color w:val="auto"/>
              </w:rPr>
            </w:pP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GAITHERSBURG MD</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20878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80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2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88"/>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4"/>
                <w:szCs w:val="24"/>
                <w:color w:val="auto"/>
              </w:rPr>
            </w:pPr>
          </w:p>
        </w:tc>
        <w:tc>
          <w:tcPr>
            <w:tcW w:w="1820" w:type="dxa"/>
            <w:vAlign w:val="bottom"/>
            <w:gridSpan w:val="4"/>
          </w:tcPr>
          <w:p>
            <w:pPr>
              <w:ind w:left="940"/>
              <w:spacing w:after="0"/>
              <w:rPr>
                <w:sz w:val="20"/>
                <w:szCs w:val="20"/>
                <w:color w:val="auto"/>
              </w:rPr>
            </w:pPr>
            <w:r>
              <w:rPr>
                <w:rFonts w:ascii="Times New Roman" w:cs="Times New Roman" w:eastAsia="Times New Roman" w:hAnsi="Times New Roman"/>
                <w:sz w:val="16"/>
                <w:szCs w:val="16"/>
                <w:color w:val="0000FF"/>
              </w:rPr>
              <w:t>10/11/2024</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1,518,373</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ind w:left="40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4"/>
                <w:szCs w:val="24"/>
                <w:color w:val="auto"/>
              </w:rPr>
            </w:pPr>
          </w:p>
        </w:tc>
        <w:tc>
          <w:tcPr>
            <w:tcW w:w="1200" w:type="dxa"/>
            <w:vAlign w:val="bottom"/>
            <w:gridSpan w:val="2"/>
          </w:tcPr>
          <w:p>
            <w:pPr>
              <w:jc w:val="right"/>
              <w:ind w:right="243"/>
              <w:spacing w:after="0"/>
              <w:rPr>
                <w:sz w:val="20"/>
                <w:szCs w:val="20"/>
                <w:color w:val="auto"/>
              </w:rPr>
            </w:pPr>
            <w:r>
              <w:rPr>
                <w:rFonts w:ascii="Times New Roman" w:cs="Times New Roman" w:eastAsia="Times New Roman" w:hAnsi="Times New Roman"/>
                <w:sz w:val="16"/>
                <w:szCs w:val="16"/>
                <w:color w:val="0000FF"/>
              </w:rPr>
              <w:t>4,555,260</w:t>
            </w:r>
          </w:p>
        </w:tc>
        <w:tc>
          <w:tcPr>
            <w:tcW w:w="3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jc w:val="right"/>
              <w:ind w:right="303"/>
              <w:spacing w:after="0"/>
              <w:rPr>
                <w:sz w:val="20"/>
                <w:szCs w:val="20"/>
                <w:color w:val="auto"/>
              </w:rPr>
            </w:pPr>
            <w:r>
              <w:rPr>
                <w:rFonts w:ascii="Times New Roman" w:cs="Times New Roman" w:eastAsia="Times New Roman" w:hAnsi="Times New Roman"/>
                <w:sz w:val="16"/>
                <w:szCs w:val="16"/>
                <w:color w:val="0000FF"/>
              </w:rPr>
              <w:t>506,377</w:t>
            </w: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Non-Voting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1,518,373</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by 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Convertible</w:t>
            </w:r>
          </w:p>
        </w:tc>
        <w:tc>
          <w:tcPr>
            <w:tcW w:w="760" w:type="dxa"/>
            <w:vAlign w:val="bottom"/>
            <w:vMerge w:val="continue"/>
          </w:tcPr>
          <w:p>
            <w:pPr>
              <w:spacing w:after="0"/>
              <w:rPr>
                <w:sz w:val="10"/>
                <w:szCs w:val="10"/>
                <w:color w:val="auto"/>
              </w:rPr>
            </w:pPr>
          </w:p>
        </w:tc>
        <w:tc>
          <w:tcPr>
            <w:tcW w:w="1040" w:type="dxa"/>
            <w:vAlign w:val="bottom"/>
          </w:tcPr>
          <w:p>
            <w:pPr>
              <w:jc w:val="right"/>
              <w:ind w:right="178"/>
              <w:spacing w:after="0" w:line="125" w:lineRule="exact"/>
              <w:rPr>
                <w:sz w:val="20"/>
                <w:szCs w:val="20"/>
                <w:color w:val="auto"/>
              </w:rPr>
            </w:pPr>
            <w:r>
              <w:rPr>
                <w:rFonts w:ascii="Times New Roman" w:cs="Times New Roman" w:eastAsia="Times New Roman" w:hAnsi="Times New Roman"/>
                <w:sz w:val="12"/>
                <w:szCs w:val="12"/>
                <w:color w:val="0000FF"/>
              </w:rPr>
              <w:t>10/11/2024</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45,551.19</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2"/>
                <w:szCs w:val="12"/>
                <w:color w:val="0000FF"/>
              </w:rPr>
              <w:t>56,402.254</w:t>
            </w:r>
          </w:p>
        </w:tc>
        <w:tc>
          <w:tcPr>
            <w:tcW w:w="64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4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11, 2024, a trust (the "Trust") for the benefit of the reporting person's spouse and children elected to convert a portion of its shares of the issuer's Series A Non-Voting Convertible Preferred Stock into shares of the issuer's common stock. The remaining shares of the issuer's Series A Non-Voting Convertible Preferred Stock held by the Trust are subject to a beneficial ownership limitation.</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the Trust for the benefit of the reporting person's spouse and children. The reporting person's spouse is a trustee of the Trust.</w:t>
      </w:r>
    </w:p>
    <w:p>
      <w:pPr>
        <w:spacing w:after="0" w:line="48" w:lineRule="exact"/>
        <w:rPr>
          <w:rFonts w:ascii="Times New Roman" w:cs="Times New Roman" w:eastAsia="Times New Roman" w:hAnsi="Times New Roman"/>
          <w:sz w:val="12"/>
          <w:szCs w:val="12"/>
          <w:color w:val="008000"/>
        </w:rPr>
      </w:pPr>
    </w:p>
    <w:p>
      <w:pPr>
        <w:ind w:left="40" w:right="6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in accordance with the terms of an Agreement and Plan of Merger, dated November 13, 2023 (the "Merger"). These securities represent merger consideration payable as a result of the closing of the Merger and securities purchased in a private placement in November 2023.</w:t>
      </w: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0699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975" cy="7620"/>
                    </a:xfrm>
                    <a:prstGeom prst="rect">
                      <a:avLst/>
                    </a:prstGeom>
                    <a:noFill/>
                  </pic:spPr>
                </pic:pic>
              </a:graphicData>
            </a:graphic>
          </wp:anchor>
        </w:drawing>
      </w:r>
    </w:p>
    <w:p>
      <w:pPr>
        <w:spacing w:after="0" w:line="6"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Murat</w:t>
      </w:r>
      <w:r>
        <w:rPr>
          <w:sz w:val="20"/>
          <w:szCs w:val="20"/>
          <w:color w:val="auto"/>
        </w:rPr>
        <w:tab/>
      </w:r>
      <w:r>
        <w:rPr>
          <w:rFonts w:ascii="Times New Roman" w:cs="Times New Roman" w:eastAsia="Times New Roman" w:hAnsi="Times New Roman"/>
          <w:sz w:val="16"/>
          <w:szCs w:val="16"/>
          <w:color w:val="0000FF"/>
        </w:rPr>
        <w:t>10/15/2024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18675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Kalayoglu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4279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990" cy="7620"/>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0002"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2024-10-15T16:01:27Z</dcterms:created>
  <dcterms:modified xsi:type="dcterms:W3CDTF">2024-10-15T16:01:27Z</dcterms:modified>
</cp:coreProperties>
</file>