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38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CAUTREELS WERNER</w:t>
              </w:r>
            </w:hyperlink>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0" w:type="dxa"/>
            <w:vAlign w:val="bottom"/>
            <w:tcBorders>
              <w:top w:val="single" w:sz="8" w:color="0000EE"/>
            </w:tcBorders>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420" w:type="dxa"/>
            <w:vAlign w:val="bottom"/>
          </w:tcPr>
          <w:p>
            <w:pPr>
              <w:ind w:left="16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C/O SELECTA BIOSCIENCES, INC.</w:t>
            </w:r>
          </w:p>
        </w:tc>
        <w:tc>
          <w:tcPr>
            <w:tcW w:w="2960" w:type="dxa"/>
            <w:vAlign w:val="bottom"/>
            <w:gridSpan w:val="3"/>
          </w:tcPr>
          <w:p>
            <w:pPr>
              <w:ind w:left="160"/>
              <w:spacing w:after="0"/>
              <w:rPr>
                <w:sz w:val="20"/>
                <w:szCs w:val="20"/>
                <w:color w:val="auto"/>
              </w:rPr>
            </w:pPr>
            <w:r>
              <w:rPr>
                <w:rFonts w:ascii="Arial" w:cs="Arial" w:eastAsia="Arial" w:hAnsi="Arial"/>
                <w:sz w:val="18"/>
                <w:szCs w:val="18"/>
                <w:color w:val="0000FF"/>
              </w:rPr>
              <w:t>11/13/2017</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380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480 ARSENAL WAY</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President and CEO</w:t>
      </w:r>
    </w:p>
    <w:p>
      <w:pPr>
        <w:spacing w:after="0" w:line="409"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8"/>
              </w:rPr>
              <w:t>WATERTOWN</w:t>
            </w:r>
          </w:p>
        </w:tc>
        <w:tc>
          <w:tcPr>
            <w:tcW w:w="920" w:type="dxa"/>
            <w:vAlign w:val="bottom"/>
          </w:tcPr>
          <w:p>
            <w:pPr>
              <w:ind w:left="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02372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11/13/2017</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20,000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9.3125</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321,203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$9.20 to $9.50, inclusive. The reporting person undertakes to provide to Issuer, any security holder of Issuer, or the staff of the Securities and Exchange Commission, upon request, full information regarding the number of shares purchased at each separate price within the ranges set forth in footnotes (1) of this Form 4.</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David Abraham, Attorney-</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11/14/2017</w:t>
            </w:r>
          </w:p>
        </w:tc>
        <w:tc>
          <w:tcPr>
            <w:tcW w:w="0" w:type="dxa"/>
            <w:vAlign w:val="bottom"/>
          </w:tcPr>
          <w:p>
            <w:pPr>
              <w:spacing w:after="0"/>
              <w:rPr>
                <w:sz w:val="1"/>
                <w:szCs w:val="1"/>
                <w:color w:val="auto"/>
              </w:rPr>
            </w:pPr>
          </w:p>
        </w:tc>
      </w:tr>
      <w:tr>
        <w:trPr>
          <w:trHeight w:val="88"/>
        </w:trPr>
        <w:tc>
          <w:tcPr>
            <w:tcW w:w="202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in-Fact for Werner Cautreels</w:t>
            </w:r>
          </w:p>
        </w:tc>
        <w:tc>
          <w:tcPr>
            <w:tcW w:w="1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20" w:type="dxa"/>
            <w:vAlign w:val="bottom"/>
            <w:tcBorders>
              <w:bottom w:val="single" w:sz="8" w:color="auto"/>
            </w:tcBorders>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Exhibit 24</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POWER OF ATTORNEY</w:t>
      </w:r>
    </w:p>
    <w:p>
      <w:pPr>
        <w:spacing w:after="0" w:line="206"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With respect to holdings of and transactions in securities issued by Selecta Biosciences,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85" w:lineRule="exact"/>
        <w:rPr>
          <w:sz w:val="20"/>
          <w:szCs w:val="20"/>
          <w:color w:val="auto"/>
        </w:rPr>
      </w:pPr>
    </w:p>
    <w:p>
      <w:pPr>
        <w:ind w:right="200" w:firstLine="8"/>
        <w:spacing w:after="0" w:line="287" w:lineRule="auto"/>
        <w:tabs>
          <w:tab w:leader="none" w:pos="216" w:val="left"/>
        </w:tabs>
        <w:numPr>
          <w:ilvl w:val="0"/>
          <w:numId w:val="4"/>
        </w:numPr>
        <w:rPr>
          <w:rFonts w:ascii="Arial" w:cs="Arial" w:eastAsia="Arial" w:hAnsi="Arial"/>
          <w:sz w:val="19"/>
          <w:szCs w:val="19"/>
          <w:color w:val="auto"/>
        </w:rPr>
      </w:pPr>
      <w:r>
        <w:rPr>
          <w:rFonts w:ascii="Arial" w:cs="Arial" w:eastAsia="Arial" w:hAnsi="Arial"/>
          <w:sz w:val="19"/>
          <w:szCs w:val="19"/>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43" w:lineRule="exact"/>
        <w:rPr>
          <w:rFonts w:ascii="Arial" w:cs="Arial" w:eastAsia="Arial" w:hAnsi="Arial"/>
          <w:sz w:val="19"/>
          <w:szCs w:val="19"/>
          <w:color w:val="auto"/>
        </w:rPr>
      </w:pPr>
    </w:p>
    <w:p>
      <w:pPr>
        <w:ind w:right="100" w:firstLine="8"/>
        <w:spacing w:after="0" w:line="251" w:lineRule="auto"/>
        <w:tabs>
          <w:tab w:leader="none" w:pos="216" w:val="left"/>
        </w:tabs>
        <w:numPr>
          <w:ilvl w:val="0"/>
          <w:numId w:val="4"/>
        </w:numPr>
        <w:rPr>
          <w:rFonts w:ascii="Arial" w:cs="Arial" w:eastAsia="Arial" w:hAnsi="Arial"/>
          <w:sz w:val="22"/>
          <w:szCs w:val="22"/>
          <w:color w:val="auto"/>
        </w:rPr>
      </w:pPr>
      <w:r>
        <w:rPr>
          <w:rFonts w:ascii="Arial" w:cs="Arial" w:eastAsia="Arial" w:hAnsi="Arial"/>
          <w:sz w:val="22"/>
          <w:szCs w:val="22"/>
          <w:color w:val="auto"/>
        </w:rPr>
        <w:t>execute for and on behalf of the undersigned, Forms 3, 4, and 5 in accordance with Section 16 of the Securities Exchange Act of 1934, as amended, and the rules thereunder;</w:t>
      </w:r>
    </w:p>
    <w:p>
      <w:pPr>
        <w:spacing w:after="0" w:line="173" w:lineRule="exact"/>
        <w:rPr>
          <w:rFonts w:ascii="Arial" w:cs="Arial" w:eastAsia="Arial" w:hAnsi="Arial"/>
          <w:sz w:val="22"/>
          <w:szCs w:val="22"/>
          <w:color w:val="auto"/>
        </w:rPr>
      </w:pPr>
    </w:p>
    <w:p>
      <w:pPr>
        <w:ind w:right="100" w:firstLine="8"/>
        <w:spacing w:after="0"/>
        <w:tabs>
          <w:tab w:leader="none" w:pos="216" w:val="left"/>
        </w:tabs>
        <w:numPr>
          <w:ilvl w:val="0"/>
          <w:numId w:val="4"/>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86" w:lineRule="exact"/>
        <w:rPr>
          <w:rFonts w:ascii="Arial" w:cs="Arial" w:eastAsia="Arial" w:hAnsi="Arial"/>
          <w:sz w:val="22"/>
          <w:szCs w:val="22"/>
          <w:color w:val="auto"/>
        </w:rPr>
      </w:pPr>
    </w:p>
    <w:p>
      <w:pPr>
        <w:ind w:right="20" w:firstLine="8"/>
        <w:spacing w:after="0" w:line="287" w:lineRule="auto"/>
        <w:tabs>
          <w:tab w:leader="none" w:pos="216" w:val="left"/>
        </w:tabs>
        <w:numPr>
          <w:ilvl w:val="0"/>
          <w:numId w:val="4"/>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4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48"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86" w:lineRule="exact"/>
        <w:rPr>
          <w:sz w:val="20"/>
          <w:szCs w:val="20"/>
          <w:color w:val="auto"/>
        </w:rPr>
      </w:pPr>
    </w:p>
    <w:p>
      <w:pPr>
        <w:ind w:right="400"/>
        <w:spacing w:after="0" w:line="258"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has caused this Power of Attorney to be executed as of this 4th day of June, 2016.</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Signature: /s/ Werner Cautreels, Ph.D.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Print Name: Werner Cautreels, Ph.D.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Schedule AIndividuals Appointed as Attorney-in-Fact with Full Power of Substitution and Resubstitution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David Abraham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John Leaman</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7419"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2019-12-24T08:55:46Z</dcterms:created>
  <dcterms:modified xsi:type="dcterms:W3CDTF">2019-12-24T08:55:46Z</dcterms:modified>
</cp:coreProperties>
</file>