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6" w:lineRule="exact"/>
        <w:rPr>
          <w:sz w:val="24"/>
          <w:szCs w:val="24"/>
          <w:color w:val="auto"/>
        </w:rPr>
      </w:pPr>
    </w:p>
    <w:p>
      <w:pPr>
        <w:ind w:left="20"/>
        <w:spacing w:after="0" w:line="207" w:lineRule="exact"/>
        <w:tabs>
          <w:tab w:leader="none" w:pos="202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6"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9" w:lineRule="exact"/>
        <w:rPr>
          <w:rFonts w:ascii="MS PGothic" w:cs="MS PGothic" w:eastAsia="MS PGothic" w:hAnsi="MS PGothic"/>
          <w:sz w:val="18"/>
          <w:szCs w:val="18"/>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104775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33020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 w:lineRule="exact"/>
        <w:rPr>
          <w:rFonts w:ascii="Times New Roman" w:cs="Times New Roman" w:eastAsia="Times New Roman" w:hAnsi="Times New Roman"/>
          <w:sz w:val="18"/>
          <w:szCs w:val="18"/>
          <w:color w:val="auto"/>
        </w:rPr>
      </w:pPr>
    </w:p>
    <w:p>
      <w:pPr>
        <w:ind w:left="1140" w:right="200" w:hanging="427"/>
        <w:spacing w:after="0" w:line="234"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0"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 w:lineRule="exact"/>
        <w:rPr>
          <w:rFonts w:ascii="Times New Roman" w:cs="Times New Roman" w:eastAsia="Times New Roman" w:hAnsi="Times New Roman"/>
          <w:sz w:val="18"/>
          <w:szCs w:val="18"/>
          <w:color w:val="auto"/>
        </w:rPr>
      </w:pPr>
    </w:p>
    <w:p>
      <w:pPr>
        <w:ind w:left="1140" w:hanging="1114"/>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140" w:hanging="1114"/>
        <w:spacing w:after="0" w:line="226" w:lineRule="auto"/>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500380</wp:posOffset>
            </wp:positionV>
            <wp:extent cx="2143125"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(the “Annual Meeting”) of Stockholders of Selecta Biosciences, Inc. (the “Company”) to be held on Friday, June 17, 2022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be using the latest technology to increase access, to improve communication and to obtain cost savings for our stockholders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a virtual meeting will enable increased stockholder attendance and participation as stockholders can participate from any location.</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2022 Annual Meeting?” on page 4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Sincerely,</w:t>
            </w:r>
          </w:p>
        </w:tc>
      </w:tr>
      <w:tr>
        <w:trPr>
          <w:trHeight w:val="459"/>
        </w:trPr>
        <w:tc>
          <w:tcPr>
            <w:tcW w:w="63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w w:val="98"/>
              </w:rPr>
              <w:t>___________,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6"/>
        </w:trPr>
        <w:tc>
          <w:tcPr>
            <w:tcW w:w="630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6"/>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Notice of Annual Meeting of Stockholders</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Questions and Answers About the 2022 Annual Meeting of Stockholders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8"/>
          </w:tcPr>
          <w:p>
            <w:pPr>
              <w:spacing w:after="0"/>
              <w:rPr>
                <w:sz w:val="18"/>
                <w:szCs w:val="18"/>
                <w:color w:val="auto"/>
              </w:rPr>
            </w:pPr>
          </w:p>
        </w:tc>
        <w:tc>
          <w:tcPr>
            <w:tcW w:w="5600" w:type="dxa"/>
            <w:vAlign w:val="bottom"/>
            <w:gridSpan w:val="4"/>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3 Non-Binding, Advisory Vote</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Proposal No. 4 Amendment to Restated Certificate of Incorporation to Increase the Number of Authorized Shares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09"/>
        </w:trPr>
        <w:tc>
          <w:tcPr>
            <w:tcW w:w="6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5 Ratification of Appointment of Independent Registered Public Accounting Firm</w:t>
            </w:r>
          </w:p>
        </w:tc>
        <w:tc>
          <w:tcPr>
            <w:tcW w:w="3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09"/>
        </w:trPr>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3"/>
          </w:tcPr>
          <w:p>
            <w:pPr>
              <w:spacing w:after="0"/>
              <w:rPr>
                <w:sz w:val="18"/>
                <w:szCs w:val="18"/>
                <w:color w:val="auto"/>
              </w:rPr>
            </w:pPr>
          </w:p>
        </w:tc>
        <w:tc>
          <w:tcPr>
            <w:tcW w:w="56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9"/>
        </w:trPr>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11"/>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9"/>
        </w:trPr>
        <w:tc>
          <w:tcPr>
            <w:tcW w:w="24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18"/>
                <w:szCs w:val="18"/>
                <w:color w:val="auto"/>
              </w:rPr>
            </w:pPr>
          </w:p>
        </w:tc>
        <w:tc>
          <w:tcPr>
            <w:tcW w:w="59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9"/>
        </w:trPr>
        <w:tc>
          <w:tcPr>
            <w:tcW w:w="3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690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10"/>
        </w:trPr>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5"/>
          </w:tcPr>
          <w:p>
            <w:pPr>
              <w:spacing w:after="0"/>
              <w:rPr>
                <w:sz w:val="18"/>
                <w:szCs w:val="18"/>
                <w:color w:val="auto"/>
              </w:rPr>
            </w:pPr>
          </w:p>
        </w:tc>
        <w:tc>
          <w:tcPr>
            <w:tcW w:w="9120" w:type="dxa"/>
            <w:vAlign w:val="bottom"/>
            <w:gridSpan w:val="1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9"/>
        </w:trPr>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Selecta Biosciences, Inc.’s Annual Report on Form 10-K</w:t>
            </w:r>
          </w:p>
        </w:tc>
        <w:tc>
          <w:tcPr>
            <w:tcW w:w="676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bl>
    <w:p>
      <w:pPr>
        <w:sectPr>
          <w:pgSz w:w="11900" w:h="16838" w:orient="portrait"/>
          <w:cols w:equalWidth="0" w:num="1">
            <w:col w:w="11200"/>
          </w:cols>
          <w:pgMar w:left="340" w:top="76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June 17, 2022</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of Stockholders (the “Annual Meeting”) of Selecta Biosciences, Inc., a Delaware corporation (the “Company”), will be held at</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17, 2022, by virtual meeting online at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5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 xml:space="preserve">Holders of record of our common stock as of the close of business on April 18, 2022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ShareholderRequests@selectabio.com, stating the purpose of the request and providing proof of ownership of our stock. The list of these stockholders will also be available on the bottom panel of your screen during the meeting at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xml:space="preserve">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6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COVID-19, we encourage stockholders to submit their proxy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___________, 2022</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Selecta Biosciences, Inc. of proxies to be voted at our Annual Meeting of Stockholders to be held on Friday, June 17, 2022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www.virtualshareholdermeeting.com/SELB2022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18, 2022 (the “Record Date”), will be entitled to notice of and to vote at the Annual Meeting and any continuation, postponement, or adjournment of the Annual Meeting. As of the Record Date, there were 151,809,416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2021, (as amended, the “2021 Annual Report”) will be released on or about ___________, 2022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“Selecta”, “Company”, “we”, “us”, and “our” refer to Selecta Biosciences,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17,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our 2021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right="5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Timothy C. Barabe, Carsten Brunn, Ph.D. and Nishan de Silva, M.D., M.B.A. as Class III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“ONE YEAR” as the frequency of solicitation of advisory stockholder approval of executive compensation;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to our Restated Certificate of Incorporation increasing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2022.</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Selecta’s Board is soliciting your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jc w:val="both"/>
        <w:ind w:right="180"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Notice of Internet Availability of Proxy Materials</w:t>
      </w:r>
      <w:r>
        <w:rPr>
          <w:rFonts w:ascii="Times New Roman" w:cs="Times New Roman" w:eastAsia="Times New Roman" w:hAnsi="Times New Roman"/>
          <w:sz w:val="17"/>
          <w:szCs w:val="17"/>
          <w:color w:val="auto"/>
        </w:rPr>
        <w:t>. As permitted by SEC rules, Selecta is making this proxy statement and its 2021 Annual Report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to its stockholders electronically via the Internet. On or about ___________, 2022, we mailed to our stockholders an Internet Notice containing</w:t>
      </w:r>
    </w:p>
    <w:p>
      <w:pPr>
        <w:spacing w:after="0" w:line="1"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2022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18, 2022.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151,809,416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2022 Annual Meeting?</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 virtual meeting?</w:t>
      </w:r>
    </w:p>
    <w:p>
      <w:pPr>
        <w:spacing w:after="0" w:line="121"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 xml:space="preserve">We are excited to embrace the latest technology to provide expanded access, improved communication and cost savings for our stockholders and the Company while providing stockholders with the same rights and opportunities to participate as they would have at an in-person meeting. Having held successful virtual meetings since 2017, we believe hosting a virtual meeting will enable increased stockholder attendance and participation, because it permits stockholders to participate from any location around the world. Furthermore, in light of the ongoing COVID-19 pandemic, as part of our effort to maintain a safe and healthy environment for our directors, members of management and stockholders who wish to attend the Annual Meeting, we believe that hosting a virtual meeting is in the best interest of the Company and its stockholders. You will be able to attend the Annual Meeting online and submit your questions by visiting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You also will be able to vote your shares electronically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assessing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may vote at the Annual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17, 2022.</w:t>
      </w:r>
    </w:p>
    <w:p>
      <w:pPr>
        <w:spacing w:after="0" w:line="6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16, 2022.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Note that, in light of possible disruptions in mail service related to the COVID-19 pandemic, we encourage stockholders to submit their proxy via the Internet or telephone.</w:t>
      </w:r>
    </w:p>
    <w:p>
      <w:pPr>
        <w:spacing w:after="0" w:line="7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before your proxy is voted or you vote electronically at the virtual Annual Meeting.</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on page 3 of this proxy statement, as well as with the description of each proposal in this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Effect of Votes</w:t>
      </w:r>
    </w:p>
    <w:p>
      <w:pPr>
        <w:ind w:left="8300"/>
        <w:spacing w:after="0" w:line="219" w:lineRule="auto"/>
        <w:rPr>
          <w:sz w:val="20"/>
          <w:szCs w:val="20"/>
          <w:color w:val="auto"/>
        </w:rPr>
      </w:pPr>
      <w:r>
        <w:rPr>
          <w:rFonts w:ascii="Times New Roman" w:cs="Times New Roman" w:eastAsia="Times New Roman" w:hAnsi="Times New Roman"/>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Votes required</w:t>
      </w:r>
      <w:r>
        <w:rPr>
          <w:sz w:val="20"/>
          <w:szCs w:val="20"/>
          <w:color w:val="auto"/>
        </w:rPr>
        <w:tab/>
      </w:r>
      <w:r>
        <w:rPr>
          <w:rFonts w:ascii="Times New Roman" w:cs="Times New Roman" w:eastAsia="Times New Roman" w:hAnsi="Times New Roman"/>
          <w:sz w:val="17"/>
          <w:szCs w:val="17"/>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 means that the three</w:t>
      </w:r>
    </w:p>
    <w:p>
      <w:pPr>
        <w:ind w:left="3760"/>
        <w:spacing w:after="0" w:line="219" w:lineRule="auto"/>
        <w:rPr>
          <w:sz w:val="20"/>
          <w:szCs w:val="20"/>
          <w:color w:val="auto"/>
        </w:rPr>
      </w:pPr>
      <w:r>
        <w:rPr>
          <w:rFonts w:ascii="Times New Roman" w:cs="Times New Roman" w:eastAsia="Times New Roman" w:hAnsi="Times New Roman"/>
          <w:sz w:val="18"/>
          <w:szCs w:val="18"/>
          <w:color w:val="auto"/>
        </w:rPr>
        <w:t>nominees receiving the</w:t>
      </w:r>
    </w:p>
    <w:p>
      <w:pPr>
        <w:jc w:val="right"/>
        <w:spacing w:after="0" w:line="203" w:lineRule="auto"/>
        <w:rPr>
          <w:sz w:val="20"/>
          <w:szCs w:val="20"/>
          <w:color w:val="auto"/>
        </w:rPr>
      </w:pPr>
      <w:r>
        <w:rPr>
          <w:rFonts w:ascii="Times New Roman" w:cs="Times New Roman" w:eastAsia="Times New Roman" w:hAnsi="Times New Roman"/>
          <w:sz w:val="18"/>
          <w:szCs w:val="18"/>
          <w:color w:val="auto"/>
        </w:rPr>
        <w:t>highest number of affirmative “FOR” votes will be elected as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II Directors.</w:t>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Times New Roman" w:cs="Times New Roman" w:eastAsia="Times New Roman" w:hAnsi="Times New Roman"/>
          <w:sz w:val="18"/>
          <w:szCs w:val="18"/>
          <w:color w:val="auto"/>
        </w:rPr>
        <w:t>Votes withheld, abstentions, and broker non-votes will have no effect.</w:t>
      </w:r>
    </w:p>
    <w:p>
      <w:pPr>
        <w:spacing w:after="0" w:line="558" w:lineRule="exact"/>
        <w:rPr>
          <w:sz w:val="20"/>
          <w:szCs w:val="20"/>
          <w:color w:val="auto"/>
        </w:rPr>
      </w:pPr>
    </w:p>
    <w:p>
      <w:pPr>
        <w:sectPr>
          <w:pgSz w:w="11900" w:h="16838" w:orient="portrait"/>
          <w:cols w:equalWidth="0" w:num="2">
            <w:col w:w="8180" w:space="12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2: Approval of Compensation of Named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Executive Officers</w:t>
      </w:r>
      <w:r>
        <w:rPr>
          <w:sz w:val="20"/>
          <w:szCs w:val="20"/>
          <w:color w:val="auto"/>
        </w:rPr>
        <w:tab/>
      </w:r>
      <w:r>
        <w:rPr>
          <w:rFonts w:ascii="Times New Roman" w:cs="Times New Roman" w:eastAsia="Times New Roman" w:hAnsi="Times New Roman"/>
          <w:sz w:val="17"/>
          <w:szCs w:val="17"/>
          <w:color w:val="auto"/>
        </w:rPr>
        <w:t>power of the votes cast affirmatively or negatively.</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3: Approval of Frequency of Advisory</w:t>
      </w:r>
      <w:r>
        <w:rPr>
          <w:sz w:val="20"/>
          <w:szCs w:val="20"/>
          <w:color w:val="auto"/>
        </w:rPr>
        <w:tab/>
      </w:r>
      <w:r>
        <w:rPr>
          <w:rFonts w:ascii="Times New Roman" w:cs="Times New Roman" w:eastAsia="Times New Roman" w:hAnsi="Times New Roman"/>
          <w:sz w:val="17"/>
          <w:szCs w:val="17"/>
          <w:color w:val="auto"/>
        </w:rPr>
        <w:t>The plurality of the votes cast. This means that the option that</w:t>
      </w:r>
    </w:p>
    <w:p>
      <w:pPr>
        <w:ind w:left="20"/>
        <w:spacing w:after="0" w:line="219" w:lineRule="auto"/>
        <w:tabs>
          <w:tab w:leader="none" w:pos="3740" w:val="left"/>
        </w:tabs>
        <w:rPr>
          <w:sz w:val="20"/>
          <w:szCs w:val="20"/>
          <w:color w:val="auto"/>
        </w:rPr>
      </w:pPr>
      <w:r>
        <w:rPr>
          <w:rFonts w:ascii="Times New Roman" w:cs="Times New Roman" w:eastAsia="Times New Roman" w:hAnsi="Times New Roman"/>
          <w:sz w:val="18"/>
          <w:szCs w:val="18"/>
          <w:color w:val="auto"/>
        </w:rPr>
        <w:t>Vote on Compensation</w:t>
      </w:r>
      <w:r>
        <w:rPr>
          <w:sz w:val="20"/>
          <w:szCs w:val="20"/>
          <w:color w:val="auto"/>
        </w:rPr>
        <w:tab/>
      </w:r>
      <w:r>
        <w:rPr>
          <w:rFonts w:ascii="Times New Roman" w:cs="Times New Roman" w:eastAsia="Times New Roman" w:hAnsi="Times New Roman"/>
          <w:sz w:val="18"/>
          <w:szCs w:val="18"/>
          <w:color w:val="auto"/>
        </w:rPr>
        <w:t>receives the highest number of affirmative “FOR” votes will</w:t>
      </w:r>
    </w:p>
    <w:p>
      <w:pPr>
        <w:ind w:left="3760"/>
        <w:spacing w:after="0"/>
        <w:rPr>
          <w:sz w:val="20"/>
          <w:szCs w:val="20"/>
          <w:color w:val="auto"/>
        </w:rPr>
      </w:pPr>
      <w:r>
        <w:rPr>
          <w:rFonts w:ascii="Times New Roman" w:cs="Times New Roman" w:eastAsia="Times New Roman" w:hAnsi="Times New Roman"/>
          <w:sz w:val="18"/>
          <w:szCs w:val="18"/>
          <w:color w:val="auto"/>
        </w:rPr>
        <w:t>be considered the advisory approval of the stockholders.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4: Approval of Amendment to Restated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Certificate of Incorporation</w:t>
      </w:r>
      <w:r>
        <w:rPr>
          <w:sz w:val="20"/>
          <w:szCs w:val="20"/>
          <w:color w:val="auto"/>
        </w:rPr>
        <w:tab/>
      </w:r>
      <w:r>
        <w:rPr>
          <w:rFonts w:ascii="Times New Roman" w:cs="Times New Roman" w:eastAsia="Times New Roman" w:hAnsi="Times New Roman"/>
          <w:sz w:val="17"/>
          <w:szCs w:val="17"/>
          <w:color w:val="auto"/>
        </w:rPr>
        <w:t>power of shares outstanding and entitled to vote.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2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Abstentions and broker non-votes will be treated as a vote “AGAINST”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w:t>
      </w:r>
    </w:p>
    <w:p>
      <w:pPr>
        <w:spacing w:after="0" w:line="200" w:lineRule="exact"/>
        <w:rPr>
          <w:sz w:val="20"/>
          <w:szCs w:val="20"/>
          <w:color w:val="auto"/>
        </w:rPr>
      </w:pPr>
    </w:p>
    <w:p>
      <w:pPr>
        <w:sectPr>
          <w:pgSz w:w="11900" w:h="16838" w:orient="portrait"/>
          <w:cols w:equalWidth="0" w:num="2">
            <w:col w:w="8220" w:space="8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color w:val="auto"/>
        </w:rPr>
        <w:t>Proposal 5: Ratification of Appointment</w:t>
      </w:r>
      <w:r>
        <w:rPr>
          <w:sz w:val="20"/>
          <w:szCs w:val="20"/>
          <w:color w:val="auto"/>
        </w:rPr>
        <w:tab/>
      </w:r>
      <w:r>
        <w:rPr>
          <w:rFonts w:ascii="Times New Roman" w:cs="Times New Roman" w:eastAsia="Times New Roman" w:hAnsi="Times New Roman"/>
          <w:sz w:val="18"/>
          <w:szCs w:val="18"/>
          <w:color w:val="auto"/>
        </w:rPr>
        <w:t>The affirmative vote of the holders of a majority</w:t>
      </w:r>
      <w:r>
        <w:rPr>
          <w:sz w:val="20"/>
          <w:szCs w:val="20"/>
          <w:color w:val="auto"/>
        </w:rPr>
        <w:tab/>
      </w:r>
      <w:r>
        <w:rPr>
          <w:rFonts w:ascii="Times New Roman" w:cs="Times New Roman" w:eastAsia="Times New Roman" w:hAnsi="Times New Roman"/>
          <w:sz w:val="17"/>
          <w:szCs w:val="17"/>
          <w:color w:val="auto"/>
        </w:rPr>
        <w:t>Abstentions and broker non-votes will</w:t>
      </w:r>
    </w:p>
    <w:p>
      <w:pPr>
        <w:ind w:left="20"/>
        <w:spacing w:after="0"/>
        <w:tabs>
          <w:tab w:leader="none" w:pos="8280" w:val="left"/>
        </w:tabs>
        <w:rPr>
          <w:sz w:val="20"/>
          <w:szCs w:val="20"/>
          <w:color w:val="auto"/>
        </w:rPr>
      </w:pPr>
      <w:r>
        <w:rPr>
          <w:rFonts w:ascii="Times New Roman" w:cs="Times New Roman" w:eastAsia="Times New Roman" w:hAnsi="Times New Roman"/>
          <w:sz w:val="18"/>
          <w:szCs w:val="18"/>
          <w:color w:val="auto"/>
        </w:rPr>
        <w:t>of Independent Registered Public Accounting Firm in voting power of the votes cast affirmatively or negatively.</w:t>
      </w:r>
      <w:r>
        <w:rPr>
          <w:sz w:val="20"/>
          <w:szCs w:val="20"/>
          <w:color w:val="auto"/>
        </w:rPr>
        <w:tab/>
      </w:r>
      <w:r>
        <w:rPr>
          <w:rFonts w:ascii="Times New Roman" w:cs="Times New Roman" w:eastAsia="Times New Roman" w:hAnsi="Times New Roman"/>
          <w:sz w:val="17"/>
          <w:szCs w:val="17"/>
          <w:color w:val="auto"/>
        </w:rPr>
        <w:t>have no effect.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second, third, fourth, and fifth proposals, represents a stockholder’s affirmative choice to decline to vote on a proposal. Votes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withheld and abstentions are counted as present and entitled to vote for purposes of determining a quorum. Votes withheld have no effect on the election of directors and abstentions have no effect on the second, third and fifth proposals.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proposed amendment to our Restated Certificate of Incorporation and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non-binding, advisory vote on the frequency of future non-binding, advisory votes on executive compensation. Broker non-votes count for purposes of determining whether a quorum is present.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three (3) Class III Directors are to be elected to hold office until the Annual Meeting of Stockholders to be held in 2025 and until such director’s successor is elected and qualified or until such director’s earlier death, resignation or removal.</w:t>
      </w:r>
    </w:p>
    <w:p>
      <w:pPr>
        <w:spacing w:after="0" w:line="54"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currently have nine (9) directors on our Board, including three (3) Class III Directors. Our current Class III Directors are Timothy C. Barabe, who has served on our Board since 2016, Carsten Brunn, Ph.D., who has served on our Board since December 2018, and Nishan de Silva, M.D., M.B.A., who has served on our Board since June 2021. All three members have been nominated for election as a Class III Director at the Annual Meeting.</w:t>
      </w:r>
    </w:p>
    <w:p>
      <w:pPr>
        <w:spacing w:after="0" w:line="6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2023 Annual Meeting of Stockholders and whose subsequent term will expire at the 2026 Annual Meeting of Stockholders; Class II, whose current term expires at the 2024 Annual Meeting of Stockholders, and whose subsequent term will expire at the 2027 Annual Meeting of Stockholders; and Class III, whose term will expire at the Annual Meeting and whose subsequent term will expire at the 2025 Annual Meeting of Stockholders. The current Class I Directors are Scott D. Myers, Timothy Springer, Ph.D. and Patrick Zenner; the current Class II Directors are Göran Ando, M.D., Carrie S. Cox, and Aymeric Sallin; and the current Class III Directors are Timothy C. Barabe, Carsten Brunn, Ph.D. and Nishan de Silva, M.D., M.B.A.</w:t>
      </w:r>
    </w:p>
    <w:p>
      <w:pPr>
        <w:spacing w:after="0" w:line="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the below Class III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 (</w:t>
      </w:r>
      <w:r>
        <w:rPr>
          <w:rFonts w:ascii="Times New Roman" w:cs="Times New Roman" w:eastAsia="Times New Roman" w:hAnsi="Times New Roman"/>
          <w:sz w:val="18"/>
          <w:szCs w:val="18"/>
          <w:b w:val="1"/>
          <w:bCs w:val="1"/>
          <w:i w:val="1"/>
          <w:iCs w:val="1"/>
          <w:color w:val="auto"/>
        </w:rPr>
        <w:t>Terms to Expire at 2025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49</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C. BARABE</w:t>
      </w:r>
      <w:r>
        <w:rPr>
          <w:sz w:val="20"/>
          <w:szCs w:val="20"/>
          <w:color w:val="auto"/>
        </w:rPr>
        <w:tab/>
      </w:r>
      <w:r>
        <w:rPr>
          <w:rFonts w:ascii="Times New Roman" w:cs="Times New Roman" w:eastAsia="Times New Roman" w:hAnsi="Times New Roman"/>
          <w:sz w:val="17"/>
          <w:szCs w:val="17"/>
          <w:i w:val="1"/>
          <w:iCs w:val="1"/>
          <w:color w:val="auto"/>
        </w:rPr>
        <w:t>Age 69</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49</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Nishan de Silva, M.D., M.B.A. has served as a member of our Board since June 2021. Dr. de Silva currently serves as Chief Executive Officer of 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from February 2012 to May 2015.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b w:val="1"/>
          <w:bCs w:val="1"/>
          <w:i w:val="1"/>
          <w:iCs w:val="1"/>
          <w:color w:val="auto"/>
        </w:rPr>
        <w:t>(Terms Expire at 2023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SCOTT D. MYERS</w:t>
      </w:r>
      <w:r>
        <w:rPr>
          <w:sz w:val="20"/>
          <w:szCs w:val="20"/>
          <w:color w:val="auto"/>
        </w:rPr>
        <w:tab/>
      </w:r>
      <w:r>
        <w:rPr>
          <w:rFonts w:ascii="Times New Roman" w:cs="Times New Roman" w:eastAsia="Times New Roman" w:hAnsi="Times New Roman"/>
          <w:sz w:val="17"/>
          <w:szCs w:val="17"/>
          <w:i w:val="1"/>
          <w:iCs w:val="1"/>
          <w:color w:val="auto"/>
        </w:rPr>
        <w:t>Age 56</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Scott D. Myers has served as a member of our Board since June 2019. Mr. Myers most recently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a member of the board of directors and remuneration committee of Sensorion SA, which he joined in December 2021, the board of directors of Dynavax Technologies Corporation, which he joined in October 2021, and of the board of directors, audit committee and nomination and governance committee of Harpoon Therapeutics since August 2018. Mr. Myers previously served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05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2"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74</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has served on the board of directors of Morphic Holding Inc. since July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w:t>
      </w:r>
      <w:r>
        <w:rPr>
          <w:sz w:val="20"/>
          <w:szCs w:val="20"/>
          <w:color w:val="auto"/>
        </w:rPr>
        <w:tab/>
      </w:r>
      <w:r>
        <w:rPr>
          <w:rFonts w:ascii="Times New Roman" w:cs="Times New Roman" w:eastAsia="Times New Roman" w:hAnsi="Times New Roman"/>
          <w:sz w:val="17"/>
          <w:szCs w:val="17"/>
          <w:i w:val="1"/>
          <w:iCs w:val="1"/>
          <w:color w:val="auto"/>
        </w:rPr>
        <w:t>Age 75</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b w:val="1"/>
          <w:bCs w:val="1"/>
          <w:i w:val="1"/>
          <w:iCs w:val="1"/>
          <w:color w:val="auto"/>
        </w:rPr>
        <w:t>(Terms Expire at 2024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210"/>
        </w:trPr>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GÖRAN ANDO, M.D.</w:t>
      </w:r>
      <w:r>
        <w:rPr>
          <w:sz w:val="20"/>
          <w:szCs w:val="20"/>
          <w:color w:val="auto"/>
        </w:rPr>
        <w:tab/>
      </w:r>
      <w:r>
        <w:rPr>
          <w:rFonts w:ascii="Times New Roman" w:cs="Times New Roman" w:eastAsia="Times New Roman" w:hAnsi="Times New Roman"/>
          <w:sz w:val="17"/>
          <w:szCs w:val="17"/>
          <w:i w:val="1"/>
          <w:iCs w:val="1"/>
          <w:color w:val="auto"/>
        </w:rPr>
        <w:t>Age 73</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Göran Ando, M.D. has served as a member of our Board since April 2020. Dr. Ando has also served as Chairman of the board of directors of EyePoint Pharmaceuticals, Inc., a public pharmaceutical company, since September 2018, and served as Vice-Chairman of the board of directors of Molecular Partners AG, a clinical-stage biopharmaceutical company, from April 2011 to May 2020.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CARRIE S. COX</w:t>
      </w:r>
      <w:r>
        <w:rPr>
          <w:sz w:val="20"/>
          <w:szCs w:val="20"/>
          <w:color w:val="auto"/>
        </w:rPr>
        <w:tab/>
      </w:r>
      <w:r>
        <w:rPr>
          <w:rFonts w:ascii="Times New Roman" w:cs="Times New Roman" w:eastAsia="Times New Roman" w:hAnsi="Times New Roman"/>
          <w:sz w:val="17"/>
          <w:szCs w:val="17"/>
          <w:i w:val="1"/>
          <w:iCs w:val="1"/>
          <w:color w:val="auto"/>
        </w:rPr>
        <w:t>Age 64</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Carrie S. Cox has served as a member of our Board and as chairman of the Board since November 2019. Ms. Cox has also served as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10"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AYMERIC SALLIN</w:t>
      </w:r>
      <w:r>
        <w:rPr>
          <w:sz w:val="20"/>
          <w:szCs w:val="20"/>
          <w:color w:val="auto"/>
        </w:rPr>
        <w:tab/>
      </w:r>
      <w:r>
        <w:rPr>
          <w:rFonts w:ascii="Times New Roman" w:cs="Times New Roman" w:eastAsia="Times New Roman" w:hAnsi="Times New Roman"/>
          <w:sz w:val="17"/>
          <w:szCs w:val="17"/>
          <w:i w:val="1"/>
          <w:iCs w:val="1"/>
          <w:color w:val="auto"/>
        </w:rPr>
        <w:t>Age 48</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Aymeric Sallin, M.S. has served as a member of our Board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36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tolerogenic therapies to improve the lives of patients who suffer from serious and debilitating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Advisory Vote on the Frequency of Solicitation of Non-Binding, Advisory Approval of Compensation of Named Executive Officers</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asking stockholders to indicate their preference on the frequency of an advisory vote on the compensation of our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vote in favor of a frequency of such vote of every year, every two years, or every three years.</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will provide the most timely feedback regarding our executive compensation practices. While the Board believes that its recommendation is appropriate at this time, the vote is being conducted on an advisory basis and the option among those choices that receives the highest number of votes will be deemed to be the frequency preferred by the stockholders but will not be binding upon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option receiving the highest number of affirmative “FOR” votes will be deemed to be the advisory approval of the stockholders. Abstentions and broker non-votes are not considered to be votes cast and, accordingly, will have no effect on the outcome of the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on a non-binding, advisory basis, a frequency of one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4 - Amendment to Restated Certificate of Incorporation to Increase the Number of Authorized Shares of our Common Stock, $0.0001 par value per share, from 200,000,000 to 350,000,000</w:t>
      </w:r>
    </w:p>
    <w:p>
      <w:pPr>
        <w:spacing w:after="0" w:line="200" w:lineRule="exact"/>
        <w:rPr>
          <w:sz w:val="20"/>
          <w:szCs w:val="20"/>
          <w:color w:val="auto"/>
        </w:rPr>
      </w:pPr>
    </w:p>
    <w:p>
      <w:pPr>
        <w:spacing w:after="0" w:line="20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Stockholders are being asked to approve an amendment to our Restated Certificate of Incorporation (our “Charter”) to increase the number of authorized shares of Common Stock from 200,000,000 shares to 350,000,000 shares (the “Charter Amendment”). On April 21, 2022, the Board approved the Charter Amendment, subject to stockholder approval, and directed that the Charter Amendment be submitted to a vote of our stockholders at this Annual Meeting.</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Charter currently authorizes us to issue a total of 200,000,000 shares of Common Stock. As of the close of business on the record date of April 18, 2022, 151,809,416 shares of Common Stock were outstanding. In addition, as of the close of business on April 18, 2022, we had:</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15,195,118 shares of Common Stock issuable upon exercise of stock options outstanding at a weighted-average exercise price of $3.83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1,117,308 shares of Common Stock issuable upon vesting of restricted stock units outstanding;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31,307,409 shares of Common Stock issuable upon the exercise of warrants outstanding at a weighted-average exercise price of $1.57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1,893,210 shares of Common Stock reserved for future issuance under our 2016 Incentive Award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1,591,661 shares of Common Stock reserved for future issuance under our 2018 Employment Inducement Incentive Award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3,677,538 shares of Common Stock reserved for future issuance under our 2016 Employee Stock Purchase Plan.</w:t>
      </w:r>
    </w:p>
    <w:p>
      <w:pPr>
        <w:spacing w:after="0" w:line="1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Accordingly, as of April 18, 2022, we had only 570,749 shares of Common Stock available for all other purposes. The Charter also authorizes the issuance of 10,000,000 shares of preferred stock, with no shares of preferred stock issued and outstanding as of April 18, 2022. The Charter Amendment will not increase or otherwise affect the Company’s authorized preferred stock or otherwise affect any other provisions of the Charter.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Charter Amendment</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it is in the best interest of our Company to increase the number of authorized shares of Common Stock in order to give us greater flexibility in conducting our ongoing business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Charter Amendment and Additional Anti-takeover Considerations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Charter Amendment is approved, the additional unauthorized shares of Common Stock would be available for issuance at the discretion of the Board and without further stockholder approval, except as may be required by law or the rules of the Nasdaq Stock Market LLC (“Nasdaq”). The additional shares of authorized Common Stock would have the same rights and privileges as the shares of Common Stock currently issued and outstanding. The adoption of the Charter Amendment would not have any immediate dilutive effect on the proportionate voting power or other rights of existing stockholders. Shares of Common Stock issued otherwise than for a stock split may decrease existing stockholders’ percentage equity ownership and, depending on the price at which they are issued, could be dilutive to the voting rights of existing stockholders and have a negative effect on the market price of the Common Stock. The Common Stock carries no preemptive rights to purchase additional shares of Common Stock.</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not proposed the increase in the number of authorized shares of Common Stock with the intention of using the additional authorized shares for anti-takeover purposes, but we would be able to use the additional shares to oppose a hostile takeover attempt or delay or prevent changes in control or management of our Company. For example, without further stockholder approval, the Board could issue and sell shares of Common Stock in a private transaction to purchasers who would oppose a takeover or favor the current Board. Although this proposal to increase the authorized number of shares of Common Stock has been prompted by business and financial considerations and not by the threat of any known or threatened hostile takeover attempt, stockholders should be aware that approval of this proposal could facilitate future efforts by the Company to oppose changes in control of the Company and perpetuate the Company’s existing management, including transactions in which the stockholders might otherwise receive a premium for their shares over then current market prices.</w:t>
      </w:r>
    </w:p>
    <w:p>
      <w:pPr>
        <w:spacing w:after="0" w:line="8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approve the Charter Amendment, the Board will have authority to file with the Secretary of State of Delaware the Charter Amendment. The Charter Amendment will become effective on the date it is filed. The Board reserves the right to abandon or delay the filing of the Charter Amendment even if it is approved by our stockholders.</w:t>
      </w:r>
    </w:p>
    <w:p>
      <w:pPr>
        <w:spacing w:after="0" w:line="68"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None of Delaware law, the Charter, nor the Company’s Amended and Restated Bylaws provide for appraisal or other similar rights for dissenting stockholders in connection with this proposal. Accordingly, our stockholders will have no right to dissent and obtain payment for their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shares outstanding and entitled to vote. Abstentions and broker non-votes will have the same effect as votes “AGAINST” this proposal. The Company expects that brokers, banks and other nominees will have discretionary authority to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920"/>
          </w:cols>
          <w:pgMar w:left="320" w:top="121"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2022.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2021.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2023.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36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6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2021.</w:t>
      </w:r>
    </w:p>
    <w:p>
      <w:pPr>
        <w:spacing w:after="0" w:line="200" w:lineRule="exact"/>
        <w:rPr>
          <w:sz w:val="20"/>
          <w:szCs w:val="20"/>
          <w:color w:val="auto"/>
        </w:rPr>
      </w:pPr>
    </w:p>
    <w:p>
      <w:pPr>
        <w:spacing w:after="0" w:line="24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6340"/>
        <w:spacing w:after="0"/>
        <w:rPr>
          <w:sz w:val="20"/>
          <w:szCs w:val="20"/>
          <w:color w:val="auto"/>
        </w:rPr>
      </w:pPr>
      <w:r>
        <w:rPr>
          <w:rFonts w:ascii="Times New Roman" w:cs="Times New Roman" w:eastAsia="Times New Roman" w:hAnsi="Times New Roman"/>
          <w:sz w:val="18"/>
          <w:szCs w:val="18"/>
          <w:color w:val="auto"/>
        </w:rPr>
        <w:t>DIRECTORS OF SELECTA BIOSCIENCES, INC.</w:t>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Timothy C. Barabe (Chair)</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1,005,344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1,067,199</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r>
      <w:tr>
        <w:trPr>
          <w:trHeight w:val="190"/>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1,037,714</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1,157,384</w:t>
            </w:r>
          </w:p>
        </w:tc>
      </w:tr>
      <w:tr>
        <w:trPr>
          <w:trHeight w:val="27"/>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340" w:right="20" w:hanging="332"/>
        <w:spacing w:after="0" w:line="266"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2020, audit fees also include services related to the Swedish Orphan Biovitrum AB agreement and debt restructuring.</w:t>
      </w:r>
    </w:p>
    <w:p>
      <w:pPr>
        <w:spacing w:after="0" w:line="67"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 For 2020, tax fees also include services related to the Swedish Orphan Biovitrum AB agreement and debt restructuring.</w:t>
      </w:r>
    </w:p>
    <w:p>
      <w:pPr>
        <w:spacing w:after="0" w:line="53"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2021 and 2020 were pre-approved.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Operations Officer and Senior Vice President, Research and Development</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Medical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biography on page 9 of this proxy statement.</w:t>
      </w:r>
    </w:p>
    <w:p>
      <w:pPr>
        <w:spacing w:after="0" w:line="90" w:lineRule="exact"/>
        <w:rPr>
          <w:sz w:val="20"/>
          <w:szCs w:val="20"/>
          <w:color w:val="auto"/>
        </w:rPr>
      </w:pPr>
    </w:p>
    <w:p>
      <w:pPr>
        <w:ind w:right="80" w:firstLine="332"/>
        <w:spacing w:after="0" w:line="245" w:lineRule="auto"/>
        <w:tabs>
          <w:tab w:leader="none" w:pos="42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Kevin Tan has served as our Chief Financial Officer since September 2021. Prior to joining our Company, Mr. Tan served as Treasurer at Sarepta Therapeutics, Inc., a publicly-traded biotechnology company, from July 2020 to September 2021. Prior to becoming Treasurer,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and Lehman Brothers Inc. (subsequently acquired by Barclays Capital Inc.). Mr. Tan holds a Bachelor of Commerce degree from Queen’s University at Kingston, as well as a Master of Engineering degree from The Graduate School at Princeton University, and a Master of Business Administration degree from the University of Chicago Booth School of Business.</w:t>
      </w:r>
    </w:p>
    <w:p>
      <w:pPr>
        <w:spacing w:after="0" w:line="57" w:lineRule="exact"/>
        <w:rPr>
          <w:sz w:val="20"/>
          <w:szCs w:val="20"/>
          <w:color w:val="auto"/>
        </w:rPr>
      </w:pPr>
    </w:p>
    <w:p>
      <w:pPr>
        <w:ind w:left="440" w:hanging="108"/>
        <w:spacing w:after="0"/>
        <w:tabs>
          <w:tab w:leader="none" w:pos="4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Lloyd Johnston, Ph.D. has served as our Chief Operations Officer and Senior Vice President, Research and Development since January 2014.</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84" w:lineRule="exact"/>
        <w:rPr>
          <w:sz w:val="20"/>
          <w:szCs w:val="20"/>
          <w:color w:val="auto"/>
        </w:rPr>
      </w:pPr>
    </w:p>
    <w:p>
      <w:pPr>
        <w:ind w:right="80" w:firstLine="332"/>
        <w:spacing w:after="0" w:line="245" w:lineRule="auto"/>
        <w:tabs>
          <w:tab w:leader="none" w:pos="41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73" w:lineRule="exact"/>
        <w:rPr>
          <w:sz w:val="20"/>
          <w:szCs w:val="20"/>
          <w:color w:val="auto"/>
        </w:rPr>
      </w:pPr>
    </w:p>
    <w:p>
      <w:pPr>
        <w:ind w:right="40" w:firstLine="332"/>
        <w:spacing w:after="0" w:line="230" w:lineRule="auto"/>
        <w:tabs>
          <w:tab w:leader="none" w:pos="42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Peter G. Traber, M.D. has served as our Chief Medical Officer since August 2020. Dr. Traber also serves as a member of the board of directors of Caladrius Biosciences since January 2015. Prior to joining Selecta Biosciences in 2020, from July 2018 to July 2020 Dr. Traber served as a Partner at Alacrita Consulting, providing drug development consulting services and 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nine members: Göran Ando, M.D., Timothy C. Barabe, Carsten Brunn, Ph.D., Carrie S. Cox, Nishan de Silva, M.D., M.B.A., Scott D. Myers, Aymeric Sallin, Timothy Springer, Ph.D. and Patrick Zenner. 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All of our directors and Class III director nominees, other than Carsten Brunn,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III director nominees were recommended by the Nominating and Corporate Governance Committee.</w:t>
      </w:r>
    </w:p>
    <w:p>
      <w:pPr>
        <w:spacing w:after="0" w:line="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monitors whether any of our compensation policies and programs has the potential to encourage excessive risk-taking. The Board does not believe that its role in the oversight of our risks affects the Board’s leadership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presents information as of April 18, 2022 regarding the diversity characteristics of our Board in accordance with Nasdaq listing standard 5606, as self-reported by our directors.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640" w:type="dxa"/>
            <w:vAlign w:val="bottom"/>
            <w:tcBorders>
              <w:top w:val="single" w:sz="8" w:color="auto"/>
              <w:left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r>
      <w:tr>
        <w:trPr>
          <w:trHeight w:val="190"/>
        </w:trPr>
        <w:tc>
          <w:tcPr>
            <w:tcW w:w="46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Directors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58"/>
        </w:trPr>
        <w:tc>
          <w:tcPr>
            <w:tcW w:w="4640" w:type="dxa"/>
            <w:vAlign w:val="bottom"/>
            <w:tcBorders>
              <w:lef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90"/>
        </w:trPr>
        <w:tc>
          <w:tcPr>
            <w:tcW w:w="4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Who Identify in Any of the Categories Below</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
        </w:trPr>
        <w:tc>
          <w:tcPr>
            <w:tcW w:w="46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Asian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Hispanic or Latinx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White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LGBTQ+</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There were twelve meetings of the Board during the fiscal year ended December 31, 2021. Our independent directors also held regularly scheduled executive sessions. During the fiscal year ended December 31, 2021, each director attended at least 75% of the aggregate of (i) all meetings of the Board and (ii) all meetings of the committees on which the director served during the period in which he or she served as a director.</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eight directors attended the 2021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Research and Development-- each of which operates under a written charter that has been approved by our Board.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Chairs are set forth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202"/>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772"/>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96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17 of this proxy statement).</w:t>
      </w:r>
    </w:p>
    <w:p>
      <w:pPr>
        <w:spacing w:after="0" w:line="117"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The Audit Committee charter is available on the “Corporate Governance” section of the “Investors &amp; Media” page of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Audit Committee met six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CEO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CEO and other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2021 raised a conflict of interest.</w:t>
      </w:r>
    </w:p>
    <w:p>
      <w:pPr>
        <w:spacing w:after="0" w:line="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engaged Compensia, Inc. (“Compensia”) to assess and make recommendations with respect to the amount and types of compensation to provide our executives and directors, and Radford was relieved of these duties.</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81" w:lineRule="exact"/>
        <w:rPr>
          <w:sz w:val="20"/>
          <w:szCs w:val="20"/>
          <w:color w:val="auto"/>
        </w:rPr>
      </w:pPr>
    </w:p>
    <w:p>
      <w:pPr>
        <w:jc w:val="both"/>
        <w:ind w:right="240" w:firstLine="324"/>
        <w:spacing w:after="0" w:line="226" w:lineRule="exact"/>
        <w:rPr>
          <w:sz w:val="20"/>
          <w:szCs w:val="20"/>
          <w:color w:val="auto"/>
        </w:rPr>
      </w:pPr>
      <w:r>
        <w:rPr>
          <w:rFonts w:ascii="Times New Roman" w:cs="Times New Roman" w:eastAsia="Times New Roman" w:hAnsi="Times New Roman"/>
          <w:sz w:val="18"/>
          <w:szCs w:val="18"/>
          <w:color w:val="auto"/>
        </w:rPr>
        <w:t>The members of the Compensation Committee are Scott D. Myers, Göran Ando, M.D., Carrie S. Cox and Aymeric Sallin. Scott D. Myers serves as Chairperson of the committee. Our Board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Compensation Committee met seven times.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&amp; Media” page of our website at www.selectabio.com. The members of the Nominating and Corporate Governance Committee are Patrick Zenner, Scott D. Myers and Timothy A. Springer, Ph.D. Mr. Zenner serves as the Chairperson of the committee. Our Board has determined that Mr. Myers, Dr. Springer and Mr. Zenner are independent under the applicable Nasdaq rules.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Nominating and Corporate Governance Committee met five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Research and Development Committee of the Board (the “Research and Development Committee”)’s responsibilities include:</w:t>
      </w:r>
    </w:p>
    <w:p>
      <w:pPr>
        <w:spacing w:after="0" w:line="117" w:lineRule="exact"/>
        <w:rPr>
          <w:sz w:val="20"/>
          <w:szCs w:val="20"/>
          <w:color w:val="auto"/>
        </w:rPr>
      </w:pPr>
    </w:p>
    <w:p>
      <w:pPr>
        <w:ind w:left="660" w:right="200" w:hanging="328"/>
        <w:spacing w:after="0" w:line="281"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4" w:lineRule="exact"/>
        <w:rPr>
          <w:rFonts w:ascii="Arial" w:cs="Arial" w:eastAsia="Arial" w:hAnsi="Arial"/>
          <w:sz w:val="18"/>
          <w:szCs w:val="18"/>
          <w:color w:val="auto"/>
        </w:rPr>
      </w:pPr>
    </w:p>
    <w:p>
      <w:pPr>
        <w:ind w:left="660" w:right="4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CMC, and clinical departments;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340" w:right="320" w:hanging="8"/>
        <w:spacing w:after="0" w:line="407" w:lineRule="auto"/>
        <w:tabs>
          <w:tab w:leader="none" w:pos="6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 The Research and Development Committee was formed in September 2021, and met one time in 2021.</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2021.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2021, and who we refer to as our “Named Executive Officers.” For 2021, our Named Executive Officers were:</w:t>
      </w:r>
    </w:p>
    <w:p>
      <w:pPr>
        <w:spacing w:after="0" w:line="7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Chief Financial Officer, who served as our principal financial and accounting officer during portions of 2021;</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officer, who served as our principal financial and accounting officer during portions of 2021;</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Ph.D., our Chief Operations Officer.</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of our Board (the “Compensation Committee”) arrived at the specific compensation decisions for our executive officers, including our Named Executive Officers, in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Business Highlights</w:t>
      </w:r>
    </w:p>
    <w:p>
      <w:pPr>
        <w:spacing w:after="0" w:line="12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positive top-line data of SEL-399 in a Phase 1 trial.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DISSOLVE I Phase 3 trial for SEL-212 for the potential treatment of chronic refractory gout.</w:t>
      </w:r>
    </w:p>
    <w:p>
      <w:pPr>
        <w:spacing w:after="0" w:line="248" w:lineRule="exact"/>
        <w:rPr>
          <w:rFonts w:ascii="Times New Roman" w:cs="Times New Roman" w:eastAsia="Times New Roman" w:hAnsi="Times New Roman"/>
          <w:sz w:val="18"/>
          <w:szCs w:val="18"/>
          <w:color w:val="auto"/>
        </w:rPr>
      </w:pPr>
    </w:p>
    <w:p>
      <w:pPr>
        <w:ind w:left="660" w:right="300" w:hanging="328"/>
        <w:spacing w:after="0" w:line="23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synergistic activity of ImmTOR and IL-2 (which we refer to as ImmTOR-IL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expanding antigen-specific regulatory T cells and improving durability of immune tolerance.</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investigational new drug application for methylmalonic acidemia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Operated within internal budget for 2021.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 million payment from Sarepta for the completion of pre-specified pre-clinical milestones.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executive team with additions of Mr. Tan and Kristen Baldwin, our Chief People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Dr. de Silva to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several healthcare industry conferences.</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strategic licensing agreement with Takeda Pharmaceuticals USA, Inc. to develop therapies for patients with lysosomal storage disorders.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Cyrus Biotechnology, Inc. to develop novel engineered therapeutic proteins.</w:t>
      </w:r>
    </w:p>
    <w:p>
      <w:pPr>
        <w:spacing w:after="0" w:line="252"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Exclusive License Agreement with Genovis AB (publ.) to in-license novel IgG protease, Xork, to treat certain IgG-mediated autoimmune diseases and potentially unlock full potential of transformative gene therapies.</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partnership with Ginkgo Bioworks Holdings, Inc. (“Ginkgo Bioworks”) to create potentially transformative enzymes to treat select auto-immune diseases.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Ginkgo Bioworks to develop next-generation gene therapy capsids.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Jude Samulski, Ph.D. as gene therapy special advisor.</w:t>
      </w:r>
    </w:p>
    <w:p>
      <w:pPr>
        <w:spacing w:after="0" w:line="252" w:lineRule="exact"/>
        <w:rPr>
          <w:rFonts w:ascii="Times New Roman" w:cs="Times New Roman" w:eastAsia="Times New Roman" w:hAnsi="Times New Roman"/>
          <w:sz w:val="18"/>
          <w:szCs w:val="18"/>
          <w:color w:val="auto"/>
        </w:rPr>
      </w:pPr>
    </w:p>
    <w:p>
      <w:pPr>
        <w:ind w:left="660" w:right="200" w:hanging="328"/>
        <w:spacing w:after="0" w:line="265"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Matured and professionalized people and culture operations in the form of transparent and data-driven compensation practices for non-executive employees, marked increase in internal communications, cutting-edge talent management tools, and launch of company-wide culture and engagement initiatives.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$51.9 million in net proceeds through use of at-the-market facilities with SVB Securities LLC and Jefferies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year end, in April 2022, raised $36 million in net proceeds through an SEC-registered securities offering.</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Executive Compensation Highlights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(and, in the case of Ms. Donohue, Dr. Brunn) took the following compensation actions for our Named Executive Officers for 2021:</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80" w:type="dxa"/>
            <w:vAlign w:val="bottom"/>
            <w:tcBorders>
              <w:top w:val="single" w:sz="8" w:color="auto"/>
              <w:left w:val="single" w:sz="8" w:color="auto"/>
              <w:right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Base Salary Increase</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Bonus</w:t>
            </w:r>
          </w:p>
        </w:tc>
        <w:tc>
          <w:tcPr>
            <w:tcW w:w="186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Time-Based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Performance-Based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Percentage of Restricted</w:t>
            </w:r>
          </w:p>
        </w:tc>
      </w:tr>
      <w:tr>
        <w:trPr>
          <w:trHeight w:val="146"/>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2020</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18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Units Actually Realized</w:t>
            </w:r>
          </w:p>
        </w:tc>
      </w:tr>
      <w:tr>
        <w:trPr>
          <w:trHeight w:val="196"/>
        </w:trPr>
        <w:tc>
          <w:tcPr>
            <w:tcW w:w="188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Target/Maximum</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137,200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75,000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K. Donohue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47,100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84" w:lineRule="exact"/>
        <w:rPr>
          <w:sz w:val="20"/>
          <w:szCs w:val="20"/>
          <w:color w:val="auto"/>
        </w:rPr>
      </w:pPr>
    </w:p>
    <w:p>
      <w:pPr>
        <w:ind w:left="340" w:right="800"/>
        <w:spacing w:after="0" w:line="375" w:lineRule="auto"/>
        <w:rPr>
          <w:sz w:val="20"/>
          <w:szCs w:val="20"/>
          <w:color w:val="auto"/>
        </w:rPr>
      </w:pPr>
      <w:r>
        <w:rPr>
          <w:rFonts w:ascii="Times New Roman" w:cs="Times New Roman" w:eastAsia="Times New Roman" w:hAnsi="Times New Roman"/>
          <w:sz w:val="18"/>
          <w:szCs w:val="18"/>
          <w:color w:val="auto"/>
        </w:rPr>
        <w:t xml:space="preserve">* Mr. Dahms resigned from our Company prior to meeting the performance conditions for the vesting of performance-based restricted stock. </w:t>
      </w: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Consistent with our compensation philosophy, our executive compensation program emphasizes “variable” pay over “fixed” pay and seeks to balance short-term and long-term incentives, as well as performance-based and time-based incentives. In 2021, the majority of the target total direct compensation of our CEO consisted of variable pay, including cash awarded under our annual bonus plan and long-term incentives in the form of equity awards for which value is likely to be variable. Fixed pay, primarily consisting of base salary, made up only</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15.5% of our CEO’s target total direct compensation in 2021, while variable pay, consisting of annual incentives in the form of an annual bonus program and long-term incentives in the form of equity awards, made up 84.5%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Total Pay (2021)</w:t>
            </w:r>
          </w:p>
        </w:tc>
        <w:tc>
          <w:tcPr>
            <w:tcW w:w="224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Pay (Fixed)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(Variable)</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Carsten Brunn, Ph.D.</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$3,671,395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15.5%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84.5%</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4"/>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$2,601,621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95.8%</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$868,052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78.9%</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Ann K. Donohue</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VP, Finance, Former Principal</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$361,493</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57.8%</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42.2%</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Financial 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5"/>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Medical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$1,600,685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Scientific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$1,306,675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Operations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$1,304,845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bl>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2021,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40" w:hanging="470"/>
        <w:spacing w:after="0" w:line="286"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87" w:lineRule="exact"/>
        <w:rPr>
          <w:rFonts w:ascii="MS PGothic" w:cs="MS PGothic" w:eastAsia="MS PGothic" w:hAnsi="MS PGothic"/>
          <w:sz w:val="18"/>
          <w:szCs w:val="18"/>
          <w:color w:val="auto"/>
          <w:highlight w:val="black"/>
        </w:rPr>
      </w:pPr>
    </w:p>
    <w:p>
      <w:pPr>
        <w:ind w:left="820" w:right="340" w:hanging="470"/>
        <w:spacing w:after="0" w:line="225"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During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engaged Radford to assist with its responsibilities. In 2022, the Compensation Committee engaged Compensia to assist moving forward, and relieved Radford of its advisory duties on executive compensation. Compensia performs no consulting or other services for the Company.</w:t>
      </w:r>
    </w:p>
    <w:p>
      <w:pPr>
        <w:spacing w:after="0" w:line="209" w:lineRule="exact"/>
        <w:rPr>
          <w:rFonts w:ascii="MS PGothic" w:cs="MS PGothic" w:eastAsia="MS PGothic" w:hAnsi="MS PGothic"/>
          <w:sz w:val="18"/>
          <w:szCs w:val="18"/>
          <w:color w:val="auto"/>
          <w:highlight w:val="black"/>
        </w:rPr>
      </w:pPr>
    </w:p>
    <w:p>
      <w:pPr>
        <w:ind w:left="820" w:right="40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Performance-based Incentive Compensation </w:t>
      </w:r>
      <w:r>
        <w:rPr>
          <w:rFonts w:ascii="Times New Roman" w:cs="Times New Roman" w:eastAsia="Times New Roman" w:hAnsi="Times New Roman"/>
          <w:sz w:val="18"/>
          <w:szCs w:val="18"/>
          <w:color w:val="auto"/>
        </w:rPr>
        <w:t>– The Compensation Committee designs our executive compensation program to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long-term incentive compensation awards to align of the long-term interests of our executive officers with the interests of our stockholders.</w:t>
      </w:r>
    </w:p>
    <w:p>
      <w:pPr>
        <w:spacing w:after="0" w:line="222" w:lineRule="exact"/>
        <w:rPr>
          <w:rFonts w:ascii="MS PGothic" w:cs="MS PGothic" w:eastAsia="MS PGothic" w:hAnsi="MS PGothic"/>
          <w:sz w:val="18"/>
          <w:szCs w:val="18"/>
          <w:color w:val="auto"/>
          <w:highlight w:val="black"/>
        </w:rPr>
      </w:pPr>
    </w:p>
    <w:p>
      <w:pPr>
        <w:ind w:left="820" w:right="40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22" w:lineRule="exact"/>
        <w:rPr>
          <w:rFonts w:ascii="MS PGothic" w:cs="MS PGothic" w:eastAsia="MS PGothic" w:hAnsi="MS PGothic"/>
          <w:sz w:val="18"/>
          <w:szCs w:val="18"/>
          <w:color w:val="auto"/>
          <w:highlight w:val="black"/>
        </w:rPr>
      </w:pPr>
    </w:p>
    <w:p>
      <w:pPr>
        <w:ind w:left="820" w:right="300" w:hanging="470"/>
        <w:spacing w:after="0" w:line="227"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222" w:lineRule="exact"/>
        <w:rPr>
          <w:rFonts w:ascii="MS PGothic" w:cs="MS PGothic" w:eastAsia="MS PGothic" w:hAnsi="MS PGothic"/>
          <w:sz w:val="18"/>
          <w:szCs w:val="18"/>
          <w:color w:val="auto"/>
          <w:highlight w:val="black"/>
        </w:rPr>
      </w:pPr>
    </w:p>
    <w:p>
      <w:pPr>
        <w:ind w:left="820" w:right="46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MS PGothic" w:cs="MS PGothic" w:eastAsia="MS PGothic" w:hAnsi="MS PGothic"/>
          <w:sz w:val="18"/>
          <w:szCs w:val="18"/>
          <w:color w:val="auto"/>
          <w:highlight w:val="black"/>
        </w:rPr>
      </w:pPr>
    </w:p>
    <w:p>
      <w:pPr>
        <w:ind w:left="820" w:right="24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MS PGothic" w:cs="MS PGothic" w:eastAsia="MS PGothic" w:hAnsi="MS PGothic"/>
          <w:sz w:val="18"/>
          <w:szCs w:val="18"/>
          <w:color w:val="auto"/>
          <w:highlight w:val="black"/>
        </w:rPr>
      </w:pPr>
    </w:p>
    <w:p>
      <w:pPr>
        <w:ind w:left="820" w:right="480" w:hanging="470"/>
        <w:spacing w:after="0" w:line="239" w:lineRule="auto"/>
        <w:tabs>
          <w:tab w:leader="none" w:pos="820" w:val="left"/>
        </w:tabs>
        <w:numPr>
          <w:ilvl w:val="0"/>
          <w:numId w:val="2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40" w:hanging="470"/>
        <w:spacing w:after="0" w:line="232"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09" w:lineRule="exact"/>
        <w:rPr>
          <w:rFonts w:ascii="Times New Roman" w:cs="Times New Roman" w:eastAsia="Times New Roman" w:hAnsi="Times New Roman"/>
          <w:sz w:val="18"/>
          <w:szCs w:val="18"/>
          <w:b w:val="1"/>
          <w:bCs w:val="1"/>
          <w:i w:val="1"/>
          <w:iCs w:val="1"/>
          <w:color w:val="auto"/>
        </w:rPr>
      </w:pPr>
    </w:p>
    <w:p>
      <w:pPr>
        <w:ind w:left="820" w:right="640" w:hanging="470"/>
        <w:spacing w:after="0" w:line="239"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restricted stock units and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awards.</w:t>
      </w:r>
    </w:p>
    <w:p>
      <w:pPr>
        <w:spacing w:after="0" w:line="46"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26"/>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w:t>
      </w:r>
      <w:r>
        <w:rPr>
          <w:rFonts w:ascii="Times New Roman" w:cs="Times New Roman" w:eastAsia="Times New Roman" w:hAnsi="Times New Roman"/>
          <w:sz w:val="18"/>
          <w:szCs w:val="18"/>
          <w:i w:val="1"/>
          <w:iCs w:val="1"/>
          <w:color w:val="auto"/>
        </w:rPr>
        <w:t>actor.</w:t>
      </w:r>
    </w:p>
    <w:p>
      <w:pPr>
        <w:spacing w:after="0" w:line="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spacing w:after="0" w:line="7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2021 included:</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executive officers, including the other Named Executive Officers, for the previous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2021, pursuant to this authority, the Compensation Committee engaged Radford, a national compensation consulting firm, to provide information, analysis, and other assistance relating to our executive compensation program on an ongoing basis. The nature and scope of the services provided to the Compensation Committee by Radford in 2021 were as follows:</w:t>
      </w:r>
    </w:p>
    <w:p>
      <w:pPr>
        <w:spacing w:after="0" w:line="6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Representatives of Radford attended meetings of the Compensation Committee as requested and also communicated with the Compensation Committee outside of meetings. Radford reported to the Compensation Committee rather than to management, although Radford was permitted to meet with members of management, including our CEO and members of our executive compensation staff, for purposes of gathering information on proposals that management may make to the Compensation Committee. During 2021, Radford met with various executive officers to collect data and obtain management’s perspective on various executive compensation proposals.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2022, the Company engaged Compensia to become its compensation consultant for 2022 and beyond. Neither Radford nor Compensia has provided any other services to us nor received any compensation other than with respect to the services described above.</w:t>
      </w:r>
    </w:p>
    <w:p>
      <w:pPr>
        <w:spacing w:after="0" w:line="54"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Radford and Compensia taking into account, among other things, the various factors as set forth in Exchange Act Rule 10C-1 and the enhanced independence standards and factors set forth in the applicable Nasdaq listing standards, and has concluded that its relationship with Radford and Compensia and the work of both Radford and Compensia on behalf of the Compensation Committee has not raised any conflict of interest.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and life sciences industries broadly. Accordingly, it develops a compensation peer group to contain a carefully selected cross-section of such public and private biotechnology and life sciences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2021, the Compensation Committee directed its compensation consultant to formulate a group of peer companies to be used as a reference for market positioning and for assessing competitive market practices. The compensation consultant undertook a detailed review of the pool of U.S.-based publicly traded and private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consumer products and/or business services focus;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the compensation consultant recommended to the Compensation Committee the following peer group to consist of 20 private and publicly traded biotechnology and life sciences companies, which the Compensation Committee subsequently approved. The selected companies had market capitalizations ranging from $100 million to $1 billion, with a median of $338 million. The companies comprising the compensation peer group were as follows: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Intellia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Constellation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Translate Bio</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Five Prime Therapeutics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Prevail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Homology Medicines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Rubius Therapeutics</w:t>
            </w:r>
          </w:p>
        </w:tc>
        <w:tc>
          <w:tcPr>
            <w:tcW w:w="2100" w:type="dxa"/>
            <w:vAlign w:val="bottom"/>
          </w:tcPr>
          <w:p>
            <w:pPr>
              <w:spacing w:after="0"/>
              <w:rPr>
                <w:sz w:val="22"/>
                <w:szCs w:val="22"/>
                <w:color w:val="auto"/>
              </w:rPr>
            </w:pPr>
          </w:p>
        </w:tc>
      </w:tr>
    </w:tbl>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in connection with its annual review of our executive compensation program in December 2020.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spacing w:after="0" w:line="7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2021, using the same criteria as described above but updating the criteria (employee size, stage of clinical development, area of therapeutic focus and market capitalization) to align with our then-current status, the compensation consultant evaluated the existing compensation peer group and recommended to the Compensation Committee the following peer group to consist of 20 private and publicly traded biotechnology companies, which the Compensation Committee subsequently approved. The selected companies had market capitalizations ranging from $150 million to $1.3 billion, with a median of $445 million. The companies comprising the updated compensation peer group were as follows:</w:t>
      </w:r>
    </w:p>
    <w:p>
      <w:pPr>
        <w:spacing w:after="0" w:line="129" w:lineRule="exact"/>
        <w:rPr>
          <w:sz w:val="20"/>
          <w:szCs w:val="20"/>
          <w:color w:val="auto"/>
        </w:rPr>
      </w:pPr>
    </w:p>
    <w:tbl>
      <w:tblPr>
        <w:tblLayout w:type="fixed"/>
        <w:tblInd w:w="1940" w:type="dxa"/>
        <w:tblCellMar>
          <w:top w:w="0" w:type="dxa"/>
          <w:left w:w="0" w:type="dxa"/>
          <w:bottom w:w="0" w:type="dxa"/>
          <w:right w:w="0" w:type="dxa"/>
        </w:tblCellMar>
      </w:tblP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Aldeyra Therapeutics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Homology Medicines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REGENXBIO</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Altimmune</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Immunovant</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Iteos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SQZ Biotechnologies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bl>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individual performance objectives (for 2021,</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strategy and business development, and</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company’s financials, as well as individual</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contributions and management objectives).</w:t>
            </w:r>
          </w:p>
        </w:tc>
        <w:tc>
          <w:tcPr>
            <w:tcW w:w="37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incent our executive officers to achieve or exceed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objectives. For 2021, payouts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performance objectives were not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individually, and the Compensation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had discretion to award based 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overall achievement of the corporate goals as a</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group, taking into account overachievement 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objectives, depending on actual</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achievement and payouts for individual</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could range from 0% to an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a variable “at risk” pay opportunity.</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objectives. Vesting requirements</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promote retention of highly-valued executive</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maintenance of long-term stockholder value.</w:t>
            </w:r>
          </w:p>
        </w:tc>
        <w:tc>
          <w:tcPr>
            <w:tcW w:w="0" w:type="dxa"/>
            <w:vAlign w:val="bottom"/>
          </w:tcPr>
          <w:p>
            <w:pPr>
              <w:spacing w:after="0"/>
              <w:rPr>
                <w:sz w:val="1"/>
                <w:szCs w:val="1"/>
                <w:color w:val="auto"/>
              </w:rPr>
            </w:pPr>
          </w:p>
        </w:tc>
      </w:tr>
      <w:tr>
        <w:trPr>
          <w:trHeight w:val="306"/>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2021, the Board awarded a grant of</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which</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carried performance criteria related to the positive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top-line data reported from our SEL-399 Empty</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Capsid clinical trial as well as the entrance into a</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value-creating strategic transaction.</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executive officers also participate in the standard employee benefit plans available to all of our employees .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2021 under each of these elements.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3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2021 were as follows:</w:t>
      </w:r>
    </w:p>
    <w:p>
      <w:pPr>
        <w:spacing w:after="0" w:line="97"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2020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$569,300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$386,703</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$384,537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4" w:lineRule="exact"/>
        <w:rPr>
          <w:sz w:val="20"/>
          <w:szCs w:val="20"/>
          <w:color w:val="auto"/>
        </w:rPr>
      </w:pPr>
    </w:p>
    <w:p>
      <w:pPr>
        <w:ind w:left="340" w:right="1280"/>
        <w:spacing w:after="0" w:line="375" w:lineRule="auto"/>
        <w:rPr>
          <w:sz w:val="20"/>
          <w:szCs w:val="20"/>
          <w:color w:val="auto"/>
        </w:rPr>
      </w:pPr>
      <w:r>
        <w:rPr>
          <w:rFonts w:ascii="Times New Roman" w:cs="Times New Roman" w:eastAsia="Times New Roman" w:hAnsi="Times New Roman"/>
          <w:sz w:val="18"/>
          <w:szCs w:val="18"/>
          <w:color w:val="auto"/>
        </w:rPr>
        <w:t xml:space="preserve">The base salaries of our Named Executive Officers during 2021 are also set forth in the “2021 Summary Compensation Table” below. </w:t>
      </w:r>
      <w:r>
        <w:rPr>
          <w:rFonts w:ascii="Times New Roman" w:cs="Times New Roman" w:eastAsia="Times New Roman" w:hAnsi="Times New Roman"/>
          <w:sz w:val="18"/>
          <w:szCs w:val="18"/>
          <w:b w:val="1"/>
          <w:bCs w:val="1"/>
          <w:i w:val="1"/>
          <w:iCs w:val="1"/>
          <w:color w:val="auto"/>
        </w:rPr>
        <w:t>Annual Cash Bonuses</w:t>
      </w:r>
    </w:p>
    <w:p>
      <w:pPr>
        <w:spacing w:after="0" w:line="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February 2021, the Compensation Committee determined to award cash bonus opportunities to our executive officers, including our Named Executive Officers, pursuant to the cash bonus plan for 2021 (the “2021 Bonus Plan”). Under the 2021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2021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2021, the target annual cash bonus opportunities for each of our Named Executive Officers under the 2021 Bonus Plan, expressed as a percentage of his or her annual base salary,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$569,300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$225,000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Tan’s bonus was prorated from his start date in September 2021.</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Individual Performance Objectives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2021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2021 Bonus Plan. In an effort to recognize Dr. Traber’s efforts toward the clinical development of our pipeline, the Compensation Committee awarded Dr. Traber an additional discretionary bonus beyond his 100% target achievement.</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Performance Results and Bonus Decisions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2021, the Compensation Committee determined that our actual achievement with respect to the corporate financial objectives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Bonus Plan was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2021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and taking into account an additional discretionary bonus for Dr. Traber, the Compensation Committee approved bonus payments as follows for our Named Executive Officers:</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Individual</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Target</w:t>
            </w:r>
          </w:p>
        </w:tc>
      </w:tr>
      <w:tr>
        <w:trPr>
          <w:trHeight w:val="203"/>
        </w:trPr>
        <w:tc>
          <w:tcPr>
            <w:tcW w:w="2480" w:type="dxa"/>
            <w:vAlign w:val="bottom"/>
            <w:tcBorders>
              <w:left w:val="single" w:sz="8" w:color="auto"/>
              <w:right w:val="single" w:sz="8" w:color="auto"/>
            </w:tcBorders>
          </w:tcPr>
          <w:p>
            <w:pPr>
              <w:ind w:left="26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Corporate Financial</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Discretionary Bonus</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 Payment</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Annual Cash Bonus</w:t>
            </w:r>
          </w:p>
        </w:tc>
      </w:tr>
      <w:tr>
        <w:trPr>
          <w:trHeight w:val="189"/>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Objectives</w:t>
            </w: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Opportunity</w:t>
            </w: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60"/>
          </w:cols>
          <w:pgMar w:left="320" w:top="121"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right="640"/>
        <w:spacing w:after="0" w:line="375" w:lineRule="auto"/>
        <w:rPr>
          <w:sz w:val="20"/>
          <w:szCs w:val="20"/>
          <w:color w:val="auto"/>
        </w:rPr>
      </w:pPr>
      <w:r>
        <w:rPr>
          <w:rFonts w:ascii="Times New Roman" w:cs="Times New Roman" w:eastAsia="Times New Roman" w:hAnsi="Times New Roman"/>
          <w:sz w:val="18"/>
          <w:szCs w:val="18"/>
          <w:color w:val="auto"/>
        </w:rPr>
        <w:t xml:space="preserve">The annual cash bonuses paid to our Named Executive Officers for 2021 are also set forth in the “2021 Summary Compensation Table” below. </w:t>
      </w:r>
      <w:r>
        <w:rPr>
          <w:rFonts w:ascii="Times New Roman" w:cs="Times New Roman" w:eastAsia="Times New Roman" w:hAnsi="Times New Roman"/>
          <w:sz w:val="18"/>
          <w:szCs w:val="18"/>
          <w:b w:val="1"/>
          <w:bCs w:val="1"/>
          <w:i w:val="1"/>
          <w:iCs w:val="1"/>
          <w:color w:val="auto"/>
        </w:rPr>
        <w:t>Long-Term Incentive Compensation</w:t>
      </w:r>
    </w:p>
    <w:p>
      <w:pPr>
        <w:spacing w:after="0" w:line="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The Compensation Committee further believes these awards enable us to attract and retain key talent in our industry and aligns our executive officers’ interests with the long-term interests of our stockholders.</w:t>
      </w:r>
    </w:p>
    <w:p>
      <w:pPr>
        <w:spacing w:after="0" w:line="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January 2021, the Compensation Committee approved equity awards for our executive officers, including our Named Executive Officers, in recognition of our financial and operational results and each executive officer’s individual performance for 2020,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for certain executive officers, RSU awards that may be settled for shares of our Common Stock. The equity awards granted to our Named Executive Officers in 2021 were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00" w:type="dxa"/>
            <w:vAlign w:val="bottom"/>
            <w:tcBorders>
              <w:top w:val="single" w:sz="8" w:color="auto"/>
              <w:left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0" w:type="dxa"/>
            <w:vAlign w:val="bottom"/>
          </w:tcPr>
          <w:p>
            <w:pPr>
              <w:spacing w:after="0"/>
              <w:rPr>
                <w:sz w:val="1"/>
                <w:szCs w:val="1"/>
                <w:color w:val="auto"/>
              </w:rPr>
            </w:pPr>
          </w:p>
        </w:tc>
      </w:tr>
      <w:tr>
        <w:trPr>
          <w:trHeight w:val="94"/>
        </w:trPr>
        <w:tc>
          <w:tcPr>
            <w:tcW w:w="3600" w:type="dxa"/>
            <w:vAlign w:val="bottom"/>
            <w:tcBorders>
              <w:left w:val="single" w:sz="8" w:color="auto"/>
              <w:right w:val="single" w:sz="8" w:color="auto"/>
            </w:tcBorders>
            <w:vMerge w:val="restart"/>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60" w:type="dxa"/>
            <w:vAlign w:val="bottom"/>
            <w:tcBorders>
              <w:right w:val="single" w:sz="8" w:color="auto"/>
            </w:tcBorders>
            <w:vMerge w:val="continue"/>
          </w:tcPr>
          <w:p>
            <w:pPr>
              <w:spacing w:after="0"/>
              <w:rPr>
                <w:sz w:val="8"/>
                <w:szCs w:val="8"/>
                <w:color w:val="auto"/>
              </w:rPr>
            </w:pPr>
          </w:p>
        </w:tc>
        <w:tc>
          <w:tcPr>
            <w:tcW w:w="25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Unit Awards</w:t>
            </w:r>
          </w:p>
        </w:tc>
        <w:tc>
          <w:tcPr>
            <w:tcW w:w="25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right w:val="single" w:sz="8" w:color="auto"/>
            </w:tcBorders>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833,000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137,200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4,250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284,400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2021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2021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72"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to our executive officers, including the Named Executive Officers, in January 2021 were subject to performance condition-based vesting. The performance conditions were such that the RSUs would vest in two equal installments on the dates that the Administrator (as defined in the 2016 Incentive Award Plan) determines (the “</w:t>
      </w:r>
      <w:r>
        <w:rPr>
          <w:rFonts w:ascii="Times New Roman" w:cs="Times New Roman" w:eastAsia="Times New Roman" w:hAnsi="Times New Roman"/>
          <w:sz w:val="18"/>
          <w:szCs w:val="18"/>
          <w:b w:val="1"/>
          <w:bCs w:val="1"/>
          <w:color w:val="auto"/>
        </w:rPr>
        <w:t>Administrator Determination</w:t>
      </w:r>
      <w:r>
        <w:rPr>
          <w:rFonts w:ascii="Times New Roman" w:cs="Times New Roman" w:eastAsia="Times New Roman" w:hAnsi="Times New Roman"/>
          <w:sz w:val="18"/>
          <w:szCs w:val="18"/>
          <w:color w:val="auto"/>
        </w:rPr>
        <w:t>”) that (i) the Company obtains positive top-line results from a proof-of-concept study in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60"/>
          </w:cols>
          <w:pgMar w:left="320" w:top="12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field of gene therapy; and (ii) that the Company enters into a value creating strategic transaction (each of (i) and (ii), a “</w:t>
      </w:r>
      <w:r>
        <w:rPr>
          <w:rFonts w:ascii="Times New Roman" w:cs="Times New Roman" w:eastAsia="Times New Roman" w:hAnsi="Times New Roman"/>
          <w:sz w:val="18"/>
          <w:szCs w:val="18"/>
          <w:b w:val="1"/>
          <w:bCs w:val="1"/>
          <w:color w:val="auto"/>
        </w:rPr>
        <w:t>Performance Condition</w:t>
      </w:r>
      <w:r>
        <w:rPr>
          <w:rFonts w:ascii="Times New Roman" w:cs="Times New Roman" w:eastAsia="Times New Roman" w:hAnsi="Times New Roman"/>
          <w:sz w:val="18"/>
          <w:szCs w:val="18"/>
          <w:color w:val="auto"/>
        </w:rPr>
        <w:t>”), provided that, if an Administrator Determination does not occur with respect to a Performance Condition on or prior to December 31, 2021 or the Administrator determines that a Performance Condition was not satisfied, the Restricted Stock Units associated with such Performance Condition would be forfeited for no consideration. On October 1, 2021, the Compensation Committee determined that the second performance condition had been satisfied. On December 8, 2021, the Compensation Committee determined that the first performance condition had been satisfied, and the performance-based RSU award was fully vested.</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Equity Grants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commencement of his employment with the Company, the Compensation Committee approved a one-time equity grant in the form of stock options for Mr. Tan (the “New Employment Grant Options”)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750,000</w:t>
            </w:r>
          </w:p>
        </w:tc>
        <w:tc>
          <w:tcPr>
            <w:tcW w:w="3760" w:type="dxa"/>
            <w:vAlign w:val="bottom"/>
            <w:tcBorders>
              <w:bottom w:val="single" w:sz="8" w:color="auto"/>
              <w:right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9/20/2021</w:t>
            </w:r>
          </w:p>
        </w:tc>
      </w:tr>
    </w:tbl>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assuming the continued service of the executive officers on each such vesting date.</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Additionally, in September 2021, the Compensation Committee approved a one-time equity grant in the form of stock options and RSUs to Drs. Brunn and Traber in recognition of their accomplishments to-date in 2021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Number of Options</w:t>
            </w:r>
          </w:p>
        </w:tc>
        <w:tc>
          <w:tcPr>
            <w:tcW w:w="376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 of RSUs</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374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163,000</w:t>
            </w:r>
          </w:p>
        </w:tc>
        <w:tc>
          <w:tcPr>
            <w:tcW w:w="3760" w:type="dxa"/>
            <w:vAlign w:val="bottom"/>
            <w:tcBorders>
              <w:bottom w:val="single" w:sz="8" w:color="auto"/>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27,200</w:t>
            </w: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374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54,400</w:t>
            </w:r>
          </w:p>
        </w:tc>
        <w:tc>
          <w:tcPr>
            <w:tcW w:w="376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9,100</w:t>
            </w:r>
          </w:p>
        </w:tc>
      </w:tr>
    </w:tbl>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2021, we matched 50% of contributions made by participants in the 401(k) plan up to a maximum Company match of $3,400 per year.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2021, none of the Named Executive Officers received perquisites or other personal benefits that were, in the aggregate, $10,000 or more for each Named Executive Officer.</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60"/>
          </w:cols>
          <w:pgMar w:left="320" w:top="1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practices with respect to perquisites or other personal benefits will be subject to periodic review by the Compensation Committee. </w:t>
      </w:r>
      <w:r>
        <w:rPr>
          <w:rFonts w:ascii="Times New Roman" w:cs="Times New Roman" w:eastAsia="Times New Roman" w:hAnsi="Times New Roman"/>
          <w:sz w:val="18"/>
          <w:szCs w:val="18"/>
          <w:b w:val="1"/>
          <w:bCs w:val="1"/>
          <w:color w:val="auto"/>
        </w:rPr>
        <w:t>Employment Arrangements</w:t>
      </w:r>
    </w:p>
    <w:p>
      <w:pPr>
        <w:spacing w:after="0" w:line="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period of their service with our Company, we had employment agreements in place with each of our executive officers, including our CEO and our other Named Executive Officers, other than Ms. Donohue,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arrangements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than Ms. Donohue, 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Other than Ms. Donohue, 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7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adopted a formal compensation recovery (“clawback”) policy. Under Section 304 of the Sarbanes-Oxley Act of 2002, as applicable to all public companies, we operate under the requirements of that provision, under which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Board may seek reimbursement from our CEO and CFO if, as a result of their misconduct, we restate our financial results due to our material noncompliance with any financial reporting requirements under the federal securities laws.</w:t>
      </w:r>
    </w:p>
    <w:p>
      <w:pPr>
        <w:spacing w:after="0" w:line="5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we intend to comply with the requirements of Section 954 of the Dodd-Frank Wall Street Reform and Consumer Protection Act and will adopt a compensation recovery policy once final regulations on the subject have been adopted.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2021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2021, our Named Executive Officers and their positions as of December 31, 2021 were:</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and accounting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our Chief Operations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Pr>
          <w:p>
            <w:pPr>
              <w:spacing w:after="0"/>
              <w:rPr>
                <w:sz w:val="13"/>
                <w:szCs w:val="13"/>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vMerge w:val="continue"/>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040" w:type="dxa"/>
            <w:vAlign w:val="bottom"/>
          </w:tcPr>
          <w:p>
            <w:pPr>
              <w:jc w:val="right"/>
              <w:ind w:right="3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vMerge w:val="continue"/>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8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080" w:type="dxa"/>
            <w:vAlign w:val="bottom"/>
            <w:vMerge w:val="continue"/>
          </w:tcPr>
          <w:p>
            <w:pPr>
              <w:spacing w:after="0"/>
              <w:rPr>
                <w:sz w:val="17"/>
                <w:szCs w:val="17"/>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(3)</w:t>
            </w:r>
          </w:p>
        </w:tc>
        <w:tc>
          <w:tcPr>
            <w:tcW w:w="1420" w:type="dxa"/>
            <w:vAlign w:val="bottom"/>
          </w:tcPr>
          <w:p>
            <w:pPr>
              <w:jc w:val="right"/>
              <w:ind w:right="108"/>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(4)</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569,003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720,529</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2,067,782</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313,115</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3,671,395</w:t>
            </w:r>
          </w:p>
        </w:tc>
        <w:tc>
          <w:tcPr>
            <w:tcW w:w="0" w:type="dxa"/>
            <w:vAlign w:val="bottom"/>
          </w:tcPr>
          <w:p>
            <w:pPr>
              <w:spacing w:after="0"/>
              <w:rPr>
                <w:sz w:val="1"/>
                <w:szCs w:val="1"/>
                <w:color w:val="auto"/>
              </w:rPr>
            </w:pPr>
          </w:p>
        </w:tc>
      </w:tr>
      <w:tr>
        <w:trPr>
          <w:trHeight w:val="137"/>
        </w:trPr>
        <w:tc>
          <w:tcPr>
            <w:tcW w:w="28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550,000</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50,000</w:t>
            </w:r>
          </w:p>
        </w:tc>
        <w:tc>
          <w:tcPr>
            <w:tcW w:w="10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1,178,324</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316,250</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773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2,095,347</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Kevin Tan</w:t>
            </w:r>
            <w:r>
              <w:rPr>
                <w:rFonts w:ascii="Times New Roman" w:cs="Times New Roman" w:eastAsia="Times New Roman" w:hAnsi="Times New Roman"/>
                <w:sz w:val="18"/>
                <w:szCs w:val="18"/>
                <w:color w:val="auto"/>
                <w:vertAlign w:val="superscript"/>
              </w:rPr>
              <w:t>(5)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110,385</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2,369,619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2,601,622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Bradford D. Dahms</w:t>
            </w:r>
            <w:r>
              <w:rPr>
                <w:rFonts w:ascii="Times New Roman" w:cs="Times New Roman" w:eastAsia="Times New Roman" w:hAnsi="Times New Roman"/>
                <w:sz w:val="18"/>
                <w:szCs w:val="18"/>
                <w:color w:val="auto"/>
                <w:vertAlign w:val="superscript"/>
              </w:rPr>
              <w:t>(6)</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183,206</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154,733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868,053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370,577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172,500</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67,635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959,356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Ann K. Donohue, C.P.A.</w:t>
            </w:r>
            <w:r>
              <w:rPr>
                <w:rFonts w:ascii="Times New Roman" w:cs="Times New Roman" w:eastAsia="Times New Roman" w:hAnsi="Times New Roman"/>
                <w:sz w:val="18"/>
                <w:szCs w:val="18"/>
                <w:color w:val="auto"/>
                <w:vertAlign w:val="superscript"/>
              </w:rPr>
              <w:t>(7)</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208,753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12,708</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61,817</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74,250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361,493</w:t>
            </w:r>
          </w:p>
        </w:tc>
        <w:tc>
          <w:tcPr>
            <w:tcW w:w="0" w:type="dxa"/>
            <w:vAlign w:val="bottom"/>
          </w:tcPr>
          <w:p>
            <w:pPr>
              <w:spacing w:after="0"/>
              <w:rPr>
                <w:sz w:val="1"/>
                <w:szCs w:val="1"/>
                <w:color w:val="auto"/>
              </w:rPr>
            </w:pPr>
          </w:p>
        </w:tc>
      </w:tr>
      <w:tr>
        <w:trPr>
          <w:trHeight w:val="137"/>
        </w:trPr>
        <w:tc>
          <w:tcPr>
            <w:tcW w:w="284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i w:val="1"/>
                <w:iCs w:val="1"/>
                <w:color w:val="auto"/>
              </w:rPr>
              <w:t>VP, Finance and Corporate Controller,</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1"/>
                <w:szCs w:val="11"/>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18"/>
                <w:szCs w:val="18"/>
                <w:color w:val="auto"/>
                <w:vertAlign w:val="superscript"/>
              </w:rPr>
              <w:t>(8)</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440,000</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253,445</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704,679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21,561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1,600,685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177,692</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1,174,027</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84,333</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1,512,857</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399,798</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1,306,675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386,703</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237,063</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177,949</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807,333</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Lloyd Johnston,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399,764</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1,304,845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Operations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384,537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176,952</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889,306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right="200" w:hanging="332"/>
        <w:spacing w:after="0" w:line="282"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6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represents amounts earned under our annual performance-based bonus program. For additional information, see “Performance Bonuses” below.</w:t>
      </w:r>
    </w:p>
    <w:p>
      <w:pPr>
        <w:spacing w:after="0" w:line="53" w:lineRule="exact"/>
        <w:rPr>
          <w:rFonts w:ascii="Times New Roman" w:cs="Times New Roman" w:eastAsia="Times New Roman" w:hAnsi="Times New Roman"/>
          <w:sz w:val="18"/>
          <w:szCs w:val="18"/>
          <w:color w:val="auto"/>
        </w:rPr>
      </w:pPr>
    </w:p>
    <w:p>
      <w:pPr>
        <w:ind w:left="340" w:right="160" w:hanging="332"/>
        <w:spacing w:after="0" w:line="25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amounts for 2020 and 2021 include $773 and $966, respectively, representing payments on Dr. Brunn’s term life insurance policy. For Mr. Tan, the amount for 2021 includes $113 representing payments on Mr. Tan’s term life insurance policy and $225 representing reimbursement for cell phone expenses. For Mr. Dahms, the amount for 2021 includes $3,400 representing our 401(k) matching contribution and $126 representing payments on Mr. Dahms’ term life insurance policy. For Ms. Donohue, the amount for 2020 includes $3,400 representing our 401(k) matching contributions and $151 representing payments on Ms. Donohue’s term life insurance policy. For Ms. Donohue, the amount for 2021 includes $3,400 representing our 401(k) matching contributions, $190 representing payments on Ms. Donohue’s term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insurance policy, and $375 representing reimbursement for cell phone expenses. For Dr. Traber, the amount for 2021 includes $21,186 representing payments on Dr. Traber’s term life insurance policy and $375 representing reimbursement for cell phone expenses. For Dr. Kishimoto, the amount for 2020 includes $3,400 representing our 401(k) matching contributions and $2,218 representing payments on Dr. Kishimoto’s term life insurance policy. For Dr. Kishimoto, the amount for 2021 includes $3,400 representing our 401(k) matching contributions and $2,756 representing payments on Dr. Kishimoto’s term life insurance policy. For Dr. Johnston, the amount for 2020 includes $3,400 representing our 401(k) matching contributions and $773 representing payments on Dr. Johnston’s term life insurance policy. For Dr. Johnston, the amount for 2021 includes $3,400 representing our 401(k) matching contributions and $960 representing payments on Dr. Johnston’s term life insurance policy.</w:t>
      </w:r>
    </w:p>
    <w:p>
      <w:pPr>
        <w:spacing w:after="0" w:line="81"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At the end of 2020, the Compensation Committee recommended to the Board and the Board approved an increase in Dr. Brunn’s annual base salary from $550,000 to $569,300 for 2021, an increase in Mr. Dahms’ annual base salary from $375,000 to $400,000 for 2021, an increase in Dr. Kishimoto’s annual base salary from $386,845 to $400,000 for 2021, and an increase in Dr. Johnston’s annual base salary from $384,587 to $400,000 for 2021. Dr.</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Traber did not receive a base salary increase for 2021. Ms. Donohue’s annual base salary was increased from $176,000 in 2020 to $183,040 for 2021 and subsequently to $225,000 upon her promotion to VP, Finance and Corporate Controller in May 2021. Mr. Tan joined our Company in September 2021 with an annual base salary of $410,000.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2021 target bonus amount for Dr. Brunn was 55% of his base salary, for Mr. Tan was 40% of his base salary, for Mr. Dahms was 40% of his base salary, for Ms. Donohue was 30% of her base salary, for Dr. Johnston was 40% of his base salary, for Dr. Traber was 40% of his base salary, and for Dr. Kishimoto was 40% of his base salary.</w:t>
      </w:r>
    </w:p>
    <w:p>
      <w:pPr>
        <w:spacing w:after="0" w:line="75"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2021, bonuses were almost entirely determined based on Company performance in meeting clinical, business development and financial goals. Dr. Traber received an additional performance-based bonus.</w:t>
      </w:r>
    </w:p>
    <w:p>
      <w:pPr>
        <w:spacing w:after="0" w:line="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2021 are reported under the “Non-equity incentive plan compensation” column of the 2021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early 2021, we granted to Dr. Brunn options to purchase 670,000 shares of our Common Stock and 110,000 restricted stock units, respectively, under the 2016 Plan. We also to granted Dr. Brunn 75,000 restricted stock units under the 2016 Plan that vested in two equal installments on the dates applicable performance conditions were achieved. In September 2021, we granted to Dr. Brunn options to purchase 163,000 shares of our Common Stock and 27,200 stock units, respectively, under the 2016 Plan. In early 2021, we granted to Mr. Dahms options to purchase 230,000 shares of our Common Stock and 38,000 restricted stock units, respectively, under the 2016 Plan. We also granted to Mr. Dahms 27,500 restricted stock units under the 2016 Plan that vest in two equal installments on the dates applicable performance conditions were achieved. These performance restricted stock units were forfeit upon Mr. Dahms’ termination. In early 2021, we granted to Ms. Donohue options to purchase 27,000 shares of our Common Stock and 4,250 restricted stock units, respectively, under the 2016 Plan. In early 2021, we granted to Dr. Traber options to purchase 230,000 shares of our Common stock and 38,000 restricted stock units, respectively, under the 2016 Plan. We also granted to Dr. Traber 27,500 restricted stock units under the 2016 Plan that vested in two equal installments on the dates applicable performance conditions were achieved. In September 2021, we granted to Dr. Traber options to purchase 54,400 shares of our Common Stock and 9,100 restricted stock units, respectively, under the 2016 Plan. In early 2021, we granted to Dr. Kishimoto options to purchase 230,000 shares of our Common Stock and 38,000 restricted stock units, respectively, under the 2016 Plan. We also granted to Dr. Kishimoto and Dr. Johnston 27,500 restricted stock units under the 2016 Plan that vested in two equal installments on the dates applicable performance conditions were achieved. Mr. Tan was granted options to purchase 750,000 shares of our Common Stock under the 2016 Plan at his employment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0" w:type="dxa"/>
            <w:vAlign w:val="bottom"/>
          </w:tcPr>
          <w:p>
            <w:pPr>
              <w:spacing w:after="0"/>
              <w:rPr>
                <w:sz w:val="1"/>
                <w:szCs w:val="1"/>
                <w:color w:val="auto"/>
              </w:rPr>
            </w:pPr>
          </w:p>
        </w:tc>
      </w:tr>
      <w:tr>
        <w:trPr>
          <w:trHeight w:val="135"/>
        </w:trPr>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vMerge w:val="restart"/>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0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8"/>
              </w:rPr>
              <w:t xml:space="preserve">Date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exercisable </w:t>
            </w:r>
            <w:r>
              <w:rPr>
                <w:rFonts w:ascii="Times New Roman" w:cs="Times New Roman" w:eastAsia="Times New Roman" w:hAnsi="Times New Roman"/>
                <w:sz w:val="17"/>
                <w:szCs w:val="17"/>
                <w:b w:val="1"/>
                <w:bCs w:val="1"/>
                <w:color w:val="auto"/>
                <w:w w:val="97"/>
                <w:vertAlign w:val="superscript"/>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unexercisable </w:t>
            </w:r>
            <w:r>
              <w:rPr>
                <w:rFonts w:ascii="Times New Roman" w:cs="Times New Roman" w:eastAsia="Times New Roman" w:hAnsi="Times New Roman"/>
                <w:sz w:val="17"/>
                <w:szCs w:val="17"/>
                <w:b w:val="1"/>
                <w:bCs w:val="1"/>
                <w:color w:val="auto"/>
                <w:w w:val="99"/>
                <w:vertAlign w:val="superscript"/>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vested ($)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29"/>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Carsten Brunn,</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163,000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27,200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88,672</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358,600</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26,562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48,438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287,503</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312,497</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233,754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2/24/2029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750,015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249,985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11/30/2028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142,625</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Kevin Tan </w:t>
            </w:r>
            <w:r>
              <w:rPr>
                <w:rFonts w:ascii="Times New Roman" w:cs="Times New Roman" w:eastAsia="Times New Roman" w:hAnsi="Times New Roman"/>
                <w:sz w:val="17"/>
                <w:szCs w:val="17"/>
                <w:color w:val="auto"/>
                <w:vertAlign w:val="superscript"/>
              </w:rPr>
              <w:t>(5)</w:t>
            </w:r>
          </w:p>
        </w:tc>
        <w:tc>
          <w:tcPr>
            <w:tcW w:w="1060" w:type="dxa"/>
            <w:vAlign w:val="bottom"/>
            <w:tcBorders>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9/19/2031</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Bradford D.</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Dahms </w:t>
            </w:r>
            <w:r>
              <w:rPr>
                <w:rFonts w:ascii="Times New Roman" w:cs="Times New Roman" w:eastAsia="Times New Roman" w:hAnsi="Times New Roman"/>
                <w:sz w:val="17"/>
                <w:szCs w:val="17"/>
                <w:color w:val="auto"/>
                <w:vertAlign w:val="superscript"/>
              </w:rPr>
              <w:t>(6)</w:t>
            </w:r>
          </w:p>
        </w:tc>
        <w:tc>
          <w:tcPr>
            <w:tcW w:w="11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Ann K. Donohue</w:t>
            </w:r>
          </w:p>
        </w:tc>
        <w:tc>
          <w:tcPr>
            <w:tcW w:w="1060" w:type="dxa"/>
            <w:vAlign w:val="bottom"/>
            <w:vMerge w:val="restart"/>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4,250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13,855</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7,187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7,813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18,229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6,771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8,750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6/11/2028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3/23/2017</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9/12/2016</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5,100</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3/22/2027</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Peter G. Traber,</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54,400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M.D. </w:t>
            </w:r>
            <w:r>
              <w:rPr>
                <w:rFonts w:ascii="Times New Roman" w:cs="Times New Roman" w:eastAsia="Times New Roman" w:hAnsi="Times New Roman"/>
                <w:sz w:val="17"/>
                <w:szCs w:val="17"/>
                <w:color w:val="auto"/>
                <w:vertAlign w:val="superscript"/>
              </w:rPr>
              <w:t>(8)</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29,666</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90"/>
        </w:trPr>
        <w:tc>
          <w:tcPr>
            <w:tcW w:w="1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216,667</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433,333</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7/31/2030</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Takashi Kei</w:t>
            </w:r>
          </w:p>
        </w:tc>
        <w:tc>
          <w:tcPr>
            <w:tcW w:w="106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Kishimoto, Ph.D.</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7/7/2017</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2"/>
        </w:trPr>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24,512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12,819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12,820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6,410</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Borders>
              <w:bottom w:val="single" w:sz="8" w:color="auto"/>
            </w:tcBorders>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Lloyd Johnston,</w:t>
            </w:r>
          </w:p>
        </w:tc>
        <w:tc>
          <w:tcPr>
            <w:tcW w:w="116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2320" w:type="dxa"/>
            <w:vAlign w:val="bottom"/>
            <w:vMerge w:val="restart"/>
          </w:tcPr>
          <w:p>
            <w:pPr>
              <w:jc w:val="center"/>
              <w:ind w:right="893"/>
              <w:spacing w:after="0"/>
              <w:rPr>
                <w:sz w:val="20"/>
                <w:szCs w:val="20"/>
                <w:color w:val="auto"/>
              </w:rPr>
            </w:pPr>
            <w:r>
              <w:rPr>
                <w:rFonts w:ascii="Times New Roman" w:cs="Times New Roman" w:eastAsia="Times New Roman" w:hAnsi="Times New Roman"/>
                <w:sz w:val="13"/>
                <w:szCs w:val="13"/>
                <w:color w:val="auto"/>
              </w:rPr>
              <w:t>1/3/2031</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1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38,000</w:t>
            </w:r>
          </w:p>
        </w:tc>
        <w:tc>
          <w:tcPr>
            <w:tcW w:w="5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9"/>
                <w:szCs w:val="9"/>
                <w:color w:val="auto"/>
              </w:rPr>
              <w:t>(4)</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7/1/2020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14,166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25,834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6/30/2030</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1/2/2020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1/1/2030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10/7/2019</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10/6/2029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1/7/2019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6/15/2018</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12.75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6/14/2028</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7/7/2017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19.33</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6/15/2027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27,617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11,537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7,692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40" w:right="580" w:hanging="332"/>
        <w:spacing w:after="0" w:line="282"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53"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$3.26 on December 31, 2021.</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except those granted on December 1, 2018 vest in four equal annual installments beginning on the first anniversary of the vesting commencement date. Dr. Brunn’s restricted stock units granted on December 1, 2018 vest in twelve substantially equal quarterly installments following December 1, 2020, subject to Dr. Brunn’s continued employment with us through the applicable vesting date.</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 subsequently his awards have all expired.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140" w:firstLine="8"/>
        <w:spacing w:after="0" w:line="265" w:lineRule="auto"/>
        <w:tabs>
          <w:tab w:leader="none" w:pos="2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any material provision of the employment agreement or any other written agreement with our Company; or (vi) for Mr. Dahms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w:t>
      </w:r>
    </w:p>
    <w:p>
      <w:pPr>
        <w:ind w:left="220" w:hanging="212"/>
        <w:spacing w:after="0"/>
        <w:tabs>
          <w:tab w:leader="none" w:pos="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or her base salary or bonus opportunity; (ii) a material diminution in his or her authority, title, duties or areas of responsibility;</w:t>
      </w:r>
    </w:p>
    <w:p>
      <w:pPr>
        <w:spacing w:after="0" w:line="20" w:lineRule="exact"/>
        <w:rPr>
          <w:rFonts w:ascii="Times New Roman" w:cs="Times New Roman" w:eastAsia="Times New Roman" w:hAnsi="Times New Roman"/>
          <w:sz w:val="17"/>
          <w:szCs w:val="17"/>
          <w:color w:val="auto"/>
        </w:rPr>
      </w:pPr>
    </w:p>
    <w:p>
      <w:pPr>
        <w:ind w:right="160" w:firstLine="8"/>
        <w:spacing w:after="0" w:line="255"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spacing w:after="0" w:line="7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We maintain a compensation program for our non-employee directors, which was last amended effective March 30, 2020. Under our non-employee director compensation program as in effect during 2020, each non-employee director received the following amounts for their services on our Board:</w:t>
      </w:r>
    </w:p>
    <w:p>
      <w:pPr>
        <w:spacing w:after="0" w:line="30"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40,000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award vests in substantially equal monthly installments over three years following the date of grant, subject to accelerated vesting upon a change in control.</w:t>
      </w:r>
    </w:p>
    <w:p>
      <w:pPr>
        <w:spacing w:after="0" w:line="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If a director has served on our Board for at least six months as of the date of an annual meeting of stockholders,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 option to purchase 20,000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30,000 shares of our Common Stock on the date of such annual meeting, subject to the same vesting terms.</w:t>
      </w:r>
    </w:p>
    <w:p>
      <w:pPr>
        <w:spacing w:after="0" w:line="7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board, $30,000 and lead independent director, $20,000;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chairperson,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$12,000;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chairperson, $6,000;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$8,000;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chairperson, $4,000;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Research and Development Committee, $12,000;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member other than the chairperson, $6,000.</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review of a competitive assessment performed by Radford, effective March 30, 2021, the Board approved the following amendments to our non-employee director compensation program, which were intended to align our program with the median of market:</w:t>
      </w:r>
    </w:p>
    <w:p>
      <w:pPr>
        <w:spacing w:after="0" w:line="54"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initial equity award from 40,000 options to 80,000 options;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annual equity awards from 30,000 options to 60,000 options for the Chairperson of the Board and from 20,000 options to 40,000 options for each other non-employee director; and</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the date of grant for the annual equity awards from the Annual Meeting of Stockholders to the first business day of each new calendar year, with 2021 annual equity awards to be granted the date the amendments were approved, which occurred on March 30, 2021.</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cash ($)</w:t>
            </w:r>
            <w:r>
              <w:rPr>
                <w:rFonts w:ascii="Times New Roman" w:cs="Times New Roman" w:eastAsia="Times New Roman" w:hAnsi="Times New Roman"/>
                <w:sz w:val="18"/>
                <w:szCs w:val="18"/>
                <w:b w:val="1"/>
                <w:bCs w:val="1"/>
                <w:color w:val="auto"/>
                <w:w w:val="99"/>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79,228</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198,532</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178,956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262,456</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26,261</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274,871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301,132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175,304</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172,918</w:t>
            </w:r>
          </w:p>
        </w:tc>
        <w:tc>
          <w:tcPr>
            <w:tcW w:w="0" w:type="dxa"/>
            <w:vAlign w:val="bottom"/>
          </w:tcPr>
          <w:p>
            <w:pPr>
              <w:spacing w:after="0"/>
              <w:rPr>
                <w:sz w:val="1"/>
                <w:szCs w:val="1"/>
                <w:color w:val="auto"/>
              </w:rPr>
            </w:pPr>
          </w:p>
        </w:tc>
      </w:tr>
      <w:tr>
        <w:trPr>
          <w:trHeight w:val="18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55,500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earned for services rendered as members of the Board and related committees.</w:t>
      </w:r>
    </w:p>
    <w:p>
      <w:pPr>
        <w:spacing w:after="0" w:line="11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held by each non-employee director as of December 31, 2021. None of our non-employee directors held unvested stock awards in the Company as of that date.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95"/>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at fiscal year end</w:t>
            </w:r>
          </w:p>
        </w:tc>
        <w:tc>
          <w:tcPr>
            <w:tcW w:w="0" w:type="dxa"/>
            <w:vAlign w:val="bottom"/>
          </w:tcPr>
          <w:p>
            <w:pPr>
              <w:spacing w:after="0"/>
              <w:rPr>
                <w:sz w:val="1"/>
                <w:szCs w:val="1"/>
                <w:color w:val="auto"/>
              </w:rPr>
            </w:pPr>
          </w:p>
        </w:tc>
      </w:tr>
      <w:tr>
        <w:trPr>
          <w:trHeight w:val="201"/>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96,738</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18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 warrants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226"/>
        </w:trPr>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(1)</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plans</w:t>
            </w:r>
            <w:r>
              <w:rPr>
                <w:rFonts w:ascii="Times New Roman" w:cs="Times New Roman" w:eastAsia="Times New Roman" w:hAnsi="Times New Roman"/>
                <w:sz w:val="18"/>
                <w:szCs w:val="18"/>
                <w:b w:val="1"/>
                <w:bCs w:val="1"/>
                <w:color w:val="auto"/>
                <w:w w:val="95"/>
                <w:vertAlign w:val="superscript"/>
              </w:rPr>
              <w:t>(2)</w:t>
            </w:r>
          </w:p>
        </w:tc>
      </w:tr>
      <w:tr>
        <w:trPr>
          <w:trHeight w:val="190"/>
        </w:trPr>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6"/>
                <w:szCs w:val="16"/>
                <w:color w:val="auto"/>
              </w:rPr>
            </w:pPr>
          </w:p>
        </w:tc>
      </w:tr>
      <w:tr>
        <w:trPr>
          <w:trHeight w:val="20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10,248,906</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9"/>
                <w:szCs w:val="9"/>
                <w:color w:val="auto"/>
                <w:w w:val="94"/>
              </w:rPr>
              <w:t>(4)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 xml:space="preserve">3.78 </w:t>
            </w:r>
            <w:r>
              <w:rPr>
                <w:rFonts w:ascii="Times New Roman" w:cs="Times New Roman" w:eastAsia="Times New Roman" w:hAnsi="Times New Roman"/>
                <w:sz w:val="9"/>
                <w:szCs w:val="9"/>
                <w:color w:val="auto"/>
              </w:rPr>
              <w:t>(5)</w:t>
            </w:r>
          </w:p>
        </w:tc>
        <w:tc>
          <w:tcPr>
            <w:tcW w:w="24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 xml:space="preserve">4,447,903 </w:t>
            </w:r>
            <w:r>
              <w:rPr>
                <w:rFonts w:ascii="Times New Roman" w:cs="Times New Roman" w:eastAsia="Times New Roman" w:hAnsi="Times New Roman"/>
                <w:sz w:val="9"/>
                <w:szCs w:val="9"/>
                <w:color w:val="auto"/>
              </w:rPr>
              <w:t>(6)</w:t>
            </w:r>
          </w:p>
        </w:tc>
      </w:tr>
      <w:tr>
        <w:trPr>
          <w:trHeight w:val="203"/>
        </w:trPr>
        <w:tc>
          <w:tcPr>
            <w:tcW w:w="394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18"/>
                <w:szCs w:val="18"/>
                <w:color w:val="auto"/>
                <w:vertAlign w:val="superscript"/>
              </w:rPr>
              <w:t>(7)</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1,185,417</w:t>
            </w:r>
          </w:p>
        </w:tc>
        <w:tc>
          <w:tcPr>
            <w:tcW w:w="34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9"/>
                <w:szCs w:val="9"/>
                <w:color w:val="auto"/>
                <w:w w:val="94"/>
              </w:rPr>
              <w:t>(8)</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5.36</w:t>
            </w:r>
          </w:p>
        </w:tc>
        <w:tc>
          <w:tcPr>
            <w:tcW w:w="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1,591,661</w:t>
            </w:r>
          </w:p>
        </w:tc>
        <w:tc>
          <w:tcPr>
            <w:tcW w:w="340" w:type="dxa"/>
            <w:vAlign w:val="bottom"/>
            <w:tcBorders>
              <w:bottom w:val="single" w:sz="8" w:color="CCEEFF"/>
            </w:tcBorders>
          </w:tcPr>
          <w:p>
            <w:pPr>
              <w:spacing w:after="0"/>
              <w:rPr>
                <w:sz w:val="17"/>
                <w:szCs w:val="17"/>
                <w:color w:val="auto"/>
              </w:rPr>
            </w:pPr>
          </w:p>
        </w:tc>
      </w:tr>
      <w:tr>
        <w:trPr>
          <w:trHeight w:val="22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11,434,323</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6,039,564</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restricted stock units.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3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w:t>
      </w:r>
    </w:p>
    <w:p>
      <w:pPr>
        <w:spacing w:after="0" w:line="1" w:lineRule="exact"/>
        <w:rPr>
          <w:rFonts w:ascii="Times New Roman" w:cs="Times New Roman" w:eastAsia="Times New Roman" w:hAnsi="Times New Roman"/>
          <w:sz w:val="17"/>
          <w:szCs w:val="17"/>
          <w:color w:val="auto"/>
        </w:rPr>
      </w:pPr>
    </w:p>
    <w:p>
      <w:pPr>
        <w:ind w:left="34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8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the 2008 Plan and the 2016 ESPP.</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9,528,817 outstanding options to purchase stock under the 2016 Plan, 350,700 outstanding restricted stock units and 369,389 outstanding options to purchase stock under the 2008 Plan.</w:t>
      </w:r>
    </w:p>
    <w:p>
      <w:pPr>
        <w:spacing w:after="0" w:line="53"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weighted-average exercise price of outstanding options under the 2016 Plan was $3.84 and the weighted-average exercise price of outstanding options under the 2008 Plan was $5.75.</w:t>
      </w:r>
    </w:p>
    <w:p>
      <w:pPr>
        <w:spacing w:after="0" w:line="5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1,925,537 shares available for issuance under the 2016 Plan and 2,522,366 shares available for issuance under the 2016 ESPP (of which 81,057 shares were issued with respect to the purchase period in effect as of December 31, 2021, which purchase period ended on February 28, 2022). To the extent outstanding stock options under the 2008 Plan are forfeited or lapse unexercised, the shares of Common Stock subject to such stock option awards will be available for issuance under the 2016 Plan.</w:t>
      </w:r>
    </w:p>
    <w:p>
      <w:pPr>
        <w:spacing w:after="0" w:line="71"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Plan. See Note 11 to our consolidated audited financial statements included in our 2021 Annual Report for a description of the material features of the 2018 Plan.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1,141,667 outstanding options and 43,750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18, 2022,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151,809,416 shares of Common Stock outstanding as of April 18, 2022.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18, 2022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37"/>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Armistice Capital, LLC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21,875,000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EcoR1 </w:t>
            </w:r>
            <w:r>
              <w:rPr>
                <w:rFonts w:ascii="Times New Roman" w:cs="Times New Roman" w:eastAsia="Times New Roman" w:hAnsi="Times New Roman"/>
                <w:sz w:val="18"/>
                <w:szCs w:val="18"/>
                <w:color w:val="auto"/>
                <w:vertAlign w:val="superscript"/>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12,668,251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Directors and Nominees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2,384,150</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Bradford D. Dahms </w:t>
            </w:r>
            <w:r>
              <w:rPr>
                <w:rFonts w:ascii="Times New Roman" w:cs="Times New Roman" w:eastAsia="Times New Roman" w:hAnsi="Times New Roman"/>
                <w:sz w:val="18"/>
                <w:szCs w:val="18"/>
                <w:color w:val="auto"/>
                <w:vertAlign w:val="superscript"/>
              </w:rPr>
              <w:t>(6)</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Ann K. Donohue </w:t>
            </w:r>
            <w:r>
              <w:rPr>
                <w:rFonts w:ascii="Times New Roman" w:cs="Times New Roman" w:eastAsia="Times New Roman" w:hAnsi="Times New Roman"/>
                <w:sz w:val="18"/>
                <w:szCs w:val="18"/>
                <w:color w:val="auto"/>
                <w:vertAlign w:val="superscript"/>
              </w:rPr>
              <w:t>(7)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502,933</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(9)</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776,809</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684,908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Carrie S. Cox </w:t>
            </w:r>
            <w:r>
              <w:rPr>
                <w:rFonts w:ascii="Times New Roman" w:cs="Times New Roman" w:eastAsia="Times New Roman" w:hAnsi="Times New Roman"/>
                <w:sz w:val="18"/>
                <w:szCs w:val="18"/>
                <w:color w:val="auto"/>
                <w:vertAlign w:val="superscript"/>
              </w:rPr>
              <w:t>(11)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222,387</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Göran Ando, M.D. </w:t>
            </w:r>
            <w:r>
              <w:rPr>
                <w:rFonts w:ascii="Times New Roman" w:cs="Times New Roman" w:eastAsia="Times New Roman" w:hAnsi="Times New Roman"/>
                <w:sz w:val="18"/>
                <w:szCs w:val="18"/>
                <w:color w:val="auto"/>
                <w:vertAlign w:val="superscript"/>
              </w:rPr>
              <w:t>(12)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67,777</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C. Barabe </w:t>
            </w:r>
            <w:r>
              <w:rPr>
                <w:rFonts w:ascii="Times New Roman" w:cs="Times New Roman" w:eastAsia="Times New Roman" w:hAnsi="Times New Roman"/>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286,751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(15)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180,549</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(16)</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A. Springer, Ph.D. </w:t>
            </w:r>
            <w:r>
              <w:rPr>
                <w:rFonts w:ascii="Times New Roman" w:cs="Times New Roman" w:eastAsia="Times New Roman" w:hAnsi="Times New Roman"/>
                <w:sz w:val="18"/>
                <w:szCs w:val="18"/>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Patrick Zenner </w:t>
            </w:r>
            <w:r>
              <w:rPr>
                <w:rFonts w:ascii="Times New Roman" w:cs="Times New Roman" w:eastAsia="Times New Roman" w:hAnsi="Times New Roman"/>
                <w:sz w:val="18"/>
                <w:szCs w:val="18"/>
                <w:color w:val="auto"/>
                <w:vertAlign w:val="superscript"/>
              </w:rPr>
              <w:t>(17)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148,068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All executive officers, directors and director nominees as a group (15 persons) </w:t>
            </w:r>
            <w:r>
              <w:rPr>
                <w:rFonts w:ascii="Times New Roman" w:cs="Times New Roman" w:eastAsia="Times New Roman" w:hAnsi="Times New Roman"/>
                <w:sz w:val="18"/>
                <w:szCs w:val="18"/>
                <w:color w:val="auto"/>
                <w:vertAlign w:val="superscript"/>
              </w:rPr>
              <w:t>(18)</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49,879,135</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p>
      <w:pPr>
        <w:spacing w:after="0" w:line="117" w:lineRule="exact"/>
        <w:rPr>
          <w:sz w:val="20"/>
          <w:szCs w:val="20"/>
          <w:color w:val="auto"/>
        </w:rPr>
      </w:pPr>
    </w:p>
    <w:p>
      <w:pPr>
        <w:ind w:left="500" w:right="80" w:hanging="492"/>
        <w:spacing w:after="0" w:line="277" w:lineRule="auto"/>
        <w:tabs>
          <w:tab w:leader="none" w:pos="49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13D/A filed with the SEC on December 27, 2021 and other information known to us, consists of (i) 7,293,625 shares of Common Stock held directly by Timothy A. Springer, Ph.D., our director, (ii) 79,130 shares of Common Stock issuable upon exercise of underlying warrants exercisable within 60 days of April 18, 2022 held directly by Timothy Springer, (iii) 86,410 shares of Common Stock issuable upon exercise of outstanding options within 60 days of April 18, 2022 and held directly by Timothy Springer, (iv) 29,868,490 shares of Common Stock held by TAS Partners LLC (“TAS”) directly, (v) 6,981,643 shares of Common Stock issuable upon exercise of underlying warrants exercisable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within 60 days of April 18, 2022, and (vi) 86,418 shares of Common Stock held by Dr. Chafen Lu, Timothy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2" w:lineRule="exact"/>
        <w:rPr>
          <w:sz w:val="20"/>
          <w:szCs w:val="20"/>
          <w:color w:val="auto"/>
        </w:rPr>
      </w:pPr>
    </w:p>
    <w:p>
      <w:pPr>
        <w:ind w:left="500" w:right="160" w:hanging="492"/>
        <w:spacing w:after="0" w:line="261"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known to us, consists of (i) 12,500,000 shares of Common Stock held by Armistice Capital Master Fund Ltd., and (ii) 9,375,000 shares of Common Stock issuable upon exercise of underlying warrants exercisable within 60 days of April 18, 2022. Armistice Capital, LLC is the general partner of Armistice Capital Master Fund Ltd. The principal business address of Armistice Capital Master Fund Ltd. is 510 Madison Avenue, New York, NY 10022.</w:t>
      </w:r>
    </w:p>
    <w:p>
      <w:pPr>
        <w:spacing w:after="0" w:line="71"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18, 2022 held by EcoR1 Capital Fund, LP, (iii) 5,203,351 shares of Common Stock held by EcoR1 Capital Fund Qualified, LP (together with EcoR1 Capital Fund, LP, the “EcoR1 Funds”), and (iv) 4,355,993 shares of Common Stock issuable upon exercise of underlying warrants exercisable within 60 days of April 18, 2022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spacing w:after="0" w:line="86" w:lineRule="exact"/>
        <w:rPr>
          <w:rFonts w:ascii="Times New Roman" w:cs="Times New Roman" w:eastAsia="Times New Roman" w:hAnsi="Times New Roman"/>
          <w:sz w:val="18"/>
          <w:szCs w:val="18"/>
          <w:color w:val="auto"/>
        </w:rPr>
      </w:pPr>
    </w:p>
    <w:p>
      <w:pPr>
        <w:ind w:left="500" w:right="180" w:hanging="492"/>
        <w:spacing w:after="0" w:line="266"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187,452 shares of Common Stock held by Dr. Brunn directly, (ii) 2,185,760 shares of Common Stock underlying outstanding stock options exercisable within 60 days of April 18, 2022, and (iii) 10,938 shares of Common Stock underlying outstanding restricted stock units which will vest within 60 days of April 18, 2022.</w:t>
      </w:r>
    </w:p>
    <w:p>
      <w:pPr>
        <w:spacing w:after="0" w:line="6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held by Mr. Tan directly.</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beneficial ownership of Common Stock by Mr. Dahms.</w:t>
      </w:r>
    </w:p>
    <w:p>
      <w:pPr>
        <w:spacing w:after="0" w:line="11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6,047 shares of Common Stock held by Ms. Donohue directly, (ii) 100,186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123,555 shares of Common Stock held by Dr. Traber directly, (ii) 379,378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178,277 shares of Common Stock held by Dr. Kishimoto directly, (ii) 598,532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71,799 shares of Common Stock held by Dr. Johnston directly, (ii) 613,109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jc w:val="both"/>
        <w:ind w:left="500" w:right="120" w:hanging="492"/>
        <w:spacing w:after="0" w:line="266" w:lineRule="auto"/>
        <w:tabs>
          <w:tab w:leader="none" w:pos="4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82,881 shares of Common Stock held by Ms. Cox directly, (ii) 32,840 shares of Common Stock issuable upon exercise of underlying warrants exercisable within 60 days of April 18, 2022, and (iii) 106,666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67,777 shares of Common Stock underlying outstanding stock options exercisable within 60 days of April 18, 2022 held by Dr. Ando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200,013 shares of Common Stock held by Mr. Barabe directly, (ii) 86,738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52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held by Dr. de Silva directly, (ii) 24,444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80,845 shares of Common Stock held by Mr. Myers directly, (ii) 19,704 shares of Common Stock issuable upon exercise of underlying warrants exercisable within 60 days of April 18, 2022, and (iii) 80,000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86,410 shares of Common Stock underlying outstanding stock options exercisable within 60 days of April 18, 2022 held by Mr. Sallin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55,248 shares of Common Stock held by Mr. Zenner directly, and (ii) 92,820 shares of Common Stock underlying outstanding stock options exercisable within 60 days of April 18, 2022.</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hanging="492"/>
        <w:spacing w:after="0" w:line="266" w:lineRule="auto"/>
        <w:tabs>
          <w:tab w:leader="none" w:pos="4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38,246,650 shares of Common Stock owned directly or beneficially by our executive officers or members of our Board and (ii) 11,632,485 shares of Common Stock underlying outstanding stock options, restricted stock units, and warrants exercisable within 60 days of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620"/>
          </w:cols>
          <w:pgMar w:left="320" w:top="121"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364"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directors, officers and greater than 10% stockholders to file with the SEC reports of ownership and changes in ownership regarding their holdings in our securities.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2021, all of our directors and officers subject to Section 16(a) of the Exchange Act timely complied with the filing requirements of Section 16(a) of the Securities Exchange Act of 1934, as amended, except that Dr. de Silva was delinquent in filing one Form 3 filing, reporting his initial beneficial ownership interest information, which did not include any transactions, and one Form 4 filing, reporting a stock option grant, due to administrative difficulties. In making this statement, we have relied upon the written representations of our directors and officers, and copies of the reports that they have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120"/>
          </w:cols>
          <w:pgMar w:left="320" w:top="121"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2022 Offering</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gross proceeds to us of approximately $36.0 million. The following table sets forth the number of shares of Common Stock purchased in our private placement offering by executive officers, as of the time of the offering, directors and related parties thereto:</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gridSpan w:val="2"/>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1"/>
        </w:trPr>
        <w:tc>
          <w:tcPr>
            <w:tcW w:w="698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i w:val="1"/>
                <w:iCs w:val="1"/>
                <w:color w:val="auto"/>
              </w:rPr>
              <w:t>5% Stockholders</w:t>
            </w:r>
            <w:r>
              <w:rPr>
                <w:rFonts w:ascii="Times New Roman" w:cs="Times New Roman" w:eastAsia="Times New Roman" w:hAnsi="Times New Roman"/>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$9,421,056.00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40" w:hanging="332"/>
        <w:spacing w:after="0" w:line="282" w:lineRule="auto"/>
        <w:tabs>
          <w:tab w:leader="none" w:pos="3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For more information regarding these agreements, see the section in this proxy statement entitled “Executive and Director Compensation Employment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 intending to present a proposal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Company must receive notice of such a proposal or nomination for the 2023 Annual Meeting of Stockholders no earlier than the close of business on February 17, 2023 and no later than the close of business on March 19, 2023. The notice must contain the information required by the Amended and Restated Bylaws, a copy of which is available upon request to our Secretary. In the event that the date of the 2023 Annual Meeting of Stockholders is more than 30 days before or more than 60 days after June 17, 2023, then our Secretary must receive such written notice not earlier than the close of business on the 120th day prior to the 2023 Annual Meeting and not later than the close of business on the 90th day prior to the 2023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8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2023 Annual Meeting</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who wishes to submit a proposal for inclusion in our proxy materials must comply with Rule 14a-8 promulgated under the Exchange Act. For such proposals to be included in our proxy materials for presentation at our 2023 Annual Meeting of Stockholders, all applicable requirements of Rule 14a-8 must be satisfied, and we must receive such proposals no later than December 19, 2022 at our offices at 65 Grove Street, Watertown, Massachusetts 02472, Attn: Secretary.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Selecta’s Annual Report on Form 10-K</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Selecta’s Annual Report on Form 10-K for the fiscal year ended December 31, 2021, including financial statements and schedules thereto but not including exhibits, as filed with the SEC, will be sent to any stockholder of record on April 18, 2022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2021 on the “Corporate Governance”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&amp; Media” page of at </w:t>
      </w:r>
      <w:r>
        <w:rPr>
          <w:rFonts w:ascii="Times New Roman" w:cs="Times New Roman" w:eastAsia="Times New Roman" w:hAnsi="Times New Roman"/>
          <w:sz w:val="18"/>
          <w:szCs w:val="18"/>
          <w:i w:val="1"/>
          <w:iCs w:val="1"/>
          <w:color w:val="auto"/>
        </w:rPr>
        <w:t>www.selectabio.com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453390</wp:posOffset>
            </wp:positionV>
            <wp:extent cx="6000750" cy="7603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0" cy="76034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39"/>
          </w:cols>
          <w:pgMar w:left="320" w:top="121"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607695</wp:posOffset>
            </wp:positionV>
            <wp:extent cx="6000750" cy="774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77495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58</w:t>
      </w:r>
    </w:p>
    <w:sectPr>
      <w:pgSz w:w="11900" w:h="16838" w:orient="portrait"/>
      <w:cols w:equalWidth="0" w:num="1">
        <w:col w:w="10139"/>
      </w:cols>
      <w:pgMar w:left="32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lvl w:ilvl="1">
      <w:lvlJc w:val="left"/>
      <w:lvlText w:val="(%2)"/>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bullet"/>
      <w:start w:val="1"/>
    </w:lvl>
  </w:abstractNum>
  <w:abstractNum w:abstractNumId="13">
    <w:nsid w:val="1E7FF521"/>
    <w:multiLevelType w:val="hybridMultilevel"/>
    <w:lvl w:ilvl="0">
      <w:lvlJc w:val="left"/>
      <w:lvlText w:val="2"/>
      <w:numFmt w:val="bullet"/>
      <w:start w:val="1"/>
    </w:lvl>
  </w:abstractNum>
  <w:abstractNum w:abstractNumId="14">
    <w:nsid w:val="7C3DBD3D"/>
    <w:multiLevelType w:val="hybridMultilevel"/>
    <w:lvl w:ilvl="0">
      <w:lvlJc w:val="left"/>
      <w:lvlText w:val="3"/>
      <w:numFmt w:val="bullet"/>
      <w:start w:val="1"/>
    </w:lvl>
  </w:abstractNum>
  <w:abstractNum w:abstractNumId="15">
    <w:nsid w:val="737B8DDC"/>
    <w:multiLevelType w:val="hybridMultilevel"/>
    <w:lvl w:ilvl="0">
      <w:lvlJc w:val="left"/>
      <w:lvlText w:val="4"/>
      <w:numFmt w:val="bullet"/>
      <w:start w:val="1"/>
    </w:lvl>
  </w:abstractNum>
  <w:abstractNum w:abstractNumId="16">
    <w:nsid w:val="6CEAF087"/>
    <w:multiLevelType w:val="hybridMultilevel"/>
    <w:lvl w:ilvl="0">
      <w:lvlJc w:val="left"/>
      <w:lvlText w:val="5"/>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X"/>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Roman"/>
      <w:start w:val="5"/>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1)"/>
      <w:numFmt w:val="lowerRoman"/>
      <w:start w:val="3"/>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1)"/>
      <w:numFmt w:val="decimal"/>
      <w:start w:val="18"/>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2022-04-22T07:03:37Z</dcterms:created>
  <dcterms:modified xsi:type="dcterms:W3CDTF">2022-04-22T07:03:37Z</dcterms:modified>
</cp:coreProperties>
</file>