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September 30, 2020</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SELECTA BIOSCIENCES,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672" w:right="359" w:bottom="1440" w:gutter="0" w:footer="0" w:header="0"/>
        </w:sectPr>
      </w:pPr>
    </w:p>
    <w:p>
      <w:pPr>
        <w:spacing w:after="0" w:line="200"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29" w:lineRule="exact"/>
        <w:rPr>
          <w:sz w:val="24"/>
          <w:szCs w:val="24"/>
          <w:color w:val="auto"/>
        </w:rPr>
      </w:pPr>
    </w:p>
    <w:p>
      <w:pPr>
        <w:ind w:left="10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001-37798</w:t>
      </w:r>
    </w:p>
    <w:p>
      <w:pPr>
        <w:spacing w:after="0" w:line="23"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(Commission</w:t>
      </w:r>
    </w:p>
    <w:p>
      <w:pPr>
        <w:spacing w:after="0" w:line="2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26-1622110</w:t>
      </w:r>
    </w:p>
    <w:p>
      <w:pPr>
        <w:spacing w:after="0" w:line="23"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420" w:space="720"/>
            <w:col w:w="3020" w:space="720"/>
            <w:col w:w="2340"/>
          </w:cols>
          <w:pgMar w:left="320" w:top="672" w:right="359" w:bottom="1440" w:gutter="0" w:footer="0" w:header="0"/>
          <w:type w:val="continuous"/>
        </w:sectPr>
      </w:pP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65 Grove Street</w:t>
      </w:r>
    </w:p>
    <w:p>
      <w:pPr>
        <w:spacing w:after="0" w:line="23"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Watertown, MA 02472</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(Address of principal executive offices) (Zip Code)</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923-1400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20"/>
          </w:cols>
          <w:pgMar w:left="320" w:top="672" w:right="359" w:bottom="1440" w:gutter="0" w:footer="0" w:header="0"/>
          <w:type w:val="continuous"/>
        </w:sectPr>
      </w:pPr>
    </w:p>
    <w:p>
      <w:pPr>
        <w:spacing w:after="0" w:line="230" w:lineRule="exact"/>
        <w:rPr>
          <w:sz w:val="24"/>
          <w:szCs w:val="24"/>
          <w:color w:val="auto"/>
        </w:rPr>
      </w:pPr>
    </w:p>
    <w:p>
      <w:pPr>
        <w:ind w:right="6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40" w:hanging="39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640" w:hanging="39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640" w:hanging="39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left="640" w:hanging="39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20"/>
          </w:cols>
          <w:pgMar w:left="320" w:top="672" w:right="359" w:bottom="1440" w:gutter="0" w:footer="0" w:header="0"/>
          <w:type w:val="continuous"/>
        </w:sectPr>
      </w:pP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Title of each class</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right="640" w:hanging="453"/>
        <w:spacing w:after="0" w:line="255" w:lineRule="auto"/>
        <w:rPr>
          <w:sz w:val="20"/>
          <w:szCs w:val="20"/>
          <w:color w:val="auto"/>
        </w:rPr>
      </w:pPr>
      <w:r>
        <w:rPr>
          <w:rFonts w:ascii="Arial" w:cs="Arial" w:eastAsia="Arial" w:hAnsi="Arial"/>
          <w:sz w:val="18"/>
          <w:szCs w:val="18"/>
          <w:color w:val="auto"/>
        </w:rPr>
        <w:t>Trading Symbol(s)</w:t>
      </w:r>
      <w:r>
        <w:rPr>
          <w:sz w:val="20"/>
          <w:szCs w:val="20"/>
          <w:color w:val="auto"/>
        </w:rPr>
        <w:t xml:space="preserve"> </w:t>
      </w:r>
      <w:r>
        <w:rPr>
          <w:rFonts w:ascii="Arial" w:cs="Arial" w:eastAsia="Arial" w:hAnsi="Arial"/>
          <w:sz w:val="18"/>
          <w:szCs w:val="18"/>
          <w:color w:val="auto"/>
        </w:rPr>
        <w:t>Name of each exchange on which registered SELB Nasdaq Global Market</w:t>
      </w:r>
    </w:p>
    <w:p>
      <w:pPr>
        <w:spacing w:after="0" w:line="188" w:lineRule="exact"/>
        <w:rPr>
          <w:sz w:val="24"/>
          <w:szCs w:val="24"/>
          <w:color w:val="auto"/>
        </w:rPr>
      </w:pPr>
    </w:p>
    <w:p>
      <w:pPr>
        <w:sectPr>
          <w:pgSz w:w="11900" w:h="16838" w:orient="portrait"/>
          <w:cols w:equalWidth="0" w:num="2">
            <w:col w:w="4800" w:space="720"/>
            <w:col w:w="5700"/>
          </w:cols>
          <w:pgMar w:left="320" w:top="672" w:right="359" w:bottom="1440" w:gutter="0" w:footer="0" w:header="0"/>
          <w:type w:val="continuous"/>
        </w:sectPr>
      </w:pPr>
    </w:p>
    <w:p>
      <w:pPr>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658495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672" w:right="35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Selecta Biosciences, Inc. (the “Company”) continues to believe that its anticipated cash, cash equivalents and short-term investments of approximately $145 million as of September 30, 2020 will fund its operating expenses and capital expenditure requirements into the first quarter of 2023. Because the Company’s unaudited financial statements for the quarter ending September 30, 2020 have not yet been prepared, this preliminary estimate of the Company’s cash, cash equivalents and short-term investments as of September 30, 2020 is subject to change, and the Company’s</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actual cash, cash equivalents and short-term investments as of September 30, 2020 may differ materially from this preliminary estimate. Accordingly, you should not place undue reliance on this preliminary estimate.</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information contained in Item 2.02 of this Current Report on Form 8-K (the “Current Report”)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 xml:space="preserve">On September 30, 2020, the Company posted a slide presentation in the “Investors &amp; Media” portion of its website at </w:t>
      </w:r>
      <w:r>
        <w:rPr>
          <w:rFonts w:ascii="Arial" w:cs="Arial" w:eastAsia="Arial" w:hAnsi="Arial"/>
          <w:sz w:val="17"/>
          <w:szCs w:val="17"/>
          <w:i w:val="1"/>
          <w:iCs w:val="1"/>
          <w:color w:val="auto"/>
        </w:rPr>
        <w:t>www.selectabio.com</w:t>
      </w:r>
      <w:r>
        <w:rPr>
          <w:rFonts w:ascii="Arial" w:cs="Arial" w:eastAsia="Arial" w:hAnsi="Arial"/>
          <w:sz w:val="17"/>
          <w:szCs w:val="17"/>
          <w:color w:val="auto"/>
        </w:rPr>
        <w:t xml:space="preserve"> containing topline data for the Phase 2 COMPARE trial comparing the efficacy of SEL-212, a combination of the Company’s ImmTOR immune tolerance platform and a therapeutic uricase enzyme (pegadricase), to pegloticase (KRYSTEXXA®), the currently approved uricase in the United States, for the treatment of chronic refractory gout (the “COMPARE Results”). A copy of the slide presentation is attached as Exhibit 99.1 to this Current Report.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contained in Item 7.01 of this Current Report (including Exhibit 99.1 attached hereto) shall not be deemed “filed” for purposes of Section 18 of the Exchange Act, or otherwise subject to the liabilities of that section, nor shall it be deemed incorporated by reference in any filing under the Securities Act or the Exchange Act, except as expressly provided by specific reference in such a filing. The Company undertakes no obligation to update, supplement or amend the materials attached hereto as Exhibit 99.1.</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recently updated its business information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COMPARE Trial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2020, the Company announced the COMPARE Results.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U.S. Food and Drug Administration (FDA) guidance on Statistical Considerations for Clinical Trials During the COVID-19 Public Health Emergency (June 2020), the statistical analysis plan was modified and submitted to FDA prior to database lock to address the potential impact of the COVID-19 pandemic on statistical analysis. This was necessary due to increased protocol deviations in the intention-to-treat (ITT) population observed during the ongoing COVID-19 pandemic. Data are therefore presented per protocol (PP*) and ITT.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Topline results from the Phase 2 COMPARE trial are as follows:</w:t>
      </w:r>
    </w:p>
    <w:p>
      <w:pPr>
        <w:spacing w:after="0" w:line="216" w:lineRule="exact"/>
        <w:rPr>
          <w:sz w:val="20"/>
          <w:szCs w:val="20"/>
          <w:color w:val="auto"/>
        </w:rPr>
      </w:pPr>
    </w:p>
    <w:p>
      <w:pPr>
        <w:ind w:left="640" w:right="180" w:hanging="313"/>
        <w:spacing w:after="0" w:line="261"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SEL-212 showed a numerically higher response rate on the primary endpoint during months 3 and 6 combined, but did not meet the primary endpoint of statistical superiority</w:t>
      </w:r>
      <w:r>
        <w:rPr>
          <w:rFonts w:ascii="Arial" w:cs="Arial" w:eastAsia="Arial" w:hAnsi="Arial"/>
          <w:sz w:val="18"/>
          <w:szCs w:val="18"/>
          <w:color w:val="auto"/>
        </w:rPr>
        <w:t>: SUA &lt; 6 mg/dL for at least 80% of the time during months 3 and 6 combined: 59% SEL-212 versus</w:t>
      </w:r>
      <w:r>
        <w:rPr>
          <w:rFonts w:ascii="Arial" w:cs="Arial" w:eastAsia="Arial" w:hAnsi="Arial"/>
          <w:sz w:val="18"/>
          <w:szCs w:val="18"/>
          <w:b w:val="1"/>
          <w:bCs w:val="1"/>
          <w:color w:val="auto"/>
        </w:rPr>
        <w:t xml:space="preserve"> </w:t>
      </w:r>
      <w:r>
        <w:rPr>
          <w:rFonts w:ascii="Arial" w:cs="Arial" w:eastAsia="Arial" w:hAnsi="Arial"/>
          <w:sz w:val="18"/>
          <w:szCs w:val="18"/>
          <w:color w:val="auto"/>
        </w:rPr>
        <w:t>46% pegloticase, PP, p=0.056, 53% SEL-212 versus 46% pegloticase, ITT, p=0.181.</w:t>
      </w:r>
    </w:p>
    <w:p>
      <w:pPr>
        <w:spacing w:after="0" w:line="178" w:lineRule="exact"/>
        <w:rPr>
          <w:rFonts w:ascii="Arial" w:cs="Arial" w:eastAsia="Arial" w:hAnsi="Arial"/>
          <w:sz w:val="18"/>
          <w:szCs w:val="18"/>
          <w:color w:val="auto"/>
        </w:rPr>
      </w:pPr>
    </w:p>
    <w:p>
      <w:pPr>
        <w:ind w:left="640" w:hanging="313"/>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Statistically significant higher response rate of SEL-212 during month 3</w:t>
      </w:r>
      <w:r>
        <w:rPr>
          <w:rFonts w:ascii="Arial" w:cs="Arial" w:eastAsia="Arial" w:hAnsi="Arial"/>
          <w:sz w:val="16"/>
          <w:szCs w:val="16"/>
          <w:color w:val="auto"/>
        </w:rPr>
        <w:t>: SUA &lt; 6 mg/dL for at least 80% of the time during month 3: PP: 70%</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SEL-212 versus 51% pegloticase, p=0.019, ITT: 70% SEL-212 versus 54% pegloticase, p=0.017.</w:t>
      </w:r>
    </w:p>
    <w:p>
      <w:pPr>
        <w:spacing w:after="0" w:line="202" w:lineRule="exact"/>
        <w:rPr>
          <w:rFonts w:ascii="Arial" w:cs="Arial" w:eastAsia="Arial" w:hAnsi="Arial"/>
          <w:sz w:val="16"/>
          <w:szCs w:val="16"/>
          <w:color w:val="auto"/>
        </w:rPr>
      </w:pPr>
    </w:p>
    <w:p>
      <w:pPr>
        <w:ind w:left="640" w:hanging="313"/>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Numerically higher response rate of SEL-212 during month 6</w:t>
      </w:r>
      <w:r>
        <w:rPr>
          <w:rFonts w:ascii="Arial" w:cs="Arial" w:eastAsia="Arial" w:hAnsi="Arial"/>
          <w:sz w:val="16"/>
          <w:szCs w:val="16"/>
          <w:color w:val="auto"/>
        </w:rPr>
        <w:t>: SUA &lt; 6 mg/dL for at least 80% of the time during month 6: PP: 61% SEL-212</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versus 47% pegloticase, p=0.053, ITT: 54% SEL-212 versus 47% pegloticase, p=0.179.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left="640" w:right="20" w:hanging="313"/>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Statistically significant greater overall reduction in mean SUA levels in SEL-212 versus pegloticase</w:t>
      </w:r>
      <w:r>
        <w:rPr>
          <w:rFonts w:ascii="Arial" w:cs="Arial" w:eastAsia="Arial" w:hAnsi="Arial"/>
          <w:sz w:val="18"/>
          <w:szCs w:val="18"/>
          <w:color w:val="auto"/>
        </w:rPr>
        <w:t>: Serum uric acid levels were reduced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of 6.68 mg/dL (computed by subtracting baseline SUA from mean SUA during the treatment period) for patients treated with SEL-212 versus 4.51 mg/dL for patients treated with pegloticase, p=0.003, during months 3 and 6 combined, PP; ITT: 6.79 mg/dL SEL-212 versus 4.85 mg/dL pegloticase, p=0.003.</w:t>
      </w:r>
    </w:p>
    <w:p>
      <w:pPr>
        <w:spacing w:after="0" w:line="184" w:lineRule="exact"/>
        <w:rPr>
          <w:rFonts w:ascii="Arial" w:cs="Arial" w:eastAsia="Arial" w:hAnsi="Arial"/>
          <w:sz w:val="18"/>
          <w:szCs w:val="18"/>
          <w:color w:val="auto"/>
        </w:rPr>
      </w:pPr>
    </w:p>
    <w:p>
      <w:pPr>
        <w:ind w:left="640" w:right="60" w:hanging="313"/>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In patients with tophi at baseline, substantially higher responder rates for SEL-212 compared to pegloticase on the primary endpoint, and statistically significant reduction in mean SUA</w:t>
      </w:r>
      <w:r>
        <w:rPr>
          <w:rFonts w:ascii="Arial" w:cs="Arial" w:eastAsia="Arial" w:hAnsi="Arial"/>
          <w:sz w:val="17"/>
          <w:szCs w:val="17"/>
          <w:color w:val="auto"/>
        </w:rPr>
        <w:t>: Approximately 41% of patients in the phase 2 COMPARE trial had visible tophi at baseline. A</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differential on the primary endpoint between SEL-212 versus pegloticase on patients with tophi was observed: PP: 58% SEL-212 versus 39% pegloticase; ITT: 57% SEL-212 versus 41% pegloticase. In these patients, the mean SUA levels were reduced by an average of 7.42 mg/dL for patients treated with SEL-212 versus 4.64 mg/dL for patients treated with pegloticase, p=0.016, during months 3 and 6 combined, PP; ITT: 7.32 mg/dL for SEL-212 versus 4.89 mg/dL for pegloticase, p=0.019, ITT.</w:t>
      </w:r>
    </w:p>
    <w:p>
      <w:pPr>
        <w:spacing w:after="0" w:line="174" w:lineRule="exact"/>
        <w:rPr>
          <w:rFonts w:ascii="Arial" w:cs="Arial" w:eastAsia="Arial" w:hAnsi="Arial"/>
          <w:sz w:val="17"/>
          <w:szCs w:val="17"/>
          <w:color w:val="auto"/>
        </w:rPr>
      </w:pPr>
    </w:p>
    <w:p>
      <w:pPr>
        <w:ind w:left="640" w:right="220" w:hanging="313"/>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SEL-212 and pegloticase showed favorable safety results and were well-tolerated: </w:t>
      </w:r>
      <w:r>
        <w:rPr>
          <w:rFonts w:ascii="Arial" w:cs="Arial" w:eastAsia="Arial" w:hAnsi="Arial"/>
          <w:sz w:val="18"/>
          <w:szCs w:val="18"/>
          <w:color w:val="auto"/>
        </w:rPr>
        <w:t>There were no deaths during the study. There were no</w:t>
      </w:r>
      <w:r>
        <w:rPr>
          <w:rFonts w:ascii="Arial" w:cs="Arial" w:eastAsia="Arial" w:hAnsi="Arial"/>
          <w:sz w:val="18"/>
          <w:szCs w:val="18"/>
          <w:b w:val="1"/>
          <w:bCs w:val="1"/>
          <w:color w:val="auto"/>
        </w:rPr>
        <w:t xml:space="preserve"> </w:t>
      </w:r>
      <w:r>
        <w:rPr>
          <w:rFonts w:ascii="Arial" w:cs="Arial" w:eastAsia="Arial" w:hAnsi="Arial"/>
          <w:sz w:val="18"/>
          <w:szCs w:val="18"/>
          <w:color w:val="auto"/>
        </w:rPr>
        <w:t>notable differences in serious Treatment Emergent Adverse Events (TEAEs), treatment-related serious TEAEs, or infusion reactions between the two groups. A full analysis of safety signals, including gout flare incidence and severity, awaits evaluation of the full data set and will be reported together with the full efficacy analysis at a later medical meeting.</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SEL-212 has been licensed to Sobi, with Sobi undertaking development, regulatory and commercial activities in all markets outside of China. Selecta and Sobi recently announced the initiation of two double-blinded, placebo-controlled Phase 3 clinical trials (DISSOLVE I and DISSOLVE II) of SEL-212 for the treatment of chronic refractory gout. Topline data from the DISSOLVE program is expected in the second half of 2022, and a Biologics License Application (BLA) filing is expected in the first quarter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spacing w:after="0" w:line="280" w:lineRule="auto"/>
        <w:rPr>
          <w:sz w:val="20"/>
          <w:szCs w:val="20"/>
          <w:color w:val="auto"/>
        </w:rPr>
      </w:pPr>
      <w:r>
        <w:rPr>
          <w:rFonts w:ascii="Arial" w:cs="Arial" w:eastAsia="Arial" w:hAnsi="Arial"/>
          <w:sz w:val="16"/>
          <w:szCs w:val="16"/>
          <w:i w:val="1"/>
          <w:iCs w:val="1"/>
          <w:color w:val="auto"/>
        </w:rPr>
        <w:t>Any statements in this Current Report about the future expectations, plans and prospects of the Company, including without limitation, statements regarding the clinical development, regulatory, and commercialization activities related to SEL-212 by either the Company or Sobi, the availability and timing of data from the DISSOLVE Phase 3 clinical program, the timing and execution of Company’s plans to submit a BLA for SEL-212, upcoming events and presentations, including with respect to the presentation of the Phase 2 COMPARE full data set, 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effect of the COVID-19 pandemic on any of the Company’s planned or ongoing clinical trials, manufacturing activities, supply chain and operations,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undesirable side effects of the Company’s product candidates, the Company’s reliance on third parties to manufacture its product candidates and to conduct its clinical trials as well as the impact of the COVID-19 pandemic on those third parties and their ability to continue their operations, the Company’s inability to maintain its existing or future collaborations, licenses or contractual relationships and the inability of the Company’s licensees to make up-front and milestone payments under these collaborations, its inability to protect its proprietary technology and intellectual property, management’s ability to perform as expected, potential delays in regulatory approvals, the Company’s business development strategy,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Quarterly Report on Form 10-Q for the quarterly period ended June 30, 2020 filed with the U.S. Securities and Exchange Commission (SEC), and in other filings that the Company makes with the SEC. In addition, any forward-looking statements included in this Current Report represent the Company’s views only as of the date of its publication and should not be relied upon as representing its views as of any subsequent date. The Company specifically disclaims any intention to update any forward-looking statements included in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exhibit relating to Item 7.01 shall be deemed to be furnished, and not filed: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100" w:type="dxa"/>
            <w:vAlign w:val="bottom"/>
          </w:tcPr>
          <w:p>
            <w:pPr>
              <w:spacing w:after="0"/>
              <w:rPr>
                <w:sz w:val="18"/>
                <w:szCs w:val="18"/>
                <w:color w:val="auto"/>
              </w:rPr>
            </w:pPr>
          </w:p>
        </w:tc>
      </w:tr>
      <w:tr>
        <w:trPr>
          <w:trHeight w:val="23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100" w:type="dxa"/>
            <w:vAlign w:val="bottom"/>
          </w:tcPr>
          <w:p>
            <w:pPr>
              <w:ind w:left="4120"/>
              <w:spacing w:after="0"/>
              <w:rPr>
                <w:sz w:val="20"/>
                <w:szCs w:val="20"/>
                <w:color w:val="auto"/>
              </w:rPr>
            </w:pPr>
            <w:r>
              <w:rPr>
                <w:rFonts w:ascii="Arial" w:cs="Arial" w:eastAsia="Arial" w:hAnsi="Arial"/>
                <w:sz w:val="18"/>
                <w:szCs w:val="18"/>
                <w:b w:val="1"/>
                <w:bCs w:val="1"/>
                <w:color w:val="auto"/>
              </w:rPr>
              <w:t>Description</w:t>
            </w:r>
          </w:p>
        </w:tc>
      </w:tr>
      <w:tr>
        <w:trPr>
          <w:trHeight w:val="420"/>
        </w:trPr>
        <w:tc>
          <w:tcPr>
            <w:tcW w:w="1480" w:type="dxa"/>
            <w:vAlign w:val="bottom"/>
            <w:tcBorders>
              <w:top w:val="single" w:sz="8" w:color="auto"/>
            </w:tcBorders>
          </w:tcPr>
          <w:p>
            <w:pPr>
              <w:jc w:val="center"/>
              <w:ind w:right="471"/>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99.1</w:t>
              </w:r>
            </w:hyperlink>
          </w:p>
        </w:tc>
        <w:tc>
          <w:tcPr>
            <w:tcW w:w="660" w:type="dxa"/>
            <w:vAlign w:val="bottom"/>
          </w:tcPr>
          <w:p>
            <w:pPr>
              <w:spacing w:after="0"/>
              <w:rPr>
                <w:sz w:val="24"/>
                <w:szCs w:val="24"/>
                <w:color w:val="auto"/>
              </w:rPr>
            </w:pPr>
          </w:p>
        </w:tc>
        <w:tc>
          <w:tcPr>
            <w:tcW w:w="9100" w:type="dxa"/>
            <w:vAlign w:val="bottom"/>
            <w:tcBorders>
              <w:top w:val="single" w:sz="8" w:color="auto"/>
            </w:tcBorders>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COMPARE Results Slide Presentation of Selecta Biosciences, Inc. dated September 30, 2020</w:t>
              </w:r>
            </w:hyperlink>
          </w:p>
        </w:tc>
      </w:tr>
      <w:tr>
        <w:trPr>
          <w:trHeight w:val="427"/>
        </w:trPr>
        <w:tc>
          <w:tcPr>
            <w:tcW w:w="1480" w:type="dxa"/>
            <w:vAlign w:val="bottom"/>
          </w:tcPr>
          <w:p>
            <w:pPr>
              <w:jc w:val="right"/>
              <w:ind w:right="511"/>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9"/>
        </w:trPr>
        <w:tc>
          <w:tcPr>
            <w:tcW w:w="1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00" w:type="dxa"/>
            <w:vAlign w:val="bottom"/>
          </w:tcPr>
          <w:p>
            <w:pPr>
              <w:spacing w:after="0"/>
              <w:rPr>
                <w:sz w:val="19"/>
                <w:szCs w:val="19"/>
                <w:color w:val="auto"/>
              </w:rPr>
            </w:pPr>
          </w:p>
        </w:tc>
        <w:tc>
          <w:tcPr>
            <w:tcW w:w="7540" w:type="dxa"/>
            <w:vAlign w:val="bottom"/>
            <w:gridSpan w:val="2"/>
          </w:tcPr>
          <w:p>
            <w:pPr>
              <w:ind w:left="1840"/>
              <w:spacing w:after="0"/>
              <w:rPr>
                <w:sz w:val="20"/>
                <w:szCs w:val="20"/>
                <w:color w:val="auto"/>
              </w:rPr>
            </w:pPr>
            <w:r>
              <w:rPr>
                <w:rFonts w:ascii="Arial" w:cs="Arial" w:eastAsia="Arial" w:hAnsi="Arial"/>
                <w:sz w:val="18"/>
                <w:szCs w:val="18"/>
                <w:color w:val="auto"/>
              </w:rPr>
              <w:t>SELECTA BIOSCIENCES, INC.</w:t>
            </w:r>
          </w:p>
        </w:tc>
      </w:tr>
      <w:tr>
        <w:trPr>
          <w:trHeight w:val="641"/>
        </w:trPr>
        <w:tc>
          <w:tcPr>
            <w:tcW w:w="3700" w:type="dxa"/>
            <w:vAlign w:val="bottom"/>
          </w:tcPr>
          <w:p>
            <w:pPr>
              <w:spacing w:after="0"/>
              <w:rPr>
                <w:sz w:val="20"/>
                <w:szCs w:val="20"/>
                <w:color w:val="auto"/>
              </w:rPr>
            </w:pPr>
            <w:r>
              <w:rPr>
                <w:rFonts w:ascii="Arial" w:cs="Arial" w:eastAsia="Arial" w:hAnsi="Arial"/>
                <w:sz w:val="18"/>
                <w:szCs w:val="18"/>
                <w:color w:val="auto"/>
              </w:rPr>
              <w:t>Date: September 30, 2020</w:t>
            </w:r>
          </w:p>
        </w:tc>
        <w:tc>
          <w:tcPr>
            <w:tcW w:w="7540" w:type="dxa"/>
            <w:vAlign w:val="bottom"/>
            <w:gridSpan w:val="2"/>
          </w:tcPr>
          <w:p>
            <w:pPr>
              <w:ind w:left="1840"/>
              <w:spacing w:after="0"/>
              <w:rPr>
                <w:sz w:val="20"/>
                <w:szCs w:val="20"/>
                <w:color w:val="auto"/>
              </w:rPr>
            </w:pPr>
            <w:r>
              <w:rPr>
                <w:rFonts w:ascii="Arial" w:cs="Arial" w:eastAsia="Arial" w:hAnsi="Arial"/>
                <w:sz w:val="18"/>
                <w:szCs w:val="18"/>
                <w:color w:val="auto"/>
              </w:rPr>
              <w:t>By: /s/ Carsten Brunn, Ph.D.</w:t>
            </w:r>
          </w:p>
        </w:tc>
      </w:tr>
      <w:tr>
        <w:trPr>
          <w:trHeight w:val="193"/>
        </w:trPr>
        <w:tc>
          <w:tcPr>
            <w:tcW w:w="3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3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Carsten Brunn, Ph.D.</w:t>
            </w:r>
          </w:p>
        </w:tc>
      </w:tr>
      <w:tr>
        <w:trPr>
          <w:trHeight w:val="226"/>
        </w:trPr>
        <w:tc>
          <w:tcPr>
            <w:tcW w:w="37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69"/>
        </w:trPr>
        <w:tc>
          <w:tcPr>
            <w:tcW w:w="37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5" w:name="page6"/>
    <w:bookmarkEnd w:id="5"/>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183515</wp:posOffset>
            </wp:positionV>
            <wp:extent cx="7196455" cy="4354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4791075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2020-09-30T15:34:25Z</dcterms:created>
  <dcterms:modified xsi:type="dcterms:W3CDTF">2020-09-30T15:34:25Z</dcterms:modified>
</cp:coreProperties>
</file>