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As filed with the Securities and Exchange Commission on January 29, 2020</w:t>
      </w:r>
    </w:p>
    <w:p>
      <w:pPr>
        <w:spacing w:after="0" w:line="204" w:lineRule="exact"/>
        <w:rPr>
          <w:sz w:val="24"/>
          <w:szCs w:val="24"/>
          <w:color w:val="auto"/>
        </w:rPr>
      </w:pPr>
    </w:p>
    <w:p>
      <w:pPr>
        <w:ind w:left="96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S-3</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REGISTRATION STATEMENT</w:t>
      </w:r>
    </w:p>
    <w:p>
      <w:pPr>
        <w:jc w:val="center"/>
        <w:ind w:right="-19"/>
        <w:spacing w:after="0" w:line="221" w:lineRule="auto"/>
        <w:rPr>
          <w:sz w:val="20"/>
          <w:szCs w:val="20"/>
          <w:color w:val="auto"/>
        </w:rPr>
      </w:pPr>
      <w:r>
        <w:rPr>
          <w:rFonts w:ascii="Arial" w:cs="Arial" w:eastAsia="Arial" w:hAnsi="Arial"/>
          <w:sz w:val="14"/>
          <w:szCs w:val="14"/>
          <w:b w:val="1"/>
          <w:bCs w:val="1"/>
          <w:color w:val="auto"/>
        </w:rPr>
        <w:t>UNDER</w:t>
      </w:r>
    </w:p>
    <w:p>
      <w:pPr>
        <w:jc w:val="center"/>
        <w:ind w:right="-19"/>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SELECTA BIOSCIENCES,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tbl>
      <w:tblPr>
        <w:tblLayout w:type="fixed"/>
        <w:tblInd w:w="3840" w:type="dxa"/>
        <w:tblCellMar>
          <w:top w:w="0" w:type="dxa"/>
          <w:left w:w="0" w:type="dxa"/>
          <w:bottom w:w="0" w:type="dxa"/>
          <w:right w:w="0" w:type="dxa"/>
        </w:tblCellMar>
      </w:tblPr>
      <w:tr>
        <w:trPr>
          <w:trHeight w:val="161"/>
        </w:trPr>
        <w:tc>
          <w:tcPr>
            <w:tcW w:w="1960" w:type="dxa"/>
            <w:vAlign w:val="bottom"/>
          </w:tcPr>
          <w:p>
            <w:pPr>
              <w:jc w:val="center"/>
              <w:ind w:right="252"/>
              <w:spacing w:after="0"/>
              <w:rPr>
                <w:sz w:val="20"/>
                <w:szCs w:val="20"/>
                <w:color w:val="auto"/>
              </w:rPr>
            </w:pPr>
            <w:r>
              <w:rPr>
                <w:rFonts w:ascii="Arial" w:cs="Arial" w:eastAsia="Arial" w:hAnsi="Arial"/>
                <w:sz w:val="14"/>
                <w:szCs w:val="14"/>
                <w:b w:val="1"/>
                <w:bCs w:val="1"/>
                <w:color w:val="auto"/>
                <w:w w:val="91"/>
              </w:rPr>
              <w:t>Delaware</w:t>
            </w:r>
          </w:p>
        </w:tc>
        <w:tc>
          <w:tcPr>
            <w:tcW w:w="1600" w:type="dxa"/>
            <w:vAlign w:val="bottom"/>
          </w:tcPr>
          <w:p>
            <w:pPr>
              <w:jc w:val="center"/>
              <w:ind w:left="272"/>
              <w:spacing w:after="0"/>
              <w:rPr>
                <w:sz w:val="20"/>
                <w:szCs w:val="20"/>
                <w:color w:val="auto"/>
              </w:rPr>
            </w:pPr>
            <w:r>
              <w:rPr>
                <w:rFonts w:ascii="Arial" w:cs="Arial" w:eastAsia="Arial" w:hAnsi="Arial"/>
                <w:sz w:val="14"/>
                <w:szCs w:val="14"/>
                <w:b w:val="1"/>
                <w:bCs w:val="1"/>
                <w:color w:val="auto"/>
                <w:w w:val="88"/>
              </w:rPr>
              <w:t>26-1622110</w:t>
            </w:r>
          </w:p>
        </w:tc>
      </w:tr>
      <w:tr>
        <w:trPr>
          <w:trHeight w:val="149"/>
        </w:trPr>
        <w:tc>
          <w:tcPr>
            <w:tcW w:w="1960" w:type="dxa"/>
            <w:vAlign w:val="bottom"/>
          </w:tcPr>
          <w:p>
            <w:pPr>
              <w:jc w:val="center"/>
              <w:ind w:right="252"/>
              <w:spacing w:after="0" w:line="149" w:lineRule="exact"/>
              <w:rPr>
                <w:sz w:val="20"/>
                <w:szCs w:val="20"/>
                <w:color w:val="auto"/>
              </w:rPr>
            </w:pPr>
            <w:r>
              <w:rPr>
                <w:rFonts w:ascii="Arial" w:cs="Arial" w:eastAsia="Arial" w:hAnsi="Arial"/>
                <w:sz w:val="14"/>
                <w:szCs w:val="14"/>
                <w:color w:val="auto"/>
                <w:w w:val="89"/>
              </w:rPr>
              <w:t>(State or other jurisdiction of</w:t>
            </w:r>
          </w:p>
        </w:tc>
        <w:tc>
          <w:tcPr>
            <w:tcW w:w="1600" w:type="dxa"/>
            <w:vAlign w:val="bottom"/>
          </w:tcPr>
          <w:p>
            <w:pPr>
              <w:jc w:val="center"/>
              <w:ind w:left="25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1960" w:type="dxa"/>
            <w:vAlign w:val="bottom"/>
          </w:tcPr>
          <w:p>
            <w:pPr>
              <w:jc w:val="center"/>
              <w:ind w:right="252"/>
              <w:spacing w:after="0"/>
              <w:rPr>
                <w:sz w:val="20"/>
                <w:szCs w:val="20"/>
                <w:color w:val="auto"/>
              </w:rPr>
            </w:pPr>
            <w:r>
              <w:rPr>
                <w:rFonts w:ascii="Arial" w:cs="Arial" w:eastAsia="Arial" w:hAnsi="Arial"/>
                <w:sz w:val="14"/>
                <w:szCs w:val="14"/>
                <w:color w:val="auto"/>
                <w:w w:val="90"/>
              </w:rPr>
              <w:t>incorporation or organization)</w:t>
            </w:r>
          </w:p>
        </w:tc>
        <w:tc>
          <w:tcPr>
            <w:tcW w:w="1600" w:type="dxa"/>
            <w:vAlign w:val="bottom"/>
          </w:tcPr>
          <w:p>
            <w:pPr>
              <w:jc w:val="center"/>
              <w:ind w:left="272"/>
              <w:spacing w:after="0"/>
              <w:rPr>
                <w:sz w:val="20"/>
                <w:szCs w:val="20"/>
                <w:color w:val="auto"/>
              </w:rPr>
            </w:pPr>
            <w:r>
              <w:rPr>
                <w:rFonts w:ascii="Arial" w:cs="Arial" w:eastAsia="Arial" w:hAnsi="Arial"/>
                <w:sz w:val="14"/>
                <w:szCs w:val="14"/>
                <w:color w:val="auto"/>
                <w:w w:val="91"/>
              </w:rPr>
              <w:t>Identification Number)</w:t>
            </w:r>
          </w:p>
        </w:tc>
      </w:tr>
    </w:tbl>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480 Arsenal Way</w:t>
      </w:r>
    </w:p>
    <w:p>
      <w:pPr>
        <w:jc w:val="center"/>
        <w:ind w:right="-19"/>
        <w:spacing w:after="0" w:line="223" w:lineRule="auto"/>
        <w:rPr>
          <w:sz w:val="20"/>
          <w:szCs w:val="20"/>
          <w:color w:val="auto"/>
        </w:rPr>
      </w:pPr>
      <w:r>
        <w:rPr>
          <w:rFonts w:ascii="Arial" w:cs="Arial" w:eastAsia="Arial" w:hAnsi="Arial"/>
          <w:sz w:val="14"/>
          <w:szCs w:val="14"/>
          <w:b w:val="1"/>
          <w:bCs w:val="1"/>
          <w:color w:val="auto"/>
        </w:rPr>
        <w:t>Watertown, MA 02472</w:t>
      </w:r>
    </w:p>
    <w:p>
      <w:pPr>
        <w:jc w:val="center"/>
        <w:ind w:right="-19"/>
        <w:spacing w:after="0" w:line="222" w:lineRule="auto"/>
        <w:rPr>
          <w:sz w:val="20"/>
          <w:szCs w:val="20"/>
          <w:color w:val="auto"/>
        </w:rPr>
      </w:pPr>
      <w:r>
        <w:rPr>
          <w:rFonts w:ascii="Arial" w:cs="Arial" w:eastAsia="Arial" w:hAnsi="Arial"/>
          <w:sz w:val="14"/>
          <w:szCs w:val="14"/>
          <w:b w:val="1"/>
          <w:bCs w:val="1"/>
          <w:color w:val="auto"/>
        </w:rPr>
        <w:t>(617) 923-1400</w:t>
      </w:r>
    </w:p>
    <w:p>
      <w:pPr>
        <w:jc w:val="center"/>
        <w:ind w:right="-19"/>
        <w:spacing w:after="0" w:line="221" w:lineRule="auto"/>
        <w:rPr>
          <w:sz w:val="20"/>
          <w:szCs w:val="20"/>
          <w:color w:val="auto"/>
        </w:rPr>
      </w:pPr>
      <w:r>
        <w:rPr>
          <w:rFonts w:ascii="Arial" w:cs="Arial" w:eastAsia="Arial" w:hAnsi="Arial"/>
          <w:sz w:val="14"/>
          <w:szCs w:val="14"/>
          <w:color w:val="auto"/>
        </w:rPr>
        <w:t>(Address, including zip code, and telephone number, including</w:t>
      </w:r>
    </w:p>
    <w:p>
      <w:pPr>
        <w:jc w:val="center"/>
        <w:ind w:right="-19"/>
        <w:spacing w:after="0"/>
        <w:rPr>
          <w:sz w:val="20"/>
          <w:szCs w:val="20"/>
          <w:color w:val="auto"/>
        </w:rPr>
      </w:pPr>
      <w:r>
        <w:rPr>
          <w:rFonts w:ascii="Arial" w:cs="Arial" w:eastAsia="Arial" w:hAnsi="Arial"/>
          <w:sz w:val="14"/>
          <w:szCs w:val="14"/>
          <w:color w:val="auto"/>
        </w:rPr>
        <w:t>area code, of registrant's principal executive offices)</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Carsten Brunn, Ph.D.</w:t>
      </w:r>
    </w:p>
    <w:p>
      <w:pPr>
        <w:jc w:val="center"/>
        <w:ind w:right="-19"/>
        <w:spacing w:after="0" w:line="223" w:lineRule="auto"/>
        <w:rPr>
          <w:sz w:val="20"/>
          <w:szCs w:val="20"/>
          <w:color w:val="auto"/>
        </w:rPr>
      </w:pPr>
      <w:r>
        <w:rPr>
          <w:rFonts w:ascii="Arial" w:cs="Arial" w:eastAsia="Arial" w:hAnsi="Arial"/>
          <w:sz w:val="14"/>
          <w:szCs w:val="14"/>
          <w:b w:val="1"/>
          <w:bCs w:val="1"/>
          <w:color w:val="auto"/>
        </w:rPr>
        <w:t>Selecta Biosciences, Inc.</w:t>
      </w:r>
    </w:p>
    <w:p>
      <w:pPr>
        <w:jc w:val="center"/>
        <w:ind w:right="-19"/>
        <w:spacing w:after="0" w:line="222" w:lineRule="auto"/>
        <w:rPr>
          <w:sz w:val="20"/>
          <w:szCs w:val="20"/>
          <w:color w:val="auto"/>
        </w:rPr>
      </w:pPr>
      <w:r>
        <w:rPr>
          <w:rFonts w:ascii="Arial" w:cs="Arial" w:eastAsia="Arial" w:hAnsi="Arial"/>
          <w:sz w:val="14"/>
          <w:szCs w:val="14"/>
          <w:b w:val="1"/>
          <w:bCs w:val="1"/>
          <w:color w:val="auto"/>
        </w:rPr>
        <w:t>480 Arsenal Way</w:t>
      </w:r>
    </w:p>
    <w:p>
      <w:pPr>
        <w:jc w:val="center"/>
        <w:ind w:right="-19"/>
        <w:spacing w:after="0" w:line="221" w:lineRule="auto"/>
        <w:rPr>
          <w:sz w:val="20"/>
          <w:szCs w:val="20"/>
          <w:color w:val="auto"/>
        </w:rPr>
      </w:pPr>
      <w:r>
        <w:rPr>
          <w:rFonts w:ascii="Arial" w:cs="Arial" w:eastAsia="Arial" w:hAnsi="Arial"/>
          <w:sz w:val="14"/>
          <w:szCs w:val="14"/>
          <w:b w:val="1"/>
          <w:bCs w:val="1"/>
          <w:color w:val="auto"/>
        </w:rPr>
        <w:t>Watertown, MA 02472</w:t>
      </w:r>
    </w:p>
    <w:p>
      <w:pPr>
        <w:jc w:val="center"/>
        <w:ind w:right="-19"/>
        <w:spacing w:after="0" w:line="222" w:lineRule="auto"/>
        <w:rPr>
          <w:sz w:val="20"/>
          <w:szCs w:val="20"/>
          <w:color w:val="auto"/>
        </w:rPr>
      </w:pPr>
      <w:r>
        <w:rPr>
          <w:rFonts w:ascii="Arial" w:cs="Arial" w:eastAsia="Arial" w:hAnsi="Arial"/>
          <w:sz w:val="14"/>
          <w:szCs w:val="14"/>
          <w:b w:val="1"/>
          <w:bCs w:val="1"/>
          <w:color w:val="auto"/>
        </w:rPr>
        <w:t>(617) 923-1400</w:t>
      </w:r>
    </w:p>
    <w:p>
      <w:pPr>
        <w:jc w:val="center"/>
        <w:ind w:right="-19"/>
        <w:spacing w:after="0" w:line="221" w:lineRule="auto"/>
        <w:rPr>
          <w:sz w:val="20"/>
          <w:szCs w:val="20"/>
          <w:color w:val="auto"/>
        </w:rPr>
      </w:pPr>
      <w:r>
        <w:rPr>
          <w:rFonts w:ascii="Arial" w:cs="Arial" w:eastAsia="Arial" w:hAnsi="Arial"/>
          <w:sz w:val="14"/>
          <w:szCs w:val="14"/>
          <w:color w:val="auto"/>
        </w:rPr>
        <w:t>(Address, including zip code, and telephone number, including</w:t>
      </w:r>
    </w:p>
    <w:p>
      <w:pPr>
        <w:jc w:val="center"/>
        <w:ind w:right="-19"/>
        <w:spacing w:after="0"/>
        <w:rPr>
          <w:sz w:val="20"/>
          <w:szCs w:val="20"/>
          <w:color w:val="auto"/>
        </w:rPr>
      </w:pPr>
      <w:r>
        <w:rPr>
          <w:rFonts w:ascii="Arial" w:cs="Arial" w:eastAsia="Arial" w:hAnsi="Arial"/>
          <w:sz w:val="14"/>
          <w:szCs w:val="14"/>
          <w:color w:val="auto"/>
        </w:rPr>
        <w:t>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Copies to:</w:t>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Peter N. Handrinos, Esq.</w:t>
      </w:r>
    </w:p>
    <w:p>
      <w:pPr>
        <w:jc w:val="center"/>
        <w:ind w:right="-19"/>
        <w:spacing w:after="0" w:line="223" w:lineRule="auto"/>
        <w:rPr>
          <w:sz w:val="20"/>
          <w:szCs w:val="20"/>
          <w:color w:val="auto"/>
        </w:rPr>
      </w:pPr>
      <w:r>
        <w:rPr>
          <w:rFonts w:ascii="Arial" w:cs="Arial" w:eastAsia="Arial" w:hAnsi="Arial"/>
          <w:sz w:val="14"/>
          <w:szCs w:val="14"/>
          <w:b w:val="1"/>
          <w:bCs w:val="1"/>
          <w:color w:val="auto"/>
        </w:rPr>
        <w:t>Wesley C. Holmes, Esq.</w:t>
      </w:r>
    </w:p>
    <w:p>
      <w:pPr>
        <w:jc w:val="center"/>
        <w:ind w:right="-19"/>
        <w:spacing w:after="0" w:line="222" w:lineRule="auto"/>
        <w:rPr>
          <w:sz w:val="20"/>
          <w:szCs w:val="20"/>
          <w:color w:val="auto"/>
        </w:rPr>
      </w:pPr>
      <w:r>
        <w:rPr>
          <w:rFonts w:ascii="Arial" w:cs="Arial" w:eastAsia="Arial" w:hAnsi="Arial"/>
          <w:sz w:val="14"/>
          <w:szCs w:val="14"/>
          <w:b w:val="1"/>
          <w:bCs w:val="1"/>
          <w:color w:val="auto"/>
        </w:rPr>
        <w:t>Latham &amp; Watkins LLP</w:t>
      </w:r>
    </w:p>
    <w:p>
      <w:pPr>
        <w:jc w:val="center"/>
        <w:ind w:right="-19"/>
        <w:spacing w:after="0" w:line="221" w:lineRule="auto"/>
        <w:rPr>
          <w:sz w:val="20"/>
          <w:szCs w:val="20"/>
          <w:color w:val="auto"/>
        </w:rPr>
      </w:pPr>
      <w:r>
        <w:rPr>
          <w:rFonts w:ascii="Arial" w:cs="Arial" w:eastAsia="Arial" w:hAnsi="Arial"/>
          <w:sz w:val="14"/>
          <w:szCs w:val="14"/>
          <w:b w:val="1"/>
          <w:bCs w:val="1"/>
          <w:color w:val="auto"/>
        </w:rPr>
        <w:t>200 Clarendon Street</w:t>
      </w:r>
    </w:p>
    <w:p>
      <w:pPr>
        <w:jc w:val="center"/>
        <w:ind w:right="-19"/>
        <w:spacing w:after="0" w:line="222" w:lineRule="auto"/>
        <w:rPr>
          <w:sz w:val="20"/>
          <w:szCs w:val="20"/>
          <w:color w:val="auto"/>
        </w:rPr>
      </w:pPr>
      <w:r>
        <w:rPr>
          <w:rFonts w:ascii="Arial" w:cs="Arial" w:eastAsia="Arial" w:hAnsi="Arial"/>
          <w:sz w:val="14"/>
          <w:szCs w:val="14"/>
          <w:b w:val="1"/>
          <w:bCs w:val="1"/>
          <w:color w:val="auto"/>
        </w:rPr>
        <w:t>Boston, MA 02116</w:t>
      </w:r>
    </w:p>
    <w:p>
      <w:pPr>
        <w:jc w:val="center"/>
        <w:ind w:right="-19"/>
        <w:spacing w:after="0" w:line="221" w:lineRule="auto"/>
        <w:rPr>
          <w:sz w:val="20"/>
          <w:szCs w:val="20"/>
          <w:color w:val="auto"/>
        </w:rPr>
      </w:pPr>
      <w:r>
        <w:rPr>
          <w:rFonts w:ascii="Arial" w:cs="Arial" w:eastAsia="Arial" w:hAnsi="Arial"/>
          <w:sz w:val="14"/>
          <w:szCs w:val="14"/>
          <w:b w:val="1"/>
          <w:bCs w:val="1"/>
          <w:color w:val="auto"/>
        </w:rPr>
        <w:t>Telephone: (617) 948-6000</w:t>
      </w:r>
    </w:p>
    <w:p>
      <w:pPr>
        <w:jc w:val="center"/>
        <w:ind w:right="-19"/>
        <w:spacing w:after="0"/>
        <w:rPr>
          <w:sz w:val="20"/>
          <w:szCs w:val="20"/>
          <w:color w:val="auto"/>
        </w:rPr>
      </w:pPr>
      <w:r>
        <w:rPr>
          <w:rFonts w:ascii="Arial" w:cs="Arial" w:eastAsia="Arial" w:hAnsi="Arial"/>
          <w:sz w:val="14"/>
          <w:szCs w:val="14"/>
          <w:b w:val="1"/>
          <w:bCs w:val="1"/>
          <w:color w:val="auto"/>
        </w:rPr>
        <w:t>Fax: (617) 948-6001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From time to time after the effective date of this registration statement.</w:t>
      </w:r>
    </w:p>
    <w:p>
      <w:pPr>
        <w:spacing w:after="0" w:line="192" w:lineRule="exact"/>
        <w:rPr>
          <w:sz w:val="24"/>
          <w:szCs w:val="24"/>
          <w:color w:val="auto"/>
        </w:rPr>
      </w:pPr>
    </w:p>
    <w:p>
      <w:pPr>
        <w:ind w:left="380"/>
        <w:spacing w:after="0"/>
        <w:tabs>
          <w:tab w:leader="none" w:pos="8740" w:val="left"/>
        </w:tabs>
        <w:rPr>
          <w:sz w:val="20"/>
          <w:szCs w:val="20"/>
          <w:color w:val="auto"/>
        </w:rPr>
      </w:pPr>
      <w:r>
        <w:rPr>
          <w:rFonts w:ascii="Arial" w:cs="Arial" w:eastAsia="Arial" w:hAnsi="Arial"/>
          <w:sz w:val="12"/>
          <w:szCs w:val="12"/>
          <w:color w:val="auto"/>
        </w:rPr>
        <w:t>If the only securities being registered on this Form are being offered pursuant to dividend or interest reinvestment plans, please check the following box.</w:t>
      </w:r>
      <w:r>
        <w:rPr>
          <w:sz w:val="20"/>
          <w:szCs w:val="20"/>
          <w:color w:val="auto"/>
        </w:rPr>
        <w:tab/>
      </w:r>
      <w:r>
        <w:rPr>
          <w:rFonts w:ascii="Arial" w:cs="Arial" w:eastAsia="Arial" w:hAnsi="Arial"/>
          <w:sz w:val="10"/>
          <w:szCs w:val="10"/>
          <w:color w:val="auto"/>
        </w:rPr>
        <w:t>o</w:t>
      </w:r>
    </w:p>
    <w:p>
      <w:pPr>
        <w:spacing w:after="0" w:line="227" w:lineRule="exact"/>
        <w:rPr>
          <w:sz w:val="24"/>
          <w:szCs w:val="24"/>
          <w:color w:val="auto"/>
        </w:rPr>
      </w:pPr>
    </w:p>
    <w:p>
      <w:pPr>
        <w:ind w:right="560" w:firstLine="371"/>
        <w:spacing w:after="0" w:line="168"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79" w:lineRule="exact"/>
        <w:rPr>
          <w:sz w:val="24"/>
          <w:szCs w:val="24"/>
          <w:color w:val="auto"/>
        </w:rPr>
      </w:pPr>
    </w:p>
    <w:p>
      <w:pPr>
        <w:ind w:firstLine="371"/>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140" w:firstLine="371"/>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100" w:firstLine="371"/>
        <w:spacing w:after="0" w:line="239" w:lineRule="auto"/>
        <w:rPr>
          <w:sz w:val="20"/>
          <w:szCs w:val="20"/>
          <w:color w:val="auto"/>
        </w:rPr>
      </w:pPr>
      <w:r>
        <w:rPr>
          <w:rFonts w:ascii="Arial" w:cs="Arial" w:eastAsia="Arial" w:hAnsi="Arial"/>
          <w:sz w:val="14"/>
          <w:szCs w:val="14"/>
          <w:color w:val="auto"/>
        </w:rPr>
        <w:t>If this Form is a registration statement pursuant to General Instruction I.D. or a post-effective amendment thereto that shall become effective on filing with the Commission pursuant to Rule 462(e) under the Securities Act, check the following box. o</w:t>
      </w:r>
    </w:p>
    <w:p>
      <w:pPr>
        <w:spacing w:after="0" w:line="193" w:lineRule="exact"/>
        <w:rPr>
          <w:sz w:val="24"/>
          <w:szCs w:val="24"/>
          <w:color w:val="auto"/>
        </w:rPr>
      </w:pPr>
    </w:p>
    <w:p>
      <w:pPr>
        <w:ind w:right="640" w:firstLine="371"/>
        <w:spacing w:after="0" w:line="239" w:lineRule="auto"/>
        <w:rPr>
          <w:sz w:val="20"/>
          <w:szCs w:val="20"/>
          <w:color w:val="auto"/>
        </w:rPr>
      </w:pPr>
      <w:r>
        <w:rPr>
          <w:rFonts w:ascii="Arial" w:cs="Arial" w:eastAsia="Arial" w:hAnsi="Arial"/>
          <w:sz w:val="14"/>
          <w:szCs w:val="14"/>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193" w:lineRule="exact"/>
        <w:rPr>
          <w:sz w:val="24"/>
          <w:szCs w:val="24"/>
          <w:color w:val="auto"/>
        </w:rPr>
      </w:pPr>
    </w:p>
    <w:p>
      <w:pPr>
        <w:ind w:right="240" w:firstLine="371"/>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685" w:right="239" w:bottom="0" w:gutter="0" w:footer="0" w:header="0"/>
        </w:sectPr>
      </w:pPr>
    </w:p>
    <w:bookmarkStart w:id="1" w:name="page2"/>
    <w:bookmarkEnd w:id="1"/>
    <w:p>
      <w:pPr>
        <w:spacing w:after="0" w:line="25" w:lineRule="exact"/>
        <w:rPr>
          <w:sz w:val="20"/>
          <w:szCs w:val="20"/>
          <w:color w:val="auto"/>
        </w:rPr>
      </w:pPr>
    </w:p>
    <w:p>
      <w:pPr>
        <w:ind w:left="340"/>
        <w:spacing w:after="0"/>
        <w:rPr>
          <w:sz w:val="20"/>
          <w:szCs w:val="20"/>
          <w:color w:val="auto"/>
        </w:rPr>
      </w:pPr>
      <w:r>
        <w:rPr>
          <w:rFonts w:ascii="Arial" w:cs="Arial" w:eastAsia="Arial" w:hAnsi="Arial"/>
          <w:sz w:val="12"/>
          <w:szCs w:val="12"/>
          <w:color w:val="auto"/>
        </w:rPr>
        <w:t>Large accelerated filer o</w:t>
      </w:r>
    </w:p>
    <w:p>
      <w:pPr>
        <w:spacing w:after="0" w:line="20" w:lineRule="exact"/>
        <w:rPr>
          <w:sz w:val="20"/>
          <w:szCs w:val="20"/>
          <w:color w:val="auto"/>
        </w:rPr>
      </w:pPr>
      <w:r>
        <w:rPr>
          <w:sz w:val="20"/>
          <w:szCs w:val="20"/>
          <w:color w:val="auto"/>
        </w:rPr>
        <w:br w:type="column"/>
      </w:r>
    </w:p>
    <w:p>
      <w:pPr>
        <w:jc w:val="center"/>
        <w:ind w:right="1080"/>
        <w:spacing w:after="0" w:line="118" w:lineRule="exact"/>
        <w:rPr>
          <w:sz w:val="20"/>
          <w:szCs w:val="20"/>
          <w:color w:val="auto"/>
        </w:rPr>
      </w:pPr>
      <w:r>
        <w:rPr>
          <w:rFonts w:ascii="Arial" w:cs="Arial" w:eastAsia="Arial" w:hAnsi="Arial"/>
          <w:sz w:val="12"/>
          <w:szCs w:val="12"/>
          <w:color w:val="auto"/>
        </w:rPr>
        <w:t xml:space="preserve">Accelerated filer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1180"/>
        <w:spacing w:after="0"/>
        <w:rPr>
          <w:sz w:val="20"/>
          <w:szCs w:val="20"/>
          <w:color w:val="auto"/>
        </w:rPr>
      </w:pPr>
      <w:r>
        <w:rPr>
          <w:rFonts w:ascii="Arial" w:cs="Arial" w:eastAsia="Arial" w:hAnsi="Arial"/>
          <w:sz w:val="12"/>
          <w:szCs w:val="12"/>
          <w:color w:val="auto"/>
        </w:rPr>
        <w:t>Non-accelerated filer o</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r>
        <w:rPr>
          <w:rFonts w:ascii="Arial" w:cs="Arial" w:eastAsia="Arial" w:hAnsi="Arial"/>
          <w:sz w:val="12"/>
          <w:szCs w:val="12"/>
          <w:color w:val="auto"/>
        </w:rPr>
        <w:t xml:space="preserve">Smaller reporting company </w:t>
      </w:r>
      <w:r>
        <w:rPr>
          <w:rFonts w:ascii="MS PGothic" w:cs="MS PGothic" w:eastAsia="MS PGothic" w:hAnsi="MS PGothic"/>
          <w:sz w:val="12"/>
          <w:szCs w:val="12"/>
          <w:color w:val="auto"/>
        </w:rPr>
        <w:t>☒</w:t>
      </w:r>
    </w:p>
    <w:p>
      <w:pPr>
        <w:spacing w:after="0" w:line="48" w:lineRule="exact"/>
        <w:rPr>
          <w:sz w:val="20"/>
          <w:szCs w:val="20"/>
          <w:color w:val="auto"/>
        </w:r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200" w:lineRule="exact"/>
        <w:rPr>
          <w:sz w:val="20"/>
          <w:szCs w:val="20"/>
          <w:color w:val="auto"/>
        </w:rPr>
      </w:pPr>
    </w:p>
    <w:p>
      <w:pPr>
        <w:sectPr>
          <w:pgSz w:w="11900" w:h="16838" w:orient="portrait"/>
          <w:cols w:equalWidth="0" w:num="4">
            <w:col w:w="2720" w:space="720"/>
            <w:col w:w="2140" w:space="720"/>
            <w:col w:w="2420" w:space="720"/>
            <w:col w:w="1880"/>
          </w:cols>
          <w:pgMar w:left="240" w:top="104" w:right="339" w:bottom="1440" w:gutter="0" w:footer="0" w:header="0"/>
        </w:sectPr>
      </w:pPr>
    </w:p>
    <w:p>
      <w:pPr>
        <w:spacing w:after="0" w:line="15" w:lineRule="exact"/>
        <w:rPr>
          <w:sz w:val="20"/>
          <w:szCs w:val="20"/>
          <w:color w:val="auto"/>
        </w:rPr>
      </w:pPr>
    </w:p>
    <w:p>
      <w:pPr>
        <w:ind w:right="40" w:firstLine="371"/>
        <w:spacing w:after="0" w:line="16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 with any new or revised financial accounting standards provided pursuant to Section 7(a)(2)(B) of Securities Act.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120650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CALCULATION OF REGISTRATION FEE</w:t>
      </w:r>
    </w:p>
    <w:p>
      <w:pPr>
        <w:spacing w:after="0" w:line="200" w:lineRule="exact"/>
        <w:rPr>
          <w:sz w:val="20"/>
          <w:szCs w:val="20"/>
          <w:color w:val="auto"/>
        </w:rPr>
      </w:pPr>
    </w:p>
    <w:p>
      <w:pPr>
        <w:spacing w:after="0" w:line="240" w:lineRule="exact"/>
        <w:rPr>
          <w:sz w:val="20"/>
          <w:szCs w:val="20"/>
          <w:color w:val="auto"/>
        </w:rPr>
      </w:pPr>
    </w:p>
    <w:tbl>
      <w:tblPr>
        <w:tblLayout w:type="fixed"/>
        <w:tblInd w:w="142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272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32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4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rPr>
              <w:t>Proposed Maximum</w:t>
            </w:r>
          </w:p>
        </w:tc>
        <w:tc>
          <w:tcPr>
            <w:tcW w:w="132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Title of Each Class of Securities</w:t>
            </w:r>
          </w:p>
        </w:tc>
        <w:tc>
          <w:tcPr>
            <w:tcW w:w="1520" w:type="dxa"/>
            <w:vAlign w:val="bottom"/>
          </w:tcPr>
          <w:p>
            <w:pPr>
              <w:jc w:val="center"/>
              <w:ind w:left="52"/>
              <w:spacing w:after="0" w:line="149" w:lineRule="exact"/>
              <w:rPr>
                <w:sz w:val="20"/>
                <w:szCs w:val="20"/>
                <w:color w:val="auto"/>
              </w:rPr>
            </w:pPr>
            <w:r>
              <w:rPr>
                <w:rFonts w:ascii="Arial" w:cs="Arial" w:eastAsia="Arial" w:hAnsi="Arial"/>
                <w:sz w:val="14"/>
                <w:szCs w:val="14"/>
                <w:b w:val="1"/>
                <w:bCs w:val="1"/>
                <w:color w:val="auto"/>
                <w:w w:val="88"/>
              </w:rPr>
              <w:t>Amount to be</w:t>
            </w:r>
          </w:p>
        </w:tc>
        <w:tc>
          <w:tcPr>
            <w:tcW w:w="146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Offering Price Per</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82"/>
        </w:trPr>
        <w:tc>
          <w:tcPr>
            <w:tcW w:w="20" w:type="dxa"/>
            <w:vAlign w:val="bottom"/>
          </w:tcPr>
          <w:p>
            <w:pPr>
              <w:spacing w:after="0"/>
              <w:rPr>
                <w:sz w:val="15"/>
                <w:szCs w:val="15"/>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to be Registered</w:t>
            </w:r>
          </w:p>
        </w:tc>
        <w:tc>
          <w:tcPr>
            <w:tcW w:w="1520" w:type="dxa"/>
            <w:vAlign w:val="bottom"/>
            <w:tcBorders>
              <w:bottom w:val="single" w:sz="8" w:color="auto"/>
            </w:tcBorders>
          </w:tcPr>
          <w:p>
            <w:pPr>
              <w:jc w:val="center"/>
              <w:ind w:left="52"/>
              <w:spacing w:after="0"/>
              <w:rPr>
                <w:sz w:val="20"/>
                <w:szCs w:val="20"/>
                <w:color w:val="auto"/>
              </w:rPr>
            </w:pPr>
            <w:r>
              <w:rPr>
                <w:rFonts w:ascii="Arial" w:cs="Arial" w:eastAsia="Arial" w:hAnsi="Arial"/>
                <w:sz w:val="14"/>
                <w:szCs w:val="14"/>
                <w:b w:val="1"/>
                <w:bCs w:val="1"/>
                <w:color w:val="auto"/>
                <w:w w:val="84"/>
              </w:rPr>
              <w:t>Registered(1)</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Share(2)</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Registration Fee</w:t>
            </w:r>
          </w:p>
        </w:tc>
      </w:tr>
      <w:tr>
        <w:trPr>
          <w:trHeight w:val="174"/>
        </w:trPr>
        <w:tc>
          <w:tcPr>
            <w:tcW w:w="2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6"/>
              </w:rPr>
              <w:t>Common Stock, $0.0001 par value per share</w:t>
            </w:r>
          </w:p>
        </w:tc>
        <w:tc>
          <w:tcPr>
            <w:tcW w:w="152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color w:val="auto"/>
                <w:w w:val="84"/>
              </w:rPr>
              <w:t>68,965,512 shares</w:t>
            </w:r>
          </w:p>
        </w:tc>
        <w:tc>
          <w:tcPr>
            <w:tcW w:w="14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$2.90</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$199,999,984.80</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$25,960</w:t>
            </w:r>
          </w:p>
        </w:tc>
      </w:tr>
      <w:tr>
        <w:trPr>
          <w:trHeight w:val="20"/>
        </w:trPr>
        <w:tc>
          <w:tcPr>
            <w:tcW w:w="2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jc w:val="both"/>
        <w:ind w:left="540" w:hanging="532"/>
        <w:spacing w:after="0" w:line="233"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Consists of (a) 37,634,883 outstanding shares of the registrant's common stock and (b) 31,330,629 shares of the registrant's common stock issuable upon exercise of common stock purchase warrants. Pursuant to Rule 416(a) of the Securities Act of 1933, as amended, this registration statement also covers such additional shares as may hereafter be offered or issued to prevent dilution resulting from stock splits, stock dividends, recapitalizations or certain other capital adjustments.</w:t>
      </w:r>
    </w:p>
    <w:p>
      <w:pPr>
        <w:spacing w:after="0" w:line="111" w:lineRule="exact"/>
        <w:rPr>
          <w:rFonts w:ascii="Arial" w:cs="Arial" w:eastAsia="Arial" w:hAnsi="Arial"/>
          <w:sz w:val="14"/>
          <w:szCs w:val="14"/>
          <w:color w:val="auto"/>
        </w:rPr>
      </w:pPr>
    </w:p>
    <w:p>
      <w:pPr>
        <w:ind w:left="540" w:right="120" w:hanging="532"/>
        <w:spacing w:after="0" w:line="318" w:lineRule="auto"/>
        <w:tabs>
          <w:tab w:leader="none" w:pos="540"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calculating the registration fee in accordance with Rule 457(c) under the Securities Act of 1933, as amended. The price per share and aggregate offering price are based on the average of the high and low prices of the registrant's common stock on January 27, 2020, as reported on The Nasdaq Global Market.</w:t>
      </w:r>
    </w:p>
    <w:p>
      <w:pPr>
        <w:spacing w:after="0" w:line="146" w:lineRule="exact"/>
        <w:rPr>
          <w:sz w:val="20"/>
          <w:szCs w:val="20"/>
          <w:color w:val="auto"/>
        </w:rPr>
      </w:pPr>
    </w:p>
    <w:p>
      <w:pPr>
        <w:ind w:right="380" w:firstLine="371"/>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318135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487680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04" w:right="33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b w:val="1"/>
          <w:bCs w:val="1"/>
          <w:color w:val="EF505F"/>
        </w:rPr>
        <w:t>The information contained in this prospectus is not complete and may be changed. The selling stockholders named in this prospectus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EF505F"/>
        </w:rPr>
        <w:t>Subject to Completion, Dated January 29,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152400</wp:posOffset>
            </wp:positionV>
            <wp:extent cx="2375535" cy="771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7553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Selecta Biosciences, Inc.</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24"/>
          <w:szCs w:val="24"/>
          <w:b w:val="1"/>
          <w:bCs w:val="1"/>
          <w:color w:val="auto"/>
        </w:rPr>
        <w:t>68,965,512 Shares of Common Stock</w:t>
      </w:r>
    </w:p>
    <w:p>
      <w:pPr>
        <w:spacing w:after="0" w:line="36" w:lineRule="exact"/>
        <w:rPr>
          <w:sz w:val="20"/>
          <w:szCs w:val="20"/>
          <w:color w:val="auto"/>
        </w:rPr>
      </w:pPr>
    </w:p>
    <w:p>
      <w:pPr>
        <w:ind w:left="3880"/>
        <w:spacing w:after="0"/>
        <w:rPr>
          <w:sz w:val="20"/>
          <w:szCs w:val="20"/>
          <w:color w:val="auto"/>
        </w:rPr>
      </w:pPr>
      <w:r>
        <w:rPr>
          <w:rFonts w:ascii="Arial" w:cs="Arial" w:eastAsia="Arial" w:hAnsi="Arial"/>
          <w:sz w:val="24"/>
          <w:szCs w:val="24"/>
          <w:b w:val="1"/>
          <w:bCs w:val="1"/>
          <w:color w:val="auto"/>
        </w:rPr>
        <w:t>Offered by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142240</wp:posOffset>
            </wp:positionV>
            <wp:extent cx="1895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This prospectus relates to the proposed resale or other disposition by the selling stockholders identified in this prospectus of up to an aggregate of 68,965,512 shares of common stock, par value $0.0001 per share, of Selecta Biosciences, Inc., of which 37,634,883 shares are presently issued and outstanding and 31,330,629 shares are issuable upon exercise of warrants to purchase shares of common stock. The shares being offered were issued and sold to accredited investors in a private placement, or the 2019 Private Placement, which closed on December 23, 2019. We are not selling any shares of common stock under this prospectus and will not receive any of the proceeds from the sale or other disposition of common stock by the selling stockholders.</w:t>
      </w:r>
    </w:p>
    <w:p>
      <w:pPr>
        <w:spacing w:after="0" w:line="170"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selling stockholders may sell the shares of common stock on any national securities exchange or quotation service on which the securities may be listed or quoted at the time of sale, in the over-the-counter market, in one or more transactions otherwise than on these exchanges or systems, such as privately negotiated transactions, or using a combination of these methods, and at fixed prices, at prevailing market prices at the time of the sale, at varying prices determined at the time of sale, or at negotiated prices. See the disclosure under the heading "Plan of Distribution" elsewhere in this prospectus for more information about how the selling stockholders may sell or otherwise dispose of their shares of common stock hereunder.</w:t>
      </w:r>
    </w:p>
    <w:p>
      <w:pPr>
        <w:spacing w:after="0" w:line="170" w:lineRule="exact"/>
        <w:rPr>
          <w:sz w:val="20"/>
          <w:szCs w:val="20"/>
          <w:color w:val="auto"/>
        </w:rPr>
      </w:pPr>
    </w:p>
    <w:p>
      <w:pPr>
        <w:ind w:right="360" w:firstLine="348"/>
        <w:spacing w:after="0" w:line="370" w:lineRule="auto"/>
        <w:rPr>
          <w:sz w:val="20"/>
          <w:szCs w:val="20"/>
          <w:color w:val="auto"/>
        </w:rPr>
      </w:pPr>
      <w:r>
        <w:rPr>
          <w:rFonts w:ascii="Arial" w:cs="Arial" w:eastAsia="Arial" w:hAnsi="Arial"/>
          <w:sz w:val="15"/>
          <w:szCs w:val="15"/>
          <w:color w:val="auto"/>
        </w:rPr>
        <w:t>The selling stockholders may sell any, all or none of the securities offered by this prospectus and we do not know when or in what amount the selling stockholders may sell their shares of common stock hereunder following the effective date of the registration statement of which this prospectus forms a part.</w:t>
      </w:r>
    </w:p>
    <w:p>
      <w:pPr>
        <w:spacing w:after="0" w:line="11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Our common stock is listed on The Nasdaq Global Market under the symbol "SELB." On January 27, 2020, the last reported sale price of our common stock on The Nasdaq Global Market was $2.91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123190</wp:posOffset>
            </wp:positionV>
            <wp:extent cx="18954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351"/>
        <w:spacing w:after="0" w:line="243" w:lineRule="auto"/>
        <w:rPr>
          <w:sz w:val="20"/>
          <w:szCs w:val="20"/>
          <w:color w:val="auto"/>
        </w:rPr>
      </w:pPr>
      <w:r>
        <w:rPr>
          <w:rFonts w:ascii="Arial" w:cs="Arial" w:eastAsia="Arial" w:hAnsi="Arial"/>
          <w:sz w:val="22"/>
          <w:szCs w:val="22"/>
          <w:b w:val="1"/>
          <w:bCs w:val="1"/>
          <w:color w:val="auto"/>
        </w:rPr>
        <w:t>Investing in our common stock involves a high degree of risk. Before making an investment decision, please read the information under the heading "</w:t>
      </w:r>
      <w:r>
        <w:rPr>
          <w:rFonts w:ascii="Arial" w:cs="Arial" w:eastAsia="Arial" w:hAnsi="Arial"/>
          <w:sz w:val="22"/>
          <w:szCs w:val="22"/>
          <w:b w:val="1"/>
          <w:bCs w:val="1"/>
          <w:i w:val="1"/>
          <w:iCs w:val="1"/>
          <w:color w:val="auto"/>
        </w:rPr>
        <w:t>Risk Factors</w:t>
      </w:r>
      <w:r>
        <w:rPr>
          <w:rFonts w:ascii="Arial" w:cs="Arial" w:eastAsia="Arial" w:hAnsi="Arial"/>
          <w:sz w:val="22"/>
          <w:szCs w:val="22"/>
          <w:b w:val="1"/>
          <w:bCs w:val="1"/>
          <w:color w:val="auto"/>
        </w:rPr>
        <w:t>" beginning on page 4 of this prospectus and in the documents incorporated by reference into this prospectus.</w:t>
      </w:r>
    </w:p>
    <w:p>
      <w:pPr>
        <w:spacing w:after="0" w:line="190" w:lineRule="exact"/>
        <w:rPr>
          <w:sz w:val="20"/>
          <w:szCs w:val="20"/>
          <w:color w:val="auto"/>
        </w:rPr>
      </w:pPr>
    </w:p>
    <w:p>
      <w:pPr>
        <w:ind w:right="340"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119380</wp:posOffset>
            </wp:positionV>
            <wp:extent cx="18954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60" w:type="dxa"/>
            <w:vAlign w:val="bottom"/>
          </w:tcPr>
          <w:p>
            <w:pPr>
              <w:ind w:left="3860"/>
              <w:spacing w:after="0"/>
              <w:rPr>
                <w:sz w:val="20"/>
                <w:szCs w:val="20"/>
                <w:color w:val="auto"/>
              </w:rPr>
            </w:pPr>
            <w:r>
              <w:rPr>
                <w:rFonts w:ascii="Arial" w:cs="Arial" w:eastAsia="Arial" w:hAnsi="Arial"/>
                <w:sz w:val="18"/>
                <w:szCs w:val="18"/>
                <w:b w:val="1"/>
                <w:bCs w:val="1"/>
                <w:color w:val="auto"/>
              </w:rPr>
              <w:t>The date of this prospectus is</w:t>
            </w:r>
          </w:p>
        </w:tc>
        <w:tc>
          <w:tcPr>
            <w:tcW w:w="4860" w:type="dxa"/>
            <w:vAlign w:val="bottom"/>
          </w:tcPr>
          <w:p>
            <w:pPr>
              <w:jc w:val="right"/>
              <w:ind w:right="3752"/>
              <w:spacing w:after="0"/>
              <w:rPr>
                <w:sz w:val="20"/>
                <w:szCs w:val="20"/>
                <w:color w:val="auto"/>
              </w:rPr>
            </w:pPr>
            <w:r>
              <w:rPr>
                <w:rFonts w:ascii="Arial" w:cs="Arial" w:eastAsia="Arial" w:hAnsi="Arial"/>
                <w:sz w:val="18"/>
                <w:szCs w:val="18"/>
                <w:b w:val="1"/>
                <w:bCs w:val="1"/>
                <w:color w:val="auto"/>
              </w:rPr>
              <w:t>, 2020.</w:t>
            </w:r>
          </w:p>
        </w:tc>
      </w:tr>
      <w:tr>
        <w:trPr>
          <w:trHeight w:val="228"/>
        </w:trPr>
        <w:tc>
          <w:tcPr>
            <w:tcW w:w="6560" w:type="dxa"/>
            <w:vAlign w:val="bottom"/>
            <w:tcBorders>
              <w:bottom w:val="single" w:sz="8" w:color="808080"/>
            </w:tcBorders>
          </w:tcPr>
          <w:p>
            <w:pPr>
              <w:spacing w:after="0"/>
              <w:rPr>
                <w:sz w:val="19"/>
                <w:szCs w:val="19"/>
                <w:color w:val="auto"/>
              </w:rPr>
            </w:pPr>
          </w:p>
        </w:tc>
        <w:tc>
          <w:tcPr>
            <w:tcW w:w="4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940" w:type="dxa"/>
            <w:vAlign w:val="bottom"/>
            <w:gridSpan w:val="1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60" w:type="dxa"/>
            <w:vAlign w:val="bottom"/>
            <w:gridSpan w:val="3"/>
          </w:tcPr>
          <w:p>
            <w:pPr>
              <w:ind w:left="68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800" w:type="dxa"/>
            <w:vAlign w:val="bottom"/>
            <w:gridSpan w:val="1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1480" w:type="dxa"/>
            <w:vAlign w:val="bottom"/>
            <w:gridSpan w:val="3"/>
          </w:tcPr>
          <w:p>
            <w:pPr>
              <w:jc w:val="right"/>
              <w:ind w:right="1300"/>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22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SPECIAL NOTE REGARDING FORWARD-LOOKING STATEMENTS</w:t>
              </w:r>
            </w:hyperlink>
          </w:p>
        </w:tc>
        <w:tc>
          <w:tcPr>
            <w:tcW w:w="358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THE COMPANY</w:t>
              </w:r>
            </w:hyperlink>
          </w:p>
        </w:tc>
        <w:tc>
          <w:tcPr>
            <w:tcW w:w="7540" w:type="dxa"/>
            <w:vAlign w:val="bottom"/>
            <w:gridSpan w:val="7"/>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3</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800" w:type="dxa"/>
            <w:vAlign w:val="bottom"/>
            <w:gridSpan w:val="11"/>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1480" w:type="dxa"/>
            <w:vAlign w:val="bottom"/>
            <w:gridSpan w:val="3"/>
          </w:tcPr>
          <w:p>
            <w:pPr>
              <w:jc w:val="right"/>
              <w:ind w:right="1300"/>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56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USE OF PROCEEDS</w:t>
              </w:r>
            </w:hyperlink>
          </w:p>
        </w:tc>
        <w:tc>
          <w:tcPr>
            <w:tcW w:w="7240" w:type="dxa"/>
            <w:vAlign w:val="bottom"/>
            <w:gridSpan w:val="6"/>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4</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800" w:type="dxa"/>
            <w:vAlign w:val="bottom"/>
            <w:gridSpan w:val="11"/>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SELLING STOCKHOLDERS</w:t>
              </w:r>
            </w:hyperlink>
          </w:p>
        </w:tc>
        <w:tc>
          <w:tcPr>
            <w:tcW w:w="1480" w:type="dxa"/>
            <w:vAlign w:val="bottom"/>
            <w:gridSpan w:val="3"/>
          </w:tcPr>
          <w:p>
            <w:pPr>
              <w:jc w:val="right"/>
              <w:ind w:right="1300"/>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160" w:type="dxa"/>
            <w:vAlign w:val="bottom"/>
            <w:gridSpan w:val="7"/>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PLAN OF DISTRIBUTION</w:t>
              </w:r>
            </w:hyperlink>
          </w:p>
        </w:tc>
        <w:tc>
          <w:tcPr>
            <w:tcW w:w="6640" w:type="dxa"/>
            <w:vAlign w:val="bottom"/>
            <w:gridSpan w:val="4"/>
          </w:tcPr>
          <w:p>
            <w:pPr>
              <w:spacing w:after="0"/>
              <w:rPr>
                <w:sz w:val="17"/>
                <w:szCs w:val="17"/>
                <w:color w:val="auto"/>
              </w:rPr>
            </w:pPr>
          </w:p>
        </w:tc>
        <w:tc>
          <w:tcPr>
            <w:tcW w:w="1480" w:type="dxa"/>
            <w:vAlign w:val="bottom"/>
            <w:gridSpan w:val="3"/>
          </w:tcPr>
          <w:p>
            <w:pPr>
              <w:jc w:val="right"/>
              <w:ind w:right="1300"/>
              <w:spacing w:after="0" w:line="196"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11</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800" w:type="dxa"/>
            <w:vAlign w:val="bottom"/>
            <w:gridSpan w:val="11"/>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VALIDITY OF THE COMMON STOCK</w:t>
              </w:r>
            </w:hyperlink>
          </w:p>
        </w:tc>
        <w:tc>
          <w:tcPr>
            <w:tcW w:w="1480" w:type="dxa"/>
            <w:vAlign w:val="bottom"/>
            <w:gridSpan w:val="3"/>
          </w:tcPr>
          <w:p>
            <w:pPr>
              <w:jc w:val="right"/>
              <w:ind w:right="1300"/>
              <w:spacing w:after="0" w:line="196" w:lineRule="exact"/>
              <w:rPr>
                <w:rFonts w:ascii="Arial" w:cs="Arial" w:eastAsia="Arial" w:hAnsi="Arial"/>
                <w:sz w:val="18"/>
                <w:szCs w:val="18"/>
                <w:color w:val="0000EE"/>
                <w:w w:val="79"/>
              </w:rPr>
            </w:pPr>
            <w:hyperlink w:anchor="page17">
              <w:r>
                <w:rPr>
                  <w:rFonts w:ascii="Arial" w:cs="Arial" w:eastAsia="Arial" w:hAnsi="Arial"/>
                  <w:sz w:val="18"/>
                  <w:szCs w:val="18"/>
                  <w:color w:val="0000EE"/>
                  <w:w w:val="79"/>
                </w:rPr>
                <w:t>13</w:t>
              </w:r>
            </w:hyperlink>
          </w:p>
        </w:tc>
      </w:tr>
      <w:tr>
        <w:trPr>
          <w:trHeight w:val="196"/>
        </w:trPr>
        <w:tc>
          <w:tcPr>
            <w:tcW w:w="1140" w:type="dxa"/>
            <w:vAlign w:val="bottom"/>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EXPERTS</w:t>
              </w:r>
            </w:hyperlink>
          </w:p>
        </w:tc>
        <w:tc>
          <w:tcPr>
            <w:tcW w:w="2180" w:type="dxa"/>
            <w:vAlign w:val="bottom"/>
            <w:tcBorders>
              <w:top w:val="single" w:sz="8" w:color="0000EE"/>
            </w:tcBorders>
            <w:gridSpan w:val="6"/>
          </w:tcPr>
          <w:p>
            <w:pPr>
              <w:spacing w:after="0"/>
              <w:rPr>
                <w:sz w:val="17"/>
                <w:szCs w:val="17"/>
                <w:color w:val="auto"/>
              </w:rPr>
            </w:pPr>
          </w:p>
        </w:tc>
        <w:tc>
          <w:tcPr>
            <w:tcW w:w="5860" w:type="dxa"/>
            <w:vAlign w:val="bottom"/>
            <w:gridSpan w:val="3"/>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7">
              <w:r>
                <w:rPr>
                  <w:rFonts w:ascii="Arial" w:cs="Arial" w:eastAsia="Arial" w:hAnsi="Arial"/>
                  <w:sz w:val="18"/>
                  <w:szCs w:val="18"/>
                  <w:color w:val="0000EE"/>
                  <w:w w:val="79"/>
                </w:rPr>
                <w:t>13</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800" w:type="dxa"/>
            <w:vAlign w:val="bottom"/>
            <w:gridSpan w:val="11"/>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WHERE YOU CAN FIND MORE INFORMATION; INCORPORATION BY REFERENCE</w:t>
              </w:r>
            </w:hyperlink>
          </w:p>
        </w:tc>
        <w:tc>
          <w:tcPr>
            <w:tcW w:w="1480" w:type="dxa"/>
            <w:vAlign w:val="bottom"/>
            <w:gridSpan w:val="3"/>
          </w:tcPr>
          <w:p>
            <w:pPr>
              <w:jc w:val="right"/>
              <w:ind w:right="1300"/>
              <w:spacing w:after="0" w:line="196"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14</w:t>
              </w:r>
            </w:hyperlink>
          </w:p>
        </w:tc>
      </w:tr>
      <w:tr>
        <w:trPr>
          <w:trHeight w:val="139"/>
        </w:trPr>
        <w:tc>
          <w:tcPr>
            <w:tcW w:w="1140" w:type="dxa"/>
            <w:vAlign w:val="bottom"/>
            <w:tcBorders>
              <w:bottom w:val="single" w:sz="8" w:color="808080"/>
            </w:tcBorders>
          </w:tcPr>
          <w:p>
            <w:pPr>
              <w:spacing w:after="0"/>
              <w:rPr>
                <w:sz w:val="12"/>
                <w:szCs w:val="12"/>
                <w:color w:val="auto"/>
              </w:rPr>
            </w:pPr>
          </w:p>
        </w:tc>
        <w:tc>
          <w:tcPr>
            <w:tcW w:w="120" w:type="dxa"/>
            <w:vAlign w:val="bottom"/>
            <w:tcBorders>
              <w:top w:val="single" w:sz="8" w:color="0000EE"/>
              <w:bottom w:val="single" w:sz="8" w:color="808080"/>
            </w:tcBorders>
          </w:tcPr>
          <w:p>
            <w:pPr>
              <w:spacing w:after="0"/>
              <w:rPr>
                <w:sz w:val="12"/>
                <w:szCs w:val="12"/>
                <w:color w:val="auto"/>
              </w:rPr>
            </w:pPr>
          </w:p>
        </w:tc>
        <w:tc>
          <w:tcPr>
            <w:tcW w:w="640" w:type="dxa"/>
            <w:vAlign w:val="bottom"/>
            <w:tcBorders>
              <w:top w:val="single" w:sz="8" w:color="0000EE"/>
              <w:bottom w:val="single" w:sz="8" w:color="808080"/>
            </w:tcBorders>
          </w:tcPr>
          <w:p>
            <w:pPr>
              <w:spacing w:after="0"/>
              <w:rPr>
                <w:sz w:val="12"/>
                <w:szCs w:val="12"/>
                <w:color w:val="auto"/>
              </w:rPr>
            </w:pPr>
          </w:p>
        </w:tc>
        <w:tc>
          <w:tcPr>
            <w:tcW w:w="460" w:type="dxa"/>
            <w:vAlign w:val="bottom"/>
            <w:tcBorders>
              <w:top w:val="single" w:sz="8" w:color="0000EE"/>
              <w:bottom w:val="single" w:sz="8" w:color="808080"/>
            </w:tcBorders>
          </w:tcPr>
          <w:p>
            <w:pPr>
              <w:spacing w:after="0"/>
              <w:rPr>
                <w:sz w:val="12"/>
                <w:szCs w:val="12"/>
                <w:color w:val="auto"/>
              </w:rPr>
            </w:pPr>
          </w:p>
        </w:tc>
        <w:tc>
          <w:tcPr>
            <w:tcW w:w="40" w:type="dxa"/>
            <w:vAlign w:val="bottom"/>
            <w:tcBorders>
              <w:top w:val="single" w:sz="8" w:color="0000EE"/>
              <w:bottom w:val="single" w:sz="8" w:color="808080"/>
            </w:tcBorders>
          </w:tcPr>
          <w:p>
            <w:pPr>
              <w:spacing w:after="0"/>
              <w:rPr>
                <w:sz w:val="12"/>
                <w:szCs w:val="12"/>
                <w:color w:val="auto"/>
              </w:rPr>
            </w:pPr>
          </w:p>
        </w:tc>
        <w:tc>
          <w:tcPr>
            <w:tcW w:w="300" w:type="dxa"/>
            <w:vAlign w:val="bottom"/>
            <w:tcBorders>
              <w:top w:val="single" w:sz="8" w:color="0000EE"/>
              <w:bottom w:val="single" w:sz="8" w:color="808080"/>
            </w:tcBorders>
          </w:tcPr>
          <w:p>
            <w:pPr>
              <w:spacing w:after="0"/>
              <w:rPr>
                <w:sz w:val="12"/>
                <w:szCs w:val="12"/>
                <w:color w:val="auto"/>
              </w:rPr>
            </w:pPr>
          </w:p>
        </w:tc>
        <w:tc>
          <w:tcPr>
            <w:tcW w:w="440" w:type="dxa"/>
            <w:vAlign w:val="bottom"/>
            <w:tcBorders>
              <w:top w:val="single" w:sz="8" w:color="0000EE"/>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780" w:type="dxa"/>
            <w:vAlign w:val="bottom"/>
            <w:tcBorders>
              <w:top w:val="single" w:sz="8" w:color="0000EE"/>
              <w:bottom w:val="single" w:sz="8" w:color="808080"/>
            </w:tcBorders>
          </w:tcPr>
          <w:p>
            <w:pPr>
              <w:spacing w:after="0"/>
              <w:rPr>
                <w:sz w:val="12"/>
                <w:szCs w:val="12"/>
                <w:color w:val="auto"/>
              </w:rPr>
            </w:pPr>
          </w:p>
        </w:tc>
        <w:tc>
          <w:tcPr>
            <w:tcW w:w="2280" w:type="dxa"/>
            <w:vAlign w:val="bottom"/>
            <w:tcBorders>
              <w:top w:val="single" w:sz="8" w:color="0000EE"/>
              <w:bottom w:val="single" w:sz="8" w:color="808080"/>
            </w:tcBorders>
          </w:tcPr>
          <w:p>
            <w:pPr>
              <w:spacing w:after="0"/>
              <w:rPr>
                <w:sz w:val="12"/>
                <w:szCs w:val="12"/>
                <w:color w:val="auto"/>
              </w:rPr>
            </w:pPr>
          </w:p>
        </w:tc>
        <w:tc>
          <w:tcPr>
            <w:tcW w:w="1360" w:type="dxa"/>
            <w:vAlign w:val="bottom"/>
            <w:tcBorders>
              <w:top w:val="single" w:sz="8" w:color="0000EE"/>
              <w:bottom w:val="single" w:sz="8" w:color="808080"/>
            </w:tcBorders>
          </w:tcPr>
          <w:p>
            <w:pPr>
              <w:spacing w:after="0"/>
              <w:rPr>
                <w:sz w:val="12"/>
                <w:szCs w:val="12"/>
                <w:color w:val="auto"/>
              </w:rPr>
            </w:pPr>
          </w:p>
        </w:tc>
        <w:tc>
          <w:tcPr>
            <w:tcW w:w="2220" w:type="dxa"/>
            <w:vAlign w:val="bottom"/>
            <w:tcBorders>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130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480" w:firstLine="348"/>
        <w:spacing w:after="0" w:line="259" w:lineRule="auto"/>
        <w:rPr>
          <w:sz w:val="20"/>
          <w:szCs w:val="20"/>
          <w:color w:val="auto"/>
        </w:rPr>
      </w:pPr>
      <w:r>
        <w:rPr>
          <w:rFonts w:ascii="Arial" w:cs="Arial" w:eastAsia="Arial" w:hAnsi="Arial"/>
          <w:sz w:val="18"/>
          <w:szCs w:val="18"/>
          <w:color w:val="auto"/>
        </w:rPr>
        <w:t>This prospectus is part of a registration statement that we filed with the U.S. Securities and Exchange Commission, or the SEC, utilizing a "shelf" registration process. Under this shelf registration process, the selling stockholders may, from time to time, sell the shares of common stock described in this prospectus in one or more offerings.</w:t>
      </w:r>
    </w:p>
    <w:p>
      <w:pPr>
        <w:spacing w:after="0" w:line="194"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Neither we, nor the selling securityholders, have authorized anyone to give any information or to make any representation other than those contained or incorporated by reference in this prospectus. You must not rely upon any information or representation not contained or incorporated by reference in this prospectus. The selling stockholders are offering to sell, and seeking offers to buy, shares of our common stock only in jurisdictions where it is lawful to do so. This prospectus does not constitute an offer to sell or the solicitation of an offer to buy any shares other than the registered shares to which they relate, nor does this prospectus constitute an offer to sell or the solicitation of an offer to buy shares in any jurisdiction to any person to whom it is unlawful to make such offer or solicitation in such jurisdiction. You should not assume that the information contained in this prospectus is accurate on any date subsequent to the date set forth on the front of the document or that any information we have incorporated by reference is correct on any date subsequent to the date of the document incorporated by reference, even though this prospectus is delivered or shares are sold on a later date. Our business, financial condition, results of operations and prospects may have changed since those dates. This prospectus incorporates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may involve estimates, assumptions and other risks and uncertainties and are subject to change based on various factors, including those discussed under the heading "Risk Factors" contained in this prospectus, and under similar headings in other documents that are incorporated by reference into this prospectus. Accordingly, investors should not place undue reliance on this information.</w:t>
      </w:r>
    </w:p>
    <w:p>
      <w:pPr>
        <w:spacing w:after="0" w:line="182"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When we refer to "</w:t>
      </w:r>
      <w:r>
        <w:rPr>
          <w:rFonts w:ascii="Arial" w:cs="Arial" w:eastAsia="Arial" w:hAnsi="Arial"/>
          <w:sz w:val="18"/>
          <w:szCs w:val="18"/>
          <w:i w:val="1"/>
          <w:iCs w:val="1"/>
          <w:color w:val="auto"/>
        </w:rPr>
        <w:t>Selecta</w:t>
      </w:r>
      <w:r>
        <w:rPr>
          <w:rFonts w:ascii="Arial" w:cs="Arial" w:eastAsia="Arial" w:hAnsi="Arial"/>
          <w:sz w:val="18"/>
          <w:szCs w:val="18"/>
          <w:color w:val="auto"/>
        </w:rPr>
        <w:t>," "we," "our," "us" and the "Company" in this prospectus, we mean Selecta Biosciences, Inc., unless otherwise specified. When we refer to "you," we mean the potential holders of the applicable series of securities.</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1" w:lineRule="exact"/>
        <w:rPr>
          <w:sz w:val="20"/>
          <w:szCs w:val="20"/>
          <w:color w:val="auto"/>
        </w:rPr>
      </w:pPr>
    </w:p>
    <w:p>
      <w:pPr>
        <w:ind w:right="20" w:firstLine="348"/>
        <w:spacing w:after="0" w:line="308" w:lineRule="auto"/>
        <w:rPr>
          <w:sz w:val="20"/>
          <w:szCs w:val="20"/>
          <w:color w:val="auto"/>
        </w:rPr>
      </w:pPr>
      <w:r>
        <w:rPr>
          <w:rFonts w:ascii="Arial" w:cs="Arial" w:eastAsia="Arial" w:hAnsi="Arial"/>
          <w:sz w:val="15"/>
          <w:szCs w:val="15"/>
          <w:color w:val="auto"/>
        </w:rPr>
        <w:t>This prospectus and the information incorporated by reference in this prospectus include "forward-looking statements" within the meaning of Section 27A of the Securities Act of 1933, as amended, or the Securities Act, and Section 21E of the Securities Exchange Act of 1934, as amended, or the Exchange Act. For this purpose, any statements contained or incorporated herein that relate to future events or conditions may be deemed to be forward-looking statements, including, but not limited to, statements regarding our future results of operations and financial position, business strategy, prospective products, product approvals, research and development costs, timing and likelihood of success, the plans and objectives of management for future operations and future results of anticipated products. Without limiting the foregoing, terms such as "may," "will," "should," "expect," "plan," "anticipate," "could," "intend," "target," "project," "contemplate," "believe," "estimate," "predict," "potential", or "continue" or the negative of these terms or other similar expressions are intended to identify forward-looking statements. These forward-looking statements are only predictions. Such forward-looking statements represent management's expectations as of the date of the relevant document and are subject to a number of important factors that could materially impact the value of our common stock or cause actual results to differ materially from those indicated by such forward-looking statements. We discuss many of these risks in greater detail in the documents incorporated by</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reference herein, including under the heading "Risk Factors" in any of our filings with the SEC pursuant to Sections 13(a), 13(c), 14 or 15(d) of the Exchange Act.</w:t>
      </w:r>
    </w:p>
    <w:p>
      <w:pPr>
        <w:spacing w:after="0" w:line="18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These important factors, among others, could cause actual results to differ materially from those indicated by forward-looking statements made herein and presented elsewhere by management from time to time. Forward-looking statements should not be relied upon as representing our views as of any date subsequent to the date such statements are made. We undertake no obligation to revise or update any forward-looking statements, whether as a result of any new information, future events, changed circumstances or otherwise, except to the extent required by law.</w:t>
      </w:r>
    </w:p>
    <w:p>
      <w:pPr>
        <w:spacing w:after="0" w:line="16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COMPANY</w:t>
      </w:r>
    </w:p>
    <w:p>
      <w:pPr>
        <w:spacing w:after="0" w:line="231" w:lineRule="exact"/>
        <w:rPr>
          <w:sz w:val="20"/>
          <w:szCs w:val="20"/>
          <w:color w:val="auto"/>
        </w:rPr>
      </w:pPr>
    </w:p>
    <w:p>
      <w:pPr>
        <w:ind w:right="140" w:firstLine="348"/>
        <w:spacing w:after="0" w:line="253" w:lineRule="auto"/>
        <w:rPr>
          <w:sz w:val="20"/>
          <w:szCs w:val="20"/>
          <w:color w:val="auto"/>
        </w:rPr>
      </w:pPr>
      <w:r>
        <w:rPr>
          <w:rFonts w:ascii="Arial" w:cs="Arial" w:eastAsia="Arial" w:hAnsi="Arial"/>
          <w:sz w:val="18"/>
          <w:szCs w:val="18"/>
          <w:color w:val="auto"/>
        </w:rPr>
        <w:t>We are a clinical-stage biopharmaceutical company using our ImmTOR technology with the goal to effectively and safely treat rare and serious diseases by enabling the development of novel biologic therapies that would otherwise be limited by their immunogenicity. Many such diseases are treated with biologic therapies that are foreign to the patient's immune system and therefore elicit an undesired immune response. Our proprietary tolerogenic ImmTOR technology encapsulates an immunomodulator in biodegradable nanoparticles and is designed to mitigate the formation of anti-drug antibodies, or ADAs, by inducing antigen-specific immune tolerance to biologic drugs. We believe ImmTOR has potential to enhance the efficacy without compromising the safety of existing approved biologic drugs, improve product candidates under development and enable novel therapeutic modalities, such as re-administration of systemic gene therapy.</w:t>
      </w:r>
    </w:p>
    <w:p>
      <w:pPr>
        <w:spacing w:after="0" w:line="201" w:lineRule="exact"/>
        <w:rPr>
          <w:sz w:val="20"/>
          <w:szCs w:val="20"/>
          <w:color w:val="auto"/>
        </w:rPr>
      </w:pPr>
    </w:p>
    <w:p>
      <w:pPr>
        <w:ind w:right="80" w:firstLine="348"/>
        <w:spacing w:after="0" w:line="286" w:lineRule="auto"/>
        <w:rPr>
          <w:sz w:val="20"/>
          <w:szCs w:val="20"/>
          <w:color w:val="auto"/>
        </w:rPr>
      </w:pPr>
      <w:r>
        <w:rPr>
          <w:rFonts w:ascii="Arial" w:cs="Arial" w:eastAsia="Arial" w:hAnsi="Arial"/>
          <w:sz w:val="16"/>
          <w:szCs w:val="16"/>
          <w:color w:val="auto"/>
        </w:rPr>
        <w:t>We are an "emerging growth company," as defined in the Jumpstart Our Business Startups Act of 2012. We will remain an emerging growth company until the earliest of (1) the last day of the fiscal year following the fifth anniversary of the completion of our initial public offering of common stock on June 27, 2016,</w:t>
      </w:r>
    </w:p>
    <w:p>
      <w:pPr>
        <w:ind w:firstLine="8"/>
        <w:spacing w:after="0" w:line="254" w:lineRule="auto"/>
        <w:tabs>
          <w:tab w:leader="none" w:pos="249"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last day of the fiscal year in which we have total annual gross revenues of at least $1.07 billion, (3) the last day of the fiscal year in which we are deemed to be a "large accelerated filer," which means the market value of our common stock that is held by non-affiliates exceeds $700.0 million as of the last business day of our most recently completed second fiscal quarter, and (4) the date on which we have issued more than $1.0 billion in non-convertible debt during the prior three-year period.</w:t>
      </w:r>
    </w:p>
    <w:p>
      <w:pPr>
        <w:spacing w:after="0" w:line="198"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 xml:space="preserve">We filed our certificate of incorporation with the Secretary of State of Delaware on December 10, 2007. Our principal executive offices are located at 480 Arsenal Way, Watertown, MA 02472, and our telephone number is (617) 923-1400. Our website address is </w:t>
      </w:r>
      <w:r>
        <w:rPr>
          <w:rFonts w:ascii="Arial" w:cs="Arial" w:eastAsia="Arial" w:hAnsi="Arial"/>
          <w:sz w:val="16"/>
          <w:szCs w:val="16"/>
          <w:i w:val="1"/>
          <w:iCs w:val="1"/>
          <w:color w:val="auto"/>
        </w:rPr>
        <w:t>www.selectabio.com</w:t>
      </w:r>
      <w:r>
        <w:rPr>
          <w:rFonts w:ascii="Arial" w:cs="Arial" w:eastAsia="Arial" w:hAnsi="Arial"/>
          <w:sz w:val="16"/>
          <w:szCs w:val="16"/>
          <w:color w:val="auto"/>
        </w:rPr>
        <w:t>. The information on, or that can be accessed through, our website is not part of this prospectus. We have included our website address as an inactive textual reference only.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Investment in any securities offered pursuant to this prospectus involves risks. You should carefully consider the risk factors incorporated by reference to our most recent Quarterly Report on Form 10-Q and any subsequent Annual Reports on Form 10-K,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the applicable prospectus supplement before acquiring any of such securities. The occurrence of any of these risks might cause you to lose all or part of your investment in the offered securities.</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will not receive any of the proceeds from the sale of shares of our common stock in this offering. The selling stockholders will receive all of the proceeds from this offering. We may, however, receive proceeds from the warrants issued to the selling stockholders in the event such warrants are exercised for cash.</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SELLING STOCKHOLDERS</w:t>
      </w:r>
    </w:p>
    <w:p>
      <w:pPr>
        <w:spacing w:after="0" w:line="23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This prospectus covers the resale or other disposition from time to time by the selling stockholders identified in the table below of up to an aggregate of 68,965,512 shares of our common stock, which consists of (i) 37,634,883 shares of our common stock issued and sold to investors and (ii) warrants to purchase 31,330,629 shares of our common stock in connection with the 2019 Private Placement.</w:t>
      </w:r>
    </w:p>
    <w:p>
      <w:pPr>
        <w:spacing w:after="0" w:line="194"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On December 18, 2019, we entered into a securities purchase agreement with the selling stockholders (including certain of our directors), or the Securities Purchase Agreement, pursuant to which we sold in a private placement (i) an aggregate of 37,634,883 shares of our common stock for aggregate gross proceeds of approximately $54.9 million, at a purchase price equal to $1.46 per share, (ii) warrants to purchase an aggregate of 22,988,501 shares of our common stock for aggregate gross proceeds of approximately $2.9 million, at a purchase price equal to $0.125 and an exercise price equal to $1.46 per share of common stock purchasable thereunder, or the Common Warrants, and (iii) pre-funded warrants to purchase an aggregate of 8,342,128 shares of our common stock for aggregate gross proceeds of approximately $12.2 million, at a purchase price equal to $1.46 and an exercise price equal to $0.0001 per share of common stock purchasable thereunder, or the Pre-Funded Warrants. Throughout this prospectus, when we refer to the Warrants, we are referring to the Common Warrants together with the Pre-Funded Warrants.</w:t>
      </w:r>
    </w:p>
    <w:p>
      <w:pPr>
        <w:spacing w:after="0" w:line="172" w:lineRule="exact"/>
        <w:rPr>
          <w:sz w:val="20"/>
          <w:szCs w:val="20"/>
          <w:color w:val="auto"/>
        </w:rPr>
      </w:pPr>
    </w:p>
    <w:p>
      <w:pPr>
        <w:ind w:right="340" w:firstLine="348"/>
        <w:spacing w:after="0" w:line="256" w:lineRule="auto"/>
        <w:rPr>
          <w:sz w:val="20"/>
          <w:szCs w:val="20"/>
          <w:color w:val="auto"/>
        </w:rPr>
      </w:pPr>
      <w:r>
        <w:rPr>
          <w:rFonts w:ascii="Arial" w:cs="Arial" w:eastAsia="Arial" w:hAnsi="Arial"/>
          <w:sz w:val="18"/>
          <w:szCs w:val="18"/>
          <w:color w:val="auto"/>
        </w:rPr>
        <w:t>This prospectus covers the resale or other disposition by the selling stockholders or their transferees of up to the total number of shares of common stock issued to the selling stockholders pursuant to the Securities Purchase Agreement or issuable upon exercise of the Warrants sold pursuant to the Securities Purchase Agreement. Throughout this prospectus, when we refer to the selling stockholders, we are referring to the purchasers under the Securities Purchase Agreement.</w:t>
      </w:r>
    </w:p>
    <w:p>
      <w:pPr>
        <w:spacing w:after="0" w:line="197" w:lineRule="exact"/>
        <w:rPr>
          <w:sz w:val="20"/>
          <w:szCs w:val="20"/>
          <w:color w:val="auto"/>
        </w:rPr>
      </w:pPr>
    </w:p>
    <w:p>
      <w:pPr>
        <w:jc w:val="both"/>
        <w:ind w:right="200" w:firstLine="348"/>
        <w:spacing w:after="0" w:line="370" w:lineRule="auto"/>
        <w:rPr>
          <w:sz w:val="20"/>
          <w:szCs w:val="20"/>
          <w:color w:val="auto"/>
        </w:rPr>
      </w:pPr>
      <w:r>
        <w:rPr>
          <w:rFonts w:ascii="Arial" w:cs="Arial" w:eastAsia="Arial" w:hAnsi="Arial"/>
          <w:sz w:val="15"/>
          <w:szCs w:val="15"/>
          <w:color w:val="auto"/>
        </w:rPr>
        <w:t>We are registering the above-referenced shares to permit the selling stockholders and their pledgees, donees, transferees or other successors-in-interest that receive their shares after the date of this prospectus to resell or otherwise dispose of the shares in the manner contemplated under "Plan of Distribution" herein.</w:t>
      </w:r>
    </w:p>
    <w:p>
      <w:pPr>
        <w:spacing w:after="0" w:line="11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Except as otherwise disclosed herein, the selling stockholders do not have, and within the past three years has not had, any position, office or other material relationship with us.</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following table sets forth the name of the selling stockholders, the number of shares owned by the selling stockholders, the number of shares that may be offered under this prospectus and the number of shares of our common stock owned by the selling stockholder assuming all of the shares registered for resale hereby are sold. The number of shares in the column "Number of Shares Being Offered" represents all of the shares that the selling stockholders may offer under this prospectus. The selling stockholders may sell some, all or none of their shares. We do not know how long the selling stockholders will hold the shares before selling them, and we currently have no agreements, arrangements or understandings with the selling stockholders regarding the sale or other disposition of any of the shares. The shares covered hereby may be offered from time to time by the selling stockholders.</w:t>
      </w:r>
    </w:p>
    <w:p>
      <w:pPr>
        <w:spacing w:after="0" w:line="174" w:lineRule="exact"/>
        <w:rPr>
          <w:sz w:val="20"/>
          <w:szCs w:val="20"/>
          <w:color w:val="auto"/>
        </w:rPr>
      </w:pPr>
    </w:p>
    <w:p>
      <w:pPr>
        <w:ind w:right="420" w:firstLine="348"/>
        <w:spacing w:after="0" w:line="332" w:lineRule="auto"/>
        <w:rPr>
          <w:sz w:val="20"/>
          <w:szCs w:val="20"/>
          <w:color w:val="auto"/>
        </w:rPr>
      </w:pPr>
      <w:r>
        <w:rPr>
          <w:rFonts w:ascii="Arial" w:cs="Arial" w:eastAsia="Arial" w:hAnsi="Arial"/>
          <w:sz w:val="16"/>
          <w:szCs w:val="16"/>
          <w:color w:val="auto"/>
        </w:rPr>
        <w:t>The information set forth below is based upon information obtained from the selling stockholders and upon information in our possession regarding the issuance of shares of common stock and warrants to the selling stockholders in connection with the 2019 Private Placement. The percentages of shares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owned after the offering are based on 86,325,547 shares of our common stock outstanding as of December 23, 2019, plus the shares of common stock registered for resale hereby.</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center"/>
              <w:ind w:left="438"/>
              <w:spacing w:after="0"/>
              <w:rPr>
                <w:sz w:val="20"/>
                <w:szCs w:val="20"/>
                <w:color w:val="auto"/>
              </w:rPr>
            </w:pPr>
            <w:r>
              <w:rPr>
                <w:rFonts w:ascii="Arial" w:cs="Arial" w:eastAsia="Arial" w:hAnsi="Arial"/>
                <w:sz w:val="14"/>
                <w:szCs w:val="14"/>
                <w:b w:val="1"/>
                <w:bCs w:val="1"/>
                <w:color w:val="auto"/>
                <w:w w:val="81"/>
              </w:rPr>
              <w:t>Shares of</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Common Stock</w:t>
            </w: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 of Common</w:t>
            </w: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Beneficially</w:t>
            </w: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Stock Beneficially</w:t>
            </w: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Owned After</w:t>
            </w: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9"/>
              </w:rPr>
              <w:t>Owned Prior to</w:t>
            </w:r>
          </w:p>
        </w:tc>
        <w:tc>
          <w:tcPr>
            <w:tcW w:w="180" w:type="dxa"/>
            <w:vAlign w:val="bottom"/>
          </w:tcPr>
          <w:p>
            <w:pPr>
              <w:spacing w:after="0"/>
              <w:rPr>
                <w:sz w:val="14"/>
                <w:szCs w:val="14"/>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Number of Shares</w:t>
            </w:r>
          </w:p>
        </w:tc>
        <w:tc>
          <w:tcPr>
            <w:tcW w:w="17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Offering(2)</w:t>
            </w:r>
          </w:p>
        </w:tc>
      </w:tr>
      <w:tr>
        <w:trPr>
          <w:trHeight w:val="142"/>
        </w:trPr>
        <w:tc>
          <w:tcPr>
            <w:tcW w:w="45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Name of Selling Stockholder</w:t>
            </w:r>
          </w:p>
        </w:tc>
        <w:tc>
          <w:tcPr>
            <w:tcW w:w="12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Offering(1)</w:t>
            </w:r>
          </w:p>
        </w:tc>
        <w:tc>
          <w:tcPr>
            <w:tcW w:w="180" w:type="dxa"/>
            <w:vAlign w:val="bottom"/>
          </w:tcPr>
          <w:p>
            <w:pPr>
              <w:spacing w:after="0"/>
              <w:rPr>
                <w:sz w:val="12"/>
                <w:szCs w:val="12"/>
                <w:color w:val="auto"/>
              </w:rPr>
            </w:pPr>
          </w:p>
        </w:tc>
        <w:tc>
          <w:tcPr>
            <w:tcW w:w="140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88"/>
              </w:rPr>
              <w:t>Being Offered</w:t>
            </w:r>
          </w:p>
        </w:tc>
        <w:tc>
          <w:tcPr>
            <w:tcW w:w="1080" w:type="dxa"/>
            <w:vAlign w:val="bottom"/>
            <w:tcBorders>
              <w:top w:val="single" w:sz="8" w:color="auto"/>
            </w:tcBorders>
            <w:gridSpan w:val="3"/>
          </w:tcPr>
          <w:p>
            <w:pPr>
              <w:ind w:left="180"/>
              <w:spacing w:after="0" w:line="142" w:lineRule="exact"/>
              <w:rPr>
                <w:sz w:val="20"/>
                <w:szCs w:val="20"/>
                <w:color w:val="auto"/>
              </w:rPr>
            </w:pPr>
            <w:r>
              <w:rPr>
                <w:rFonts w:ascii="Arial" w:cs="Arial" w:eastAsia="Arial" w:hAnsi="Arial"/>
                <w:sz w:val="14"/>
                <w:szCs w:val="14"/>
                <w:b w:val="1"/>
                <w:bCs w:val="1"/>
                <w:color w:val="auto"/>
              </w:rPr>
              <w:t>Number</w:t>
            </w: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Percent</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Entities Associated with Vivo Capital(3)</w:t>
            </w:r>
          </w:p>
        </w:tc>
        <w:tc>
          <w:tcPr>
            <w:tcW w:w="16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8,624,287</w:t>
            </w:r>
          </w:p>
        </w:tc>
        <w:tc>
          <w:tcPr>
            <w:tcW w:w="18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24,630,541</w:t>
            </w: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546,054</w:t>
            </w: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Entities Associated with EcoR1 Capital(4)</w:t>
            </w:r>
          </w:p>
        </w:tc>
        <w:tc>
          <w:tcPr>
            <w:tcW w:w="1280" w:type="dxa"/>
            <w:vAlign w:val="bottom"/>
          </w:tcPr>
          <w:p>
            <w:pPr>
              <w:jc w:val="right"/>
              <w:spacing w:after="0"/>
              <w:rPr>
                <w:sz w:val="20"/>
                <w:szCs w:val="20"/>
                <w:color w:val="auto"/>
              </w:rPr>
            </w:pPr>
            <w:r>
              <w:rPr>
                <w:rFonts w:ascii="Arial" w:cs="Arial" w:eastAsia="Arial" w:hAnsi="Arial"/>
                <w:sz w:val="18"/>
                <w:szCs w:val="18"/>
                <w:color w:val="auto"/>
              </w:rPr>
              <w:t>6,896,551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6,896,551</w:t>
            </w:r>
          </w:p>
        </w:tc>
        <w:tc>
          <w:tcPr>
            <w:tcW w:w="160" w:type="dxa"/>
            <w:vAlign w:val="bottom"/>
          </w:tcPr>
          <w:p>
            <w:pPr>
              <w:spacing w:after="0"/>
              <w:rPr>
                <w:sz w:val="18"/>
                <w:szCs w:val="18"/>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Mangrove Partners Master Fund, Ltd.(5)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7,881,774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7,881,774</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Entities Associated with Acuta Capital(6)</w:t>
            </w:r>
          </w:p>
        </w:tc>
        <w:tc>
          <w:tcPr>
            <w:tcW w:w="1280" w:type="dxa"/>
            <w:vAlign w:val="bottom"/>
          </w:tcPr>
          <w:p>
            <w:pPr>
              <w:jc w:val="right"/>
              <w:spacing w:after="0"/>
              <w:rPr>
                <w:sz w:val="20"/>
                <w:szCs w:val="20"/>
                <w:color w:val="auto"/>
              </w:rPr>
            </w:pPr>
            <w:r>
              <w:rPr>
                <w:rFonts w:ascii="Arial" w:cs="Arial" w:eastAsia="Arial" w:hAnsi="Arial"/>
                <w:sz w:val="18"/>
                <w:szCs w:val="18"/>
                <w:color w:val="auto"/>
              </w:rPr>
              <w:t>3,546,306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3,546,306</w:t>
            </w:r>
          </w:p>
        </w:tc>
        <w:tc>
          <w:tcPr>
            <w:tcW w:w="160" w:type="dxa"/>
            <w:vAlign w:val="bottom"/>
          </w:tcPr>
          <w:p>
            <w:pPr>
              <w:spacing w:after="0"/>
              <w:rPr>
                <w:sz w:val="18"/>
                <w:szCs w:val="18"/>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Entities Associated with Biotechnology Value Fund, L.P.(7)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4,926,108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4,926,108</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TAS Partners, LLC(8)</w:t>
            </w:r>
          </w:p>
        </w:tc>
        <w:tc>
          <w:tcPr>
            <w:tcW w:w="1280" w:type="dxa"/>
            <w:vAlign w:val="bottom"/>
          </w:tcPr>
          <w:p>
            <w:pPr>
              <w:jc w:val="right"/>
              <w:spacing w:after="0"/>
              <w:rPr>
                <w:sz w:val="20"/>
                <w:szCs w:val="20"/>
                <w:color w:val="auto"/>
              </w:rPr>
            </w:pPr>
            <w:r>
              <w:rPr>
                <w:rFonts w:ascii="Arial" w:cs="Arial" w:eastAsia="Arial" w:hAnsi="Arial"/>
                <w:sz w:val="18"/>
                <w:szCs w:val="18"/>
                <w:color w:val="auto"/>
              </w:rPr>
              <w:t>7,456,906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5,911,330</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1,545,576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Boxer Capital, LLC(9)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4,601,096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4,926,108</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Cronus &amp; Co. FBO Wasatch Ultra Growth Fund and</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500" w:type="dxa"/>
            <w:vAlign w:val="bottom"/>
            <w:gridSpan w:val="3"/>
          </w:tcPr>
          <w:p>
            <w:pPr>
              <w:ind w:left="160"/>
              <w:spacing w:after="0"/>
              <w:rPr>
                <w:sz w:val="20"/>
                <w:szCs w:val="20"/>
                <w:color w:val="auto"/>
              </w:rPr>
            </w:pPr>
            <w:r>
              <w:rPr>
                <w:rFonts w:ascii="Arial" w:cs="Arial" w:eastAsia="Arial" w:hAnsi="Arial"/>
                <w:sz w:val="18"/>
                <w:szCs w:val="18"/>
                <w:color w:val="auto"/>
              </w:rPr>
              <w:t>Casing &amp; Co. FBO Wasatch Micro Cap Fund(10)</w:t>
            </w:r>
          </w:p>
        </w:tc>
        <w:tc>
          <w:tcPr>
            <w:tcW w:w="1280" w:type="dxa"/>
            <w:vAlign w:val="bottom"/>
          </w:tcPr>
          <w:p>
            <w:pPr>
              <w:jc w:val="right"/>
              <w:spacing w:after="0"/>
              <w:rPr>
                <w:sz w:val="20"/>
                <w:szCs w:val="20"/>
                <w:color w:val="auto"/>
              </w:rPr>
            </w:pPr>
            <w:r>
              <w:rPr>
                <w:rFonts w:ascii="Arial" w:cs="Arial" w:eastAsia="Arial" w:hAnsi="Arial"/>
                <w:sz w:val="18"/>
                <w:szCs w:val="18"/>
                <w:color w:val="auto"/>
              </w:rPr>
              <w:t>5,553,024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3,448,276</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2,104,748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218"/>
        </w:trPr>
        <w:tc>
          <w:tcPr>
            <w:tcW w:w="2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Invus Public Equities, L.P.(11)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4,070,443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1,970,443</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Altium Growth Fund, LP(12)</w:t>
            </w:r>
          </w:p>
        </w:tc>
        <w:tc>
          <w:tcPr>
            <w:tcW w:w="1280" w:type="dxa"/>
            <w:vAlign w:val="bottom"/>
          </w:tcPr>
          <w:p>
            <w:pPr>
              <w:jc w:val="right"/>
              <w:spacing w:after="0"/>
              <w:rPr>
                <w:sz w:val="20"/>
                <w:szCs w:val="20"/>
                <w:color w:val="auto"/>
              </w:rPr>
            </w:pPr>
            <w:r>
              <w:rPr>
                <w:rFonts w:ascii="Arial" w:cs="Arial" w:eastAsia="Arial" w:hAnsi="Arial"/>
                <w:sz w:val="18"/>
                <w:szCs w:val="18"/>
                <w:color w:val="auto"/>
              </w:rPr>
              <w:t>1,121,845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985,221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136,624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NanoDimension II, L.P.(13)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3,987,110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1,970,443</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2,016,667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r>
      <w:tr>
        <w:trPr>
          <w:trHeight w:val="216"/>
        </w:trPr>
        <w:tc>
          <w:tcPr>
            <w:tcW w:w="2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Reinet Columbus Limited(14)</w:t>
            </w:r>
          </w:p>
        </w:tc>
        <w:tc>
          <w:tcPr>
            <w:tcW w:w="1280" w:type="dxa"/>
            <w:vAlign w:val="bottom"/>
          </w:tcPr>
          <w:p>
            <w:pPr>
              <w:jc w:val="right"/>
              <w:spacing w:after="0"/>
              <w:rPr>
                <w:sz w:val="20"/>
                <w:szCs w:val="20"/>
                <w:color w:val="auto"/>
              </w:rPr>
            </w:pPr>
            <w:r>
              <w:rPr>
                <w:rFonts w:ascii="Arial" w:cs="Arial" w:eastAsia="Arial" w:hAnsi="Arial"/>
                <w:sz w:val="18"/>
                <w:szCs w:val="18"/>
                <w:color w:val="auto"/>
              </w:rPr>
              <w:t>1,735,690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1,020,690</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715,000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Hering-Kirchhof Living Trust(15)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The Eiger Trust(16)</w:t>
            </w:r>
          </w:p>
        </w:tc>
        <w:tc>
          <w:tcPr>
            <w:tcW w:w="1280" w:type="dxa"/>
            <w:vAlign w:val="bottom"/>
          </w:tcPr>
          <w:p>
            <w:pPr>
              <w:jc w:val="right"/>
              <w:spacing w:after="0"/>
              <w:rPr>
                <w:sz w:val="20"/>
                <w:szCs w:val="20"/>
                <w:color w:val="auto"/>
              </w:rPr>
            </w:pPr>
            <w:r>
              <w:rPr>
                <w:rFonts w:ascii="Arial" w:cs="Arial" w:eastAsia="Arial" w:hAnsi="Arial"/>
                <w:sz w:val="18"/>
                <w:szCs w:val="18"/>
                <w:color w:val="auto"/>
              </w:rPr>
              <w:t>907,488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295,566</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611,922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Timothy Barabe(17)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142,751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98,521</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Carrie S. Cox(18)</w:t>
            </w:r>
          </w:p>
        </w:tc>
        <w:tc>
          <w:tcPr>
            <w:tcW w:w="1280" w:type="dxa"/>
            <w:vAlign w:val="bottom"/>
          </w:tcPr>
          <w:p>
            <w:pPr>
              <w:jc w:val="right"/>
              <w:spacing w:after="0"/>
              <w:rPr>
                <w:sz w:val="20"/>
                <w:szCs w:val="20"/>
                <w:color w:val="auto"/>
              </w:rPr>
            </w:pPr>
            <w:r>
              <w:rPr>
                <w:rFonts w:ascii="Arial" w:cs="Arial" w:eastAsia="Arial" w:hAnsi="Arial"/>
                <w:sz w:val="18"/>
                <w:szCs w:val="18"/>
                <w:color w:val="auto"/>
              </w:rPr>
              <w:t>100,187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98,521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Scott D. Myers(19)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103,882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59,113</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45,880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1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52" w:lineRule="exact"/>
        <w:rPr>
          <w:sz w:val="20"/>
          <w:szCs w:val="20"/>
          <w:color w:val="auto"/>
        </w:rPr>
      </w:pPr>
    </w:p>
    <w:p>
      <w:pPr>
        <w:ind w:left="1680" w:right="80" w:hanging="531"/>
        <w:spacing w:after="0" w:line="255" w:lineRule="auto"/>
        <w:tabs>
          <w:tab w:leader="none" w:pos="1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"Beneficial ownership" is a term broadly defined by the SEC in Rule 13d-3 under the Exchange Act, and includes more than the typical form of stock ownership, that is, stock held in the person's name. The term also includes what is referred to as "indirect ownership," meaning ownership of shares as to which a person has or shares investment power. For purposes of this table, a person or group of persons is deemed to have "beneficial ownership" of any shares that are currently exercisable or exercisable within 60 days of December 23, 2019.</w:t>
      </w:r>
    </w:p>
    <w:p>
      <w:pPr>
        <w:spacing w:after="0" w:line="210" w:lineRule="exact"/>
        <w:rPr>
          <w:rFonts w:ascii="Arial" w:cs="Arial" w:eastAsia="Arial" w:hAnsi="Arial"/>
          <w:sz w:val="18"/>
          <w:szCs w:val="18"/>
          <w:color w:val="auto"/>
        </w:rPr>
      </w:pPr>
    </w:p>
    <w:p>
      <w:pPr>
        <w:ind w:left="1680" w:right="240" w:hanging="531"/>
        <w:spacing w:after="0" w:line="268" w:lineRule="auto"/>
        <w:tabs>
          <w:tab w:leader="none" w:pos="1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Assumes that all shares being registered in this prospectus are resold to third parties and that the selling stockholders sell all shares of common stock registered under this prospectus held by such selling stockholder.</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Consists of (i) 707,618 shares of common stock held by Vivo Capital Fund VIII L.P. and Vivo Capital Surplus Fund VIII, L.P.,</w:t>
      </w:r>
    </w:p>
    <w:p>
      <w:pPr>
        <w:spacing w:after="0" w:line="38" w:lineRule="exact"/>
        <w:rPr>
          <w:rFonts w:ascii="Arial" w:cs="Arial" w:eastAsia="Arial" w:hAnsi="Arial"/>
          <w:sz w:val="16"/>
          <w:szCs w:val="16"/>
          <w:color w:val="auto"/>
        </w:rPr>
      </w:pPr>
    </w:p>
    <w:p>
      <w:pPr>
        <w:ind w:left="1680" w:right="120" w:firstLine="9"/>
        <w:spacing w:after="0" w:line="281" w:lineRule="auto"/>
        <w:tabs>
          <w:tab w:leader="none" w:pos="1938" w:val="left"/>
        </w:tabs>
        <w:numPr>
          <w:ilvl w:val="1"/>
          <w:numId w:val="4"/>
        </w:numPr>
        <w:rPr>
          <w:rFonts w:ascii="Arial" w:cs="Arial" w:eastAsia="Arial" w:hAnsi="Arial"/>
          <w:sz w:val="16"/>
          <w:szCs w:val="16"/>
          <w:color w:val="auto"/>
        </w:rPr>
      </w:pPr>
      <w:r>
        <w:rPr>
          <w:rFonts w:ascii="Arial" w:cs="Arial" w:eastAsia="Arial" w:hAnsi="Arial"/>
          <w:sz w:val="16"/>
          <w:szCs w:val="16"/>
          <w:color w:val="auto"/>
        </w:rPr>
        <w:t>1,444,246 shares of common stock held by Vivo Capital Fund IX LP and (iii) 6,472,423 shares of common stock held by Vivo Opportunity Fund LP. Excludes (i) 331,046 shares of common stock underlying warrants held by Vivo Capital Fund VIII L.P. and Vivo Capital Surplus Fund VIII LP, (ii) 2,959,260 shares of common stock underlying warrants held by Vivo Capital Fund IX LP and</w:t>
      </w:r>
    </w:p>
    <w:p>
      <w:pPr>
        <w:spacing w:after="0" w:line="2" w:lineRule="exact"/>
        <w:rPr>
          <w:rFonts w:ascii="Arial" w:cs="Arial" w:eastAsia="Arial" w:hAnsi="Arial"/>
          <w:sz w:val="16"/>
          <w:szCs w:val="16"/>
          <w:color w:val="auto"/>
        </w:rPr>
      </w:pPr>
    </w:p>
    <w:p>
      <w:pPr>
        <w:ind w:left="1680" w:firstLine="9"/>
        <w:spacing w:after="0" w:line="281" w:lineRule="auto"/>
        <w:tabs>
          <w:tab w:leader="none" w:pos="1987" w:val="left"/>
        </w:tabs>
        <w:numPr>
          <w:ilvl w:val="1"/>
          <w:numId w:val="4"/>
        </w:numPr>
        <w:rPr>
          <w:rFonts w:ascii="Arial" w:cs="Arial" w:eastAsia="Arial" w:hAnsi="Arial"/>
          <w:sz w:val="16"/>
          <w:szCs w:val="16"/>
          <w:color w:val="auto"/>
        </w:rPr>
      </w:pPr>
      <w:r>
        <w:rPr>
          <w:rFonts w:ascii="Arial" w:cs="Arial" w:eastAsia="Arial" w:hAnsi="Arial"/>
          <w:sz w:val="16"/>
          <w:szCs w:val="16"/>
          <w:color w:val="auto"/>
        </w:rPr>
        <w:t>13,262,002 shares of common stock underlying warrants held by Vivo Opportunity Fund LP. Such warrants restrict the ability of the holder to exercise the warrants to the extent that the holder and its affiliates would beneficially own more than 9.99% of the Company's common stock following such exercise, provided, however, that the holder has the ability to waive such ownership limitation upon</w:t>
      </w:r>
    </w:p>
    <w:p>
      <w:pPr>
        <w:spacing w:after="0" w:line="2" w:lineRule="exact"/>
        <w:rPr>
          <w:rFonts w:ascii="Arial" w:cs="Arial" w:eastAsia="Arial" w:hAnsi="Arial"/>
          <w:sz w:val="16"/>
          <w:szCs w:val="16"/>
          <w:color w:val="auto"/>
        </w:rPr>
      </w:pPr>
    </w:p>
    <w:p>
      <w:pPr>
        <w:ind w:left="1680"/>
        <w:spacing w:after="0"/>
        <w:rPr>
          <w:rFonts w:ascii="Arial" w:cs="Arial" w:eastAsia="Arial" w:hAnsi="Arial"/>
          <w:sz w:val="16"/>
          <w:szCs w:val="16"/>
          <w:color w:val="auto"/>
        </w:rPr>
      </w:pPr>
      <w:r>
        <w:rPr>
          <w:rFonts w:ascii="Arial" w:cs="Arial" w:eastAsia="Arial" w:hAnsi="Arial"/>
          <w:sz w:val="18"/>
          <w:szCs w:val="18"/>
          <w:color w:val="auto"/>
        </w:rPr>
        <w:t>61 days prior notice and,</w:t>
      </w: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right="280"/>
        <w:spacing w:after="0" w:line="268" w:lineRule="auto"/>
        <w:rPr>
          <w:sz w:val="20"/>
          <w:szCs w:val="20"/>
          <w:color w:val="auto"/>
        </w:rPr>
      </w:pPr>
      <w:r>
        <w:rPr>
          <w:rFonts w:ascii="Arial" w:cs="Arial" w:eastAsia="Arial" w:hAnsi="Arial"/>
          <w:sz w:val="18"/>
          <w:szCs w:val="18"/>
          <w:color w:val="auto"/>
        </w:rPr>
        <w:t>provided, further, that in no event may the holder beneficially own more than 19.99% of the Company's common stock following such exercise.</w:t>
      </w:r>
    </w:p>
    <w:p>
      <w:pPr>
        <w:spacing w:after="0" w:line="186" w:lineRule="exact"/>
        <w:rPr>
          <w:sz w:val="20"/>
          <w:szCs w:val="20"/>
          <w:color w:val="auto"/>
        </w:rPr>
      </w:pPr>
    </w:p>
    <w:p>
      <w:pPr>
        <w:ind w:left="1680" w:right="20"/>
        <w:spacing w:after="0" w:line="288" w:lineRule="auto"/>
        <w:rPr>
          <w:sz w:val="20"/>
          <w:szCs w:val="20"/>
          <w:color w:val="auto"/>
        </w:rPr>
      </w:pPr>
      <w:r>
        <w:rPr>
          <w:rFonts w:ascii="Arial" w:cs="Arial" w:eastAsia="Arial" w:hAnsi="Arial"/>
          <w:sz w:val="16"/>
          <w:szCs w:val="16"/>
          <w:color w:val="auto"/>
        </w:rPr>
        <w:t>Vivo Opportunity, LLC is the general partner of Vivo Opportunity Fund, L.P. The voting members of Vivo Opportunity, LLC are Albert Cha, Gaurav Aggarwal, Shan Fu, Frank Kung and Michael Chang, none of whom has individual voting or investment power with respect to these shares and each of whom disclaims beneficial ownership of such shares. Vivo Capital IX, LLC is the general partner of Vivo Capital Fund IX, L.P. The voting members of Vivo Capital IX, LLC are Frank Kung, Edgar Engleman, Albert Cha, Shan Fu and Chen Yu, none of whom has individual voting or investment power with respect to these shares and each of whom disclaims beneficial ownership of such shares. Vivo Capital VIII, LLC is the general partner of Vivo Capital Fund VIII, L.P. and Vivo Capital Surplus Fund VIII, L.P. The voting members of Vivo Capital VIII, LLC are Frank Kung, Edgar Engleman, Albert Cha, Shan Fu and Chen Yu, none of whom has individual voting or investment power with respect to these shares and each of whom disclaims beneficial ownership of such shares. The address for the beneficial owners is 192 Lytton Avenue, Palo Alto, CA 94301.</w:t>
      </w:r>
    </w:p>
    <w:p>
      <w:pPr>
        <w:spacing w:after="0" w:line="187" w:lineRule="exact"/>
        <w:rPr>
          <w:sz w:val="20"/>
          <w:szCs w:val="20"/>
          <w:color w:val="auto"/>
        </w:rPr>
      </w:pPr>
    </w:p>
    <w:p>
      <w:pPr>
        <w:ind w:left="1680" w:hanging="531"/>
        <w:spacing w:after="0"/>
        <w:tabs>
          <w:tab w:leader="none" w:pos="1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Consists of (i)(a) 772,414 shares of common stock and (b) 386,207 shares of common stock underlying warrants exercisable within</w:t>
      </w:r>
    </w:p>
    <w:p>
      <w:pPr>
        <w:spacing w:after="0" w:line="38" w:lineRule="exact"/>
        <w:rPr>
          <w:rFonts w:ascii="Arial" w:cs="Arial" w:eastAsia="Arial" w:hAnsi="Arial"/>
          <w:sz w:val="16"/>
          <w:szCs w:val="16"/>
          <w:color w:val="auto"/>
        </w:rPr>
      </w:pPr>
    </w:p>
    <w:p>
      <w:pPr>
        <w:ind w:left="1680"/>
        <w:spacing w:after="0" w:line="281" w:lineRule="auto"/>
        <w:rPr>
          <w:rFonts w:ascii="Arial" w:cs="Arial" w:eastAsia="Arial" w:hAnsi="Arial"/>
          <w:sz w:val="16"/>
          <w:szCs w:val="16"/>
          <w:color w:val="auto"/>
        </w:rPr>
      </w:pPr>
      <w:r>
        <w:rPr>
          <w:rFonts w:ascii="Arial" w:cs="Arial" w:eastAsia="Arial" w:hAnsi="Arial"/>
          <w:sz w:val="16"/>
          <w:szCs w:val="16"/>
          <w:color w:val="auto"/>
        </w:rPr>
        <w:t>60 days of December 23, 2019 held by EcoR1 Capital Fund, LP, and (ii)(a) 3,825,287 shares of common stock and (b) 1,912,643 shares of common stock underlying warrants exercisable within 60 days of December 23, 2019 held by EcoR1 Capital Fund Qualified, LP. Such warrants restrict the ability of the holder to exercise the warrants to the extent that the holder and its affiliates would beneficially own more than 9.99% of the Company's common stock following such exercise, provided, however, that the holder has the ability to waive such ownership limitation upon 61 days prior notice and, provided, further, that in no event may the holder beneficially own more than</w:t>
      </w:r>
    </w:p>
    <w:p>
      <w:pPr>
        <w:spacing w:after="0" w:line="3" w:lineRule="exact"/>
        <w:rPr>
          <w:rFonts w:ascii="Arial" w:cs="Arial" w:eastAsia="Arial" w:hAnsi="Arial"/>
          <w:sz w:val="16"/>
          <w:szCs w:val="16"/>
          <w:color w:val="auto"/>
        </w:rPr>
      </w:pPr>
    </w:p>
    <w:p>
      <w:pPr>
        <w:ind w:left="1680" w:right="160"/>
        <w:spacing w:after="0" w:line="254" w:lineRule="auto"/>
        <w:rPr>
          <w:rFonts w:ascii="Arial" w:cs="Arial" w:eastAsia="Arial" w:hAnsi="Arial"/>
          <w:sz w:val="16"/>
          <w:szCs w:val="16"/>
          <w:color w:val="auto"/>
        </w:rPr>
      </w:pPr>
      <w:r>
        <w:rPr>
          <w:rFonts w:ascii="Arial" w:cs="Arial" w:eastAsia="Arial" w:hAnsi="Arial"/>
          <w:sz w:val="18"/>
          <w:szCs w:val="18"/>
          <w:color w:val="auto"/>
        </w:rPr>
        <w:t>19.99% of the Company's common stock following such exercise. EcoR1 Capital LLC is the general partner of EcoR1 Capital Fund, LP and EcoR1 Capital Fund Qualified, LP. Oleg Nodelman, as manager of EcoR1 Capital LLC, has voting and investment power with respect to the shares owned by EcoR1 Capital LLC. The address for the beneficial owners is 357 Tehama Street, Suite 3, San Francisco, CA, 94103.</w:t>
      </w:r>
    </w:p>
    <w:p>
      <w:pPr>
        <w:spacing w:after="0" w:line="224" w:lineRule="exact"/>
        <w:rPr>
          <w:rFonts w:ascii="Arial" w:cs="Arial" w:eastAsia="Arial" w:hAnsi="Arial"/>
          <w:sz w:val="16"/>
          <w:szCs w:val="16"/>
          <w:color w:val="auto"/>
        </w:rPr>
      </w:pPr>
    </w:p>
    <w:p>
      <w:pPr>
        <w:ind w:left="1680" w:right="20" w:hanging="531"/>
        <w:spacing w:after="0" w:line="291" w:lineRule="auto"/>
        <w:tabs>
          <w:tab w:leader="none" w:pos="1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Consists of (i) 5,254,516 shares of common stock and (ii) 2,627,258 shares of common stock underlying warrants exercisable within 60 days of December 23, 2019 held by The Mangrove Partners Master Fund, Ltd. Such warrants restrict the ability of the holder to exercise the warrants to the extent that the holder and its affiliates would beneficially own more than 9.99% of the Company's common stock following such exercise, provided, however, that the holder has the ability to waive such ownership limitation upon 61 days prior notice and, provided, further, that in no event may the holder beneficially own more than 19.99% of the Company's common stock following such exercise. Mangrove Partners is the investment manager of The Mangrove Partners Master Fund, Ltd. and by virtue of such status may be deemed to be the beneficial owner of the shares held by The Mangrove Partners Master Fund, Ltd. Nathaniel August, as the control person of Mangrove Partners, may be deemed to be the beneficial owner of the shares held by The Mangrove Partners Master Fund, Ltd. The address for Mangrove Partners is 645 Madison Avenue, 14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NY, 10022.</w:t>
      </w:r>
    </w:p>
    <w:p>
      <w:pPr>
        <w:spacing w:after="0" w:line="67" w:lineRule="exact"/>
        <w:rPr>
          <w:rFonts w:ascii="Arial" w:cs="Arial" w:eastAsia="Arial" w:hAnsi="Arial"/>
          <w:sz w:val="16"/>
          <w:szCs w:val="16"/>
          <w:color w:val="auto"/>
        </w:rPr>
      </w:pPr>
    </w:p>
    <w:p>
      <w:pPr>
        <w:ind w:left="1680" w:hanging="531"/>
        <w:spacing w:after="0"/>
        <w:tabs>
          <w:tab w:leader="none" w:pos="1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Consists of (i)(a) 1,844,078 shares of common stock and (b) 922,039 shares of common stock underlying warrants exercisable within</w:t>
      </w:r>
    </w:p>
    <w:p>
      <w:pPr>
        <w:spacing w:after="0" w:line="38" w:lineRule="exact"/>
        <w:rPr>
          <w:rFonts w:ascii="Arial" w:cs="Arial" w:eastAsia="Arial" w:hAnsi="Arial"/>
          <w:sz w:val="16"/>
          <w:szCs w:val="16"/>
          <w:color w:val="auto"/>
        </w:rPr>
      </w:pPr>
    </w:p>
    <w:p>
      <w:pPr>
        <w:ind w:left="1680" w:right="20"/>
        <w:spacing w:after="0" w:line="290" w:lineRule="auto"/>
        <w:rPr>
          <w:rFonts w:ascii="Arial" w:cs="Arial" w:eastAsia="Arial" w:hAnsi="Arial"/>
          <w:sz w:val="16"/>
          <w:szCs w:val="16"/>
          <w:color w:val="auto"/>
        </w:rPr>
      </w:pPr>
      <w:r>
        <w:rPr>
          <w:rFonts w:ascii="Arial" w:cs="Arial" w:eastAsia="Arial" w:hAnsi="Arial"/>
          <w:sz w:val="16"/>
          <w:szCs w:val="16"/>
          <w:color w:val="auto"/>
        </w:rPr>
        <w:t>60 days of December 23, 2019 held by Acuta Capital Fund, LP and (ii)(a) 520,126 shares of common stock and (b) 260,063 shares of common stock underlying warrants exercisable within 60 days of December 23, 2019 held by Acuta Opportunity Fund, LP. Such warrants restrict the ability of the holder to exercise the warrants to the extent that the holder and its affiliates would beneficially own more than 9.99% of the Company's common stock following such exercise, provided, however, that the holder has the ability to waive such ownership limitation upon 61 days prior notice and, provided, further, that in no event may the holder beneficially own more than 19.99% of the Company's common stock following such</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spacing w:after="0" w:line="255" w:lineRule="auto"/>
        <w:rPr>
          <w:sz w:val="20"/>
          <w:szCs w:val="20"/>
          <w:color w:val="auto"/>
        </w:rPr>
      </w:pPr>
      <w:r>
        <w:rPr>
          <w:rFonts w:ascii="Arial" w:cs="Arial" w:eastAsia="Arial" w:hAnsi="Arial"/>
          <w:sz w:val="18"/>
          <w:szCs w:val="18"/>
          <w:color w:val="auto"/>
        </w:rPr>
        <w:t>exercise. Anupam Dalal is the Chief Investment Officer and Manfred Yu is the Manager of Acuta Capital Partners, LLC, the general partner of Acuta Capital Fund, LP and Acuta Opportunity Fund, LP. Both Mr. Yu and Mr. Dalal have voting and investment authority over all of the shares held by Acuta Capital Fund, LP and Acuta Opportunity Fund, LP, and both disclaim beneficial ownership of all such shares except to the extent of their pecuniary interest therein. The address for the beneficial owners is c/o Acuta Capital Partners, LLC, 1301 Shoreway Road, Suite 350, Belmont, CA, 94002.</w:t>
      </w:r>
    </w:p>
    <w:p>
      <w:pPr>
        <w:spacing w:after="0" w:line="210" w:lineRule="exact"/>
        <w:rPr>
          <w:sz w:val="20"/>
          <w:szCs w:val="20"/>
          <w:color w:val="auto"/>
        </w:rPr>
      </w:pPr>
    </w:p>
    <w:p>
      <w:pPr>
        <w:ind w:left="1680" w:hanging="531"/>
        <w:spacing w:after="0"/>
        <w:tabs>
          <w:tab w:leader="none" w:pos="1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Consists of (i)(a) 1,660,948 shares of common stock and (b) 830,474 shares of common stock underlying warrants exercisable within</w:t>
      </w:r>
    </w:p>
    <w:p>
      <w:pPr>
        <w:spacing w:after="0" w:line="38" w:lineRule="exact"/>
        <w:rPr>
          <w:rFonts w:ascii="Arial" w:cs="Arial" w:eastAsia="Arial" w:hAnsi="Arial"/>
          <w:sz w:val="16"/>
          <w:szCs w:val="16"/>
          <w:color w:val="auto"/>
        </w:rPr>
      </w:pPr>
    </w:p>
    <w:p>
      <w:pPr>
        <w:ind w:left="1680" w:right="100"/>
        <w:spacing w:after="0" w:line="300" w:lineRule="auto"/>
        <w:rPr>
          <w:rFonts w:ascii="Arial" w:cs="Arial" w:eastAsia="Arial" w:hAnsi="Arial"/>
          <w:sz w:val="16"/>
          <w:szCs w:val="16"/>
          <w:color w:val="auto"/>
        </w:rPr>
      </w:pPr>
      <w:r>
        <w:rPr>
          <w:rFonts w:ascii="Arial" w:cs="Arial" w:eastAsia="Arial" w:hAnsi="Arial"/>
          <w:sz w:val="15"/>
          <w:szCs w:val="15"/>
          <w:color w:val="auto"/>
        </w:rPr>
        <w:t>60 days of December 23, 2019 held by Biotechnology Value Fund, L.P., (ii)(a) 1,293,646 shares of common stock and (b) 646,823 shares of common stock underlying warrants exercisable within 60 days of December 23, 2019 held by Biotechnology Value Fund II, L.P., (iii)</w:t>
      </w:r>
    </w:p>
    <w:p>
      <w:pPr>
        <w:ind w:left="1680" w:right="100" w:firstLine="9"/>
        <w:spacing w:after="0" w:line="281" w:lineRule="auto"/>
        <w:tabs>
          <w:tab w:leader="none" w:pos="1919" w:val="left"/>
        </w:tabs>
        <w:numPr>
          <w:ilvl w:val="1"/>
          <w:numId w:val="6"/>
        </w:numPr>
        <w:rPr>
          <w:rFonts w:ascii="Arial" w:cs="Arial" w:eastAsia="Arial" w:hAnsi="Arial"/>
          <w:sz w:val="16"/>
          <w:szCs w:val="16"/>
          <w:color w:val="auto"/>
        </w:rPr>
      </w:pPr>
      <w:r>
        <w:rPr>
          <w:rFonts w:ascii="Arial" w:cs="Arial" w:eastAsia="Arial" w:hAnsi="Arial"/>
          <w:sz w:val="16"/>
          <w:szCs w:val="16"/>
          <w:color w:val="auto"/>
        </w:rPr>
        <w:t>226,312 shares of common stock and (b) 113,156 shares of common stock underlying warrants exercisable within 60 days of December 23, 2019 held by Biotechnology Value Trading Fund OS, L.P. and (iv)(a) 103,166 shares of common stock and (b) 51,583 shares of common stock underlying warrants exercisable within 60 days of December 23, 2019 held by MSI BVF SPV LLC. Such warrants restrict the ability of the holder to exercise the warrants to the extent that the holder and its affiliates would beneficially own more than 9.99% of the Company's common stock following such exercise, provided, however, that the holder has the ability to waive such ownership limitation upon 61 days prior notice and, provided, further, that in no event may the holder beneficially own more than 19.99% of the Company's common stock following such exercise. BVF Partners OS Ltd is the general partner of Biotechnology Value Trading Fund OS, L.P. BVF Partners LP is the general partner of Biotechnology Value Fund, L.P., Biotechnology Value Fund II, L.P. and MSI BVF SPV LLC and the sole member of Biotechnology Value Trading Fund OS, L.P. BVF Inc. is the general partner of BVF Partners LP. Mark Lampert is the president of BVF Partners LP. The address for the beneficial owners is 44 Montgomery Street,</w:t>
      </w:r>
    </w:p>
    <w:p>
      <w:pPr>
        <w:spacing w:after="0" w:line="6" w:lineRule="exact"/>
        <w:rPr>
          <w:rFonts w:ascii="Arial" w:cs="Arial" w:eastAsia="Arial" w:hAnsi="Arial"/>
          <w:sz w:val="16"/>
          <w:szCs w:val="16"/>
          <w:color w:val="auto"/>
        </w:rPr>
      </w:pPr>
    </w:p>
    <w:p>
      <w:pPr>
        <w:ind w:left="1680"/>
        <w:spacing w:after="0"/>
        <w:rPr>
          <w:rFonts w:ascii="Arial" w:cs="Arial" w:eastAsia="Arial" w:hAnsi="Arial"/>
          <w:sz w:val="16"/>
          <w:szCs w:val="16"/>
          <w:color w:val="auto"/>
        </w:rPr>
      </w:pPr>
      <w:r>
        <w:rPr>
          <w:rFonts w:ascii="Arial" w:cs="Arial" w:eastAsia="Arial" w:hAnsi="Arial"/>
          <w:sz w:val="18"/>
          <w:szCs w:val="18"/>
          <w:color w:val="auto"/>
        </w:rPr>
        <w:t>40th Floor, San Francisco, CA, 94104.</w:t>
      </w:r>
    </w:p>
    <w:p>
      <w:pPr>
        <w:spacing w:after="0" w:line="245" w:lineRule="exact"/>
        <w:rPr>
          <w:rFonts w:ascii="Arial" w:cs="Arial" w:eastAsia="Arial" w:hAnsi="Arial"/>
          <w:sz w:val="16"/>
          <w:szCs w:val="16"/>
          <w:color w:val="auto"/>
        </w:rPr>
      </w:pPr>
    </w:p>
    <w:p>
      <w:pPr>
        <w:ind w:left="1680" w:right="20" w:hanging="531"/>
        <w:spacing w:after="0" w:line="291" w:lineRule="auto"/>
        <w:tabs>
          <w:tab w:leader="none" w:pos="1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Consists (i) 5,486,463 shares of common stock and (ii) 1,970,443 shares of common stock underlying warrants exercisable within 60 days of December 23, 2019 held by TAS Partners, LLC. Such warrants restrict the ability of the holder to exercise the warrants to the extent that the holder and its affiliates would beneficially own more than 19.99% of the Company's common stock following such exercise. Timothy A. Springer is the sole managing member of TAS Partners, LLC. Dr. Springer exercises sole voting and dispositive power over the shares held by TAS Partners, LLC. Dr. Springer disclaims beneficial ownership of the shares held by TAS Partners, LLC, except to the extent of his pecuniary interest therein. The address for the beneficial owners is 36 Woodman Road, Newton, MA, 02476.</w:t>
      </w:r>
    </w:p>
    <w:p>
      <w:pPr>
        <w:spacing w:after="0" w:line="187" w:lineRule="exact"/>
        <w:rPr>
          <w:rFonts w:ascii="Arial" w:cs="Arial" w:eastAsia="Arial" w:hAnsi="Arial"/>
          <w:sz w:val="16"/>
          <w:szCs w:val="16"/>
          <w:color w:val="auto"/>
        </w:rPr>
      </w:pPr>
    </w:p>
    <w:p>
      <w:pPr>
        <w:ind w:left="1680" w:right="180" w:hanging="531"/>
        <w:spacing w:after="0" w:line="289" w:lineRule="auto"/>
        <w:tabs>
          <w:tab w:leader="none" w:pos="1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Consists of (i) 3,284,072 shares of common stock and (ii) 1,317,024 shares of common stock underlying warrants exercisable within 60 days of December 23, 2019 held by Boxer Capital, LLC. Excludes 325,012 shares of common stock underlying warrants held by Boxer Capital, LLC. Such warrants restrict the ability of the holder to exercise the warrants to the extent that the holder and its affiliates would beneficially own more than 4.99% of the Company's common stock following such exercise, provided, however, that the holder has the ability to waive such ownership limitation upon 61 days prior notice and, provided, further, that in no event may the holder beneficially own more than 19.99% of the Company's common stock following such exercise. Boxer Asset Management Inc. is the managing member and majority owner of Boxer Capital. Joseph C. Lewis is the sole indirect beneficial owner of Boxer Asset Management Inc. The address for the beneficial owners is Cay House, EP Taylor Drive N7776, Lyford Cay, New Providence, Bahamas.</w:t>
      </w:r>
    </w:p>
    <w:p>
      <w:pPr>
        <w:spacing w:after="0" w:line="185" w:lineRule="exact"/>
        <w:rPr>
          <w:rFonts w:ascii="Arial" w:cs="Arial" w:eastAsia="Arial" w:hAnsi="Arial"/>
          <w:sz w:val="16"/>
          <w:szCs w:val="16"/>
          <w:color w:val="auto"/>
        </w:rPr>
      </w:pPr>
    </w:p>
    <w:p>
      <w:pPr>
        <w:ind w:left="1680" w:hanging="531"/>
        <w:spacing w:after="0"/>
        <w:tabs>
          <w:tab w:leader="none" w:pos="1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Consists of (i)(a) 2,549,275 shares of common stock and (b) 636,960 shares of common stock underlying warrants exercisable within</w:t>
      </w:r>
    </w:p>
    <w:p>
      <w:pPr>
        <w:spacing w:after="0" w:line="38" w:lineRule="exact"/>
        <w:rPr>
          <w:rFonts w:ascii="Arial" w:cs="Arial" w:eastAsia="Arial" w:hAnsi="Arial"/>
          <w:sz w:val="16"/>
          <w:szCs w:val="16"/>
          <w:color w:val="auto"/>
        </w:rPr>
      </w:pPr>
    </w:p>
    <w:p>
      <w:pPr>
        <w:ind w:left="1680"/>
        <w:spacing w:after="0"/>
        <w:rPr>
          <w:rFonts w:ascii="Arial" w:cs="Arial" w:eastAsia="Arial" w:hAnsi="Arial"/>
          <w:sz w:val="16"/>
          <w:szCs w:val="16"/>
          <w:color w:val="auto"/>
        </w:rPr>
      </w:pPr>
      <w:r>
        <w:rPr>
          <w:rFonts w:ascii="Arial" w:cs="Arial" w:eastAsia="Arial" w:hAnsi="Arial"/>
          <w:sz w:val="16"/>
          <w:szCs w:val="16"/>
          <w:color w:val="auto"/>
        </w:rPr>
        <w:t>60 days of December 23, 2019 held by Cronus &amp; Co. FBO Wasatch Ultra Growth Fund and (ii)(a) 1,854,324 shares of common stock and</w:t>
      </w:r>
    </w:p>
    <w:p>
      <w:pPr>
        <w:spacing w:after="0" w:line="32" w:lineRule="exact"/>
        <w:rPr>
          <w:rFonts w:ascii="Arial" w:cs="Arial" w:eastAsia="Arial" w:hAnsi="Arial"/>
          <w:sz w:val="16"/>
          <w:szCs w:val="16"/>
          <w:color w:val="auto"/>
        </w:rPr>
      </w:pPr>
    </w:p>
    <w:p>
      <w:pPr>
        <w:ind w:left="1940" w:hanging="251"/>
        <w:spacing w:after="0"/>
        <w:tabs>
          <w:tab w:leader="none" w:pos="1940" w:val="left"/>
        </w:tabs>
        <w:numPr>
          <w:ilvl w:val="1"/>
          <w:numId w:val="7"/>
        </w:numPr>
        <w:rPr>
          <w:rFonts w:ascii="Arial" w:cs="Arial" w:eastAsia="Arial" w:hAnsi="Arial"/>
          <w:sz w:val="18"/>
          <w:szCs w:val="18"/>
          <w:color w:val="auto"/>
        </w:rPr>
      </w:pPr>
      <w:r>
        <w:rPr>
          <w:rFonts w:ascii="Arial" w:cs="Arial" w:eastAsia="Arial" w:hAnsi="Arial"/>
          <w:sz w:val="18"/>
          <w:szCs w:val="18"/>
          <w:color w:val="auto"/>
        </w:rPr>
        <w:t>512,465 shares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right="140"/>
        <w:spacing w:after="0" w:line="298" w:lineRule="auto"/>
        <w:rPr>
          <w:sz w:val="20"/>
          <w:szCs w:val="20"/>
          <w:color w:val="auto"/>
        </w:rPr>
      </w:pPr>
      <w:r>
        <w:rPr>
          <w:rFonts w:ascii="Arial" w:cs="Arial" w:eastAsia="Arial" w:hAnsi="Arial"/>
          <w:sz w:val="16"/>
          <w:szCs w:val="16"/>
          <w:color w:val="auto"/>
        </w:rPr>
        <w:t>of common stock underlying warrants exercisable within 60 days of December 23, 2019 held by Casing &amp; Co. FBO Wasatch Micro Cap Fund. John Malooly has voting and investment power with respect to the shares owned by Cronus &amp; Co. FBO Wasatch Ultra Growth Fund. Ken Korngiebel has voting and investment power with respect to the shares owned by Casing &amp; Co. FBO Wasatch Micro Cap Fund. The address for the beneficial owners is 505 Wakara Way, 3rd Floor, Salt Lake City, UT 84108.</w:t>
      </w:r>
    </w:p>
    <w:p>
      <w:pPr>
        <w:spacing w:after="0" w:line="180" w:lineRule="exact"/>
        <w:rPr>
          <w:sz w:val="20"/>
          <w:szCs w:val="20"/>
          <w:color w:val="auto"/>
        </w:rPr>
      </w:pPr>
    </w:p>
    <w:p>
      <w:pPr>
        <w:ind w:left="1680" w:hanging="531"/>
        <w:spacing w:after="0"/>
        <w:tabs>
          <w:tab w:leader="none" w:pos="1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Consists of (i) 3,413,629 shares of common stock and (ii) 656,814 shares of common stock underlying warrants exercisable within</w:t>
      </w:r>
    </w:p>
    <w:p>
      <w:pPr>
        <w:spacing w:after="0" w:line="38" w:lineRule="exact"/>
        <w:rPr>
          <w:rFonts w:ascii="Arial" w:cs="Arial" w:eastAsia="Arial" w:hAnsi="Arial"/>
          <w:sz w:val="16"/>
          <w:szCs w:val="16"/>
          <w:color w:val="auto"/>
        </w:rPr>
      </w:pPr>
    </w:p>
    <w:p>
      <w:pPr>
        <w:ind w:left="1680" w:right="20"/>
        <w:spacing w:after="0" w:line="298" w:lineRule="auto"/>
        <w:rPr>
          <w:rFonts w:ascii="Arial" w:cs="Arial" w:eastAsia="Arial" w:hAnsi="Arial"/>
          <w:sz w:val="16"/>
          <w:szCs w:val="16"/>
          <w:color w:val="auto"/>
        </w:rPr>
      </w:pPr>
      <w:r>
        <w:rPr>
          <w:rFonts w:ascii="Arial" w:cs="Arial" w:eastAsia="Arial" w:hAnsi="Arial"/>
          <w:sz w:val="16"/>
          <w:szCs w:val="16"/>
          <w:color w:val="auto"/>
        </w:rPr>
        <w:t>60 days of December 23, 2019 held by Invus Public Equities, L.P. Such warrants restrict the ability of the holder to exercise the warrants to the extent that the holder and its affiliates would beneficially own more than 4.99% of the Company's common stock following such exercise, provided, however, that the holder has the ability to waive such ownership limitation upon 61 days prior notice and, provided, further, that in no event may the holder beneficially own more than 19.99% of the Company's common stock following such exercise. The address for Invus Public Equities, L.P. is 750 Lexington Avenue, 30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NY, 10022.</w:t>
      </w:r>
    </w:p>
    <w:p>
      <w:pPr>
        <w:spacing w:after="0" w:line="72" w:lineRule="exact"/>
        <w:rPr>
          <w:rFonts w:ascii="Arial" w:cs="Arial" w:eastAsia="Arial" w:hAnsi="Arial"/>
          <w:sz w:val="16"/>
          <w:szCs w:val="16"/>
          <w:color w:val="auto"/>
        </w:rPr>
      </w:pPr>
    </w:p>
    <w:p>
      <w:pPr>
        <w:ind w:left="1680" w:right="20" w:hanging="531"/>
        <w:spacing w:after="0" w:line="290" w:lineRule="auto"/>
        <w:tabs>
          <w:tab w:leader="none" w:pos="1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Consists of (i) 793,438 shares of common stock and (ii) 328,407 shares of common stock underlying warrants exercisable within 60 days of December 23, 2019 held by Altium Growth Fund, LP. Such warrants restrict the ability of the holder to exercise the warrants to the extent that the holder and its affiliates would beneficially own more than 4.99% of the Company's common stock following such exercise, provided, however, that the holder has the ability to waive such ownership limitation upon 61 days prior notice and, provided, further, that in no event may the holder beneficially own more than 19.99% of the Company's common stock following such exercise. The voting members of Altium Growth Fund, LP are Altium Capital Management, LP, Altium Growth GP, LLC and Jacob Gottlieb. The address for Altium Growth Fund, LP is 551 Fifth Avenue, Floor 19, New York, NY, 10176.</w:t>
      </w:r>
    </w:p>
    <w:p>
      <w:pPr>
        <w:spacing w:after="0" w:line="185" w:lineRule="exact"/>
        <w:rPr>
          <w:rFonts w:ascii="Arial" w:cs="Arial" w:eastAsia="Arial" w:hAnsi="Arial"/>
          <w:sz w:val="16"/>
          <w:szCs w:val="16"/>
          <w:color w:val="auto"/>
        </w:rPr>
      </w:pPr>
    </w:p>
    <w:p>
      <w:pPr>
        <w:ind w:left="1680" w:hanging="531"/>
        <w:spacing w:after="0"/>
        <w:tabs>
          <w:tab w:leader="none" w:pos="1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Consists of (i) 3,330,296 shares of common stock and (ii) 656,814 shares of common stock underlying warrants exercisable within</w:t>
      </w:r>
    </w:p>
    <w:p>
      <w:pPr>
        <w:spacing w:after="0" w:line="38" w:lineRule="exact"/>
        <w:rPr>
          <w:rFonts w:ascii="Arial" w:cs="Arial" w:eastAsia="Arial" w:hAnsi="Arial"/>
          <w:sz w:val="16"/>
          <w:szCs w:val="16"/>
          <w:color w:val="auto"/>
        </w:rPr>
      </w:pPr>
    </w:p>
    <w:p>
      <w:pPr>
        <w:ind w:left="1680" w:right="460"/>
        <w:spacing w:after="0" w:line="302" w:lineRule="auto"/>
        <w:rPr>
          <w:rFonts w:ascii="Arial" w:cs="Arial" w:eastAsia="Arial" w:hAnsi="Arial"/>
          <w:sz w:val="16"/>
          <w:szCs w:val="16"/>
          <w:color w:val="auto"/>
        </w:rPr>
      </w:pPr>
      <w:r>
        <w:rPr>
          <w:rFonts w:ascii="Arial" w:cs="Arial" w:eastAsia="Arial" w:hAnsi="Arial"/>
          <w:sz w:val="16"/>
          <w:szCs w:val="16"/>
          <w:color w:val="auto"/>
        </w:rPr>
        <w:t>60 days of December 23, 2019 held by NanoDimension II, L.P. The general partner of NanoDimension II, L.P. is NanoDimension II Management Limited, which is owned by The Eiger Trust, a Cayman Islands trust. The address for NanoDimension II, L.P. is 201 Brittany Cove, 89, North West Point Road, West Bay, Grand Cayman, Cayman Islands.</w:t>
      </w:r>
    </w:p>
    <w:p>
      <w:pPr>
        <w:spacing w:after="0" w:line="176" w:lineRule="exact"/>
        <w:rPr>
          <w:rFonts w:ascii="Arial" w:cs="Arial" w:eastAsia="Arial" w:hAnsi="Arial"/>
          <w:sz w:val="16"/>
          <w:szCs w:val="16"/>
          <w:color w:val="auto"/>
        </w:rPr>
      </w:pPr>
    </w:p>
    <w:p>
      <w:pPr>
        <w:ind w:left="1680" w:hanging="531"/>
        <w:spacing w:after="0"/>
        <w:tabs>
          <w:tab w:leader="none" w:pos="1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Consists of (i) 1,395,460 shares of common stock and (ii) 340,230 shares of common stock underlying warrants exercisable within</w:t>
      </w:r>
    </w:p>
    <w:p>
      <w:pPr>
        <w:spacing w:after="0" w:line="38" w:lineRule="exact"/>
        <w:rPr>
          <w:rFonts w:ascii="Arial" w:cs="Arial" w:eastAsia="Arial" w:hAnsi="Arial"/>
          <w:sz w:val="16"/>
          <w:szCs w:val="16"/>
          <w:color w:val="auto"/>
        </w:rPr>
      </w:pPr>
    </w:p>
    <w:p>
      <w:pPr>
        <w:ind w:left="1680"/>
        <w:spacing w:after="0" w:line="302" w:lineRule="auto"/>
        <w:rPr>
          <w:rFonts w:ascii="Arial" w:cs="Arial" w:eastAsia="Arial" w:hAnsi="Arial"/>
          <w:sz w:val="16"/>
          <w:szCs w:val="16"/>
          <w:color w:val="auto"/>
        </w:rPr>
      </w:pPr>
      <w:r>
        <w:rPr>
          <w:rFonts w:ascii="Arial" w:cs="Arial" w:eastAsia="Arial" w:hAnsi="Arial"/>
          <w:sz w:val="16"/>
          <w:szCs w:val="16"/>
          <w:color w:val="auto"/>
        </w:rPr>
        <w:t>60 days of December 23, 2019 held by Reinet Columbus Limited. Reinet Columbus Limited is 100% owned by Reinet Fund S.C.A., F.I.S. (a specialized investment fund incorporated in Luxembourg) which in turn is 100% owned by Reinet Investments S.C.A. The address for Reinet Columbus Limited is Third Floor, Channel House, Green Street, St. Helier, Jersey, Channel Islands, JE2 4UH.</w:t>
      </w:r>
    </w:p>
    <w:p>
      <w:pPr>
        <w:spacing w:after="0" w:line="190" w:lineRule="exact"/>
        <w:rPr>
          <w:rFonts w:ascii="Arial" w:cs="Arial" w:eastAsia="Arial" w:hAnsi="Arial"/>
          <w:sz w:val="16"/>
          <w:szCs w:val="16"/>
          <w:color w:val="auto"/>
        </w:rPr>
      </w:pPr>
    </w:p>
    <w:p>
      <w:pPr>
        <w:jc w:val="both"/>
        <w:ind w:left="1680" w:right="100" w:hanging="531"/>
        <w:spacing w:after="0" w:line="259" w:lineRule="auto"/>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(i) 500,000 shares of common stock and (ii) 100,000 shares of common stock underlying warrants exercisable within 60 days of December 23, 2019 held by Hering-Kirchhof Living Trust. The address for Hering-Kirchhof Living Trust is 12308 Hilloway Road W, Minnetonka, Minnesota, 55305.</w:t>
      </w:r>
    </w:p>
    <w:p>
      <w:pPr>
        <w:spacing w:after="0" w:line="207" w:lineRule="exact"/>
        <w:rPr>
          <w:rFonts w:ascii="Arial" w:cs="Arial" w:eastAsia="Arial" w:hAnsi="Arial"/>
          <w:sz w:val="18"/>
          <w:szCs w:val="18"/>
          <w:color w:val="auto"/>
        </w:rPr>
      </w:pPr>
    </w:p>
    <w:p>
      <w:pPr>
        <w:ind w:left="1680" w:right="180" w:hanging="531"/>
        <w:spacing w:after="0" w:line="306" w:lineRule="auto"/>
        <w:tabs>
          <w:tab w:leader="none" w:pos="1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Consists of (i) 808,966 shares of common stock and (ii) 98,522 shares of common stock underlying warrants that are exercisable as of December 23, 2019 or will become exercisable within 60 days after such date held by The Eiger Trust.The address of The Eiger Trust is 201 Brittany Cove, 89, North West Point Road, West Bay, Grand Cayman, Cayman Islands.</w:t>
      </w:r>
    </w:p>
    <w:p>
      <w:pPr>
        <w:spacing w:after="0" w:line="174" w:lineRule="exact"/>
        <w:rPr>
          <w:rFonts w:ascii="Arial" w:cs="Arial" w:eastAsia="Arial" w:hAnsi="Arial"/>
          <w:sz w:val="16"/>
          <w:szCs w:val="16"/>
          <w:color w:val="auto"/>
        </w:rPr>
      </w:pPr>
    </w:p>
    <w:p>
      <w:pPr>
        <w:ind w:left="1680" w:right="100" w:hanging="531"/>
        <w:spacing w:after="0" w:line="268" w:lineRule="auto"/>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(i) 83,173 shares of common stock held by Mr. Barabe directly, (ii) 32,840 shares of common stock underlying warrants that are exercisable within 60 days of December 23, 2019,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spacing w:after="0" w:line="332" w:lineRule="auto"/>
        <w:rPr>
          <w:sz w:val="20"/>
          <w:szCs w:val="20"/>
          <w:color w:val="auto"/>
        </w:rPr>
      </w:pPr>
      <w:r>
        <w:rPr>
          <w:rFonts w:ascii="Arial" w:cs="Arial" w:eastAsia="Arial" w:hAnsi="Arial"/>
          <w:sz w:val="16"/>
          <w:szCs w:val="16"/>
          <w:color w:val="auto"/>
        </w:rPr>
        <w:t>(iii) 26,738 shares of common stock underlying outstanding stock options exercisable within 60 days of December 23, 2019. The business address of Mr. Barabe is c/o Selecta Biosciences, Inc., 480 Arsenal Way, Watertown, Massachusetts 02472.</w:t>
      </w:r>
    </w:p>
    <w:p>
      <w:pPr>
        <w:spacing w:after="0" w:line="152" w:lineRule="exact"/>
        <w:rPr>
          <w:sz w:val="20"/>
          <w:szCs w:val="20"/>
          <w:color w:val="auto"/>
        </w:rPr>
      </w:pPr>
    </w:p>
    <w:p>
      <w:pPr>
        <w:ind w:left="1680" w:right="260" w:hanging="531"/>
        <w:spacing w:after="0" w:line="256" w:lineRule="auto"/>
        <w:tabs>
          <w:tab w:leader="none" w:pos="1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(i) 65,681 shares of common stock held by Ms. Cox directly, (ii) 32,840 shares of common stock underlying warrants that are exercisable within 60 days of December 23, 2019, and (iii) 1,666 shares of common stock underlying outstanding stock options exercisable within 60 days of December 23, 2019. The business address of Ms. Cox is c/o Selecta Biosciences, Inc., 480 Arsenal Way, Watertown, Massachusetts 02472.</w:t>
      </w:r>
    </w:p>
    <w:p>
      <w:pPr>
        <w:spacing w:after="0" w:line="224" w:lineRule="exact"/>
        <w:rPr>
          <w:rFonts w:ascii="Arial" w:cs="Arial" w:eastAsia="Arial" w:hAnsi="Arial"/>
          <w:sz w:val="18"/>
          <w:szCs w:val="18"/>
          <w:color w:val="auto"/>
        </w:rPr>
      </w:pPr>
    </w:p>
    <w:p>
      <w:pPr>
        <w:ind w:left="1680" w:right="120" w:hanging="531"/>
        <w:spacing w:after="0" w:line="256" w:lineRule="auto"/>
        <w:tabs>
          <w:tab w:leader="none" w:pos="1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(i) 80,845 shares of common stock held by Mr. Myers directly, (ii) 19,704 shares of common stock underlying warrants that are exercisable within 60 days of December 23, 2019, and (iii) 4,444 shares of common stock underlying outstanding stock options exercisable within 60 days of December 23, 2019. The business address of Mr. Myers is c/o Selecta Biosciences, Inc., 480 Arsenal Way, Watertown, Massachusetts 02472.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the Selling Stockholders</w:t>
      </w:r>
    </w:p>
    <w:p>
      <w:pPr>
        <w:spacing w:after="0" w:line="231"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In addition to the Securities Purchase Agreement, on December 23, 2019, in connection with the 2019 Private Placement, we entered into a registration rights agreement with the selling stockholders, or the Registration Rights Agreement. Also on December 23, 2019, we entered into the Common Warrants with the selling stockholders, and the Pre-Funded Warrants with certain selling stockholders.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Pursuant to the Registration Rights Agreement with each of the selling stockholders, we agreed to prepare and file with the SEC a registration statement that permits the resale of the selling stockholders' shares and, subject to certain exceptions, use reasonable best efforts to keep the registration statement of which this prospectus forms a part effective under the Securities Act until the earlier of (i) such time as all of the securities registered for resale hereunder have been disposed of pursuant to and in accordance with the registration statement; (ii) such time as all of the securities registered for resale hereunder have been sold in accordance with Rule 144 under the Securities Act; (iii) the date on which the shares of common stock registered for resale hereunder become eligible for resale without volume or manner-of-sale restrictions and without current public information pursuant to Rule 144; and (iv) December 23, 2024.</w:t>
      </w:r>
    </w:p>
    <w:p>
      <w:pPr>
        <w:spacing w:after="0" w:line="174"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We have also agreed, among other things, to indemnify the selling stockholders and their officers, directors, members, employees and agents, successors and assigns under the registration statement from certain liabilities and to pay all fees and expenses (excluding any legal fees of the selling holder(s), and any underwriting discounts and selling commissions) incident to our obligations under the Registration Rights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Common Warrants are exercisable at any time on or after December 23, 2019 and entitle the selling stockholders to purchase shares of our common stock until December 23, 2024 at a price per share equal to $1.46 per share, subject to certain adjustments.</w:t>
      </w:r>
    </w:p>
    <w:p>
      <w:pPr>
        <w:spacing w:after="0" w:line="186"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Pre-Funded Warrants are exercisable at any time on or after December 23, 2019 and entitle the applicable selling stockholders to purchase shares of our common stock until December 23, 2024 at a price per share equal to $0.0001 per share, subject to certain adjustments.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selling stockholders and any of their pledgees, donees, transferees, assignees or other successors-in-interest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The selling stockholders may use one or more of the following methods when disposing of the shares or interests therein:</w:t>
      </w:r>
    </w:p>
    <w:p>
      <w:pPr>
        <w:spacing w:after="0" w:line="210"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5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brokers, dealers or underwriters that may act solely as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entered into after the effective date of the registration statement of which this prospectus is a part, whether through an options exchange or otherwise;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stockholders to sell a specified number of such shares at a stipulated price per share;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combination of any such methods of disposition;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selling stockholders may also sell shares under Rule 144 or Rule 904 under the Securities Act, if available, or Section 4(a)(1) under the Securities Act, rather than under this prospectus.</w:t>
      </w:r>
    </w:p>
    <w:p>
      <w:pPr>
        <w:spacing w:after="0" w:line="186"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Broker-dealers engaged by the selling stockholders may arrange for other broker-dealers to participate in sales. Broker-dealers may receive commissions or discounts from the selling stockholders (or, if any broker-dealer acts as agent for the purchaser of shares, from the purchaser) in amounts to be negotiated. The selling stockholders do not expect these commissions and discounts to exceed what is customary in the types of transactions involved.</w:t>
      </w:r>
    </w:p>
    <w:p>
      <w:pPr>
        <w:spacing w:after="0" w:line="161"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shares of common stock from time to time under this prospectus, or under a supplement or amendment to this prospectus under Rule 424(b)(3) or other applicable provision of the Securities Act amending the list of selling stockholders to include the pledgee, transferee or other successors in interest as selling stockholders under this prospectus.</w:t>
      </w:r>
    </w:p>
    <w:p>
      <w:pPr>
        <w:spacing w:after="0" w:line="167"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Upon being notified in writing by a selling stockholder that any material arrangement has been entered into with a broker-dealer for the sale of common stock through a block trade, special offering, exchange distribution or secondary distribution or a purchase by a broker or dealer, we will file a supplement to this prospectus, if required, pursuant to Rule 424(b) under the Securities Act, disclosing (i) the name of each such selling stockholder and of the participating broker-dealer(s), (ii) the number of shares involved, (iii) the price at which such shares of common stock were sold, (iv) the commissions paid or discounts or concessions allowed to such broker-dealer(s), where applicable, (v) that such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broker-dealer(s) did not conduct any investigation to verify the information set out or incorporated by reference in this prospectus, and (vi) other facts material to the transaction. In addition, upon being notified in writing by a selling stockholder that a donee or pledge intends to sell more than 500 shares of common stock, we will file a supplement to this prospectus if then required in accordance with applicable securities law.</w:t>
      </w:r>
    </w:p>
    <w:p>
      <w:pPr>
        <w:spacing w:after="0" w:line="161" w:lineRule="exact"/>
        <w:rPr>
          <w:sz w:val="20"/>
          <w:szCs w:val="20"/>
          <w:color w:val="auto"/>
        </w:rPr>
      </w:pPr>
    </w:p>
    <w:p>
      <w:pPr>
        <w:jc w:val="both"/>
        <w:ind w:right="80" w:firstLine="348"/>
        <w:spacing w:after="0" w:line="268" w:lineRule="auto"/>
        <w:rPr>
          <w:sz w:val="20"/>
          <w:szCs w:val="20"/>
          <w:color w:val="auto"/>
        </w:rPr>
      </w:pPr>
      <w:r>
        <w:rPr>
          <w:rFonts w:ascii="Arial" w:cs="Arial" w:eastAsia="Arial" w:hAnsi="Arial"/>
          <w:sz w:val="18"/>
          <w:szCs w:val="18"/>
          <w:color w:val="auto"/>
        </w:rPr>
        <w:t>The selling stockholders also may transfer the shares of common stock in other circumstances, in which case the transferees, pledgees or other successors in interest will be the selling beneficial owners for purposes of this prospectus.</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connection with the sale of the shares of common stock or interests in shares of common stock, the selling stockholders may enter into hedging transactions after the effective date of the registration statement of which this prospectus is a part with broker-dealers or other financial institutions, which may in turn engage in short sales of the common stock in the course of hedging the positions they assume. The selling stockholders may also sell shares of common stock short after the effective date of the registration statement of which this prospectus is a part and deliver these securities to close out their short positions, or loan or pledge the common stock to broker-dealers that in turn may sell these securities. The selling stockholders may also enter into option or other transactions after the effective date of the registration statement of which this prospectus is a part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72"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selling stockholders, including certain of our directors, and any broker-dealers or agents that are involved in selling the shares may be deemed to be "underwriters" within the meaning of the Securities Act in connection with such sales. In such event, any commissions received by such broker-dealers or agents and any profit on the resale of the shares purchased by them may be deemed to be underwriting commissions or discounts under the Securities Act. The maximum commission or discount to be received by any member of the Financial Industry Regulatory Authority (FINRA) or independent broker-dealer will not be greater than 8% of the initial gross proceeds from the sale of any security being sold.</w:t>
      </w:r>
    </w:p>
    <w:p>
      <w:pPr>
        <w:spacing w:after="0" w:line="170"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have advised the selling stockholders that they are required to comply with Regulation M promulgated under the Exchange Act during such time as they may be engaged in a distribution of the shares. The foregoing may affect the marketability of the common stock.</w:t>
      </w:r>
    </w:p>
    <w:p>
      <w:pPr>
        <w:spacing w:after="0" w:line="186"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spacing w:after="0" w:line="16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are required to pay all fees and expenses incident to the registration of the shares. We have agreed to indemnify the selling stockholders against certain losses, claims, damages and liabilities, including liabilities under the Securities Act or otherwise.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agreed with the selling stockholders to keep the registration statement of which this prospectus constitutes a part effective until the earlier of</w:t>
      </w:r>
    </w:p>
    <w:p>
      <w:pPr>
        <w:spacing w:after="0" w:line="38" w:lineRule="exact"/>
        <w:rPr>
          <w:sz w:val="20"/>
          <w:szCs w:val="20"/>
          <w:color w:val="auto"/>
        </w:rPr>
      </w:pPr>
    </w:p>
    <w:p>
      <w:pPr>
        <w:ind w:right="20" w:firstLine="8"/>
        <w:spacing w:after="0" w:line="295" w:lineRule="auto"/>
        <w:tabs>
          <w:tab w:leader="none" w:pos="239" w:val="left"/>
        </w:tabs>
        <w:numPr>
          <w:ilvl w:val="0"/>
          <w:numId w:val="11"/>
        </w:numPr>
        <w:rPr>
          <w:rFonts w:ascii="Arial" w:cs="Arial" w:eastAsia="Arial" w:hAnsi="Arial"/>
          <w:sz w:val="16"/>
          <w:szCs w:val="16"/>
          <w:color w:val="auto"/>
        </w:rPr>
      </w:pPr>
      <w:r>
        <w:rPr>
          <w:rFonts w:ascii="Arial" w:cs="Arial" w:eastAsia="Arial" w:hAnsi="Arial"/>
          <w:sz w:val="16"/>
          <w:szCs w:val="16"/>
          <w:color w:val="auto"/>
        </w:rPr>
        <w:t>such time as all of the shares registered for resale hereunder have been disposed of pursuant to and in accordance with the registration statement, (b) such time as all of the shares registered for resale hereunder have been previously sold or transferred in accordance with Rule 144 of the Securities Act, (c) the date on which the shares of common stock registered for resale hereunder may be sold or transferred by non-affiliates without any volume or manner-of-sale restrictions and without current public information limitations pursuant to Rule 144 of the Securities Act, and (d) December 23, 2024.</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VALIDITY OF THE COMMON STOCK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validity of the common stock being offered by this prospectus has been passed upon for us by Latham &amp; Watkins LLP.</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94" w:lineRule="auto"/>
        <w:rPr>
          <w:rFonts w:ascii="Arial" w:cs="Arial" w:eastAsia="Arial" w:hAnsi="Arial"/>
          <w:sz w:val="16"/>
          <w:szCs w:val="16"/>
          <w:color w:val="0000EE"/>
        </w:rPr>
      </w:pPr>
      <w:hyperlink r:id="rId38">
        <w:r>
          <w:rPr>
            <w:rFonts w:ascii="Arial" w:cs="Arial" w:eastAsia="Arial" w:hAnsi="Arial"/>
            <w:sz w:val="16"/>
            <w:szCs w:val="16"/>
            <w:color w:val="auto"/>
          </w:rPr>
          <w:t xml:space="preserve">The consolidated financial statements of Selecta Biosciences, Inc. appearing in Selecta Biosciences, Inc.'s </w:t>
        </w:r>
        <w:r>
          <w:rPr>
            <w:rFonts w:ascii="Arial" w:cs="Arial" w:eastAsia="Arial" w:hAnsi="Arial"/>
            <w:sz w:val="16"/>
            <w:szCs w:val="16"/>
            <w:u w:val="single" w:color="auto"/>
            <w:color w:val="0000EE"/>
          </w:rPr>
          <w:t>Annual Report on Form 10-K for the year ended</w:t>
        </w:r>
      </w:hyperlink>
      <w:r>
        <w:rPr>
          <w:rFonts w:ascii="Arial" w:cs="Arial" w:eastAsia="Arial" w:hAnsi="Arial"/>
          <w:sz w:val="16"/>
          <w:szCs w:val="16"/>
          <w:color w:val="auto"/>
        </w:rPr>
        <w:t xml:space="preserve"> </w:t>
      </w:r>
      <w:hyperlink r:id="rId38">
        <w:r>
          <w:rPr>
            <w:rFonts w:ascii="Arial" w:cs="Arial" w:eastAsia="Arial" w:hAnsi="Arial"/>
            <w:sz w:val="16"/>
            <w:szCs w:val="16"/>
            <w:u w:val="single" w:color="auto"/>
            <w:color w:val="0000EE"/>
          </w:rPr>
          <w:t>December 31, 2018</w:t>
        </w:r>
        <w:r>
          <w:rPr>
            <w:rFonts w:ascii="Arial" w:cs="Arial" w:eastAsia="Arial" w:hAnsi="Arial"/>
            <w:sz w:val="16"/>
            <w:szCs w:val="16"/>
            <w:color w:val="000000"/>
          </w:rPr>
          <w:t>, have been audited by Ernst &amp; Young LLP, independent registered public accounting firm, as set forth in their report thereon (which contains</w:t>
        </w:r>
      </w:hyperlink>
      <w:r>
        <w:rPr>
          <w:rFonts w:ascii="Arial" w:cs="Arial" w:eastAsia="Arial" w:hAnsi="Arial"/>
          <w:sz w:val="16"/>
          <w:szCs w:val="16"/>
          <w:color w:val="0000EE"/>
        </w:rPr>
        <w:t xml:space="preserve"> </w:t>
      </w:r>
      <w:r>
        <w:rPr>
          <w:rFonts w:ascii="Arial" w:cs="Arial" w:eastAsia="Arial" w:hAnsi="Arial"/>
          <w:sz w:val="16"/>
          <w:szCs w:val="16"/>
          <w:color w:val="000000"/>
        </w:rPr>
        <w:t>an explanatory paragraph describing conditions that raise substantial doubt about the Company's ability to continue as a going concern as described in Note 1 to the consolidated financial statements) included therein, and incorporated herein by reference. Such consolidated financial statements are incorporated herein by reference in reliance upon such report given on the authority of such firm as experts in accounting and auditing.</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right="360" w:firstLine="348"/>
        <w:spacing w:after="0" w:line="259"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The SEC maintains a web site that contains reports, proxy and information statements and other information about issuers, such as us, who file electronically with the SEC. The address of that website is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Our web site address is </w:t>
      </w:r>
      <w:r>
        <w:rPr>
          <w:rFonts w:ascii="Arial" w:cs="Arial" w:eastAsia="Arial" w:hAnsi="Arial"/>
          <w:sz w:val="16"/>
          <w:szCs w:val="16"/>
          <w:i w:val="1"/>
          <w:iCs w:val="1"/>
          <w:color w:val="auto"/>
        </w:rPr>
        <w:t>www.selectabio.com</w:t>
      </w:r>
      <w:r>
        <w:rPr>
          <w:rFonts w:ascii="Arial" w:cs="Arial" w:eastAsia="Arial" w:hAnsi="Arial"/>
          <w:sz w:val="16"/>
          <w:szCs w:val="16"/>
          <w:color w:val="auto"/>
        </w:rPr>
        <w:t>. The information on our web site, however, is not, and should not be deemed to be, a part of this prospectus.</w:t>
      </w:r>
    </w:p>
    <w:p>
      <w:pPr>
        <w:spacing w:after="0" w:line="248"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70"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19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u w:val="single" w:color="auto"/>
          <w:color w:val="0000EE"/>
        </w:rPr>
      </w:pPr>
      <w:hyperlink r:id="rId38">
        <w:r>
          <w:rPr>
            <w:rFonts w:ascii="Arial" w:cs="Arial" w:eastAsia="Arial" w:hAnsi="Arial"/>
            <w:sz w:val="18"/>
            <w:szCs w:val="18"/>
            <w:u w:val="single" w:color="auto"/>
            <w:color w:val="0000EE"/>
          </w:rPr>
          <w:t>Our Annual Report on Form 10-K for the year ended December 31, 2018, filed with the SEC on March 15, 2019;</w:t>
        </w:r>
      </w:hyperlink>
    </w:p>
    <w:p>
      <w:pPr>
        <w:spacing w:after="0" w:line="252" w:lineRule="exact"/>
        <w:rPr>
          <w:rFonts w:ascii="Arial" w:cs="Arial" w:eastAsia="Arial" w:hAnsi="Arial"/>
          <w:sz w:val="18"/>
          <w:szCs w:val="18"/>
          <w:u w:val="single" w:color="auto"/>
          <w:color w:val="0000EE"/>
        </w:rPr>
      </w:pPr>
    </w:p>
    <w:p>
      <w:pPr>
        <w:ind w:left="1080" w:right="880" w:hanging="532"/>
        <w:spacing w:after="0" w:line="268" w:lineRule="auto"/>
        <w:tabs>
          <w:tab w:leader="none" w:pos="1080" w:val="left"/>
        </w:tabs>
        <w:numPr>
          <w:ilvl w:val="0"/>
          <w:numId w:val="12"/>
        </w:numPr>
        <w:rPr>
          <w:rFonts w:ascii="Arial" w:cs="Arial" w:eastAsia="Arial" w:hAnsi="Arial"/>
          <w:sz w:val="18"/>
          <w:szCs w:val="18"/>
          <w:u w:val="single" w:color="auto"/>
          <w:color w:val="0000EE"/>
        </w:rPr>
      </w:pPr>
      <w:hyperlink r:id="rId40">
        <w:r>
          <w:rPr>
            <w:rFonts w:ascii="Arial" w:cs="Arial" w:eastAsia="Arial" w:hAnsi="Arial"/>
            <w:sz w:val="18"/>
            <w:szCs w:val="18"/>
            <w:u w:val="single" w:color="auto"/>
            <w:color w:val="0000EE"/>
          </w:rPr>
          <w:t>The information specifically incorporated by reference into our Annual Report on Form 10-K from our Definitive Proxy Statement on</w:t>
        </w:r>
      </w:hyperlink>
      <w:r>
        <w:rPr>
          <w:rFonts w:ascii="Arial" w:cs="Arial" w:eastAsia="Arial" w:hAnsi="Arial"/>
          <w:sz w:val="18"/>
          <w:szCs w:val="18"/>
          <w:u w:val="single" w:color="auto"/>
          <w:color w:val="0000EE"/>
        </w:rPr>
        <w:t xml:space="preserve"> </w:t>
      </w:r>
      <w:hyperlink r:id="rId40">
        <w:r>
          <w:rPr>
            <w:rFonts w:ascii="Arial" w:cs="Arial" w:eastAsia="Arial" w:hAnsi="Arial"/>
            <w:sz w:val="18"/>
            <w:szCs w:val="18"/>
            <w:u w:val="single" w:color="auto"/>
            <w:color w:val="0000EE"/>
          </w:rPr>
          <w:t>Schedule 14A, filed with the SEC on April 29, 2019;</w:t>
        </w:r>
      </w:hyperlink>
    </w:p>
    <w:p>
      <w:pPr>
        <w:spacing w:after="0" w:line="199" w:lineRule="exact"/>
        <w:rPr>
          <w:rFonts w:ascii="Arial" w:cs="Arial" w:eastAsia="Arial" w:hAnsi="Arial"/>
          <w:sz w:val="18"/>
          <w:szCs w:val="18"/>
          <w:u w:val="single" w:color="auto"/>
          <w:color w:val="0000EE"/>
        </w:rPr>
      </w:pPr>
    </w:p>
    <w:p>
      <w:pPr>
        <w:ind w:left="1080" w:right="4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Our Quarterly Report on Form 10-Q for the quarter ended March 31, 2019, filed with the SEC on </w:t>
      </w:r>
      <w:hyperlink r:id="rId41">
        <w:r>
          <w:rPr>
            <w:rFonts w:ascii="Arial" w:cs="Arial" w:eastAsia="Arial" w:hAnsi="Arial"/>
            <w:sz w:val="18"/>
            <w:szCs w:val="18"/>
            <w:u w:val="single" w:color="auto"/>
            <w:color w:val="0000EE"/>
          </w:rPr>
          <w:t>May 9, 2019</w:t>
        </w:r>
      </w:hyperlink>
      <w:r>
        <w:rPr>
          <w:rFonts w:ascii="Arial" w:cs="Arial" w:eastAsia="Arial" w:hAnsi="Arial"/>
          <w:sz w:val="18"/>
          <w:szCs w:val="18"/>
          <w:color w:val="auto"/>
        </w:rPr>
        <w:t xml:space="preserve">, our Quarterly Report on Form 10-Q for the quarter ended June 30, 2019, filed with the SEC on </w:t>
      </w:r>
      <w:hyperlink r:id="rId42">
        <w:r>
          <w:rPr>
            <w:rFonts w:ascii="Arial" w:cs="Arial" w:eastAsia="Arial" w:hAnsi="Arial"/>
            <w:sz w:val="18"/>
            <w:szCs w:val="18"/>
            <w:u w:val="single" w:color="auto"/>
            <w:color w:val="0000EE"/>
          </w:rPr>
          <w:t>August 8,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our Quarterly Report on Form 10-Q for the quarter ended September 30, 2019, filed with the SEC on </w:t>
      </w:r>
      <w:hyperlink r:id="rId43">
        <w:r>
          <w:rPr>
            <w:rFonts w:ascii="Arial" w:cs="Arial" w:eastAsia="Arial" w:hAnsi="Arial"/>
            <w:sz w:val="18"/>
            <w:szCs w:val="18"/>
            <w:u w:val="single" w:color="auto"/>
            <w:color w:val="0000EE"/>
          </w:rPr>
          <w:t>November 8, 2019</w:t>
        </w:r>
      </w:hyperlink>
      <w:r>
        <w:rPr>
          <w:rFonts w:ascii="Arial" w:cs="Arial" w:eastAsia="Arial" w:hAnsi="Arial"/>
          <w:sz w:val="18"/>
          <w:szCs w:val="18"/>
          <w:color w:val="auto"/>
        </w:rPr>
        <w:t>;</w:t>
      </w:r>
    </w:p>
    <w:p>
      <w:pPr>
        <w:spacing w:after="0" w:line="207"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12"/>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with the SEC on </w:t>
      </w:r>
      <w:hyperlink r:id="rId44">
        <w:r>
          <w:rPr>
            <w:rFonts w:ascii="Arial" w:cs="Arial" w:eastAsia="Arial" w:hAnsi="Arial"/>
            <w:sz w:val="18"/>
            <w:szCs w:val="18"/>
            <w:u w:val="single" w:color="auto"/>
            <w:color w:val="0000EE"/>
          </w:rPr>
          <w:t>January 3, 2019</w:t>
        </w:r>
      </w:hyperlink>
      <w:r>
        <w:rPr>
          <w:rFonts w:ascii="Arial" w:cs="Arial" w:eastAsia="Arial" w:hAnsi="Arial"/>
          <w:sz w:val="18"/>
          <w:szCs w:val="18"/>
          <w:color w:val="auto"/>
        </w:rPr>
        <w:t xml:space="preserve">, </w:t>
      </w:r>
      <w:hyperlink r:id="rId45">
        <w:r>
          <w:rPr>
            <w:rFonts w:ascii="Arial" w:cs="Arial" w:eastAsia="Arial" w:hAnsi="Arial"/>
            <w:sz w:val="18"/>
            <w:szCs w:val="18"/>
            <w:u w:val="single" w:color="auto"/>
            <w:color w:val="0000EE"/>
          </w:rPr>
          <w:t>January 22, 2019</w:t>
        </w:r>
      </w:hyperlink>
      <w:r>
        <w:rPr>
          <w:rFonts w:ascii="Arial" w:cs="Arial" w:eastAsia="Arial" w:hAnsi="Arial"/>
          <w:sz w:val="18"/>
          <w:szCs w:val="18"/>
          <w:color w:val="auto"/>
        </w:rPr>
        <w:t xml:space="preserve">, </w:t>
      </w:r>
      <w:hyperlink r:id="rId46">
        <w:r>
          <w:rPr>
            <w:rFonts w:ascii="Arial" w:cs="Arial" w:eastAsia="Arial" w:hAnsi="Arial"/>
            <w:sz w:val="18"/>
            <w:szCs w:val="18"/>
            <w:u w:val="single" w:color="auto"/>
            <w:color w:val="0000EE"/>
          </w:rPr>
          <w:t>January 24, 2019</w:t>
        </w:r>
      </w:hyperlink>
      <w:r>
        <w:rPr>
          <w:rFonts w:ascii="Arial" w:cs="Arial" w:eastAsia="Arial" w:hAnsi="Arial"/>
          <w:sz w:val="18"/>
          <w:szCs w:val="18"/>
          <w:color w:val="auto"/>
        </w:rPr>
        <w:t xml:space="preserve">, </w:t>
      </w:r>
      <w:hyperlink r:id="rId47">
        <w:r>
          <w:rPr>
            <w:rFonts w:ascii="Arial" w:cs="Arial" w:eastAsia="Arial" w:hAnsi="Arial"/>
            <w:sz w:val="18"/>
            <w:szCs w:val="18"/>
            <w:u w:val="single" w:color="auto"/>
            <w:color w:val="0000EE"/>
          </w:rPr>
          <w:t>March 8, 2019</w:t>
        </w:r>
      </w:hyperlink>
      <w:r>
        <w:rPr>
          <w:rFonts w:ascii="Arial" w:cs="Arial" w:eastAsia="Arial" w:hAnsi="Arial"/>
          <w:sz w:val="18"/>
          <w:szCs w:val="18"/>
          <w:color w:val="auto"/>
        </w:rPr>
        <w:t xml:space="preserve">, </w:t>
      </w:r>
      <w:hyperlink r:id="rId48">
        <w:r>
          <w:rPr>
            <w:rFonts w:ascii="Arial" w:cs="Arial" w:eastAsia="Arial" w:hAnsi="Arial"/>
            <w:sz w:val="18"/>
            <w:szCs w:val="18"/>
            <w:u w:val="single" w:color="auto"/>
            <w:color w:val="0000EE"/>
          </w:rPr>
          <w:t>March 26, 2019</w:t>
        </w:r>
      </w:hyperlink>
      <w:r>
        <w:rPr>
          <w:rFonts w:ascii="Arial" w:cs="Arial" w:eastAsia="Arial" w:hAnsi="Arial"/>
          <w:sz w:val="18"/>
          <w:szCs w:val="18"/>
          <w:color w:val="auto"/>
        </w:rPr>
        <w:t xml:space="preserve">, </w:t>
      </w:r>
      <w:hyperlink r:id="rId49">
        <w:r>
          <w:rPr>
            <w:rFonts w:ascii="Arial" w:cs="Arial" w:eastAsia="Arial" w:hAnsi="Arial"/>
            <w:sz w:val="18"/>
            <w:szCs w:val="18"/>
            <w:u w:val="single" w:color="auto"/>
            <w:color w:val="0000EE"/>
          </w:rPr>
          <w:t>June 17,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50">
        <w:r>
          <w:rPr>
            <w:rFonts w:ascii="Arial" w:cs="Arial" w:eastAsia="Arial" w:hAnsi="Arial"/>
            <w:sz w:val="18"/>
            <w:szCs w:val="18"/>
            <w:u w:val="single" w:color="auto"/>
            <w:color w:val="0000EE"/>
          </w:rPr>
          <w:t>June 20,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51">
        <w:r>
          <w:rPr>
            <w:rFonts w:ascii="Arial" w:cs="Arial" w:eastAsia="Arial" w:hAnsi="Arial"/>
            <w:sz w:val="18"/>
            <w:szCs w:val="18"/>
            <w:u w:val="single" w:color="auto"/>
            <w:color w:val="0000EE"/>
          </w:rPr>
          <w:t>July 26,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52">
        <w:r>
          <w:rPr>
            <w:rFonts w:ascii="Arial" w:cs="Arial" w:eastAsia="Arial" w:hAnsi="Arial"/>
            <w:sz w:val="18"/>
            <w:szCs w:val="18"/>
            <w:u w:val="single" w:color="auto"/>
            <w:color w:val="0000EE"/>
          </w:rPr>
          <w:t>August 7,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53">
        <w:r>
          <w:rPr>
            <w:rFonts w:ascii="Arial" w:cs="Arial" w:eastAsia="Arial" w:hAnsi="Arial"/>
            <w:sz w:val="18"/>
            <w:szCs w:val="18"/>
            <w:u w:val="single" w:color="auto"/>
            <w:color w:val="0000EE"/>
          </w:rPr>
          <w:t>August 20,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54">
        <w:r>
          <w:rPr>
            <w:rFonts w:ascii="Arial" w:cs="Arial" w:eastAsia="Arial" w:hAnsi="Arial"/>
            <w:sz w:val="18"/>
            <w:szCs w:val="18"/>
            <w:u w:val="single" w:color="auto"/>
            <w:color w:val="0000EE"/>
          </w:rPr>
          <w:t>September 4,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55">
        <w:r>
          <w:rPr>
            <w:rFonts w:ascii="Arial" w:cs="Arial" w:eastAsia="Arial" w:hAnsi="Arial"/>
            <w:sz w:val="18"/>
            <w:szCs w:val="18"/>
            <w:u w:val="single" w:color="auto"/>
            <w:color w:val="0000EE"/>
          </w:rPr>
          <w:t>November 21,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56">
        <w:r>
          <w:rPr>
            <w:rFonts w:ascii="Arial" w:cs="Arial" w:eastAsia="Arial" w:hAnsi="Arial"/>
            <w:sz w:val="18"/>
            <w:szCs w:val="18"/>
            <w:u w:val="single" w:color="auto"/>
            <w:color w:val="0000EE"/>
          </w:rPr>
          <w:t xml:space="preserve">December 19, 2019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57">
        <w:r>
          <w:rPr>
            <w:rFonts w:ascii="Arial" w:cs="Arial" w:eastAsia="Arial" w:hAnsi="Arial"/>
            <w:sz w:val="18"/>
            <w:szCs w:val="18"/>
            <w:u w:val="single" w:color="auto"/>
            <w:color w:val="0000EE"/>
          </w:rPr>
          <w:t>December 26, 2019</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221" w:lineRule="exact"/>
        <w:rPr>
          <w:rFonts w:ascii="Arial" w:cs="Arial" w:eastAsia="Arial" w:hAnsi="Arial"/>
          <w:sz w:val="18"/>
          <w:szCs w:val="18"/>
          <w:color w:val="0000EE"/>
        </w:rPr>
      </w:pPr>
    </w:p>
    <w:p>
      <w:pPr>
        <w:ind w:left="1080" w:right="600" w:hanging="532"/>
        <w:spacing w:after="0" w:line="268" w:lineRule="auto"/>
        <w:tabs>
          <w:tab w:leader="none" w:pos="1080" w:val="left"/>
        </w:tabs>
        <w:numPr>
          <w:ilvl w:val="0"/>
          <w:numId w:val="12"/>
        </w:numPr>
        <w:rPr>
          <w:rFonts w:ascii="Arial" w:cs="Arial" w:eastAsia="Arial" w:hAnsi="Arial"/>
          <w:sz w:val="18"/>
          <w:szCs w:val="18"/>
          <w:u w:val="single" w:color="auto"/>
          <w:color w:val="0000EE"/>
        </w:rPr>
      </w:pPr>
      <w:hyperlink r:id="rId58">
        <w:r>
          <w:rPr>
            <w:rFonts w:ascii="Arial" w:cs="Arial" w:eastAsia="Arial" w:hAnsi="Arial"/>
            <w:sz w:val="18"/>
            <w:szCs w:val="18"/>
            <w:u w:val="single" w:color="auto"/>
            <w:color w:val="0000EE"/>
          </w:rPr>
          <w:t>The description of our Common Stock contained in our Registration Statement on Form 8-A, filed with the SEC on June 8, 2016, and any</w:t>
        </w:r>
      </w:hyperlink>
      <w:r>
        <w:rPr>
          <w:rFonts w:ascii="Arial" w:cs="Arial" w:eastAsia="Arial" w:hAnsi="Arial"/>
          <w:sz w:val="18"/>
          <w:szCs w:val="18"/>
          <w:u w:val="single" w:color="auto"/>
          <w:color w:val="0000EE"/>
        </w:rPr>
        <w:t xml:space="preserve"> </w:t>
      </w:r>
      <w:hyperlink r:id="rId58">
        <w:r>
          <w:rPr>
            <w:rFonts w:ascii="Arial" w:cs="Arial" w:eastAsia="Arial" w:hAnsi="Arial"/>
            <w:sz w:val="18"/>
            <w:szCs w:val="18"/>
            <w:u w:val="single" w:color="auto"/>
            <w:color w:val="0000EE"/>
          </w:rPr>
          <w:t>amendment or report filed with the SEC for the purpose of updating the description.</w:t>
        </w:r>
      </w:hyperlink>
    </w:p>
    <w:p>
      <w:pPr>
        <w:spacing w:after="0" w:line="186"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 xml:space="preserve">These documents may also be accessed on our website at </w:t>
      </w:r>
      <w:r>
        <w:rPr>
          <w:rFonts w:ascii="Arial" w:cs="Arial" w:eastAsia="Arial" w:hAnsi="Arial"/>
          <w:sz w:val="18"/>
          <w:szCs w:val="18"/>
          <w:i w:val="1"/>
          <w:iCs w:val="1"/>
          <w:color w:val="auto"/>
        </w:rPr>
        <w:t>www.selectabio.com</w:t>
      </w:r>
      <w:r>
        <w:rPr>
          <w:rFonts w:ascii="Arial" w:cs="Arial" w:eastAsia="Arial" w:hAnsi="Arial"/>
          <w:sz w:val="18"/>
          <w:szCs w:val="18"/>
          <w:color w:val="auto"/>
        </w:rPr>
        <w:t>. Except as otherwise specifically incorporated by reference in this prospectus, information contained in, or accessible through, our website is not a part of this prospectus.</w:t>
      </w:r>
    </w:p>
    <w:p>
      <w:pPr>
        <w:spacing w:after="0" w:line="186"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You may request a free copy of any of the documents incorporated by reference in this prospectus by writing or telephoning us at the following address:</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Selecta Biosciences, Inc.</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480 Arsenal Way</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Watertown, MA 02472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(617) 923-1400</w:t>
      </w:r>
    </w:p>
    <w:p>
      <w:pPr>
        <w:spacing w:after="0" w:line="219" w:lineRule="exact"/>
        <w:rPr>
          <w:sz w:val="20"/>
          <w:szCs w:val="20"/>
          <w:color w:val="auto"/>
        </w:rPr>
      </w:pPr>
    </w:p>
    <w:p>
      <w:pPr>
        <w:ind w:right="920" w:firstLine="351"/>
        <w:spacing w:after="0" w:line="268"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or any accompanying prospectus supplement.</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231"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The following is an estimate of the expenses (all of which are to be paid by the registrant) that we may incur in connection with the securities being registered hereby, other than the Securities and Exchange Commission registration fee.</w:t>
      </w:r>
    </w:p>
    <w:p>
      <w:pPr>
        <w:spacing w:after="0" w:line="19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25,960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225,000</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Printing and miscellaneous expenses</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8,500</w:t>
            </w:r>
          </w:p>
        </w:tc>
      </w:tr>
      <w:tr>
        <w:trPr>
          <w:trHeight w:val="20"/>
        </w:trPr>
        <w:tc>
          <w:tcPr>
            <w:tcW w:w="4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309,460</w:t>
            </w:r>
          </w:p>
        </w:tc>
      </w:tr>
      <w:tr>
        <w:trPr>
          <w:trHeight w:val="20"/>
        </w:trPr>
        <w:tc>
          <w:tcPr>
            <w:tcW w:w="4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Subsection (a) of Section 145 of the General Corporation Law of the State of Delaware, or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72"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spacing w:after="0" w:line="14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spacing w:after="0" w:line="19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Our restated certificate of incorporation provides that to the fullest extent permitted by the DGCL, none of our directors shall be liable to our company or our stockholders for monetary damages arising from a breach of fiduciary duty owed to our company or our stockholders. In addition, our amended and restated bylaws provide that we must indemnify our directors and officers to the fullest extent authorized by the DGCL and must also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 under this section or otherwise.</w:t>
      </w:r>
    </w:p>
    <w:p>
      <w:pPr>
        <w:spacing w:after="0" w:line="170"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have entered into indemnification agreements with each of our directors and executive officers in which we have agreed to indemnify, defend and hold harmless, and also advance expenses as incurred, to the fullest extent permitted under applicable law, from damage arising from the fact that such person is or was an officer or director of our company or our subsidiaries.</w:t>
      </w:r>
    </w:p>
    <w:p>
      <w:pPr>
        <w:spacing w:after="0" w:line="194" w:lineRule="exact"/>
        <w:rPr>
          <w:sz w:val="20"/>
          <w:szCs w:val="20"/>
          <w:color w:val="auto"/>
        </w:rPr>
      </w:pPr>
    </w:p>
    <w:p>
      <w:pPr>
        <w:ind w:right="20" w:firstLine="348"/>
        <w:spacing w:after="0" w:line="370" w:lineRule="auto"/>
        <w:rPr>
          <w:sz w:val="20"/>
          <w:szCs w:val="20"/>
          <w:color w:val="auto"/>
        </w:rPr>
      </w:pPr>
      <w:r>
        <w:rPr>
          <w:rFonts w:ascii="Arial" w:cs="Arial" w:eastAsia="Arial" w:hAnsi="Arial"/>
          <w:sz w:val="15"/>
          <w:szCs w:val="15"/>
          <w:color w:val="auto"/>
        </w:rPr>
        <w:t>The indemnification rights set forth above shall not be exclusive of any other right which an indemnified person may have or hereafter acquire under any statute, our restated certificate of incorporation, our amended and restated bylaws, any agreement, any vote of stockholders or disinterested directors or otherwise.</w:t>
      </w:r>
    </w:p>
    <w:p>
      <w:pPr>
        <w:spacing w:after="0" w:line="116"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We expect to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w:t>
      </w:r>
    </w:p>
    <w:p>
      <w:pPr>
        <w:spacing w:after="0" w:line="139" w:lineRule="exact"/>
        <w:rPr>
          <w:sz w:val="20"/>
          <w:szCs w:val="20"/>
          <w:color w:val="auto"/>
        </w:rPr>
      </w:pPr>
    </w:p>
    <w:p>
      <w:pPr>
        <w:ind w:right="120" w:firstLine="348"/>
        <w:spacing w:after="0" w:line="370" w:lineRule="auto"/>
        <w:rPr>
          <w:sz w:val="20"/>
          <w:szCs w:val="20"/>
          <w:color w:val="auto"/>
        </w:rPr>
      </w:pPr>
      <w:r>
        <w:rPr>
          <w:rFonts w:ascii="Arial" w:cs="Arial" w:eastAsia="Arial" w:hAnsi="Arial"/>
          <w:sz w:val="15"/>
          <w:szCs w:val="15"/>
          <w:color w:val="auto"/>
        </w:rPr>
        <w:t>We have purchased and intend to maintain insurance on behalf of Selecta Biosciences and any person who is or was a director or officer against any loss arising from any claim asserted against him or her and incurred by him or her in that capacity, subject to certain exclusions and limits of the amount of coverage.</w:t>
      </w:r>
    </w:p>
    <w:p>
      <w:pPr>
        <w:spacing w:after="0" w:line="11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i w:val="1"/>
          <w:iCs w:val="1"/>
          <w:color w:val="auto"/>
        </w:rPr>
        <w:t>Exhibits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40" w:type="dxa"/>
            <w:vAlign w:val="bottom"/>
          </w:tcPr>
          <w:p>
            <w:pPr>
              <w:jc w:val="right"/>
              <w:ind w:right="46"/>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640" w:type="dxa"/>
            <w:vAlign w:val="bottom"/>
          </w:tcPr>
          <w:p>
            <w:pPr>
              <w:jc w:val="right"/>
              <w:ind w:right="26"/>
              <w:spacing w:after="0"/>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20" w:type="dxa"/>
            <w:vAlign w:val="bottom"/>
            <w:gridSpan w:val="6"/>
          </w:tcPr>
          <w:p>
            <w:pPr>
              <w:ind w:left="3380"/>
              <w:spacing w:after="0"/>
              <w:rPr>
                <w:sz w:val="20"/>
                <w:szCs w:val="20"/>
                <w:color w:val="auto"/>
              </w:rPr>
            </w:pPr>
            <w:r>
              <w:rPr>
                <w:rFonts w:ascii="Arial" w:cs="Arial" w:eastAsia="Arial" w:hAnsi="Arial"/>
                <w:sz w:val="14"/>
                <w:szCs w:val="14"/>
                <w:b w:val="1"/>
                <w:bCs w:val="1"/>
                <w:color w:val="auto"/>
              </w:rPr>
              <w:t>Description</w:t>
            </w:r>
          </w:p>
        </w:tc>
      </w:tr>
      <w:tr>
        <w:trPr>
          <w:trHeight w:val="169"/>
        </w:trPr>
        <w:tc>
          <w:tcPr>
            <w:tcW w:w="1160" w:type="dxa"/>
            <w:vAlign w:val="bottom"/>
          </w:tcPr>
          <w:p>
            <w:pPr>
              <w:spacing w:after="0"/>
              <w:rPr>
                <w:sz w:val="14"/>
                <w:szCs w:val="14"/>
                <w:color w:val="auto"/>
              </w:rPr>
            </w:pPr>
          </w:p>
        </w:tc>
        <w:tc>
          <w:tcPr>
            <w:tcW w:w="6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300" w:type="dxa"/>
            <w:vAlign w:val="bottom"/>
            <w:tcBorders>
              <w:top w:val="single" w:sz="8" w:color="auto"/>
            </w:tcBorders>
            <w:gridSpan w:val="6"/>
          </w:tcPr>
          <w:p>
            <w:pPr>
              <w:spacing w:after="0" w:line="170" w:lineRule="exact"/>
              <w:rPr>
                <w:rFonts w:ascii="Arial" w:cs="Arial" w:eastAsia="Arial" w:hAnsi="Arial"/>
                <w:sz w:val="18"/>
                <w:szCs w:val="18"/>
                <w:color w:val="0000EE"/>
                <w:w w:val="89"/>
              </w:rPr>
            </w:pPr>
            <w:hyperlink r:id="rId62">
              <w:r>
                <w:rPr>
                  <w:rFonts w:ascii="Arial" w:cs="Arial" w:eastAsia="Arial" w:hAnsi="Arial"/>
                  <w:sz w:val="18"/>
                  <w:szCs w:val="18"/>
                  <w:color w:val="0000EE"/>
                  <w:w w:val="89"/>
                </w:rPr>
                <w:t>Restated Certificate of Incorporation of Selecta Biosciences, Inc., dated June 27, 2016 (incorporated by reference to</w:t>
              </w:r>
            </w:hyperlink>
          </w:p>
        </w:tc>
        <w:tc>
          <w:tcPr>
            <w:tcW w:w="1140" w:type="dxa"/>
            <w:vAlign w:val="bottom"/>
          </w:tcPr>
          <w:p>
            <w:pPr>
              <w:spacing w:after="0"/>
              <w:rPr>
                <w:sz w:val="14"/>
                <w:szCs w:val="14"/>
                <w:color w:val="auto"/>
              </w:rPr>
            </w:pPr>
          </w:p>
        </w:tc>
      </w:tr>
      <w:tr>
        <w:trPr>
          <w:trHeight w:val="196"/>
        </w:trPr>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140" w:type="dxa"/>
            <w:vAlign w:val="bottom"/>
            <w:tcBorders>
              <w:top w:val="single" w:sz="8" w:color="0000EE"/>
            </w:tcBorders>
            <w:gridSpan w:val="7"/>
          </w:tcPr>
          <w:p>
            <w:pPr>
              <w:spacing w:after="0" w:line="196" w:lineRule="exact"/>
              <w:rPr>
                <w:rFonts w:ascii="Arial" w:cs="Arial" w:eastAsia="Arial" w:hAnsi="Arial"/>
                <w:sz w:val="18"/>
                <w:szCs w:val="18"/>
                <w:color w:val="0000EE"/>
                <w:w w:val="92"/>
              </w:rPr>
            </w:pPr>
            <w:hyperlink r:id="rId62">
              <w:r>
                <w:rPr>
                  <w:rFonts w:ascii="Arial" w:cs="Arial" w:eastAsia="Arial" w:hAnsi="Arial"/>
                  <w:sz w:val="18"/>
                  <w:szCs w:val="18"/>
                  <w:color w:val="0000EE"/>
                  <w:w w:val="92"/>
                </w:rPr>
                <w:t>Exhibit 3.1 of the Company's Current Report on Form 8-K (File No. 001-37798), filed with the SEC on June 29,</w:t>
              </w:r>
            </w:hyperlink>
          </w:p>
        </w:tc>
        <w:tc>
          <w:tcPr>
            <w:tcW w:w="134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r:id="rId62">
              <w:r>
                <w:rPr>
                  <w:rFonts w:ascii="Arial" w:cs="Arial" w:eastAsia="Arial" w:hAnsi="Arial"/>
                  <w:sz w:val="18"/>
                  <w:szCs w:val="18"/>
                  <w:color w:val="0000EE"/>
                  <w:w w:val="86"/>
                </w:rPr>
                <w:t>2016).</w:t>
              </w:r>
            </w:hyperlink>
          </w:p>
        </w:tc>
        <w:tc>
          <w:tcPr>
            <w:tcW w:w="66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12"/>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9480" w:type="dxa"/>
            <w:vAlign w:val="bottom"/>
            <w:gridSpan w:val="9"/>
          </w:tcPr>
          <w:p>
            <w:pPr>
              <w:spacing w:after="0"/>
              <w:rPr>
                <w:rFonts w:ascii="Arial" w:cs="Arial" w:eastAsia="Arial" w:hAnsi="Arial"/>
                <w:sz w:val="18"/>
                <w:szCs w:val="18"/>
                <w:color w:val="0000EE"/>
              </w:rPr>
            </w:pPr>
            <w:hyperlink r:id="rId63">
              <w:r>
                <w:rPr>
                  <w:rFonts w:ascii="Arial" w:cs="Arial" w:eastAsia="Arial" w:hAnsi="Arial"/>
                  <w:sz w:val="18"/>
                  <w:szCs w:val="18"/>
                  <w:color w:val="0000EE"/>
                </w:rPr>
                <w:t>Amended and Restated Bylaws of Selecta Biosciences, Inc. (incorporated by reference to Exhibit 3.2 of the</w:t>
              </w:r>
            </w:hyperlink>
          </w:p>
        </w:tc>
      </w:tr>
      <w:tr>
        <w:trPr>
          <w:trHeight w:val="196"/>
        </w:trPr>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540" w:type="dxa"/>
            <w:vAlign w:val="bottom"/>
            <w:tcBorders>
              <w:top w:val="single" w:sz="8" w:color="0000EE"/>
            </w:tcBorders>
            <w:gridSpan w:val="5"/>
          </w:tcPr>
          <w:p>
            <w:pPr>
              <w:spacing w:after="0" w:line="196" w:lineRule="exact"/>
              <w:rPr>
                <w:rFonts w:ascii="Arial" w:cs="Arial" w:eastAsia="Arial" w:hAnsi="Arial"/>
                <w:sz w:val="18"/>
                <w:szCs w:val="18"/>
                <w:color w:val="0000EE"/>
                <w:w w:val="94"/>
              </w:rPr>
            </w:pPr>
            <w:hyperlink r:id="rId63">
              <w:r>
                <w:rPr>
                  <w:rFonts w:ascii="Arial" w:cs="Arial" w:eastAsia="Arial" w:hAnsi="Arial"/>
                  <w:sz w:val="18"/>
                  <w:szCs w:val="18"/>
                  <w:color w:val="0000EE"/>
                  <w:w w:val="94"/>
                </w:rPr>
                <w:t>Company's Current Report on Form 8-K (File No. 001-37798), filed with the SEC on June 29, 2016).</w:t>
              </w:r>
            </w:hyperlink>
          </w:p>
        </w:tc>
        <w:tc>
          <w:tcPr>
            <w:tcW w:w="1940" w:type="dxa"/>
            <w:vAlign w:val="bottom"/>
            <w:gridSpan w:val="4"/>
          </w:tcPr>
          <w:p>
            <w:pPr>
              <w:spacing w:after="0"/>
              <w:rPr>
                <w:sz w:val="17"/>
                <w:szCs w:val="17"/>
                <w:color w:val="auto"/>
              </w:rPr>
            </w:pPr>
          </w:p>
        </w:tc>
      </w:tr>
      <w:tr>
        <w:trPr>
          <w:trHeight w:val="694"/>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7100" w:type="dxa"/>
            <w:vAlign w:val="bottom"/>
            <w:tcBorders>
              <w:top w:val="single" w:sz="8" w:color="0000EE"/>
            </w:tcBorders>
            <w:gridSpan w:val="3"/>
          </w:tcPr>
          <w:p>
            <w:pPr>
              <w:jc w:val="right"/>
              <w:ind w:right="3192"/>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6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40" w:type="dxa"/>
            <w:vAlign w:val="bottom"/>
          </w:tcPr>
          <w:p>
            <w:pPr>
              <w:jc w:val="right"/>
              <w:ind w:right="36"/>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60" w:type="dxa"/>
            <w:vAlign w:val="bottom"/>
            <w:tcBorders>
              <w:bottom w:val="single" w:sz="8" w:color="auto"/>
            </w:tcBorders>
            <w:gridSpan w:val="13"/>
          </w:tcPr>
          <w:p>
            <w:pPr>
              <w:ind w:left="760"/>
              <w:spacing w:after="0"/>
              <w:rPr>
                <w:sz w:val="20"/>
                <w:szCs w:val="20"/>
                <w:color w:val="auto"/>
              </w:rPr>
            </w:pPr>
            <w:r>
              <w:rPr>
                <w:rFonts w:ascii="Arial" w:cs="Arial" w:eastAsia="Arial" w:hAnsi="Arial"/>
                <w:sz w:val="14"/>
                <w:szCs w:val="14"/>
                <w:b w:val="1"/>
                <w:bCs w:val="1"/>
                <w:color w:val="auto"/>
              </w:rPr>
              <w:t>Description</w:t>
            </w:r>
          </w:p>
        </w:tc>
      </w:tr>
      <w:tr>
        <w:trPr>
          <w:trHeight w:val="169"/>
        </w:trPr>
        <w:tc>
          <w:tcPr>
            <w:tcW w:w="640" w:type="dxa"/>
            <w:vAlign w:val="bottom"/>
          </w:tcPr>
          <w:p>
            <w:pPr>
              <w:jc w:val="right"/>
              <w:spacing w:after="0" w:line="170" w:lineRule="exact"/>
              <w:rPr>
                <w:sz w:val="20"/>
                <w:szCs w:val="20"/>
                <w:color w:val="auto"/>
              </w:rPr>
            </w:pPr>
            <w:r>
              <w:rPr>
                <w:rFonts w:ascii="Arial" w:cs="Arial" w:eastAsia="Arial" w:hAnsi="Arial"/>
                <w:sz w:val="18"/>
                <w:szCs w:val="18"/>
                <w:color w:val="auto"/>
              </w:rPr>
              <w:t>4.1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320" w:type="dxa"/>
            <w:vAlign w:val="bottom"/>
            <w:gridSpan w:val="16"/>
          </w:tcPr>
          <w:p>
            <w:pPr>
              <w:spacing w:after="0" w:line="170" w:lineRule="exact"/>
              <w:rPr>
                <w:rFonts w:ascii="Arial" w:cs="Arial" w:eastAsia="Arial" w:hAnsi="Arial"/>
                <w:sz w:val="18"/>
                <w:szCs w:val="18"/>
                <w:color w:val="0000EE"/>
                <w:w w:val="97"/>
              </w:rPr>
            </w:pPr>
            <w:hyperlink r:id="rId66">
              <w:r>
                <w:rPr>
                  <w:rFonts w:ascii="Arial" w:cs="Arial" w:eastAsia="Arial" w:hAnsi="Arial"/>
                  <w:sz w:val="18"/>
                  <w:szCs w:val="18"/>
                  <w:color w:val="0000EE"/>
                  <w:w w:val="97"/>
                </w:rPr>
                <w:t>Form of Specimen Certificate Representing Common Stock (incorporated by reference to Exhibit 4.2 of the</w:t>
              </w:r>
            </w:hyperlink>
          </w:p>
        </w:tc>
      </w:tr>
      <w:tr>
        <w:trPr>
          <w:trHeight w:val="20"/>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8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r:id="rId66">
              <w:r>
                <w:rPr>
                  <w:rFonts w:ascii="Arial" w:cs="Arial" w:eastAsia="Arial" w:hAnsi="Arial"/>
                  <w:sz w:val="18"/>
                  <w:szCs w:val="18"/>
                  <w:color w:val="0000EE"/>
                  <w:w w:val="88"/>
                </w:rPr>
                <w:t>Company's Registration Statement on Form S-1 (Reg. No. 333-211555), filed with the SEC on May 24, 2016).</w:t>
              </w:r>
            </w:hyperlink>
          </w:p>
        </w:tc>
        <w:tc>
          <w:tcPr>
            <w:tcW w:w="560" w:type="dxa"/>
            <w:vAlign w:val="bottom"/>
            <w:gridSpan w:val="7"/>
          </w:tcPr>
          <w:p>
            <w:pPr>
              <w:spacing w:after="0"/>
              <w:rPr>
                <w:sz w:val="17"/>
                <w:szCs w:val="17"/>
                <w:color w:val="auto"/>
              </w:rPr>
            </w:pPr>
          </w:p>
        </w:tc>
      </w:tr>
      <w:tr>
        <w:trPr>
          <w:trHeight w:val="412"/>
        </w:trPr>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8260" w:type="dxa"/>
            <w:vAlign w:val="bottom"/>
            <w:tcBorders>
              <w:bottom w:val="single" w:sz="8" w:color="0000EE"/>
            </w:tcBorders>
            <w:gridSpan w:val="16"/>
          </w:tcPr>
          <w:p>
            <w:pPr>
              <w:spacing w:after="0"/>
              <w:rPr>
                <w:rFonts w:ascii="Arial" w:cs="Arial" w:eastAsia="Arial" w:hAnsi="Arial"/>
                <w:sz w:val="18"/>
                <w:szCs w:val="18"/>
                <w:color w:val="0000EE"/>
                <w:w w:val="88"/>
              </w:rPr>
            </w:pPr>
            <w:hyperlink r:id="rId67">
              <w:r>
                <w:rPr>
                  <w:rFonts w:ascii="Arial" w:cs="Arial" w:eastAsia="Arial" w:hAnsi="Arial"/>
                  <w:sz w:val="18"/>
                  <w:szCs w:val="18"/>
                  <w:color w:val="0000EE"/>
                  <w:w w:val="88"/>
                </w:rPr>
                <w:t>Form of Common Stock Purchase Warrant, dated December 23, 2019 (incorporated by reference to Exhibit 4.1 of the</w:t>
              </w:r>
            </w:hyperlink>
          </w:p>
        </w:tc>
        <w:tc>
          <w:tcPr>
            <w:tcW w:w="8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340" w:type="dxa"/>
            <w:vAlign w:val="bottom"/>
            <w:gridSpan w:val="17"/>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Current Report on Form 8-K (File No. 001-37798), filed with the SEC on December 26, 2019).</w:t>
              </w:r>
            </w:hyperlink>
          </w:p>
        </w:tc>
      </w:tr>
      <w:tr>
        <w:trPr>
          <w:trHeight w:val="20"/>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12"/>
        </w:trPr>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8340" w:type="dxa"/>
            <w:vAlign w:val="bottom"/>
            <w:gridSpan w:val="17"/>
          </w:tcPr>
          <w:p>
            <w:pPr>
              <w:spacing w:after="0"/>
              <w:rPr>
                <w:rFonts w:ascii="Arial" w:cs="Arial" w:eastAsia="Arial" w:hAnsi="Arial"/>
                <w:sz w:val="18"/>
                <w:szCs w:val="18"/>
                <w:color w:val="0000EE"/>
                <w:w w:val="93"/>
              </w:rPr>
            </w:pPr>
            <w:hyperlink r:id="rId68">
              <w:r>
                <w:rPr>
                  <w:rFonts w:ascii="Arial" w:cs="Arial" w:eastAsia="Arial" w:hAnsi="Arial"/>
                  <w:sz w:val="18"/>
                  <w:szCs w:val="18"/>
                  <w:color w:val="0000EE"/>
                  <w:w w:val="93"/>
                </w:rPr>
                <w:t>Form of Pre-Funded Common Stock Purchase Warrant, dated December 23, 2019 (incorporated by reference to</w:t>
              </w:r>
            </w:hyperlink>
          </w:p>
        </w:tc>
      </w:tr>
      <w:tr>
        <w:trPr>
          <w:trHeight w:val="20"/>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68">
              <w:r>
                <w:rPr>
                  <w:rFonts w:ascii="Arial" w:cs="Arial" w:eastAsia="Arial" w:hAnsi="Arial"/>
                  <w:sz w:val="18"/>
                  <w:szCs w:val="18"/>
                  <w:color w:val="0000EE"/>
                  <w:w w:val="90"/>
                </w:rPr>
                <w:t>Exhibit 4.2 of the Current Report on Form 8-K (File No. 001-37798), filed with the SEC on December 26, 2019).</w:t>
              </w:r>
            </w:hyperlink>
          </w:p>
        </w:tc>
        <w:tc>
          <w:tcPr>
            <w:tcW w:w="360" w:type="dxa"/>
            <w:vAlign w:val="bottom"/>
            <w:gridSpan w:val="5"/>
          </w:tcPr>
          <w:p>
            <w:pPr>
              <w:spacing w:after="0"/>
              <w:rPr>
                <w:sz w:val="17"/>
                <w:szCs w:val="17"/>
                <w:color w:val="auto"/>
              </w:rPr>
            </w:pPr>
          </w:p>
        </w:tc>
      </w:tr>
      <w:tr>
        <w:trPr>
          <w:trHeight w:val="412"/>
        </w:trPr>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8220" w:type="dxa"/>
            <w:vAlign w:val="bottom"/>
            <w:tcBorders>
              <w:bottom w:val="single" w:sz="8" w:color="0000EE"/>
            </w:tcBorders>
            <w:gridSpan w:val="15"/>
          </w:tcPr>
          <w:p>
            <w:pPr>
              <w:spacing w:after="0"/>
              <w:rPr>
                <w:rFonts w:ascii="Arial" w:cs="Arial" w:eastAsia="Arial" w:hAnsi="Arial"/>
                <w:sz w:val="18"/>
                <w:szCs w:val="18"/>
                <w:color w:val="0000EE"/>
                <w:w w:val="86"/>
              </w:rPr>
            </w:pPr>
            <w:hyperlink r:id="rId69">
              <w:r>
                <w:rPr>
                  <w:rFonts w:ascii="Arial" w:cs="Arial" w:eastAsia="Arial" w:hAnsi="Arial"/>
                  <w:sz w:val="18"/>
                  <w:szCs w:val="18"/>
                  <w:color w:val="0000EE"/>
                  <w:w w:val="86"/>
                </w:rPr>
                <w:t>Securities Purchase Agreement, dated December 23, 2019, by and among Selecta Biosciences, Inc. and the Investors</w:t>
              </w:r>
            </w:hyperlink>
          </w:p>
        </w:tc>
        <w:tc>
          <w:tcPr>
            <w:tcW w:w="120" w:type="dxa"/>
            <w:vAlign w:val="bottom"/>
            <w:gridSpan w:val="2"/>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340" w:type="dxa"/>
            <w:vAlign w:val="bottom"/>
            <w:gridSpan w:val="17"/>
          </w:tcPr>
          <w:p>
            <w:pPr>
              <w:spacing w:after="0" w:line="196" w:lineRule="exact"/>
              <w:rPr>
                <w:rFonts w:ascii="Arial" w:cs="Arial" w:eastAsia="Arial" w:hAnsi="Arial"/>
                <w:sz w:val="18"/>
                <w:szCs w:val="18"/>
                <w:color w:val="0000EE"/>
                <w:w w:val="91"/>
              </w:rPr>
            </w:pPr>
            <w:hyperlink r:id="rId69">
              <w:r>
                <w:rPr>
                  <w:rFonts w:ascii="Arial" w:cs="Arial" w:eastAsia="Arial" w:hAnsi="Arial"/>
                  <w:sz w:val="18"/>
                  <w:szCs w:val="18"/>
                  <w:color w:val="0000EE"/>
                  <w:w w:val="91"/>
                </w:rPr>
                <w:t>named therein (incorporated by reference to Exhibit 10.1 of the Current Report on Form 8-K (File No. 001-37798),</w:t>
              </w:r>
            </w:hyperlink>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69">
              <w:r>
                <w:rPr>
                  <w:rFonts w:ascii="Arial" w:cs="Arial" w:eastAsia="Arial" w:hAnsi="Arial"/>
                  <w:sz w:val="18"/>
                  <w:szCs w:val="18"/>
                  <w:color w:val="0000EE"/>
                  <w:w w:val="89"/>
                </w:rPr>
                <w:t>filed with the SEC on December 26, 2019).</w:t>
              </w:r>
            </w:hyperlink>
          </w:p>
        </w:tc>
        <w:tc>
          <w:tcPr>
            <w:tcW w:w="5020" w:type="dxa"/>
            <w:vAlign w:val="bottom"/>
            <w:tcBorders>
              <w:top w:val="single" w:sz="8" w:color="0000EE"/>
            </w:tcBorders>
            <w:gridSpan w:val="9"/>
          </w:tcPr>
          <w:p>
            <w:pPr>
              <w:spacing w:after="0"/>
              <w:rPr>
                <w:sz w:val="17"/>
                <w:szCs w:val="17"/>
                <w:color w:val="auto"/>
              </w:rPr>
            </w:pPr>
          </w:p>
        </w:tc>
        <w:tc>
          <w:tcPr>
            <w:tcW w:w="240" w:type="dxa"/>
            <w:vAlign w:val="bottom"/>
            <w:gridSpan w:val="4"/>
          </w:tcPr>
          <w:p>
            <w:pPr>
              <w:spacing w:after="0"/>
              <w:rPr>
                <w:sz w:val="17"/>
                <w:szCs w:val="17"/>
                <w:color w:val="auto"/>
              </w:rPr>
            </w:pPr>
          </w:p>
        </w:tc>
      </w:tr>
      <w:tr>
        <w:trPr>
          <w:trHeight w:val="412"/>
        </w:trPr>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4"/>
                <w:szCs w:val="24"/>
                <w:color w:val="auto"/>
              </w:rPr>
            </w:pPr>
          </w:p>
        </w:tc>
        <w:tc>
          <w:tcPr>
            <w:tcW w:w="8200" w:type="dxa"/>
            <w:vAlign w:val="bottom"/>
            <w:tcBorders>
              <w:bottom w:val="single" w:sz="8" w:color="0000EE"/>
            </w:tcBorders>
            <w:gridSpan w:val="14"/>
          </w:tcPr>
          <w:p>
            <w:pPr>
              <w:spacing w:after="0"/>
              <w:rPr>
                <w:rFonts w:ascii="Arial" w:cs="Arial" w:eastAsia="Arial" w:hAnsi="Arial"/>
                <w:sz w:val="18"/>
                <w:szCs w:val="18"/>
                <w:color w:val="0000EE"/>
                <w:w w:val="87"/>
              </w:rPr>
            </w:pPr>
            <w:hyperlink r:id="rId70">
              <w:r>
                <w:rPr>
                  <w:rFonts w:ascii="Arial" w:cs="Arial" w:eastAsia="Arial" w:hAnsi="Arial"/>
                  <w:sz w:val="18"/>
                  <w:szCs w:val="18"/>
                  <w:color w:val="0000EE"/>
                  <w:w w:val="87"/>
                </w:rPr>
                <w:t>Registration Rights Agreement, dated December 23, 2019, by and among Selecta Biosciences, Inc. and the Investors</w:t>
              </w:r>
            </w:hyperlink>
          </w:p>
        </w:tc>
        <w:tc>
          <w:tcPr>
            <w:tcW w:w="140" w:type="dxa"/>
            <w:vAlign w:val="bottom"/>
            <w:gridSpan w:val="3"/>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340" w:type="dxa"/>
            <w:vAlign w:val="bottom"/>
            <w:gridSpan w:val="17"/>
          </w:tcPr>
          <w:p>
            <w:pPr>
              <w:spacing w:after="0" w:line="196" w:lineRule="exact"/>
              <w:rPr>
                <w:rFonts w:ascii="Arial" w:cs="Arial" w:eastAsia="Arial" w:hAnsi="Arial"/>
                <w:sz w:val="18"/>
                <w:szCs w:val="18"/>
                <w:color w:val="0000EE"/>
                <w:w w:val="91"/>
              </w:rPr>
            </w:pPr>
            <w:hyperlink r:id="rId70">
              <w:r>
                <w:rPr>
                  <w:rFonts w:ascii="Arial" w:cs="Arial" w:eastAsia="Arial" w:hAnsi="Arial"/>
                  <w:sz w:val="18"/>
                  <w:szCs w:val="18"/>
                  <w:color w:val="0000EE"/>
                  <w:w w:val="91"/>
                </w:rPr>
                <w:t>named therein (incorporated by reference to Exhibit 10.2 of the Current Report on Form 8-K (File No. 001-37798),</w:t>
              </w:r>
            </w:hyperlink>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70">
              <w:r>
                <w:rPr>
                  <w:rFonts w:ascii="Arial" w:cs="Arial" w:eastAsia="Arial" w:hAnsi="Arial"/>
                  <w:sz w:val="18"/>
                  <w:szCs w:val="18"/>
                  <w:color w:val="0000EE"/>
                  <w:w w:val="89"/>
                </w:rPr>
                <w:t>filed with the SEC on December 26, 2019).</w:t>
              </w:r>
            </w:hyperlink>
          </w:p>
        </w:tc>
        <w:tc>
          <w:tcPr>
            <w:tcW w:w="5040" w:type="dxa"/>
            <w:vAlign w:val="bottom"/>
            <w:tcBorders>
              <w:top w:val="single" w:sz="8" w:color="0000EE"/>
            </w:tcBorders>
            <w:gridSpan w:val="10"/>
          </w:tcPr>
          <w:p>
            <w:pPr>
              <w:spacing w:after="0"/>
              <w:rPr>
                <w:sz w:val="17"/>
                <w:szCs w:val="17"/>
                <w:color w:val="auto"/>
              </w:rPr>
            </w:pPr>
          </w:p>
        </w:tc>
        <w:tc>
          <w:tcPr>
            <w:tcW w:w="240" w:type="dxa"/>
            <w:vAlign w:val="bottom"/>
            <w:gridSpan w:val="4"/>
          </w:tcPr>
          <w:p>
            <w:pPr>
              <w:spacing w:after="0"/>
              <w:rPr>
                <w:sz w:val="17"/>
                <w:szCs w:val="17"/>
                <w:color w:val="auto"/>
              </w:rPr>
            </w:pPr>
          </w:p>
        </w:tc>
      </w:tr>
      <w:tr>
        <w:trPr>
          <w:trHeight w:val="412"/>
        </w:trPr>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4"/>
                <w:szCs w:val="24"/>
                <w:color w:val="auto"/>
              </w:rPr>
            </w:pPr>
          </w:p>
        </w:tc>
        <w:tc>
          <w:tcPr>
            <w:tcW w:w="8340" w:type="dxa"/>
            <w:vAlign w:val="bottom"/>
            <w:gridSpan w:val="17"/>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Opinion of Latham &amp; Watkins LLP.</w:t>
              </w:r>
            </w:hyperlink>
          </w:p>
        </w:tc>
      </w:tr>
      <w:tr>
        <w:trPr>
          <w:trHeight w:val="20"/>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60" w:type="dxa"/>
            <w:vAlign w:val="bottom"/>
            <w:gridSpan w:val="10"/>
          </w:tcPr>
          <w:p>
            <w:pPr>
              <w:spacing w:after="0" w:line="20" w:lineRule="exact"/>
              <w:rPr>
                <w:sz w:val="1"/>
                <w:szCs w:val="1"/>
                <w:color w:val="auto"/>
              </w:rPr>
            </w:pPr>
          </w:p>
        </w:tc>
      </w:tr>
      <w:tr>
        <w:trPr>
          <w:trHeight w:val="412"/>
        </w:trPr>
        <w:tc>
          <w:tcPr>
            <w:tcW w:w="640" w:type="dxa"/>
            <w:vAlign w:val="bottom"/>
          </w:tcPr>
          <w:p>
            <w:pPr>
              <w:jc w:val="right"/>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24"/>
                <w:szCs w:val="24"/>
                <w:color w:val="auto"/>
              </w:rPr>
            </w:pPr>
          </w:p>
        </w:tc>
        <w:tc>
          <w:tcPr>
            <w:tcW w:w="432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Consent of Latham &amp; Watkins LLP (included in Exhibit 5.1).</w:t>
              </w:r>
            </w:hyperlink>
          </w:p>
        </w:tc>
        <w:tc>
          <w:tcPr>
            <w:tcW w:w="4020" w:type="dxa"/>
            <w:vAlign w:val="bottom"/>
            <w:gridSpan w:val="12"/>
          </w:tcPr>
          <w:p>
            <w:pPr>
              <w:spacing w:after="0"/>
              <w:rPr>
                <w:sz w:val="24"/>
                <w:szCs w:val="24"/>
                <w:color w:val="auto"/>
              </w:rPr>
            </w:pPr>
          </w:p>
        </w:tc>
      </w:tr>
      <w:tr>
        <w:trPr>
          <w:trHeight w:val="412"/>
        </w:trPr>
        <w:tc>
          <w:tcPr>
            <w:tcW w:w="640" w:type="dxa"/>
            <w:vAlign w:val="bottom"/>
          </w:tcPr>
          <w:p>
            <w:pPr>
              <w:jc w:val="right"/>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24"/>
                <w:szCs w:val="24"/>
                <w:color w:val="auto"/>
              </w:rPr>
            </w:pPr>
          </w:p>
        </w:tc>
        <w:tc>
          <w:tcPr>
            <w:tcW w:w="558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Consent of Ernst &amp; Young LLP, independent registered public accounting firm.</w:t>
              </w:r>
            </w:hyperlink>
          </w:p>
        </w:tc>
        <w:tc>
          <w:tcPr>
            <w:tcW w:w="2760" w:type="dxa"/>
            <w:vAlign w:val="bottom"/>
            <w:gridSpan w:val="10"/>
          </w:tcPr>
          <w:p>
            <w:pPr>
              <w:spacing w:after="0"/>
              <w:rPr>
                <w:sz w:val="24"/>
                <w:szCs w:val="24"/>
                <w:color w:val="auto"/>
              </w:rPr>
            </w:pPr>
          </w:p>
        </w:tc>
      </w:tr>
      <w:tr>
        <w:trPr>
          <w:trHeight w:val="412"/>
        </w:trPr>
        <w:tc>
          <w:tcPr>
            <w:tcW w:w="640" w:type="dxa"/>
            <w:vAlign w:val="bottom"/>
          </w:tcPr>
          <w:p>
            <w:pPr>
              <w:jc w:val="right"/>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24"/>
                <w:szCs w:val="24"/>
                <w:color w:val="auto"/>
              </w:rPr>
            </w:pPr>
          </w:p>
        </w:tc>
        <w:tc>
          <w:tcPr>
            <w:tcW w:w="538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24">
              <w:r>
                <w:rPr>
                  <w:rFonts w:ascii="Arial" w:cs="Arial" w:eastAsia="Arial" w:hAnsi="Arial"/>
                  <w:sz w:val="18"/>
                  <w:szCs w:val="18"/>
                  <w:color w:val="0000EE"/>
                  <w:w w:val="87"/>
                </w:rPr>
                <w:t>Powers of Attorney (incorporated by reference to the signature page hereto).</w:t>
              </w:r>
            </w:hyperlink>
          </w:p>
        </w:tc>
        <w:tc>
          <w:tcPr>
            <w:tcW w:w="2960" w:type="dxa"/>
            <w:vAlign w:val="bottom"/>
            <w:gridSpan w:val="11"/>
          </w:tcPr>
          <w:p>
            <w:pPr>
              <w:spacing w:after="0"/>
              <w:rPr>
                <w:sz w:val="24"/>
                <w:szCs w:val="24"/>
                <w:color w:val="auto"/>
              </w:rPr>
            </w:pPr>
          </w:p>
        </w:tc>
      </w:tr>
    </w:tbl>
    <w:p>
      <w:pPr>
        <w:spacing w:after="0" w:line="22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231" w:lineRule="exact"/>
        <w:rPr>
          <w:sz w:val="20"/>
          <w:szCs w:val="20"/>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780" w:hanging="253"/>
        <w:spacing w:after="0"/>
        <w:tabs>
          <w:tab w:leader="none" w:pos="1780" w:val="left"/>
        </w:tabs>
        <w:numPr>
          <w:ilvl w:val="2"/>
          <w:numId w:val="13"/>
        </w:numPr>
        <w:rPr>
          <w:rFonts w:ascii="Arial" w:cs="Arial" w:eastAsia="Arial" w:hAnsi="Arial"/>
          <w:sz w:val="16"/>
          <w:szCs w:val="16"/>
          <w:color w:val="auto"/>
        </w:rPr>
      </w:pPr>
      <w:r>
        <w:rPr>
          <w:rFonts w:ascii="Arial" w:cs="Arial" w:eastAsia="Arial" w:hAnsi="Arial"/>
          <w:sz w:val="16"/>
          <w:szCs w:val="16"/>
          <w:color w:val="auto"/>
        </w:rPr>
        <w:t>To include any prospectus required by Section 10(a)(3) of the Securities Act of 1933, as amended, or the Securities Act;</w:t>
      </w:r>
    </w:p>
    <w:p>
      <w:pPr>
        <w:spacing w:after="0" w:line="248" w:lineRule="exact"/>
        <w:rPr>
          <w:rFonts w:ascii="Arial" w:cs="Arial" w:eastAsia="Arial" w:hAnsi="Arial"/>
          <w:sz w:val="16"/>
          <w:szCs w:val="16"/>
          <w:color w:val="auto"/>
        </w:rPr>
      </w:pPr>
    </w:p>
    <w:p>
      <w:pPr>
        <w:ind w:left="1080" w:firstLine="403"/>
        <w:spacing w:after="0" w:line="290" w:lineRule="auto"/>
        <w:tabs>
          <w:tab w:leader="none" w:pos="1774" w:val="left"/>
        </w:tabs>
        <w:numPr>
          <w:ilvl w:val="2"/>
          <w:numId w:val="1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72" w:lineRule="exact"/>
        <w:rPr>
          <w:rFonts w:ascii="Arial" w:cs="Arial" w:eastAsia="Arial" w:hAnsi="Arial"/>
          <w:sz w:val="16"/>
          <w:szCs w:val="16"/>
          <w:color w:val="auto"/>
        </w:rPr>
      </w:pPr>
    </w:p>
    <w:p>
      <w:pPr>
        <w:ind w:left="1080" w:right="20" w:firstLine="360"/>
        <w:spacing w:after="0" w:line="268" w:lineRule="auto"/>
        <w:tabs>
          <w:tab w:leader="none" w:pos="1779" w:val="left"/>
        </w:tabs>
        <w:numPr>
          <w:ilvl w:val="2"/>
          <w:numId w:val="1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w:t>
      </w:r>
      <w:r>
        <w:rPr>
          <w:rFonts w:ascii="Arial" w:cs="Arial" w:eastAsia="Arial" w:hAnsi="Arial"/>
          <w:sz w:val="16"/>
          <w:szCs w:val="16"/>
          <w:i w:val="1"/>
          <w:iCs w:val="1"/>
          <w:color w:val="auto"/>
        </w:rPr>
        <w:t xml:space="preserve"> however </w:t>
      </w:r>
      <w:r>
        <w:rPr>
          <w:rFonts w:ascii="Arial" w:cs="Arial" w:eastAsia="Arial" w:hAnsi="Arial"/>
          <w:sz w:val="16"/>
          <w:szCs w:val="16"/>
          <w:color w:val="auto"/>
        </w:rPr>
        <w:t>, that paragraphs (a)(1)(i), (a)(1)(ii) and (a)(1)(iii) above do not apply if the information required to be included in a post-effective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by those paragraphs is contained in reports filed with or furnished to the Securities and Exchange Commission by the registrant pursuant to Section 13 or Section 15(d) of the Securities Exchange Act of 1934, as amended, or the Securities Exchange Act, that are incorporated by reference in this registration statement, or is contained in a form of prospectus filed pursuant to Rule 424(b) that is a part of the registration statement.</w:t>
      </w:r>
    </w:p>
    <w:p>
      <w:pPr>
        <w:spacing w:after="0" w:line="167" w:lineRule="exact"/>
        <w:rPr>
          <w:sz w:val="20"/>
          <w:szCs w:val="20"/>
          <w:color w:val="auto"/>
        </w:rPr>
      </w:pPr>
    </w:p>
    <w:p>
      <w:pPr>
        <w:ind w:left="540" w:right="240" w:firstLine="359"/>
        <w:spacing w:after="0" w:line="259" w:lineRule="auto"/>
        <w:tabs>
          <w:tab w:leader="none" w:pos="1224"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94" w:lineRule="exact"/>
        <w:rPr>
          <w:rFonts w:ascii="Arial" w:cs="Arial" w:eastAsia="Arial" w:hAnsi="Arial"/>
          <w:sz w:val="18"/>
          <w:szCs w:val="18"/>
          <w:color w:val="auto"/>
        </w:rPr>
      </w:pPr>
    </w:p>
    <w:p>
      <w:pPr>
        <w:ind w:left="540" w:right="720" w:firstLine="359"/>
        <w:spacing w:after="0" w:line="268" w:lineRule="auto"/>
        <w:tabs>
          <w:tab w:leader="none" w:pos="1224"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25" w:lineRule="exact"/>
        <w:rPr>
          <w:rFonts w:ascii="Arial" w:cs="Arial" w:eastAsia="Arial" w:hAnsi="Arial"/>
          <w:sz w:val="18"/>
          <w:szCs w:val="18"/>
          <w:color w:val="auto"/>
        </w:rPr>
      </w:pPr>
    </w:p>
    <w:p>
      <w:pPr>
        <w:ind w:left="1080" w:right="140" w:firstLine="360"/>
        <w:spacing w:after="0" w:line="268" w:lineRule="auto"/>
        <w:tabs>
          <w:tab w:leader="none" w:pos="1763" w:val="left"/>
        </w:tabs>
        <w:numPr>
          <w:ilvl w:val="2"/>
          <w:numId w:val="14"/>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85" w:lineRule="exact"/>
        <w:rPr>
          <w:rFonts w:ascii="Arial" w:cs="Arial" w:eastAsia="Arial" w:hAnsi="Arial"/>
          <w:sz w:val="18"/>
          <w:szCs w:val="18"/>
          <w:color w:val="auto"/>
        </w:rPr>
      </w:pPr>
    </w:p>
    <w:p>
      <w:pPr>
        <w:ind w:firstLine="359"/>
        <w:spacing w:after="0" w:line="285" w:lineRule="auto"/>
        <w:tabs>
          <w:tab w:leader="none" w:pos="688"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(B)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date.The undersigned registrant hereby undertakes that, for purposes of determining any liability under the Securities Act, each filing of the registrant's annual report pursuant to Section 13(a) or Section 15(d) of the Securities Exchange Act (and, where applicable, each filing of an employee benefit plan's annual report pursuant to section 15(d) of the Securities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82" w:lineRule="exact"/>
        <w:rPr>
          <w:rFonts w:ascii="Arial" w:cs="Arial" w:eastAsia="Arial" w:hAnsi="Arial"/>
          <w:sz w:val="16"/>
          <w:szCs w:val="16"/>
          <w:color w:val="auto"/>
        </w:rPr>
      </w:pPr>
    </w:p>
    <w:p>
      <w:pPr>
        <w:ind w:right="80" w:firstLine="359"/>
        <w:spacing w:after="0" w:line="290" w:lineRule="auto"/>
        <w:tabs>
          <w:tab w:leader="none" w:pos="678"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Watertown, Massachusetts, on January 29, 2020.</w:t>
      </w:r>
    </w:p>
    <w:p>
      <w:pPr>
        <w:spacing w:after="0" w:line="188"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SELECTA BIOSCIENCES, INC.</w:t>
      </w:r>
    </w:p>
    <w:p>
      <w:pPr>
        <w:spacing w:after="0" w:line="258" w:lineRule="exact"/>
        <w:rPr>
          <w:sz w:val="20"/>
          <w:szCs w:val="20"/>
          <w:color w:val="auto"/>
        </w:rPr>
      </w:pPr>
    </w:p>
    <w:p>
      <w:pPr>
        <w:ind w:left="5800"/>
        <w:spacing w:after="0"/>
        <w:tabs>
          <w:tab w:leader="none" w:pos="7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71120</wp:posOffset>
            </wp:positionV>
            <wp:extent cx="26244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3">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78" w:lineRule="exact"/>
        <w:rPr>
          <w:sz w:val="20"/>
          <w:szCs w:val="20"/>
          <w:color w:val="auto"/>
        </w:rPr>
      </w:pPr>
    </w:p>
    <w:p>
      <w:pPr>
        <w:jc w:val="center"/>
        <w:ind w:left="5040"/>
        <w:spacing w:after="0"/>
        <w:rPr>
          <w:sz w:val="20"/>
          <w:szCs w:val="20"/>
          <w:color w:val="auto"/>
        </w:rPr>
      </w:pPr>
      <w:r>
        <w:rPr>
          <w:rFonts w:ascii="Arial" w:cs="Arial" w:eastAsia="Arial" w:hAnsi="Arial"/>
          <w:sz w:val="18"/>
          <w:szCs w:val="18"/>
          <w:color w:val="auto"/>
        </w:rPr>
        <w:t>Carsten Brunn, Ph.D.</w:t>
      </w:r>
    </w:p>
    <w:p>
      <w:pPr>
        <w:spacing w:after="0" w:line="15" w:lineRule="exact"/>
        <w:rPr>
          <w:sz w:val="20"/>
          <w:szCs w:val="20"/>
          <w:color w:val="auto"/>
        </w:rPr>
      </w:pPr>
    </w:p>
    <w:p>
      <w:pPr>
        <w:jc w:val="center"/>
        <w:ind w:left="50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Carsten Brunn, Ph.D. and Bradford D. Dahms, or either of them, as his or her true and lawful attorneys-in-fact and agents, with full power of substitution and resubstitution, for him or her and in his or her name, place and stead, in any and all capacities, to file and sign any and all amendments, including post-effective amendments and any registration statement for the same offering that is to be effective under Rule 462(b) of the Securities Act, to this registration statement,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172"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on behalf of the registrant in the capacities and on the dates indicated.</w:t>
      </w:r>
    </w:p>
    <w:p>
      <w:pPr>
        <w:spacing w:after="0" w:line="182" w:lineRule="exact"/>
        <w:rPr>
          <w:sz w:val="20"/>
          <w:szCs w:val="20"/>
          <w:color w:val="auto"/>
        </w:rPr>
      </w:pPr>
    </w:p>
    <w:p>
      <w:pPr>
        <w:ind w:left="2520"/>
        <w:spacing w:after="0"/>
        <w:tabs>
          <w:tab w:leader="none" w:pos="6440" w:val="left"/>
          <w:tab w:leader="none" w:pos="926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2"/>
              </w:rPr>
              <w:t>/s/ CARSTEN BRUNN, PH.D.</w:t>
            </w:r>
          </w:p>
        </w:tc>
        <w:tc>
          <w:tcPr>
            <w:tcW w:w="3800" w:type="dxa"/>
            <w:vAlign w:val="bottom"/>
            <w:vMerge w:val="restart"/>
          </w:tcPr>
          <w:p>
            <w:pPr>
              <w:ind w:left="160"/>
              <w:spacing w:after="0"/>
              <w:rPr>
                <w:sz w:val="20"/>
                <w:szCs w:val="20"/>
                <w:color w:val="auto"/>
              </w:rPr>
            </w:pPr>
            <w:r>
              <w:rPr>
                <w:rFonts w:ascii="Arial" w:cs="Arial" w:eastAsia="Arial" w:hAnsi="Arial"/>
                <w:sz w:val="18"/>
                <w:szCs w:val="18"/>
                <w:color w:val="auto"/>
                <w:w w:val="97"/>
              </w:rPr>
              <w:t>President, Chief Executive Officer and Director</w:t>
            </w:r>
          </w:p>
        </w:tc>
        <w:tc>
          <w:tcPr>
            <w:tcW w:w="2880" w:type="dxa"/>
            <w:vAlign w:val="bottom"/>
            <w:vMerge w:val="restart"/>
          </w:tcPr>
          <w:p>
            <w:pPr>
              <w:ind w:left="320"/>
              <w:spacing w:after="0"/>
              <w:rPr>
                <w:sz w:val="20"/>
                <w:szCs w:val="20"/>
                <w:color w:val="auto"/>
              </w:rPr>
            </w:pPr>
            <w:r>
              <w:rPr>
                <w:rFonts w:ascii="Arial" w:cs="Arial" w:eastAsia="Arial" w:hAnsi="Arial"/>
                <w:sz w:val="18"/>
                <w:szCs w:val="18"/>
                <w:color w:val="auto"/>
              </w:rPr>
              <w:t>January 29, 2020</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800" w:type="dxa"/>
            <w:vAlign w:val="bottom"/>
            <w:vMerge w:val="continue"/>
          </w:tcPr>
          <w:p>
            <w:pPr>
              <w:spacing w:after="0"/>
              <w:rPr>
                <w:sz w:val="8"/>
                <w:szCs w:val="8"/>
                <w:color w:val="auto"/>
              </w:rPr>
            </w:pPr>
          </w:p>
        </w:tc>
        <w:tc>
          <w:tcPr>
            <w:tcW w:w="2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87"/>
              </w:rPr>
              <w:t>Carsten Brunn, Ph.D.</w:t>
            </w:r>
          </w:p>
        </w:tc>
        <w:tc>
          <w:tcPr>
            <w:tcW w:w="380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(Principal Executive Officer)</w:t>
            </w:r>
          </w:p>
        </w:tc>
        <w:tc>
          <w:tcPr>
            <w:tcW w:w="2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3580" w:type="dxa"/>
            <w:vAlign w:val="bottom"/>
            <w:vMerge w:val="continue"/>
          </w:tcPr>
          <w:p>
            <w:pPr>
              <w:spacing w:after="0"/>
              <w:rPr>
                <w:sz w:val="9"/>
                <w:szCs w:val="9"/>
                <w:color w:val="auto"/>
              </w:rPr>
            </w:pPr>
          </w:p>
        </w:tc>
        <w:tc>
          <w:tcPr>
            <w:tcW w:w="3800" w:type="dxa"/>
            <w:vAlign w:val="bottom"/>
            <w:vMerge w:val="continue"/>
          </w:tcPr>
          <w:p>
            <w:pPr>
              <w:spacing w:after="0"/>
              <w:rPr>
                <w:sz w:val="9"/>
                <w:szCs w:val="9"/>
                <w:color w:val="auto"/>
              </w:rPr>
            </w:pPr>
          </w:p>
        </w:tc>
        <w:tc>
          <w:tcPr>
            <w:tcW w:w="2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580" w:type="dxa"/>
            <w:vAlign w:val="bottom"/>
            <w:vMerge w:val="continue"/>
          </w:tcPr>
          <w:p>
            <w:pPr>
              <w:spacing w:after="0"/>
              <w:rPr>
                <w:sz w:val="7"/>
                <w:szCs w:val="7"/>
                <w:color w:val="auto"/>
              </w:rPr>
            </w:pPr>
          </w:p>
        </w:tc>
        <w:tc>
          <w:tcPr>
            <w:tcW w:w="3800" w:type="dxa"/>
            <w:vAlign w:val="bottom"/>
          </w:tcPr>
          <w:p>
            <w:pPr>
              <w:spacing w:after="0"/>
              <w:rPr>
                <w:sz w:val="7"/>
                <w:szCs w:val="7"/>
                <w:color w:val="auto"/>
              </w:rPr>
            </w:pPr>
          </w:p>
        </w:tc>
        <w:tc>
          <w:tcPr>
            <w:tcW w:w="2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4"/>
              </w:rPr>
              <w:t>/s/ BRADFORD D. DAHMS</w:t>
            </w:r>
          </w:p>
        </w:tc>
        <w:tc>
          <w:tcPr>
            <w:tcW w:w="3800" w:type="dxa"/>
            <w:vAlign w:val="bottom"/>
            <w:vMerge w:val="restart"/>
          </w:tcPr>
          <w:p>
            <w:pPr>
              <w:ind w:left="160"/>
              <w:spacing w:after="0"/>
              <w:rPr>
                <w:sz w:val="20"/>
                <w:szCs w:val="20"/>
                <w:color w:val="auto"/>
              </w:rPr>
            </w:pPr>
            <w:r>
              <w:rPr>
                <w:rFonts w:ascii="Arial" w:cs="Arial" w:eastAsia="Arial" w:hAnsi="Arial"/>
                <w:sz w:val="18"/>
                <w:szCs w:val="18"/>
                <w:color w:val="auto"/>
              </w:rPr>
              <w:t>Chief Financial Officer (Principal Financial</w:t>
            </w:r>
          </w:p>
        </w:tc>
        <w:tc>
          <w:tcPr>
            <w:tcW w:w="2880" w:type="dxa"/>
            <w:vAlign w:val="bottom"/>
            <w:vMerge w:val="restart"/>
          </w:tcPr>
          <w:p>
            <w:pPr>
              <w:ind w:left="320"/>
              <w:spacing w:after="0"/>
              <w:rPr>
                <w:sz w:val="20"/>
                <w:szCs w:val="20"/>
                <w:color w:val="auto"/>
              </w:rPr>
            </w:pPr>
            <w:r>
              <w:rPr>
                <w:rFonts w:ascii="Arial" w:cs="Arial" w:eastAsia="Arial" w:hAnsi="Arial"/>
                <w:sz w:val="18"/>
                <w:szCs w:val="18"/>
                <w:color w:val="auto"/>
              </w:rPr>
              <w:t>January 29, 2020</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800" w:type="dxa"/>
            <w:vAlign w:val="bottom"/>
            <w:vMerge w:val="continue"/>
          </w:tcPr>
          <w:p>
            <w:pPr>
              <w:spacing w:after="0"/>
              <w:rPr>
                <w:sz w:val="8"/>
                <w:szCs w:val="8"/>
                <w:color w:val="auto"/>
              </w:rPr>
            </w:pPr>
          </w:p>
        </w:tc>
        <w:tc>
          <w:tcPr>
            <w:tcW w:w="2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89"/>
              </w:rPr>
              <w:t>Bradford D. Dahms</w:t>
            </w:r>
          </w:p>
        </w:tc>
        <w:tc>
          <w:tcPr>
            <w:tcW w:w="380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Officer)</w:t>
            </w:r>
          </w:p>
        </w:tc>
        <w:tc>
          <w:tcPr>
            <w:tcW w:w="2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3580" w:type="dxa"/>
            <w:vAlign w:val="bottom"/>
            <w:vMerge w:val="continue"/>
          </w:tcPr>
          <w:p>
            <w:pPr>
              <w:spacing w:after="0"/>
              <w:rPr>
                <w:sz w:val="9"/>
                <w:szCs w:val="9"/>
                <w:color w:val="auto"/>
              </w:rPr>
            </w:pPr>
          </w:p>
        </w:tc>
        <w:tc>
          <w:tcPr>
            <w:tcW w:w="3800" w:type="dxa"/>
            <w:vAlign w:val="bottom"/>
            <w:vMerge w:val="continue"/>
          </w:tcPr>
          <w:p>
            <w:pPr>
              <w:spacing w:after="0"/>
              <w:rPr>
                <w:sz w:val="9"/>
                <w:szCs w:val="9"/>
                <w:color w:val="auto"/>
              </w:rPr>
            </w:pPr>
          </w:p>
        </w:tc>
        <w:tc>
          <w:tcPr>
            <w:tcW w:w="2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580" w:type="dxa"/>
            <w:vAlign w:val="bottom"/>
            <w:vMerge w:val="continue"/>
          </w:tcPr>
          <w:p>
            <w:pPr>
              <w:spacing w:after="0"/>
              <w:rPr>
                <w:sz w:val="7"/>
                <w:szCs w:val="7"/>
                <w:color w:val="auto"/>
              </w:rPr>
            </w:pPr>
          </w:p>
        </w:tc>
        <w:tc>
          <w:tcPr>
            <w:tcW w:w="3800" w:type="dxa"/>
            <w:vAlign w:val="bottom"/>
          </w:tcPr>
          <w:p>
            <w:pPr>
              <w:spacing w:after="0"/>
              <w:rPr>
                <w:sz w:val="7"/>
                <w:szCs w:val="7"/>
                <w:color w:val="auto"/>
              </w:rPr>
            </w:pPr>
          </w:p>
        </w:tc>
        <w:tc>
          <w:tcPr>
            <w:tcW w:w="2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2"/>
              </w:rPr>
              <w:t>/s/ CARRIE S. COX</w:t>
            </w:r>
          </w:p>
        </w:tc>
        <w:tc>
          <w:tcPr>
            <w:tcW w:w="3800" w:type="dxa"/>
            <w:vAlign w:val="bottom"/>
            <w:vMerge w:val="restart"/>
          </w:tcPr>
          <w:p>
            <w:pPr>
              <w:ind w:left="160"/>
              <w:spacing w:after="0"/>
              <w:rPr>
                <w:sz w:val="20"/>
                <w:szCs w:val="20"/>
                <w:color w:val="auto"/>
              </w:rPr>
            </w:pPr>
            <w:r>
              <w:rPr>
                <w:rFonts w:ascii="Arial" w:cs="Arial" w:eastAsia="Arial" w:hAnsi="Arial"/>
                <w:sz w:val="18"/>
                <w:szCs w:val="18"/>
                <w:color w:val="auto"/>
              </w:rPr>
              <w:t>Chairman of the Board</w:t>
            </w:r>
          </w:p>
        </w:tc>
        <w:tc>
          <w:tcPr>
            <w:tcW w:w="2880" w:type="dxa"/>
            <w:vAlign w:val="bottom"/>
            <w:vMerge w:val="restart"/>
          </w:tcPr>
          <w:p>
            <w:pPr>
              <w:ind w:left="320"/>
              <w:spacing w:after="0"/>
              <w:rPr>
                <w:sz w:val="20"/>
                <w:szCs w:val="20"/>
                <w:color w:val="auto"/>
              </w:rPr>
            </w:pPr>
            <w:r>
              <w:rPr>
                <w:rFonts w:ascii="Arial" w:cs="Arial" w:eastAsia="Arial" w:hAnsi="Arial"/>
                <w:sz w:val="18"/>
                <w:szCs w:val="18"/>
                <w:color w:val="auto"/>
              </w:rPr>
              <w:t>January 29, 2020</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800" w:type="dxa"/>
            <w:vAlign w:val="bottom"/>
            <w:vMerge w:val="continue"/>
          </w:tcPr>
          <w:p>
            <w:pPr>
              <w:spacing w:after="0"/>
              <w:rPr>
                <w:sz w:val="8"/>
                <w:szCs w:val="8"/>
                <w:color w:val="auto"/>
              </w:rPr>
            </w:pPr>
          </w:p>
        </w:tc>
        <w:tc>
          <w:tcPr>
            <w:tcW w:w="2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160" w:type="dxa"/>
            <w:vAlign w:val="bottom"/>
          </w:tcPr>
          <w:p>
            <w:pPr>
              <w:spacing w:after="0"/>
              <w:rPr>
                <w:sz w:val="7"/>
                <w:szCs w:val="7"/>
                <w:color w:val="auto"/>
              </w:rPr>
            </w:pPr>
          </w:p>
        </w:tc>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88"/>
              </w:rPr>
              <w:t>Carrie S. Cox</w:t>
            </w:r>
          </w:p>
        </w:tc>
        <w:tc>
          <w:tcPr>
            <w:tcW w:w="3800" w:type="dxa"/>
            <w:vAlign w:val="bottom"/>
            <w:vMerge w:val="continue"/>
          </w:tcPr>
          <w:p>
            <w:pPr>
              <w:spacing w:after="0"/>
              <w:rPr>
                <w:sz w:val="7"/>
                <w:szCs w:val="7"/>
                <w:color w:val="auto"/>
              </w:rPr>
            </w:pPr>
          </w:p>
        </w:tc>
        <w:tc>
          <w:tcPr>
            <w:tcW w:w="2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580" w:type="dxa"/>
            <w:vAlign w:val="bottom"/>
            <w:vMerge w:val="continue"/>
          </w:tcPr>
          <w:p>
            <w:pPr>
              <w:spacing w:after="0"/>
              <w:rPr>
                <w:sz w:val="17"/>
                <w:szCs w:val="17"/>
                <w:color w:val="auto"/>
              </w:rPr>
            </w:pPr>
          </w:p>
        </w:tc>
        <w:tc>
          <w:tcPr>
            <w:tcW w:w="38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6"/>
              </w:rPr>
              <w:t>/s/ TIMOTHY C. BARABE</w:t>
            </w:r>
          </w:p>
        </w:tc>
        <w:tc>
          <w:tcPr>
            <w:tcW w:w="380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2880" w:type="dxa"/>
            <w:vAlign w:val="bottom"/>
            <w:vMerge w:val="restart"/>
          </w:tcPr>
          <w:p>
            <w:pPr>
              <w:ind w:left="320"/>
              <w:spacing w:after="0"/>
              <w:rPr>
                <w:sz w:val="20"/>
                <w:szCs w:val="20"/>
                <w:color w:val="auto"/>
              </w:rPr>
            </w:pPr>
            <w:r>
              <w:rPr>
                <w:rFonts w:ascii="Arial" w:cs="Arial" w:eastAsia="Arial" w:hAnsi="Arial"/>
                <w:sz w:val="18"/>
                <w:szCs w:val="18"/>
                <w:color w:val="auto"/>
              </w:rPr>
              <w:t>January 29, 2020</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800" w:type="dxa"/>
            <w:vAlign w:val="bottom"/>
            <w:vMerge w:val="continue"/>
          </w:tcPr>
          <w:p>
            <w:pPr>
              <w:spacing w:after="0"/>
              <w:rPr>
                <w:sz w:val="8"/>
                <w:szCs w:val="8"/>
                <w:color w:val="auto"/>
              </w:rPr>
            </w:pPr>
          </w:p>
        </w:tc>
        <w:tc>
          <w:tcPr>
            <w:tcW w:w="2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160" w:type="dxa"/>
            <w:vAlign w:val="bottom"/>
          </w:tcPr>
          <w:p>
            <w:pPr>
              <w:spacing w:after="0"/>
              <w:rPr>
                <w:sz w:val="7"/>
                <w:szCs w:val="7"/>
                <w:color w:val="auto"/>
              </w:rPr>
            </w:pPr>
          </w:p>
        </w:tc>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89"/>
              </w:rPr>
              <w:t>Timothy C. Barabe</w:t>
            </w:r>
          </w:p>
        </w:tc>
        <w:tc>
          <w:tcPr>
            <w:tcW w:w="3800" w:type="dxa"/>
            <w:vAlign w:val="bottom"/>
            <w:vMerge w:val="continue"/>
          </w:tcPr>
          <w:p>
            <w:pPr>
              <w:spacing w:after="0"/>
              <w:rPr>
                <w:sz w:val="7"/>
                <w:szCs w:val="7"/>
                <w:color w:val="auto"/>
              </w:rPr>
            </w:pPr>
          </w:p>
        </w:tc>
        <w:tc>
          <w:tcPr>
            <w:tcW w:w="2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580" w:type="dxa"/>
            <w:vAlign w:val="bottom"/>
            <w:vMerge w:val="continue"/>
          </w:tcPr>
          <w:p>
            <w:pPr>
              <w:spacing w:after="0"/>
              <w:rPr>
                <w:sz w:val="17"/>
                <w:szCs w:val="17"/>
                <w:color w:val="auto"/>
              </w:rPr>
            </w:pPr>
          </w:p>
        </w:tc>
        <w:tc>
          <w:tcPr>
            <w:tcW w:w="38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800" w:type="dxa"/>
            <w:vAlign w:val="bottom"/>
          </w:tcPr>
          <w:p>
            <w:pPr>
              <w:ind w:left="880"/>
              <w:spacing w:after="0"/>
              <w:rPr>
                <w:sz w:val="20"/>
                <w:szCs w:val="20"/>
                <w:color w:val="auto"/>
              </w:rPr>
            </w:pPr>
            <w:r>
              <w:rPr>
                <w:rFonts w:ascii="Arial" w:cs="Arial" w:eastAsia="Arial" w:hAnsi="Arial"/>
                <w:sz w:val="18"/>
                <w:szCs w:val="18"/>
                <w:color w:val="auto"/>
              </w:rPr>
              <w:t>20</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28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520"/>
        <w:spacing w:after="0"/>
        <w:tabs>
          <w:tab w:leader="none" w:pos="6440" w:val="left"/>
          <w:tab w:leader="none" w:pos="926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4400" w:type="dxa"/>
            <w:vAlign w:val="bottom"/>
            <w:gridSpan w:val="2"/>
          </w:tcPr>
          <w:p>
            <w:pPr>
              <w:jc w:val="center"/>
              <w:ind w:right="772"/>
              <w:spacing w:after="0"/>
              <w:rPr>
                <w:sz w:val="20"/>
                <w:szCs w:val="20"/>
                <w:color w:val="auto"/>
              </w:rPr>
            </w:pPr>
            <w:r>
              <w:rPr>
                <w:rFonts w:ascii="Arial" w:cs="Arial" w:eastAsia="Arial" w:hAnsi="Arial"/>
                <w:sz w:val="18"/>
                <w:szCs w:val="18"/>
                <w:color w:val="auto"/>
                <w:w w:val="91"/>
              </w:rPr>
              <w:t>/s/ SCOTT D. MYERS</w:t>
            </w:r>
          </w:p>
        </w:tc>
        <w:tc>
          <w:tcPr>
            <w:tcW w:w="5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580" w:type="dxa"/>
            <w:vAlign w:val="bottom"/>
            <w:tcBorders>
              <w:bottom w:val="single" w:sz="8" w:color="auto"/>
            </w:tcBorders>
          </w:tcPr>
          <w:p>
            <w:pPr>
              <w:spacing w:after="0"/>
              <w:rPr>
                <w:sz w:val="10"/>
                <w:szCs w:val="10"/>
                <w:color w:val="auto"/>
              </w:rPr>
            </w:pPr>
          </w:p>
        </w:tc>
        <w:tc>
          <w:tcPr>
            <w:tcW w:w="82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Director</w:t>
            </w:r>
          </w:p>
        </w:tc>
        <w:tc>
          <w:tcPr>
            <w:tcW w:w="5860" w:type="dxa"/>
            <w:vAlign w:val="bottom"/>
            <w:vMerge w:val="restart"/>
          </w:tcPr>
          <w:p>
            <w:pPr>
              <w:ind w:left="3300"/>
              <w:spacing w:after="0" w:line="202" w:lineRule="exact"/>
              <w:rPr>
                <w:sz w:val="20"/>
                <w:szCs w:val="20"/>
                <w:color w:val="auto"/>
              </w:rPr>
            </w:pPr>
            <w:r>
              <w:rPr>
                <w:rFonts w:ascii="Arial" w:cs="Arial" w:eastAsia="Arial" w:hAnsi="Arial"/>
                <w:sz w:val="18"/>
                <w:szCs w:val="18"/>
                <w:color w:val="auto"/>
              </w:rPr>
              <w:t>January 29, 2020</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5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400" w:type="dxa"/>
            <w:vAlign w:val="bottom"/>
            <w:gridSpan w:val="2"/>
          </w:tcPr>
          <w:p>
            <w:pPr>
              <w:jc w:val="center"/>
              <w:ind w:right="772"/>
              <w:spacing w:after="0"/>
              <w:rPr>
                <w:sz w:val="20"/>
                <w:szCs w:val="20"/>
                <w:color w:val="auto"/>
              </w:rPr>
            </w:pPr>
            <w:r>
              <w:rPr>
                <w:rFonts w:ascii="Arial" w:cs="Arial" w:eastAsia="Arial" w:hAnsi="Arial"/>
                <w:sz w:val="18"/>
                <w:szCs w:val="18"/>
                <w:color w:val="auto"/>
                <w:w w:val="89"/>
              </w:rPr>
              <w:t>Scott D. Myers</w:t>
            </w:r>
          </w:p>
        </w:tc>
        <w:tc>
          <w:tcPr>
            <w:tcW w:w="5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4400" w:type="dxa"/>
            <w:vAlign w:val="bottom"/>
            <w:gridSpan w:val="2"/>
          </w:tcPr>
          <w:p>
            <w:pPr>
              <w:jc w:val="center"/>
              <w:ind w:right="772"/>
              <w:spacing w:after="0"/>
              <w:rPr>
                <w:sz w:val="20"/>
                <w:szCs w:val="20"/>
                <w:color w:val="auto"/>
              </w:rPr>
            </w:pPr>
            <w:r>
              <w:rPr>
                <w:rFonts w:ascii="Arial" w:cs="Arial" w:eastAsia="Arial" w:hAnsi="Arial"/>
                <w:sz w:val="18"/>
                <w:szCs w:val="18"/>
                <w:color w:val="auto"/>
                <w:w w:val="92"/>
              </w:rPr>
              <w:t>/s/ AMIR NASHAT, SC.D.</w:t>
            </w:r>
          </w:p>
        </w:tc>
        <w:tc>
          <w:tcPr>
            <w:tcW w:w="5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580" w:type="dxa"/>
            <w:vAlign w:val="bottom"/>
            <w:tcBorders>
              <w:bottom w:val="single" w:sz="8" w:color="auto"/>
            </w:tcBorders>
          </w:tcPr>
          <w:p>
            <w:pPr>
              <w:spacing w:after="0"/>
              <w:rPr>
                <w:sz w:val="10"/>
                <w:szCs w:val="10"/>
                <w:color w:val="auto"/>
              </w:rPr>
            </w:pPr>
          </w:p>
        </w:tc>
        <w:tc>
          <w:tcPr>
            <w:tcW w:w="82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Director</w:t>
            </w:r>
          </w:p>
        </w:tc>
        <w:tc>
          <w:tcPr>
            <w:tcW w:w="5860" w:type="dxa"/>
            <w:vAlign w:val="bottom"/>
            <w:vMerge w:val="restart"/>
          </w:tcPr>
          <w:p>
            <w:pPr>
              <w:ind w:left="3300"/>
              <w:spacing w:after="0" w:line="202" w:lineRule="exact"/>
              <w:rPr>
                <w:sz w:val="20"/>
                <w:szCs w:val="20"/>
                <w:color w:val="auto"/>
              </w:rPr>
            </w:pPr>
            <w:r>
              <w:rPr>
                <w:rFonts w:ascii="Arial" w:cs="Arial" w:eastAsia="Arial" w:hAnsi="Arial"/>
                <w:sz w:val="18"/>
                <w:szCs w:val="18"/>
                <w:color w:val="auto"/>
              </w:rPr>
              <w:t>January 29, 2020</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5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400" w:type="dxa"/>
            <w:vAlign w:val="bottom"/>
            <w:gridSpan w:val="2"/>
          </w:tcPr>
          <w:p>
            <w:pPr>
              <w:jc w:val="center"/>
              <w:ind w:right="772"/>
              <w:spacing w:after="0"/>
              <w:rPr>
                <w:sz w:val="20"/>
                <w:szCs w:val="20"/>
                <w:color w:val="auto"/>
              </w:rPr>
            </w:pPr>
            <w:r>
              <w:rPr>
                <w:rFonts w:ascii="Arial" w:cs="Arial" w:eastAsia="Arial" w:hAnsi="Arial"/>
                <w:sz w:val="18"/>
                <w:szCs w:val="18"/>
                <w:color w:val="auto"/>
                <w:w w:val="90"/>
              </w:rPr>
              <w:t>Amir Nashat, Sc.D.</w:t>
            </w:r>
          </w:p>
        </w:tc>
        <w:tc>
          <w:tcPr>
            <w:tcW w:w="5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4400" w:type="dxa"/>
            <w:vAlign w:val="bottom"/>
            <w:gridSpan w:val="2"/>
          </w:tcPr>
          <w:p>
            <w:pPr>
              <w:jc w:val="center"/>
              <w:ind w:right="772"/>
              <w:spacing w:after="0"/>
              <w:rPr>
                <w:sz w:val="20"/>
                <w:szCs w:val="20"/>
                <w:color w:val="auto"/>
              </w:rPr>
            </w:pPr>
            <w:r>
              <w:rPr>
                <w:rFonts w:ascii="Arial" w:cs="Arial" w:eastAsia="Arial" w:hAnsi="Arial"/>
                <w:sz w:val="18"/>
                <w:szCs w:val="18"/>
                <w:color w:val="auto"/>
                <w:w w:val="95"/>
              </w:rPr>
              <w:t>/s/ AYMERIC SALLIN</w:t>
            </w:r>
          </w:p>
        </w:tc>
        <w:tc>
          <w:tcPr>
            <w:tcW w:w="5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580" w:type="dxa"/>
            <w:vAlign w:val="bottom"/>
            <w:tcBorders>
              <w:bottom w:val="single" w:sz="8" w:color="auto"/>
            </w:tcBorders>
          </w:tcPr>
          <w:p>
            <w:pPr>
              <w:spacing w:after="0"/>
              <w:rPr>
                <w:sz w:val="10"/>
                <w:szCs w:val="10"/>
                <w:color w:val="auto"/>
              </w:rPr>
            </w:pPr>
          </w:p>
        </w:tc>
        <w:tc>
          <w:tcPr>
            <w:tcW w:w="82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Director</w:t>
            </w:r>
          </w:p>
        </w:tc>
        <w:tc>
          <w:tcPr>
            <w:tcW w:w="5860" w:type="dxa"/>
            <w:vAlign w:val="bottom"/>
            <w:vMerge w:val="restart"/>
          </w:tcPr>
          <w:p>
            <w:pPr>
              <w:ind w:left="3300"/>
              <w:spacing w:after="0" w:line="202" w:lineRule="exact"/>
              <w:rPr>
                <w:sz w:val="20"/>
                <w:szCs w:val="20"/>
                <w:color w:val="auto"/>
              </w:rPr>
            </w:pPr>
            <w:r>
              <w:rPr>
                <w:rFonts w:ascii="Arial" w:cs="Arial" w:eastAsia="Arial" w:hAnsi="Arial"/>
                <w:sz w:val="18"/>
                <w:szCs w:val="18"/>
                <w:color w:val="auto"/>
              </w:rPr>
              <w:t>January 29, 2020</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5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400" w:type="dxa"/>
            <w:vAlign w:val="bottom"/>
            <w:gridSpan w:val="2"/>
          </w:tcPr>
          <w:p>
            <w:pPr>
              <w:jc w:val="center"/>
              <w:ind w:right="772"/>
              <w:spacing w:after="0"/>
              <w:rPr>
                <w:sz w:val="20"/>
                <w:szCs w:val="20"/>
                <w:color w:val="auto"/>
              </w:rPr>
            </w:pPr>
            <w:r>
              <w:rPr>
                <w:rFonts w:ascii="Arial" w:cs="Arial" w:eastAsia="Arial" w:hAnsi="Arial"/>
                <w:sz w:val="18"/>
                <w:szCs w:val="18"/>
                <w:color w:val="auto"/>
                <w:w w:val="92"/>
              </w:rPr>
              <w:t>Aymeric Sallin</w:t>
            </w:r>
          </w:p>
        </w:tc>
        <w:tc>
          <w:tcPr>
            <w:tcW w:w="5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4400" w:type="dxa"/>
            <w:vAlign w:val="bottom"/>
            <w:gridSpan w:val="2"/>
          </w:tcPr>
          <w:p>
            <w:pPr>
              <w:jc w:val="center"/>
              <w:ind w:right="792"/>
              <w:spacing w:after="0"/>
              <w:rPr>
                <w:sz w:val="20"/>
                <w:szCs w:val="20"/>
                <w:color w:val="auto"/>
              </w:rPr>
            </w:pPr>
            <w:r>
              <w:rPr>
                <w:rFonts w:ascii="Arial" w:cs="Arial" w:eastAsia="Arial" w:hAnsi="Arial"/>
                <w:sz w:val="18"/>
                <w:szCs w:val="18"/>
                <w:color w:val="auto"/>
                <w:w w:val="93"/>
              </w:rPr>
              <w:t>/s/ TIMOTHY SPRINGER, PH.D.</w:t>
            </w:r>
          </w:p>
        </w:tc>
        <w:tc>
          <w:tcPr>
            <w:tcW w:w="5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580" w:type="dxa"/>
            <w:vAlign w:val="bottom"/>
            <w:tcBorders>
              <w:bottom w:val="single" w:sz="8" w:color="auto"/>
            </w:tcBorders>
          </w:tcPr>
          <w:p>
            <w:pPr>
              <w:spacing w:after="0"/>
              <w:rPr>
                <w:sz w:val="10"/>
                <w:szCs w:val="10"/>
                <w:color w:val="auto"/>
              </w:rPr>
            </w:pPr>
          </w:p>
        </w:tc>
        <w:tc>
          <w:tcPr>
            <w:tcW w:w="82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Director</w:t>
            </w:r>
          </w:p>
        </w:tc>
        <w:tc>
          <w:tcPr>
            <w:tcW w:w="5860" w:type="dxa"/>
            <w:vAlign w:val="bottom"/>
            <w:vMerge w:val="restart"/>
          </w:tcPr>
          <w:p>
            <w:pPr>
              <w:ind w:left="3300"/>
              <w:spacing w:after="0" w:line="202" w:lineRule="exact"/>
              <w:rPr>
                <w:sz w:val="20"/>
                <w:szCs w:val="20"/>
                <w:color w:val="auto"/>
              </w:rPr>
            </w:pPr>
            <w:r>
              <w:rPr>
                <w:rFonts w:ascii="Arial" w:cs="Arial" w:eastAsia="Arial" w:hAnsi="Arial"/>
                <w:sz w:val="18"/>
                <w:szCs w:val="18"/>
                <w:color w:val="auto"/>
              </w:rPr>
              <w:t>January 29, 2020</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5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400" w:type="dxa"/>
            <w:vAlign w:val="bottom"/>
            <w:gridSpan w:val="2"/>
          </w:tcPr>
          <w:p>
            <w:pPr>
              <w:jc w:val="center"/>
              <w:ind w:right="792"/>
              <w:spacing w:after="0"/>
              <w:rPr>
                <w:sz w:val="20"/>
                <w:szCs w:val="20"/>
                <w:color w:val="auto"/>
              </w:rPr>
            </w:pPr>
            <w:r>
              <w:rPr>
                <w:rFonts w:ascii="Arial" w:cs="Arial" w:eastAsia="Arial" w:hAnsi="Arial"/>
                <w:sz w:val="18"/>
                <w:szCs w:val="18"/>
                <w:color w:val="auto"/>
                <w:w w:val="89"/>
              </w:rPr>
              <w:t>Timothy Springer, Ph.D.</w:t>
            </w:r>
          </w:p>
        </w:tc>
        <w:tc>
          <w:tcPr>
            <w:tcW w:w="5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4400" w:type="dxa"/>
            <w:vAlign w:val="bottom"/>
            <w:gridSpan w:val="2"/>
          </w:tcPr>
          <w:p>
            <w:pPr>
              <w:jc w:val="center"/>
              <w:ind w:right="772"/>
              <w:spacing w:after="0"/>
              <w:rPr>
                <w:sz w:val="20"/>
                <w:szCs w:val="20"/>
                <w:color w:val="auto"/>
              </w:rPr>
            </w:pPr>
            <w:r>
              <w:rPr>
                <w:rFonts w:ascii="Arial" w:cs="Arial" w:eastAsia="Arial" w:hAnsi="Arial"/>
                <w:sz w:val="18"/>
                <w:szCs w:val="18"/>
                <w:color w:val="auto"/>
                <w:w w:val="91"/>
              </w:rPr>
              <w:t>/s/ PATRICK ZENNER</w:t>
            </w:r>
          </w:p>
        </w:tc>
        <w:tc>
          <w:tcPr>
            <w:tcW w:w="5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580" w:type="dxa"/>
            <w:vAlign w:val="bottom"/>
            <w:tcBorders>
              <w:bottom w:val="single" w:sz="8" w:color="auto"/>
            </w:tcBorders>
          </w:tcPr>
          <w:p>
            <w:pPr>
              <w:spacing w:after="0"/>
              <w:rPr>
                <w:sz w:val="10"/>
                <w:szCs w:val="10"/>
                <w:color w:val="auto"/>
              </w:rPr>
            </w:pPr>
          </w:p>
        </w:tc>
        <w:tc>
          <w:tcPr>
            <w:tcW w:w="82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Director</w:t>
            </w:r>
          </w:p>
        </w:tc>
        <w:tc>
          <w:tcPr>
            <w:tcW w:w="5860" w:type="dxa"/>
            <w:vAlign w:val="bottom"/>
            <w:vMerge w:val="restart"/>
          </w:tcPr>
          <w:p>
            <w:pPr>
              <w:ind w:left="3300"/>
              <w:spacing w:after="0" w:line="202" w:lineRule="exact"/>
              <w:rPr>
                <w:sz w:val="20"/>
                <w:szCs w:val="20"/>
                <w:color w:val="auto"/>
              </w:rPr>
            </w:pPr>
            <w:r>
              <w:rPr>
                <w:rFonts w:ascii="Arial" w:cs="Arial" w:eastAsia="Arial" w:hAnsi="Arial"/>
                <w:sz w:val="18"/>
                <w:szCs w:val="18"/>
                <w:color w:val="auto"/>
              </w:rPr>
              <w:t>January 29, 2020</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5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400" w:type="dxa"/>
            <w:vAlign w:val="bottom"/>
            <w:gridSpan w:val="2"/>
          </w:tcPr>
          <w:p>
            <w:pPr>
              <w:jc w:val="center"/>
              <w:ind w:right="792"/>
              <w:spacing w:after="0"/>
              <w:rPr>
                <w:sz w:val="20"/>
                <w:szCs w:val="20"/>
                <w:color w:val="auto"/>
              </w:rPr>
            </w:pPr>
            <w:r>
              <w:rPr>
                <w:rFonts w:ascii="Arial" w:cs="Arial" w:eastAsia="Arial" w:hAnsi="Arial"/>
                <w:sz w:val="18"/>
                <w:szCs w:val="18"/>
                <w:color w:val="auto"/>
                <w:w w:val="88"/>
              </w:rPr>
              <w:t>Patrick Zenner</w:t>
            </w:r>
          </w:p>
        </w:tc>
        <w:tc>
          <w:tcPr>
            <w:tcW w:w="5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60" w:type="dxa"/>
            <w:vAlign w:val="bottom"/>
          </w:tcPr>
          <w:p>
            <w:pPr>
              <w:ind w:lef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5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200 Clarendon Street</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Boston, Massachusetts 02116</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Tel: +1.617.948.6000 Fax: +1.617.948.6001</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www.lw.com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470150" cy="2571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8">
                      <a:extLst>
                        <a:ext uri="{28A0092B-C50C-407E-A947-70E740481C1C}"/>
                      </a:extLst>
                    </a:blip>
                    <a:srcRect/>
                    <a:stretch>
                      <a:fillRect/>
                    </a:stretch>
                  </pic:blipFill>
                  <pic:spPr bwMode="auto">
                    <a:xfrm>
                      <a:off x="0" y="0"/>
                      <a:ext cx="2470150" cy="257175"/>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5480" w:type="dxa"/>
            <w:vAlign w:val="bottom"/>
            <w:gridSpan w:val="3"/>
          </w:tcPr>
          <w:p>
            <w:pPr>
              <w:ind w:left="2560"/>
              <w:spacing w:after="0"/>
              <w:rPr>
                <w:sz w:val="20"/>
                <w:szCs w:val="20"/>
                <w:color w:val="auto"/>
              </w:rPr>
            </w:pPr>
            <w:r>
              <w:rPr>
                <w:rFonts w:ascii="Arial" w:cs="Arial" w:eastAsia="Arial" w:hAnsi="Arial"/>
                <w:sz w:val="18"/>
                <w:szCs w:val="18"/>
                <w:color w:val="auto"/>
              </w:rPr>
              <w:t>FIRM / AFFILIATE OFFICES</w:t>
            </w:r>
          </w:p>
        </w:tc>
      </w:tr>
      <w:tr>
        <w:trPr>
          <w:trHeight w:val="216"/>
        </w:trPr>
        <w:tc>
          <w:tcPr>
            <w:tcW w:w="13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840" w:type="dxa"/>
            <w:vAlign w:val="bottom"/>
          </w:tcPr>
          <w:p>
            <w:pPr>
              <w:ind w:left="2560"/>
              <w:spacing w:after="0"/>
              <w:rPr>
                <w:sz w:val="20"/>
                <w:szCs w:val="20"/>
                <w:color w:val="auto"/>
              </w:rPr>
            </w:pPr>
            <w:r>
              <w:rPr>
                <w:rFonts w:ascii="Arial" w:cs="Arial" w:eastAsia="Arial" w:hAnsi="Arial"/>
                <w:sz w:val="18"/>
                <w:szCs w:val="18"/>
                <w:color w:val="auto"/>
              </w:rPr>
              <w:t>Beijing</w:t>
            </w:r>
          </w:p>
        </w:tc>
        <w:tc>
          <w:tcPr>
            <w:tcW w:w="1640" w:type="dxa"/>
            <w:vAlign w:val="bottom"/>
            <w:gridSpan w:val="2"/>
          </w:tcPr>
          <w:p>
            <w:pPr>
              <w:ind w:left="340"/>
              <w:spacing w:after="0"/>
              <w:rPr>
                <w:sz w:val="20"/>
                <w:szCs w:val="20"/>
                <w:color w:val="auto"/>
              </w:rPr>
            </w:pPr>
            <w:r>
              <w:rPr>
                <w:rFonts w:ascii="Arial" w:cs="Arial" w:eastAsia="Arial" w:hAnsi="Arial"/>
                <w:sz w:val="18"/>
                <w:szCs w:val="18"/>
                <w:color w:val="auto"/>
              </w:rPr>
              <w:t>Moscow</w:t>
            </w:r>
          </w:p>
        </w:tc>
      </w:tr>
      <w:tr>
        <w:trPr>
          <w:trHeight w:val="216"/>
        </w:trPr>
        <w:tc>
          <w:tcPr>
            <w:tcW w:w="13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840" w:type="dxa"/>
            <w:vAlign w:val="bottom"/>
          </w:tcPr>
          <w:p>
            <w:pPr>
              <w:ind w:left="2560"/>
              <w:spacing w:after="0"/>
              <w:rPr>
                <w:sz w:val="20"/>
                <w:szCs w:val="20"/>
                <w:color w:val="auto"/>
              </w:rPr>
            </w:pPr>
            <w:r>
              <w:rPr>
                <w:rFonts w:ascii="Arial" w:cs="Arial" w:eastAsia="Arial" w:hAnsi="Arial"/>
                <w:sz w:val="18"/>
                <w:szCs w:val="18"/>
                <w:color w:val="auto"/>
              </w:rPr>
              <w:t>Boston</w:t>
            </w:r>
          </w:p>
        </w:tc>
        <w:tc>
          <w:tcPr>
            <w:tcW w:w="1640" w:type="dxa"/>
            <w:vAlign w:val="bottom"/>
            <w:gridSpan w:val="2"/>
          </w:tcPr>
          <w:p>
            <w:pPr>
              <w:ind w:left="340"/>
              <w:spacing w:after="0"/>
              <w:rPr>
                <w:sz w:val="20"/>
                <w:szCs w:val="20"/>
                <w:color w:val="auto"/>
              </w:rPr>
            </w:pPr>
            <w:r>
              <w:rPr>
                <w:rFonts w:ascii="Arial" w:cs="Arial" w:eastAsia="Arial" w:hAnsi="Arial"/>
                <w:sz w:val="18"/>
                <w:szCs w:val="18"/>
                <w:color w:val="auto"/>
              </w:rPr>
              <w:t>Munich</w:t>
            </w:r>
          </w:p>
        </w:tc>
      </w:tr>
      <w:tr>
        <w:trPr>
          <w:trHeight w:val="216"/>
        </w:trPr>
        <w:tc>
          <w:tcPr>
            <w:tcW w:w="13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840" w:type="dxa"/>
            <w:vAlign w:val="bottom"/>
          </w:tcPr>
          <w:p>
            <w:pPr>
              <w:ind w:left="2560"/>
              <w:spacing w:after="0"/>
              <w:rPr>
                <w:sz w:val="20"/>
                <w:szCs w:val="20"/>
                <w:color w:val="auto"/>
              </w:rPr>
            </w:pPr>
            <w:r>
              <w:rPr>
                <w:rFonts w:ascii="Arial" w:cs="Arial" w:eastAsia="Arial" w:hAnsi="Arial"/>
                <w:sz w:val="18"/>
                <w:szCs w:val="18"/>
                <w:color w:val="auto"/>
              </w:rPr>
              <w:t>Brussels</w:t>
            </w:r>
          </w:p>
        </w:tc>
        <w:tc>
          <w:tcPr>
            <w:tcW w:w="1640" w:type="dxa"/>
            <w:vAlign w:val="bottom"/>
            <w:gridSpan w:val="2"/>
          </w:tcPr>
          <w:p>
            <w:pPr>
              <w:ind w:left="340"/>
              <w:spacing w:after="0"/>
              <w:rPr>
                <w:sz w:val="20"/>
                <w:szCs w:val="20"/>
                <w:color w:val="auto"/>
              </w:rPr>
            </w:pPr>
            <w:r>
              <w:rPr>
                <w:rFonts w:ascii="Arial" w:cs="Arial" w:eastAsia="Arial" w:hAnsi="Arial"/>
                <w:sz w:val="18"/>
                <w:szCs w:val="18"/>
                <w:color w:val="auto"/>
              </w:rPr>
              <w:t>New York</w:t>
            </w:r>
          </w:p>
        </w:tc>
      </w:tr>
      <w:tr>
        <w:trPr>
          <w:trHeight w:val="216"/>
        </w:trPr>
        <w:tc>
          <w:tcPr>
            <w:tcW w:w="13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840" w:type="dxa"/>
            <w:vAlign w:val="bottom"/>
          </w:tcPr>
          <w:p>
            <w:pPr>
              <w:ind w:left="2560"/>
              <w:spacing w:after="0"/>
              <w:rPr>
                <w:sz w:val="20"/>
                <w:szCs w:val="20"/>
                <w:color w:val="auto"/>
              </w:rPr>
            </w:pPr>
            <w:r>
              <w:rPr>
                <w:rFonts w:ascii="Arial" w:cs="Arial" w:eastAsia="Arial" w:hAnsi="Arial"/>
                <w:sz w:val="18"/>
                <w:szCs w:val="18"/>
                <w:color w:val="auto"/>
              </w:rPr>
              <w:t>Century City</w:t>
            </w:r>
          </w:p>
        </w:tc>
        <w:tc>
          <w:tcPr>
            <w:tcW w:w="1640" w:type="dxa"/>
            <w:vAlign w:val="bottom"/>
            <w:gridSpan w:val="2"/>
          </w:tcPr>
          <w:p>
            <w:pPr>
              <w:ind w:left="340"/>
              <w:spacing w:after="0"/>
              <w:rPr>
                <w:sz w:val="20"/>
                <w:szCs w:val="20"/>
                <w:color w:val="auto"/>
              </w:rPr>
            </w:pPr>
            <w:r>
              <w:rPr>
                <w:rFonts w:ascii="Arial" w:cs="Arial" w:eastAsia="Arial" w:hAnsi="Arial"/>
                <w:sz w:val="18"/>
                <w:szCs w:val="18"/>
                <w:color w:val="auto"/>
              </w:rPr>
              <w:t>Orange County</w:t>
            </w:r>
          </w:p>
        </w:tc>
      </w:tr>
      <w:tr>
        <w:trPr>
          <w:trHeight w:val="216"/>
        </w:trPr>
        <w:tc>
          <w:tcPr>
            <w:tcW w:w="13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840" w:type="dxa"/>
            <w:vAlign w:val="bottom"/>
          </w:tcPr>
          <w:p>
            <w:pPr>
              <w:ind w:left="2560"/>
              <w:spacing w:after="0"/>
              <w:rPr>
                <w:sz w:val="20"/>
                <w:szCs w:val="20"/>
                <w:color w:val="auto"/>
              </w:rPr>
            </w:pPr>
            <w:r>
              <w:rPr>
                <w:rFonts w:ascii="Arial" w:cs="Arial" w:eastAsia="Arial" w:hAnsi="Arial"/>
                <w:sz w:val="18"/>
                <w:szCs w:val="18"/>
                <w:color w:val="auto"/>
              </w:rPr>
              <w:t>Chicago</w:t>
            </w:r>
          </w:p>
        </w:tc>
        <w:tc>
          <w:tcPr>
            <w:tcW w:w="1640" w:type="dxa"/>
            <w:vAlign w:val="bottom"/>
            <w:gridSpan w:val="2"/>
          </w:tcPr>
          <w:p>
            <w:pPr>
              <w:ind w:left="340"/>
              <w:spacing w:after="0"/>
              <w:rPr>
                <w:sz w:val="20"/>
                <w:szCs w:val="20"/>
                <w:color w:val="auto"/>
              </w:rPr>
            </w:pPr>
            <w:r>
              <w:rPr>
                <w:rFonts w:ascii="Arial" w:cs="Arial" w:eastAsia="Arial" w:hAnsi="Arial"/>
                <w:sz w:val="18"/>
                <w:szCs w:val="18"/>
                <w:color w:val="auto"/>
              </w:rPr>
              <w:t>Paris</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1"/>
              </w:rPr>
              <w:t>January 29, 2020</w:t>
            </w:r>
          </w:p>
        </w:tc>
        <w:tc>
          <w:tcPr>
            <w:tcW w:w="3040" w:type="dxa"/>
            <w:vAlign w:val="bottom"/>
          </w:tcPr>
          <w:p>
            <w:pPr>
              <w:spacing w:after="0"/>
              <w:rPr>
                <w:sz w:val="18"/>
                <w:szCs w:val="18"/>
                <w:color w:val="auto"/>
              </w:rPr>
            </w:pPr>
          </w:p>
        </w:tc>
        <w:tc>
          <w:tcPr>
            <w:tcW w:w="3840" w:type="dxa"/>
            <w:vAlign w:val="bottom"/>
          </w:tcPr>
          <w:p>
            <w:pPr>
              <w:ind w:left="2560"/>
              <w:spacing w:after="0"/>
              <w:rPr>
                <w:sz w:val="20"/>
                <w:szCs w:val="20"/>
                <w:color w:val="auto"/>
              </w:rPr>
            </w:pPr>
            <w:r>
              <w:rPr>
                <w:rFonts w:ascii="Arial" w:cs="Arial" w:eastAsia="Arial" w:hAnsi="Arial"/>
                <w:sz w:val="18"/>
                <w:szCs w:val="18"/>
                <w:color w:val="auto"/>
              </w:rPr>
              <w:t>Dubai</w:t>
            </w:r>
          </w:p>
        </w:tc>
        <w:tc>
          <w:tcPr>
            <w:tcW w:w="1640" w:type="dxa"/>
            <w:vAlign w:val="bottom"/>
            <w:gridSpan w:val="2"/>
          </w:tcPr>
          <w:p>
            <w:pPr>
              <w:ind w:left="340"/>
              <w:spacing w:after="0"/>
              <w:rPr>
                <w:sz w:val="20"/>
                <w:szCs w:val="20"/>
                <w:color w:val="auto"/>
              </w:rPr>
            </w:pPr>
            <w:r>
              <w:rPr>
                <w:rFonts w:ascii="Arial" w:cs="Arial" w:eastAsia="Arial" w:hAnsi="Arial"/>
                <w:sz w:val="18"/>
                <w:szCs w:val="18"/>
                <w:color w:val="auto"/>
              </w:rPr>
              <w:t>Riyadh</w:t>
            </w:r>
          </w:p>
        </w:tc>
      </w:tr>
      <w:tr>
        <w:trPr>
          <w:trHeight w:val="216"/>
        </w:trPr>
        <w:tc>
          <w:tcPr>
            <w:tcW w:w="13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840" w:type="dxa"/>
            <w:vAlign w:val="bottom"/>
          </w:tcPr>
          <w:p>
            <w:pPr>
              <w:ind w:left="2560"/>
              <w:spacing w:after="0"/>
              <w:rPr>
                <w:sz w:val="20"/>
                <w:szCs w:val="20"/>
                <w:color w:val="auto"/>
              </w:rPr>
            </w:pPr>
            <w:r>
              <w:rPr>
                <w:rFonts w:ascii="Arial" w:cs="Arial" w:eastAsia="Arial" w:hAnsi="Arial"/>
                <w:sz w:val="18"/>
                <w:szCs w:val="18"/>
                <w:color w:val="auto"/>
              </w:rPr>
              <w:t>Düsseldorf</w:t>
            </w:r>
          </w:p>
        </w:tc>
        <w:tc>
          <w:tcPr>
            <w:tcW w:w="1640" w:type="dxa"/>
            <w:vAlign w:val="bottom"/>
            <w:gridSpan w:val="2"/>
          </w:tcPr>
          <w:p>
            <w:pPr>
              <w:ind w:left="340"/>
              <w:spacing w:after="0"/>
              <w:rPr>
                <w:sz w:val="20"/>
                <w:szCs w:val="20"/>
                <w:color w:val="auto"/>
              </w:rPr>
            </w:pPr>
            <w:r>
              <w:rPr>
                <w:rFonts w:ascii="Arial" w:cs="Arial" w:eastAsia="Arial" w:hAnsi="Arial"/>
                <w:sz w:val="18"/>
                <w:szCs w:val="18"/>
                <w:color w:val="auto"/>
              </w:rPr>
              <w:t>San Diego</w:t>
            </w:r>
          </w:p>
        </w:tc>
      </w:tr>
      <w:tr>
        <w:trPr>
          <w:trHeight w:val="216"/>
        </w:trPr>
        <w:tc>
          <w:tcPr>
            <w:tcW w:w="13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840" w:type="dxa"/>
            <w:vAlign w:val="bottom"/>
          </w:tcPr>
          <w:p>
            <w:pPr>
              <w:ind w:left="2560"/>
              <w:spacing w:after="0"/>
              <w:rPr>
                <w:sz w:val="20"/>
                <w:szCs w:val="20"/>
                <w:color w:val="auto"/>
              </w:rPr>
            </w:pPr>
            <w:r>
              <w:rPr>
                <w:rFonts w:ascii="Arial" w:cs="Arial" w:eastAsia="Arial" w:hAnsi="Arial"/>
                <w:sz w:val="18"/>
                <w:szCs w:val="18"/>
                <w:color w:val="auto"/>
              </w:rPr>
              <w:t>Frankfurt</w:t>
            </w:r>
          </w:p>
        </w:tc>
        <w:tc>
          <w:tcPr>
            <w:tcW w:w="1640" w:type="dxa"/>
            <w:vAlign w:val="bottom"/>
            <w:gridSpan w:val="2"/>
          </w:tcPr>
          <w:p>
            <w:pPr>
              <w:ind w:left="340"/>
              <w:spacing w:after="0"/>
              <w:rPr>
                <w:sz w:val="20"/>
                <w:szCs w:val="20"/>
                <w:color w:val="auto"/>
              </w:rPr>
            </w:pPr>
            <w:r>
              <w:rPr>
                <w:rFonts w:ascii="Arial" w:cs="Arial" w:eastAsia="Arial" w:hAnsi="Arial"/>
                <w:sz w:val="18"/>
                <w:szCs w:val="18"/>
                <w:color w:val="auto"/>
              </w:rPr>
              <w:t>San Francisco</w:t>
            </w:r>
          </w:p>
        </w:tc>
      </w:tr>
      <w:tr>
        <w:trPr>
          <w:trHeight w:val="216"/>
        </w:trPr>
        <w:tc>
          <w:tcPr>
            <w:tcW w:w="13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840" w:type="dxa"/>
            <w:vAlign w:val="bottom"/>
          </w:tcPr>
          <w:p>
            <w:pPr>
              <w:ind w:left="2560"/>
              <w:spacing w:after="0"/>
              <w:rPr>
                <w:sz w:val="20"/>
                <w:szCs w:val="20"/>
                <w:color w:val="auto"/>
              </w:rPr>
            </w:pPr>
            <w:r>
              <w:rPr>
                <w:rFonts w:ascii="Arial" w:cs="Arial" w:eastAsia="Arial" w:hAnsi="Arial"/>
                <w:sz w:val="18"/>
                <w:szCs w:val="18"/>
                <w:color w:val="auto"/>
              </w:rPr>
              <w:t>Hamburg</w:t>
            </w:r>
          </w:p>
        </w:tc>
        <w:tc>
          <w:tcPr>
            <w:tcW w:w="1640" w:type="dxa"/>
            <w:vAlign w:val="bottom"/>
            <w:gridSpan w:val="2"/>
          </w:tcPr>
          <w:p>
            <w:pPr>
              <w:ind w:left="340"/>
              <w:spacing w:after="0"/>
              <w:rPr>
                <w:sz w:val="20"/>
                <w:szCs w:val="20"/>
                <w:color w:val="auto"/>
              </w:rPr>
            </w:pPr>
            <w:r>
              <w:rPr>
                <w:rFonts w:ascii="Arial" w:cs="Arial" w:eastAsia="Arial" w:hAnsi="Arial"/>
                <w:sz w:val="18"/>
                <w:szCs w:val="18"/>
                <w:color w:val="auto"/>
              </w:rPr>
              <w:t>Seoul</w:t>
            </w:r>
          </w:p>
        </w:tc>
      </w:tr>
      <w:tr>
        <w:trPr>
          <w:trHeight w:val="216"/>
        </w:trPr>
        <w:tc>
          <w:tcPr>
            <w:tcW w:w="13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840" w:type="dxa"/>
            <w:vAlign w:val="bottom"/>
          </w:tcPr>
          <w:p>
            <w:pPr>
              <w:ind w:left="2560"/>
              <w:spacing w:after="0"/>
              <w:rPr>
                <w:sz w:val="20"/>
                <w:szCs w:val="20"/>
                <w:color w:val="auto"/>
              </w:rPr>
            </w:pPr>
            <w:r>
              <w:rPr>
                <w:rFonts w:ascii="Arial" w:cs="Arial" w:eastAsia="Arial" w:hAnsi="Arial"/>
                <w:sz w:val="18"/>
                <w:szCs w:val="18"/>
                <w:color w:val="auto"/>
              </w:rPr>
              <w:t>Hong Kong</w:t>
            </w:r>
          </w:p>
        </w:tc>
        <w:tc>
          <w:tcPr>
            <w:tcW w:w="1640" w:type="dxa"/>
            <w:vAlign w:val="bottom"/>
            <w:gridSpan w:val="2"/>
          </w:tcPr>
          <w:p>
            <w:pPr>
              <w:ind w:left="340"/>
              <w:spacing w:after="0"/>
              <w:rPr>
                <w:sz w:val="20"/>
                <w:szCs w:val="20"/>
                <w:color w:val="auto"/>
              </w:rPr>
            </w:pPr>
            <w:r>
              <w:rPr>
                <w:rFonts w:ascii="Arial" w:cs="Arial" w:eastAsia="Arial" w:hAnsi="Arial"/>
                <w:sz w:val="18"/>
                <w:szCs w:val="18"/>
                <w:color w:val="auto"/>
              </w:rPr>
              <w:t>Shanghai</w:t>
            </w:r>
          </w:p>
        </w:tc>
      </w:tr>
      <w:tr>
        <w:trPr>
          <w:trHeight w:val="216"/>
        </w:trPr>
        <w:tc>
          <w:tcPr>
            <w:tcW w:w="13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840" w:type="dxa"/>
            <w:vAlign w:val="bottom"/>
          </w:tcPr>
          <w:p>
            <w:pPr>
              <w:ind w:left="2560"/>
              <w:spacing w:after="0"/>
              <w:rPr>
                <w:sz w:val="20"/>
                <w:szCs w:val="20"/>
                <w:color w:val="auto"/>
              </w:rPr>
            </w:pPr>
            <w:r>
              <w:rPr>
                <w:rFonts w:ascii="Arial" w:cs="Arial" w:eastAsia="Arial" w:hAnsi="Arial"/>
                <w:sz w:val="18"/>
                <w:szCs w:val="18"/>
                <w:color w:val="auto"/>
              </w:rPr>
              <w:t>Houston</w:t>
            </w:r>
          </w:p>
        </w:tc>
        <w:tc>
          <w:tcPr>
            <w:tcW w:w="1640" w:type="dxa"/>
            <w:vAlign w:val="bottom"/>
            <w:gridSpan w:val="2"/>
          </w:tcPr>
          <w:p>
            <w:pPr>
              <w:ind w:left="340"/>
              <w:spacing w:after="0"/>
              <w:rPr>
                <w:sz w:val="20"/>
                <w:szCs w:val="20"/>
                <w:color w:val="auto"/>
              </w:rPr>
            </w:pPr>
            <w:r>
              <w:rPr>
                <w:rFonts w:ascii="Arial" w:cs="Arial" w:eastAsia="Arial" w:hAnsi="Arial"/>
                <w:sz w:val="18"/>
                <w:szCs w:val="18"/>
                <w:color w:val="auto"/>
              </w:rPr>
              <w:t>Silicon Valley</w:t>
            </w:r>
          </w:p>
        </w:tc>
      </w:tr>
      <w:tr>
        <w:trPr>
          <w:trHeight w:val="216"/>
        </w:trPr>
        <w:tc>
          <w:tcPr>
            <w:tcW w:w="13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840" w:type="dxa"/>
            <w:vAlign w:val="bottom"/>
          </w:tcPr>
          <w:p>
            <w:pPr>
              <w:ind w:left="2560"/>
              <w:spacing w:after="0"/>
              <w:rPr>
                <w:sz w:val="20"/>
                <w:szCs w:val="20"/>
                <w:color w:val="auto"/>
              </w:rPr>
            </w:pPr>
            <w:r>
              <w:rPr>
                <w:rFonts w:ascii="Arial" w:cs="Arial" w:eastAsia="Arial" w:hAnsi="Arial"/>
                <w:sz w:val="18"/>
                <w:szCs w:val="18"/>
                <w:color w:val="auto"/>
              </w:rPr>
              <w:t>London</w:t>
            </w:r>
          </w:p>
        </w:tc>
        <w:tc>
          <w:tcPr>
            <w:tcW w:w="1640" w:type="dxa"/>
            <w:vAlign w:val="bottom"/>
            <w:gridSpan w:val="2"/>
          </w:tcPr>
          <w:p>
            <w:pPr>
              <w:ind w:left="340"/>
              <w:spacing w:after="0"/>
              <w:rPr>
                <w:sz w:val="20"/>
                <w:szCs w:val="20"/>
                <w:color w:val="auto"/>
              </w:rPr>
            </w:pPr>
            <w:r>
              <w:rPr>
                <w:rFonts w:ascii="Arial" w:cs="Arial" w:eastAsia="Arial" w:hAnsi="Arial"/>
                <w:sz w:val="18"/>
                <w:szCs w:val="18"/>
                <w:color w:val="auto"/>
              </w:rPr>
              <w:t>Singapore</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Selecta Biosciences, Inc.</w:t>
            </w:r>
          </w:p>
        </w:tc>
        <w:tc>
          <w:tcPr>
            <w:tcW w:w="3840" w:type="dxa"/>
            <w:vAlign w:val="bottom"/>
          </w:tcPr>
          <w:p>
            <w:pPr>
              <w:ind w:left="2560"/>
              <w:spacing w:after="0"/>
              <w:rPr>
                <w:sz w:val="20"/>
                <w:szCs w:val="20"/>
                <w:color w:val="auto"/>
              </w:rPr>
            </w:pPr>
            <w:r>
              <w:rPr>
                <w:rFonts w:ascii="Arial" w:cs="Arial" w:eastAsia="Arial" w:hAnsi="Arial"/>
                <w:sz w:val="18"/>
                <w:szCs w:val="18"/>
                <w:color w:val="auto"/>
              </w:rPr>
              <w:t>Los Angeles</w:t>
            </w:r>
          </w:p>
        </w:tc>
        <w:tc>
          <w:tcPr>
            <w:tcW w:w="1640" w:type="dxa"/>
            <w:vAlign w:val="bottom"/>
            <w:gridSpan w:val="2"/>
          </w:tcPr>
          <w:p>
            <w:pPr>
              <w:ind w:left="340"/>
              <w:spacing w:after="0"/>
              <w:rPr>
                <w:sz w:val="20"/>
                <w:szCs w:val="20"/>
                <w:color w:val="auto"/>
              </w:rPr>
            </w:pPr>
            <w:r>
              <w:rPr>
                <w:rFonts w:ascii="Arial" w:cs="Arial" w:eastAsia="Arial" w:hAnsi="Arial"/>
                <w:sz w:val="18"/>
                <w:szCs w:val="18"/>
                <w:color w:val="auto"/>
              </w:rPr>
              <w:t>Tokyo</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3"/>
              </w:rPr>
              <w:t>480 Arsenal Way</w:t>
            </w:r>
          </w:p>
        </w:tc>
        <w:tc>
          <w:tcPr>
            <w:tcW w:w="3040" w:type="dxa"/>
            <w:vAlign w:val="bottom"/>
          </w:tcPr>
          <w:p>
            <w:pPr>
              <w:spacing w:after="0"/>
              <w:rPr>
                <w:sz w:val="18"/>
                <w:szCs w:val="18"/>
                <w:color w:val="auto"/>
              </w:rPr>
            </w:pPr>
          </w:p>
        </w:tc>
        <w:tc>
          <w:tcPr>
            <w:tcW w:w="3840" w:type="dxa"/>
            <w:vAlign w:val="bottom"/>
          </w:tcPr>
          <w:p>
            <w:pPr>
              <w:ind w:left="2560"/>
              <w:spacing w:after="0"/>
              <w:rPr>
                <w:sz w:val="20"/>
                <w:szCs w:val="20"/>
                <w:color w:val="auto"/>
              </w:rPr>
            </w:pPr>
            <w:r>
              <w:rPr>
                <w:rFonts w:ascii="Arial" w:cs="Arial" w:eastAsia="Arial" w:hAnsi="Arial"/>
                <w:sz w:val="18"/>
                <w:szCs w:val="18"/>
                <w:color w:val="auto"/>
              </w:rPr>
              <w:t>Madrid</w:t>
            </w:r>
          </w:p>
        </w:tc>
        <w:tc>
          <w:tcPr>
            <w:tcW w:w="1640" w:type="dxa"/>
            <w:vAlign w:val="bottom"/>
            <w:gridSpan w:val="2"/>
          </w:tcPr>
          <w:p>
            <w:pPr>
              <w:ind w:left="340"/>
              <w:spacing w:after="0"/>
              <w:rPr>
                <w:sz w:val="20"/>
                <w:szCs w:val="20"/>
                <w:color w:val="auto"/>
              </w:rPr>
            </w:pPr>
            <w:r>
              <w:rPr>
                <w:rFonts w:ascii="Arial" w:cs="Arial" w:eastAsia="Arial" w:hAnsi="Arial"/>
                <w:sz w:val="18"/>
                <w:szCs w:val="18"/>
                <w:color w:val="auto"/>
                <w:w w:val="90"/>
              </w:rPr>
              <w:t>Washington, D.C.</w:t>
            </w: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Watertown, MA 02472</w:t>
            </w:r>
          </w:p>
        </w:tc>
        <w:tc>
          <w:tcPr>
            <w:tcW w:w="3840" w:type="dxa"/>
            <w:vAlign w:val="bottom"/>
          </w:tcPr>
          <w:p>
            <w:pPr>
              <w:ind w:left="2560"/>
              <w:spacing w:after="0"/>
              <w:rPr>
                <w:sz w:val="20"/>
                <w:szCs w:val="20"/>
                <w:color w:val="auto"/>
              </w:rPr>
            </w:pPr>
            <w:r>
              <w:rPr>
                <w:rFonts w:ascii="Arial" w:cs="Arial" w:eastAsia="Arial" w:hAnsi="Arial"/>
                <w:sz w:val="18"/>
                <w:szCs w:val="18"/>
                <w:color w:val="auto"/>
              </w:rPr>
              <w:t>Milan</w:t>
            </w:r>
          </w:p>
        </w:tc>
        <w:tc>
          <w:tcPr>
            <w:tcW w:w="5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92"/>
        </w:trPr>
        <w:tc>
          <w:tcPr>
            <w:tcW w:w="1300" w:type="dxa"/>
            <w:vAlign w:val="bottom"/>
          </w:tcPr>
          <w:p>
            <w:pPr>
              <w:ind w:left="740"/>
              <w:spacing w:after="0"/>
              <w:rPr>
                <w:sz w:val="20"/>
                <w:szCs w:val="20"/>
                <w:color w:val="auto"/>
              </w:rPr>
            </w:pPr>
            <w:r>
              <w:rPr>
                <w:rFonts w:ascii="Arial" w:cs="Arial" w:eastAsia="Arial" w:hAnsi="Arial"/>
                <w:sz w:val="18"/>
                <w:szCs w:val="18"/>
                <w:color w:val="auto"/>
              </w:rPr>
              <w:t>Re:</w:t>
            </w:r>
          </w:p>
        </w:tc>
        <w:tc>
          <w:tcPr>
            <w:tcW w:w="73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9"/>
              </w:rPr>
              <w:t xml:space="preserve">Registration Statement on Form S-3; 68,965,512 shares of common stock, par value </w:t>
            </w:r>
            <w:r>
              <w:rPr>
                <w:rFonts w:ascii="Arial" w:cs="Arial" w:eastAsia="Arial" w:hAnsi="Arial"/>
                <w:sz w:val="18"/>
                <w:szCs w:val="18"/>
                <w:u w:val="single" w:color="auto"/>
                <w:color w:val="auto"/>
                <w:w w:val="89"/>
              </w:rPr>
              <w:t>$</w:t>
            </w:r>
            <w:r>
              <w:rPr>
                <w:rFonts w:ascii="Arial" w:cs="Arial" w:eastAsia="Arial" w:hAnsi="Arial"/>
                <w:sz w:val="18"/>
                <w:szCs w:val="18"/>
                <w:color w:val="auto"/>
                <w:w w:val="89"/>
              </w:rPr>
              <w:t>0.0001 per share</w:t>
            </w:r>
          </w:p>
        </w:tc>
        <w:tc>
          <w:tcPr>
            <w:tcW w:w="1140" w:type="dxa"/>
            <w:vAlign w:val="bottom"/>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acted as special counsel to Selecta Biosciences,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connection with the resale from time to time by the selling stockholders (the “</w:t>
      </w:r>
      <w:r>
        <w:rPr>
          <w:rFonts w:ascii="Arial" w:cs="Arial" w:eastAsia="Arial" w:hAnsi="Arial"/>
          <w:sz w:val="17"/>
          <w:szCs w:val="17"/>
          <w:b w:val="1"/>
          <w:bCs w:val="1"/>
          <w:i w:val="1"/>
          <w:iCs w:val="1"/>
          <w:color w:val="auto"/>
        </w:rPr>
        <w:t>Selling Stockholders</w:t>
      </w:r>
      <w:r>
        <w:rPr>
          <w:rFonts w:ascii="Arial" w:cs="Arial" w:eastAsia="Arial" w:hAnsi="Arial"/>
          <w:sz w:val="17"/>
          <w:szCs w:val="17"/>
          <w:color w:val="auto"/>
        </w:rPr>
        <w:t>”) named in the Registration Statement (as defined below) of 68,965,512 shares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of the Company’s common stock, par value $0.0001 per share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The Shares include (i) 37,634,883 shares of Common Stock issued by the Company to the Selling Stockholders on December 23, 2019 (the “</w:t>
      </w:r>
      <w:r>
        <w:rPr>
          <w:rFonts w:ascii="Arial" w:cs="Arial" w:eastAsia="Arial" w:hAnsi="Arial"/>
          <w:sz w:val="17"/>
          <w:szCs w:val="17"/>
          <w:b w:val="1"/>
          <w:bCs w:val="1"/>
          <w:i w:val="1"/>
          <w:iCs w:val="1"/>
          <w:color w:val="auto"/>
        </w:rPr>
        <w:t>Common Shares</w:t>
      </w:r>
      <w:r>
        <w:rPr>
          <w:rFonts w:ascii="Arial" w:cs="Arial" w:eastAsia="Arial" w:hAnsi="Arial"/>
          <w:sz w:val="17"/>
          <w:szCs w:val="17"/>
          <w:color w:val="auto"/>
        </w:rPr>
        <w:t>”) and (ii) 31,330,629 shares of Common Stock issuable upon the exercise of warrants issued by the Company to the Selling Stockholders (the “</w:t>
      </w:r>
      <w:r>
        <w:rPr>
          <w:rFonts w:ascii="Arial" w:cs="Arial" w:eastAsia="Arial" w:hAnsi="Arial"/>
          <w:sz w:val="17"/>
          <w:szCs w:val="17"/>
          <w:b w:val="1"/>
          <w:bCs w:val="1"/>
          <w:i w:val="1"/>
          <w:iCs w:val="1"/>
          <w:color w:val="auto"/>
        </w:rPr>
        <w:t>Warrant Holders</w:t>
      </w:r>
      <w:r>
        <w:rPr>
          <w:rFonts w:ascii="Arial" w:cs="Arial" w:eastAsia="Arial" w:hAnsi="Arial"/>
          <w:sz w:val="17"/>
          <w:szCs w:val="17"/>
          <w:color w:val="auto"/>
        </w:rPr>
        <w:t>”) on December 23, 2019 (the “</w:t>
      </w:r>
      <w:r>
        <w:rPr>
          <w:rFonts w:ascii="Arial" w:cs="Arial" w:eastAsia="Arial" w:hAnsi="Arial"/>
          <w:sz w:val="17"/>
          <w:szCs w:val="17"/>
          <w:b w:val="1"/>
          <w:bCs w:val="1"/>
          <w:i w:val="1"/>
          <w:iCs w:val="1"/>
          <w:color w:val="auto"/>
        </w:rPr>
        <w:t>Warrants</w:t>
      </w:r>
      <w:r>
        <w:rPr>
          <w:rFonts w:ascii="Arial" w:cs="Arial" w:eastAsia="Arial" w:hAnsi="Arial"/>
          <w:sz w:val="17"/>
          <w:szCs w:val="17"/>
          <w:color w:val="auto"/>
        </w:rPr>
        <w:t>,” and the shares of Common Stock issuable upon exercise of the Warrants, the “</w:t>
      </w:r>
      <w:r>
        <w:rPr>
          <w:rFonts w:ascii="Arial" w:cs="Arial" w:eastAsia="Arial" w:hAnsi="Arial"/>
          <w:sz w:val="17"/>
          <w:szCs w:val="17"/>
          <w:b w:val="1"/>
          <w:bCs w:val="1"/>
          <w:i w:val="1"/>
          <w:iCs w:val="1"/>
          <w:color w:val="auto"/>
        </w:rPr>
        <w:t>Warrant Shares</w:t>
      </w:r>
      <w:r>
        <w:rPr>
          <w:rFonts w:ascii="Arial" w:cs="Arial" w:eastAsia="Arial" w:hAnsi="Arial"/>
          <w:sz w:val="17"/>
          <w:szCs w:val="17"/>
          <w:color w:val="auto"/>
        </w:rPr>
        <w:t>”). The Shares are included in a registration statement on Form S-3 under the Securities Act of 1933, as amended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filed with the Securities and Exchange Commission on January 29, 2020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This opinion is being furnished in connection with the requirements of Item 601(b)(5) of Regulation S-K under the Act, and no opinion is expressed herein as to any matter pertaining to the contents of the Registration Statement or the prospectus contained therein, other than as expressly stated herein with respect to the issue of the Shares.</w:t>
      </w:r>
    </w:p>
    <w:p>
      <w:pPr>
        <w:spacing w:after="0" w:line="17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General Corporation Law of the State of Delaware, and we express no opinion with respect to any other laws.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the foregoing and the other matters set forth herein, it is our opinion that, as of the date hereof:</w:t>
      </w:r>
    </w:p>
    <w:p>
      <w:pPr>
        <w:spacing w:after="0" w:line="225" w:lineRule="exact"/>
        <w:rPr>
          <w:sz w:val="20"/>
          <w:szCs w:val="20"/>
          <w:color w:val="auto"/>
        </w:rPr>
      </w:pPr>
    </w:p>
    <w:p>
      <w:pPr>
        <w:ind w:right="240" w:firstLine="656"/>
        <w:spacing w:after="0" w:line="277" w:lineRule="auto"/>
        <w:tabs>
          <w:tab w:leader="none" w:pos="129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issue and sale of the Common Shares have been duly authorized by all necessary corporate action of the Company, and the Common Shares are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7" w:name="page28"/>
    <w:bookmarkEnd w:id="27"/>
    <w:p>
      <w:pPr>
        <w:jc w:val="both"/>
        <w:ind w:right="80" w:firstLine="656"/>
        <w:spacing w:after="0" w:line="286" w:lineRule="auto"/>
        <w:tabs>
          <w:tab w:leader="none" w:pos="129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issue of the Warrant Shares has been duly authorized by all necessary corporate action of the Company, and when the Warrant Shares have been duly registered on the books of the transfer agent and registrar therefor in the name or on behalf of the Warrant Holders, and have been issued by the Company upon exercise of the Warrants, the Warrant Shares will be validly issued, fully paid and nonassessable.</w:t>
      </w:r>
    </w:p>
    <w:p>
      <w:pPr>
        <w:spacing w:after="0" w:line="166"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In rendering the foregoing opinion 2, we have assumed that the Company will comply with all applicable notice requirements regarding uncertificated shares provided in the General Corporation Law of the State of Delaware.</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in the Prospectus under the heading “Validity of the Common Stock.” In giving such consent, we do not thereby admit that we are in the category of persons whose consent is required under Section 7 of the Act or the rules and regulations of the Commission thereunder.</w:t>
      </w:r>
    </w:p>
    <w:p>
      <w:pPr>
        <w:spacing w:after="0" w:line="17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Latham &amp; Watkins LLP</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28" w:name="page29"/>
    <w:bookmarkEnd w:id="28"/>
    <w:p>
      <w:pPr>
        <w:spacing w:after="0"/>
        <w:rPr>
          <w:rFonts w:ascii="Arial" w:cs="Arial" w:eastAsia="Arial" w:hAnsi="Arial"/>
          <w:sz w:val="22"/>
          <w:szCs w:val="22"/>
          <w:color w:val="0000EE"/>
        </w:rPr>
      </w:pPr>
      <w:hyperlink w:anchor="page3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consent to the reference to our firm under the caption "Experts" in the Registration Statement (Form S-3) and related Prospectus of Selecta Biosciences, Inc. for the registration of 68,965,512 shares of its common stock and to the incorporation by reference therein of our report dated March 15, 2019 with respect to the consolidated financial statements of Selecta Biosciences, Inc. included in its Annual Report (Form 10-K) for the year ended December 31, 2018, filed with the Securities and Exchange Commission.</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29" w:name="page30"/>
    <w:bookmarkEnd w:id="2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Exhibit 23.2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29">
        <w:r>
          <w:rPr>
            <w:rFonts w:ascii="Arial" w:cs="Arial" w:eastAsia="Arial" w:hAnsi="Arial"/>
            <w:sz w:val="16"/>
            <w:szCs w:val="16"/>
            <w:u w:val="single" w:color="auto"/>
            <w:color w:val="0000EE"/>
          </w:rPr>
          <w:t>Consent of Independent Registered Public Accounting Firm</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1)"/>
      <w:numFmt w:val="decimal"/>
      <w:start w:val="2"/>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lvl w:ilvl="1">
      <w:lvlJc w:val="left"/>
      <w:lvlText w:val="(%2)"/>
      <w:numFmt w:val="lowerRoman"/>
      <w:start w:val="2"/>
    </w:lvl>
  </w:abstractNum>
  <w:abstractNum w:abstractNumId="4">
    <w:nsid w:val="1F16E9E8"/>
    <w:multiLevelType w:val="hybridMultilevel"/>
    <w:lvl w:ilvl="0">
      <w:lvlJc w:val="left"/>
      <w:lvlText w:val="(%1)"/>
      <w:numFmt w:val="decimal"/>
      <w:start w:val="4"/>
    </w:lvl>
  </w:abstractNum>
  <w:abstractNum w:abstractNumId="5">
    <w:nsid w:val="1190CDE7"/>
    <w:multiLevelType w:val="hybridMultilevel"/>
    <w:lvl w:ilvl="0">
      <w:lvlJc w:val="left"/>
      <w:lvlText w:val="(%1)"/>
      <w:numFmt w:val="decimal"/>
      <w:start w:val="7"/>
    </w:lvl>
    <w:lvl w:ilvl="1">
      <w:lvlJc w:val="left"/>
      <w:lvlText w:val="(%2)"/>
      <w:numFmt w:val="lowerLetter"/>
      <w:start w:val="1"/>
    </w:lvl>
  </w:abstractNum>
  <w:abstractNum w:abstractNumId="6">
    <w:nsid w:val="66EF438D"/>
    <w:multiLevelType w:val="hybridMultilevel"/>
    <w:lvl w:ilvl="0">
      <w:lvlJc w:val="left"/>
      <w:lvlText w:val="%1"/>
      <w:numFmt w:val="decimal"/>
      <w:start w:val="1"/>
    </w:lvl>
    <w:lvl w:ilvl="1">
      <w:lvlJc w:val="left"/>
      <w:lvlText w:val="(%2)"/>
      <w:numFmt w:val="lowerLetter"/>
      <w:start w:val="2"/>
    </w:lvl>
  </w:abstractNum>
  <w:abstractNum w:abstractNumId="7">
    <w:nsid w:val="140E0F76"/>
    <w:multiLevelType w:val="hybridMultilevel"/>
    <w:lvl w:ilvl="0">
      <w:lvlJc w:val="left"/>
      <w:lvlText w:val="(%1)"/>
      <w:numFmt w:val="decimal"/>
      <w:start w:val="11"/>
    </w:lvl>
  </w:abstractNum>
  <w:abstractNum w:abstractNumId="8">
    <w:nsid w:val="3352255A"/>
    <w:multiLevelType w:val="hybridMultilevel"/>
    <w:lvl w:ilvl="0">
      <w:lvlJc w:val="left"/>
      <w:lvlText w:val="(%1)"/>
      <w:numFmt w:val="decimal"/>
      <w:start w:val="18"/>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3">
    <w:nsid w:val="41A7C4C9"/>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14">
    <w:nsid w:val="6B68079A"/>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9" Type="http://schemas.openxmlformats.org/officeDocument/2006/relationships/image" Target="media/image31.png"/><Relationship Id="rId59" Type="http://schemas.openxmlformats.org/officeDocument/2006/relationships/image" Target="media/image32.png"/><Relationship Id="rId60" Type="http://schemas.openxmlformats.org/officeDocument/2006/relationships/image" Target="media/image33.png"/><Relationship Id="rId61" Type="http://schemas.openxmlformats.org/officeDocument/2006/relationships/image" Target="media/image34.png"/><Relationship Id="rId64" Type="http://schemas.openxmlformats.org/officeDocument/2006/relationships/image" Target="media/image35.png"/><Relationship Id="rId65" Type="http://schemas.openxmlformats.org/officeDocument/2006/relationships/image" Target="media/image36.png"/><Relationship Id="rId71" Type="http://schemas.openxmlformats.org/officeDocument/2006/relationships/image" Target="media/image37.png"/><Relationship Id="rId72" Type="http://schemas.openxmlformats.org/officeDocument/2006/relationships/image" Target="media/image38.png"/><Relationship Id="rId73" Type="http://schemas.openxmlformats.org/officeDocument/2006/relationships/image" Target="media/image39.png"/><Relationship Id="rId74" Type="http://schemas.openxmlformats.org/officeDocument/2006/relationships/image" Target="media/image40.png"/><Relationship Id="rId75" Type="http://schemas.openxmlformats.org/officeDocument/2006/relationships/image" Target="media/image41.png"/><Relationship Id="rId76" Type="http://schemas.openxmlformats.org/officeDocument/2006/relationships/image" Target="media/image42.png"/><Relationship Id="rId77" Type="http://schemas.openxmlformats.org/officeDocument/2006/relationships/image" Target="media/image43.png"/><Relationship Id="rId78" Type="http://schemas.openxmlformats.org/officeDocument/2006/relationships/image" Target="media/image44.jpeg"/><Relationship Id="rId79" Type="http://schemas.openxmlformats.org/officeDocument/2006/relationships/image" Target="media/image45.png"/><Relationship Id="rId80" Type="http://schemas.openxmlformats.org/officeDocument/2006/relationships/image" Target="media/image46.png"/><Relationship Id="rId81" Type="http://schemas.openxmlformats.org/officeDocument/2006/relationships/image" Target="media/image47.png"/><Relationship Id="rId38" Type="http://schemas.openxmlformats.org/officeDocument/2006/relationships/hyperlink" Target="http://www.sec.gov/Archives/edgar/data/1453687/000145368719000032/0001453687-19-000032-index.htm" TargetMode="External"/><Relationship Id="rId40" Type="http://schemas.openxmlformats.org/officeDocument/2006/relationships/hyperlink" Target="http://www.sec.gov/Archives/edgar/data/1453687/000145368719000043/selectabiosciencesdef14a_2.htm" TargetMode="External"/><Relationship Id="rId41" Type="http://schemas.openxmlformats.org/officeDocument/2006/relationships/hyperlink" Target="http://www.sec.gov/Archives/edgar/data/1453687/000145368719000053/0001453687-19-000053-index.htm" TargetMode="External"/><Relationship Id="rId42" Type="http://schemas.openxmlformats.org/officeDocument/2006/relationships/hyperlink" Target="http://www.sec.gov/Archives/edgar/data/1453687/000145368719000104/0001453687-19-000104-index.htm" TargetMode="External"/><Relationship Id="rId43" Type="http://schemas.openxmlformats.org/officeDocument/2006/relationships/hyperlink" Target="http://www.sec.gov/Archives/edgar/data/1453687/000145368719000157/0001453687-19-000157-index.htm" TargetMode="External"/><Relationship Id="rId44" Type="http://schemas.openxmlformats.org/officeDocument/2006/relationships/hyperlink" Target="http://www.sec.gov/Archives/edgar/data/1453687/000145368719000002/selectabiosciences8k_reorg.htm" TargetMode="External"/><Relationship Id="rId45" Type="http://schemas.openxmlformats.org/officeDocument/2006/relationships/hyperlink" Target="http://www.sec.gov/Archives/edgar/data/1453687/000145368719000018/selectabiosciences8k_202di.htm" TargetMode="External"/><Relationship Id="rId46" Type="http://schemas.openxmlformats.org/officeDocument/2006/relationships/hyperlink" Target="http://www.sec.gov/Archives/edgar/data/1453687/000145368719000021/selectabiosciences8k_final.htm" TargetMode="External"/><Relationship Id="rId47" Type="http://schemas.openxmlformats.org/officeDocument/2006/relationships/hyperlink" Target="http://www.sec.gov/Archives/edgar/data/1453687/000145368719000024/selectabiosciences8k_jleam.htm" TargetMode="External"/><Relationship Id="rId48" Type="http://schemas.openxmlformats.org/officeDocument/2006/relationships/hyperlink" Target="http://www.sec.gov/Archives/edgar/data/1453687/000145368719000039/selectabiosciences8k_induc.htm" TargetMode="External"/><Relationship Id="rId49" Type="http://schemas.openxmlformats.org/officeDocument/2006/relationships/hyperlink" Target="http://www.sec.gov/Archives/edgar/data/1453687/000145368719000056/selectabiosciences8k_annua.htm" TargetMode="External"/><Relationship Id="rId50" Type="http://schemas.openxmlformats.org/officeDocument/2006/relationships/hyperlink" Target="http://www.sec.gov/Archives/edgar/data/1453687/000145368719000078/selectabiosciences8-k_0619.htm" TargetMode="External"/><Relationship Id="rId51" Type="http://schemas.openxmlformats.org/officeDocument/2006/relationships/hyperlink" Target="http://www.sec.gov/Archives/edgar/data/1453687/000145368719000088/selectabiosciences8k_lease.htm" TargetMode="External"/><Relationship Id="rId52" Type="http://schemas.openxmlformats.org/officeDocument/2006/relationships/hyperlink" Target="http://www.sec.gov/Archives/edgar/data/1453687/000145368719000096/selectabiosciences8k_askbi.htm" TargetMode="External"/><Relationship Id="rId53" Type="http://schemas.openxmlformats.org/officeDocument/2006/relationships/hyperlink" Target="http://www.sec.gov/Archives/edgar/data/1453687/000141057819000832/0001410578-19-000832-index.htm" TargetMode="External"/><Relationship Id="rId54" Type="http://schemas.openxmlformats.org/officeDocument/2006/relationships/hyperlink" Target="http://www.sec.gov/Archives/edgar/data/1453687/000145368719000129/selectabiosciences8k_cfoan.htm" TargetMode="External"/><Relationship Id="rId55" Type="http://schemas.openxmlformats.org/officeDocument/2006/relationships/hyperlink" Target="http://www.sec.gov/Archives/edgar/data/1453687/000145368719000162/selectabiosciences8-k_ccox.htm" TargetMode="External"/><Relationship Id="rId56" Type="http://schemas.openxmlformats.org/officeDocument/2006/relationships/hyperlink" Target="http://www.sec.gov/Archives/edgar/data/1453687/000110465919074094/tm1926616d1_8k.htm" TargetMode="External"/><Relationship Id="rId57" Type="http://schemas.openxmlformats.org/officeDocument/2006/relationships/hyperlink" Target="http://www.sec.gov/Archives/edgar/data/1453687/000110465919075844/tm1926772d1_8k.htm" TargetMode="External"/><Relationship Id="rId58" Type="http://schemas.openxmlformats.org/officeDocument/2006/relationships/hyperlink" Target="http://www.sec.gov/Archives/edgar/data/1453687/000110465916126207/a15-22910_88a12b.htm" TargetMode="External"/><Relationship Id="rId62" Type="http://schemas.openxmlformats.org/officeDocument/2006/relationships/hyperlink" Target="http://www.sec.gov/Archives/edgar/data/1453687/000110465916129891/a16-14002_1ex3d1.htm" TargetMode="External"/><Relationship Id="rId63" Type="http://schemas.openxmlformats.org/officeDocument/2006/relationships/hyperlink" Target="http://www.sec.gov/Archives/edgar/data/1453687/000110465916129891/a16-14002_1ex3d2.htm" TargetMode="External"/><Relationship Id="rId66" Type="http://schemas.openxmlformats.org/officeDocument/2006/relationships/hyperlink" Target="http://www.sec.gov/Archives/edgar/data/1453687/000104746916013398/a2228672zex-4_2.htm" TargetMode="External"/><Relationship Id="rId67" Type="http://schemas.openxmlformats.org/officeDocument/2006/relationships/hyperlink" Target="http://www.sec.gov/Archives/edgar/data/1453687/000110465919075844/tm1926772d1_ex4-1.htm" TargetMode="External"/><Relationship Id="rId68" Type="http://schemas.openxmlformats.org/officeDocument/2006/relationships/hyperlink" Target="http://www.sec.gov/Archives/edgar/data/1453687/000110465919075844/tm1926772d1_ex4-2.htm" TargetMode="External"/><Relationship Id="rId69" Type="http://schemas.openxmlformats.org/officeDocument/2006/relationships/hyperlink" Target="http://www.sec.gov/Archives/edgar/data/1453687/000110465919075844/tm1926772d1_ex10-1.htm" TargetMode="External"/><Relationship Id="rId70" Type="http://schemas.openxmlformats.org/officeDocument/2006/relationships/hyperlink" Target="http://www.sec.gov/Archives/edgar/data/1453687/000110465919075844/tm1926772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2020-01-29T15:48:22Z</dcterms:created>
  <dcterms:modified xsi:type="dcterms:W3CDTF">2020-01-29T15:48:22Z</dcterms:modified>
</cp:coreProperties>
</file>