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13,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08" w:lineRule="exact"/>
        <w:rPr>
          <w:sz w:val="20"/>
          <w:szCs w:val="20"/>
          <w:color w:val="auto"/>
        </w:rPr>
      </w:pPr>
    </w:p>
    <w:p>
      <w:pPr>
        <w:ind w:right="240" w:firstLine="324"/>
        <w:spacing w:after="0" w:line="323" w:lineRule="auto"/>
        <w:rPr>
          <w:sz w:val="20"/>
          <w:szCs w:val="20"/>
          <w:color w:val="auto"/>
        </w:rPr>
      </w:pPr>
      <w:r>
        <w:rPr>
          <w:rFonts w:ascii="Times New Roman" w:cs="Times New Roman" w:eastAsia="Times New Roman" w:hAnsi="Times New Roman"/>
          <w:sz w:val="17"/>
          <w:szCs w:val="17"/>
          <w:color w:val="auto"/>
        </w:rPr>
        <w:t>On June 13, 2025, Cartesian Therapeutics, Inc. (the “Company”) held the 2025 Annual Meeting of Stockholders (the “Annual Meeting”). A total of 21,868,804 shares of the Company’s common stock, par value $0.0001 per share (the “common stock”), were present electronically or represented by</w:t>
      </w:r>
    </w:p>
    <w:p>
      <w:pPr>
        <w:spacing w:after="0" w:line="282" w:lineRule="auto"/>
        <w:rPr>
          <w:sz w:val="20"/>
          <w:szCs w:val="20"/>
          <w:color w:val="auto"/>
        </w:rPr>
      </w:pPr>
      <w:r>
        <w:rPr>
          <w:rFonts w:ascii="Times New Roman" w:cs="Times New Roman" w:eastAsia="Times New Roman" w:hAnsi="Times New Roman"/>
          <w:sz w:val="18"/>
          <w:szCs w:val="18"/>
          <w:color w:val="auto"/>
        </w:rPr>
        <w:t>proxy at the meeting, representing approximately 84.31% of the Company’s outstanding common stock as of the April 14, 2025 record date. The following are the voting results for the proposals considered and voted upon at the meeting, all of which were described in the Proxy Statement.</w:t>
      </w:r>
    </w:p>
    <w:p>
      <w:pPr>
        <w:spacing w:after="0" w:line="200" w:lineRule="exact"/>
        <w:rPr>
          <w:sz w:val="20"/>
          <w:szCs w:val="20"/>
          <w:color w:val="auto"/>
        </w:rPr>
      </w:pPr>
    </w:p>
    <w:p>
      <w:pPr>
        <w:spacing w:after="0" w:line="205" w:lineRule="exact"/>
        <w:rPr>
          <w:sz w:val="20"/>
          <w:szCs w:val="20"/>
          <w:color w:val="auto"/>
        </w:rPr>
      </w:pPr>
    </w:p>
    <w:p>
      <w:pPr>
        <w:ind w:right="260" w:firstLine="324"/>
        <w:spacing w:after="0" w:line="273" w:lineRule="auto"/>
        <w:rPr>
          <w:sz w:val="20"/>
          <w:szCs w:val="20"/>
          <w:color w:val="auto"/>
        </w:rPr>
      </w:pPr>
      <w:r>
        <w:rPr>
          <w:rFonts w:ascii="Times New Roman" w:cs="Times New Roman" w:eastAsia="Times New Roman" w:hAnsi="Times New Roman"/>
          <w:sz w:val="18"/>
          <w:szCs w:val="18"/>
          <w:color w:val="auto"/>
        </w:rPr>
        <w:t>Proposal 1 - Election of three Class III Directors to serve until the 2028 Annual Meeting of Stockholders, and until their respective successors have been duly elected and qualified.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NOMINEE</w:t>
            </w:r>
          </w:p>
        </w:tc>
        <w:tc>
          <w:tcPr>
            <w:tcW w:w="2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Votes FOR</w:t>
            </w:r>
          </w:p>
        </w:tc>
        <w:tc>
          <w:tcPr>
            <w:tcW w:w="29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Votes WITHHELD</w:t>
            </w:r>
          </w:p>
        </w:tc>
        <w:tc>
          <w:tcPr>
            <w:tcW w:w="20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Timothy C. Barabe, M.B.A.</w:t>
            </w:r>
          </w:p>
        </w:tc>
        <w:tc>
          <w:tcPr>
            <w:tcW w:w="2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19,208,637</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651,344</w:t>
            </w:r>
          </w:p>
        </w:tc>
        <w:tc>
          <w:tcPr>
            <w:tcW w:w="20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2,008,823</w:t>
            </w:r>
          </w:p>
        </w:tc>
      </w:t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Carsten Brunn, Ph.D.</w:t>
            </w:r>
          </w:p>
        </w:tc>
        <w:tc>
          <w:tcPr>
            <w:tcW w:w="2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19,841,557</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18,424</w:t>
            </w:r>
          </w:p>
        </w:tc>
        <w:tc>
          <w:tcPr>
            <w:tcW w:w="20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2,008,823</w:t>
            </w:r>
          </w:p>
        </w:tc>
      </w:t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Nishan de Silva, M.D., M.B.A.</w:t>
            </w:r>
          </w:p>
        </w:tc>
        <w:tc>
          <w:tcPr>
            <w:tcW w:w="2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19,840,306</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19,675</w:t>
            </w:r>
          </w:p>
        </w:tc>
        <w:tc>
          <w:tcPr>
            <w:tcW w:w="20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2,008,823</w:t>
            </w: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each director nominee was duly elected to serve until the Company’s 2028 Annual Meeting of Stockholders, and until their respective successors have been duly elected and qualified.</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2 - Approval, on a non-binding and advisory basis, of a resolution approving the compensation of the Company’s named executive officers.</w:t>
      </w:r>
    </w:p>
    <w:p>
      <w:pPr>
        <w:sectPr>
          <w:pgSz w:w="11900" w:h="16838" w:orient="portrait"/>
          <w:cols w:equalWidth="0" w:num="1">
            <w:col w:w="11200"/>
          </w:cols>
          <w:pgMar w:left="320" w:top="765" w:right="379" w:bottom="1440" w:gutter="0" w:footer="0" w:header="0"/>
        </w:sectPr>
      </w:pPr>
    </w:p>
    <w:p>
      <w:pPr>
        <w:spacing w:after="0" w:line="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Votes FOR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Votes AGAINST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Votes ABSTAINED</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Broker Non-Votes</w:t>
      </w:r>
    </w:p>
    <w:p>
      <w:pPr>
        <w:spacing w:after="0" w:line="61" w:lineRule="exact"/>
        <w:rPr>
          <w:sz w:val="20"/>
          <w:szCs w:val="20"/>
          <w:color w:val="auto"/>
        </w:rPr>
      </w:pPr>
    </w:p>
    <w:p>
      <w:pPr>
        <w:sectPr>
          <w:pgSz w:w="11900" w:h="16838" w:orient="portrait"/>
          <w:cols w:equalWidth="0" w:num="4">
            <w:col w:w="2880" w:space="720"/>
            <w:col w:w="1980" w:space="720"/>
            <w:col w:w="2160" w:space="720"/>
            <w:col w:w="2020"/>
          </w:cols>
          <w:pgMar w:left="320" w:top="765" w:right="37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19,701,123</w:t>
      </w:r>
    </w:p>
    <w:p>
      <w:pPr>
        <w:spacing w:after="0" w:line="20" w:lineRule="exact"/>
        <w:rPr>
          <w:sz w:val="20"/>
          <w:szCs w:val="20"/>
          <w:color w:val="auto"/>
        </w:rPr>
      </w:pPr>
      <w:r>
        <w:rPr>
          <w:sz w:val="20"/>
          <w:szCs w:val="20"/>
          <w:color w:val="auto"/>
        </w:rPr>
        <w:br w:type="column"/>
      </w:r>
    </w:p>
    <w:p>
      <w:pPr>
        <w:jc w:val="center"/>
        <w:ind w:right="1580"/>
        <w:spacing w:after="0"/>
        <w:rPr>
          <w:sz w:val="20"/>
          <w:szCs w:val="20"/>
          <w:color w:val="auto"/>
        </w:rPr>
      </w:pPr>
      <w:r>
        <w:rPr>
          <w:rFonts w:ascii="Times New Roman" w:cs="Times New Roman" w:eastAsia="Times New Roman" w:hAnsi="Times New Roman"/>
          <w:sz w:val="18"/>
          <w:szCs w:val="18"/>
          <w:color w:val="auto"/>
        </w:rPr>
        <w:t>157,132</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Times New Roman" w:cs="Times New Roman" w:eastAsia="Times New Roman" w:hAnsi="Times New Roman"/>
          <w:sz w:val="18"/>
          <w:szCs w:val="18"/>
          <w:color w:val="auto"/>
        </w:rPr>
        <w:t>1,726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2,008,823</w:t>
      </w:r>
    </w:p>
    <w:p>
      <w:pPr>
        <w:spacing w:after="0" w:line="200" w:lineRule="exact"/>
        <w:rPr>
          <w:sz w:val="20"/>
          <w:szCs w:val="20"/>
          <w:color w:val="auto"/>
        </w:rPr>
      </w:pPr>
    </w:p>
    <w:p>
      <w:pPr>
        <w:sectPr>
          <w:pgSz w:w="11900" w:h="16838" w:orient="portrait"/>
          <w:cols w:equalWidth="0" w:num="4">
            <w:col w:w="3200" w:space="720"/>
            <w:col w:w="2180" w:space="720"/>
            <w:col w:w="1940" w:space="720"/>
            <w:col w:w="1720"/>
          </w:cols>
          <w:pgMar w:left="320" w:top="765" w:right="379" w:bottom="1440" w:gutter="0" w:footer="0" w:header="0"/>
          <w:type w:val="continuous"/>
        </w:sectPr>
      </w:pPr>
    </w:p>
    <w:p>
      <w:pPr>
        <w:spacing w:after="0" w:line="3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stockholders approved, on a non-binding and advisory basis, a resolution approving the compensation of our named executive officers.</w:t>
      </w:r>
    </w:p>
    <w:p>
      <w:pPr>
        <w:spacing w:after="0" w:line="200" w:lineRule="exact"/>
        <w:rPr>
          <w:sz w:val="20"/>
          <w:szCs w:val="20"/>
          <w:color w:val="auto"/>
        </w:rPr>
      </w:pPr>
    </w:p>
    <w:p>
      <w:pPr>
        <w:spacing w:after="0" w:line="205" w:lineRule="exact"/>
        <w:rPr>
          <w:sz w:val="20"/>
          <w:szCs w:val="20"/>
          <w:color w:val="auto"/>
        </w:rPr>
      </w:pPr>
    </w:p>
    <w:p>
      <w:pPr>
        <w:ind w:right="460" w:firstLine="324"/>
        <w:spacing w:after="0" w:line="273" w:lineRule="auto"/>
        <w:rPr>
          <w:sz w:val="20"/>
          <w:szCs w:val="20"/>
          <w:color w:val="auto"/>
        </w:rPr>
      </w:pPr>
      <w:r>
        <w:rPr>
          <w:rFonts w:ascii="Times New Roman" w:cs="Times New Roman" w:eastAsia="Times New Roman" w:hAnsi="Times New Roman"/>
          <w:sz w:val="18"/>
          <w:szCs w:val="18"/>
          <w:color w:val="auto"/>
        </w:rPr>
        <w:t>Proposal 3 - Ratification of the appointment of Ernst &amp; Young LLP as the Company’s independent registered public accounting firm for the year ending December 31, 2025.</w:t>
      </w:r>
    </w:p>
    <w:p>
      <w:pPr>
        <w:sectPr>
          <w:pgSz w:w="11900" w:h="16838" w:orient="portrait"/>
          <w:cols w:equalWidth="0" w:num="1">
            <w:col w:w="11200"/>
          </w:cols>
          <w:pgMar w:left="320" w:top="765" w:right="379" w:bottom="1440" w:gutter="0" w:footer="0" w:header="0"/>
          <w:type w:val="continuous"/>
        </w:sectPr>
      </w:pPr>
    </w:p>
    <w:p>
      <w:pPr>
        <w:spacing w:after="0" w:line="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Votes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Votes AGAINST</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Times New Roman" w:cs="Times New Roman" w:eastAsia="Times New Roman" w:hAnsi="Times New Roman"/>
          <w:sz w:val="17"/>
          <w:szCs w:val="17"/>
          <w:color w:val="auto"/>
        </w:rPr>
        <w:t>Votes ABSTAINED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Broker Non-Votes</w:t>
      </w:r>
    </w:p>
    <w:p>
      <w:pPr>
        <w:spacing w:after="0" w:line="61" w:lineRule="exact"/>
        <w:rPr>
          <w:sz w:val="20"/>
          <w:szCs w:val="20"/>
          <w:color w:val="auto"/>
        </w:rPr>
      </w:pPr>
    </w:p>
    <w:p>
      <w:pPr>
        <w:sectPr>
          <w:pgSz w:w="11900" w:h="16838" w:orient="portrait"/>
          <w:cols w:equalWidth="0" w:num="4">
            <w:col w:w="2880" w:space="720"/>
            <w:col w:w="1980" w:space="720"/>
            <w:col w:w="2160" w:space="720"/>
            <w:col w:w="2020"/>
          </w:cols>
          <w:pgMar w:left="320" w:top="765" w:right="37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21,830,780</w:t>
      </w:r>
    </w:p>
    <w:p>
      <w:pPr>
        <w:spacing w:after="0" w:line="20" w:lineRule="exact"/>
        <w:rPr>
          <w:sz w:val="20"/>
          <w:szCs w:val="20"/>
          <w:color w:val="auto"/>
        </w:rPr>
      </w:pPr>
      <w:r>
        <w:rPr>
          <w:sz w:val="20"/>
          <w:szCs w:val="20"/>
          <w:color w:val="auto"/>
        </w:rPr>
        <w:br w:type="column"/>
      </w:r>
    </w:p>
    <w:p>
      <w:pPr>
        <w:jc w:val="center"/>
        <w:ind w:right="1640"/>
        <w:spacing w:after="0"/>
        <w:rPr>
          <w:sz w:val="20"/>
          <w:szCs w:val="20"/>
          <w:color w:val="auto"/>
        </w:rPr>
      </w:pPr>
      <w:r>
        <w:rPr>
          <w:rFonts w:ascii="Times New Roman" w:cs="Times New Roman" w:eastAsia="Times New Roman" w:hAnsi="Times New Roman"/>
          <w:sz w:val="17"/>
          <w:szCs w:val="17"/>
          <w:color w:val="auto"/>
        </w:rPr>
        <w:t>5,946</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Times New Roman" w:cs="Times New Roman" w:eastAsia="Times New Roman" w:hAnsi="Times New Roman"/>
          <w:sz w:val="18"/>
          <w:szCs w:val="18"/>
          <w:color w:val="auto"/>
        </w:rPr>
        <w:t>32,078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4">
            <w:col w:w="3300" w:space="720"/>
            <w:col w:w="2040" w:space="720"/>
            <w:col w:w="2240" w:space="720"/>
            <w:col w:w="1460"/>
          </w:cols>
          <w:pgMar w:left="320" w:top="765" w:right="379" w:bottom="1440" w:gutter="0" w:footer="0" w:header="0"/>
          <w:type w:val="continuous"/>
        </w:sectPr>
      </w:pPr>
    </w:p>
    <w:p>
      <w:pPr>
        <w:spacing w:after="0" w:line="3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stockholders ratified the appointment of Ernst &amp; Young LLP as the Company’s independent registered public accounting firm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2025</w:t>
            </w:r>
          </w:p>
        </w:tc>
        <w:tc>
          <w:tcPr>
            <w:tcW w:w="25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2025-06-16T06:13:16Z</dcterms:created>
  <dcterms:modified xsi:type="dcterms:W3CDTF">2025-06-16T06:13:16Z</dcterms:modified>
</cp:coreProperties>
</file>