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Common Stock, $0.0001 par value per share, including common shares obtainable upon exercise of Common Warrants </w:t>
      </w: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534670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567055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Mangrove Partners IM,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x</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4,127,258(1)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4,127,258</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4,127,258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2.59% (2)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4,127,258 common shares obtainable upon exercise of Common Warrants</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the sum of (i) 155,204,182 Shares outstanding as of November 10, 2023, based on information provided by the Issuer and (ii) 4,127,258 Shares issuable upon exercise of the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wp:posOffset>
            </wp:positionV>
            <wp:extent cx="71361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Nathaniel August</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x</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4,127,258(1)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4,127,258</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4,127,258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2.59% (2)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4,127,258 common shares obtainable upon exercise of Common Warrants</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the sum of (i) 155,204,182 Shares outstanding as of November 10, 2023, based on information provided by the Issuer and (ii) 4,127,258 Shares issuable upon exercise of the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wp:posOffset>
            </wp:positionV>
            <wp:extent cx="713613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65 Grove Street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b, c) Names of Person Filing, Address of Principal Business Office, Citizenship:</w:t>
      </w:r>
    </w:p>
    <w:p>
      <w:pPr>
        <w:spacing w:after="0" w:line="121"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u w:val="single" w:color="auto"/>
          <w:color w:val="auto"/>
        </w:rPr>
        <w:t>Mangrove Partners IM, LLC IM, LLC,</w:t>
      </w:r>
      <w:r>
        <w:rPr>
          <w:rFonts w:ascii="Times New Roman" w:cs="Times New Roman" w:eastAsia="Times New Roman" w:hAnsi="Times New Roman"/>
          <w:sz w:val="18"/>
          <w:szCs w:val="18"/>
          <w:color w:val="auto"/>
        </w:rPr>
        <w:t xml:space="preserve"> a Delaware limited liability company, is located at c/o Delaware Corporations LLC, 1000 N. West Street, Suite 1501, Wilmington, DE 19801</w:t>
      </w:r>
    </w:p>
    <w:p>
      <w:pPr>
        <w:ind w:left="800"/>
        <w:spacing w:after="0"/>
        <w:rPr>
          <w:sz w:val="20"/>
          <w:szCs w:val="20"/>
          <w:color w:val="auto"/>
        </w:rPr>
      </w:pPr>
      <w:r>
        <w:rPr>
          <w:rFonts w:ascii="Times New Roman" w:cs="Times New Roman" w:eastAsia="Times New Roman" w:hAnsi="Times New Roman"/>
          <w:sz w:val="18"/>
          <w:szCs w:val="18"/>
          <w:u w:val="single" w:color="auto"/>
          <w:color w:val="auto"/>
        </w:rPr>
        <w:t>Nathaniel August</w:t>
      </w:r>
      <w:r>
        <w:rPr>
          <w:rFonts w:ascii="Times New Roman" w:cs="Times New Roman" w:eastAsia="Times New Roman" w:hAnsi="Times New Roman"/>
          <w:sz w:val="18"/>
          <w:szCs w:val="18"/>
          <w:color w:val="auto"/>
        </w:rPr>
        <w:t>, a United States citizen, is located at 2 Sound View Drive, 3rd Floor, Greenwich, Connecticut 06830</w:t>
      </w:r>
    </w:p>
    <w:p>
      <w:pPr>
        <w:spacing w:after="0" w:line="207"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The shares of the Issuer which are the subject of this SCHEDULE 13G (the “Shares”) are held by the Mangrove Partners IM, LLC Master Fund, Ltd., a Cayman Islands limited liability company (“Master Fund”). Beneficial ownership of the Shares is claimed by (i) Mangrove Partners IM, LLC IM, LLC which serves as the investment manager of the Master Fund, and (ii) Nathaniel August who is the principal of Mangrove Partners IM, LLC IM,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$0.0001 par value per share, including common shares obtainable upon exercise of Common Warrants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816212104</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 parent holding company or control person in accordance with §240.13d-1(b)(1)(ii)(G);</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-156210</wp:posOffset>
            </wp:positionV>
            <wp:extent cx="8001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64"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December 31, 2023, is incorporated by reference to items (5) - (9) and (11) of the cover page of the respective Reporting Person.</w:t>
      </w:r>
    </w:p>
    <w:p>
      <w:pPr>
        <w:spacing w:after="0" w:line="54"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the sum of (i) 155,204,182 Shares outstanding as of November 10, 2023, based on information provided by the Issuer and (ii) 4,127,258 Shares issuable upon exercise of the Common Warrants, as the Issuer reported in its Form 10-Q filed with the SEC on November 13, 2023.</w:t>
      </w:r>
    </w:p>
    <w:p>
      <w:pPr>
        <w:spacing w:after="0" w:line="68"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The filing of this SCHEDULE 13G/A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ectPr>
          <w:pgSz w:w="11900" w:h="16838" w:orient="portrait"/>
          <w:cols w:equalWidth="0" w:num="1">
            <w:col w:w="11240"/>
          </w:cols>
          <w:pgMar w:left="320" w:top="663" w:right="339" w:bottom="0" w:gutter="0" w:footer="0" w:header="0"/>
        </w:sectPr>
      </w:pPr>
    </w:p>
    <w:bookmarkStart w:id="4" w:name="page5"/>
    <w:bookmarkEnd w:id="4"/>
    <w:p>
      <w:pPr>
        <w:ind w:left="400" w:firstLine="396"/>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disclosures in Item 2 and Exhibit I.</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 -11.</w:t>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Mangrove Partners IM,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Nathaniel August, Managing Member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Nathaniel August</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Nathaniel August</w:t>
      </w:r>
    </w:p>
    <w:p>
      <w:pPr>
        <w:sectPr>
          <w:pgSz w:w="11900" w:h="16838" w:orient="portrait"/>
          <w:cols w:equalWidth="0" w:num="1">
            <w:col w:w="11240"/>
          </w:cols>
          <w:pgMar w:left="320" w:top="447"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Mangrove Partners IM,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Nathaniel August, Managing Member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Nathaniel August</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Nathaniel August</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2024-02-14T11:41:14Z</dcterms:created>
  <dcterms:modified xsi:type="dcterms:W3CDTF">2024-02-14T11:41:14Z</dcterms:modified>
</cp:coreProperties>
</file>