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19,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27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20"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220"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220" w:right="2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2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November 20, 2019, the Board of Directors (the “Board”) of Selecta Biosciences, Inc. (the “Company”) appointed Carrie S. Cox as a Class II director, to serve until the Company’s annual meeting of stockholders to be held in 2021 and until her successor is duly elected and qualified or her earlier death, disqualification, resignation or removal. Ms. Cox has also been appointed to serve as Chairman of the Board and on both the Audit Committee of the Board (the “Audit Committee”) and the Compensation Committee of the Board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Ms. Cox, age 62, most recently served as the Chief Executive Officer of Humacyte, Inc., a regenerative medicine company based in Durham, North Carolina, from 2010 to June 2018, and has served as a member of its board of directors since 2010, serving as chairman from 2011 to June 2019. Ms. Cox has served on the boards of directors of Texas Instruments Incorporated since 2004 and Cardinal Health, Inc. since 2009, and as the chairman of the board of directors of electroCore, Inc. since July 2018. Ms. Cox previously served on the board of directors of Celgene Corporation from 2009 to November 2019 and as chairman of the board of directors of Array BioPharma, Inc. from August 2018 to July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qualifies her to serve on the Company’s Board.</w:t>
      </w:r>
    </w:p>
    <w:p>
      <w:pPr>
        <w:spacing w:after="0" w:line="200" w:lineRule="exact"/>
        <w:rPr>
          <w:sz w:val="20"/>
          <w:szCs w:val="20"/>
          <w:color w:val="auto"/>
        </w:rPr>
      </w:pPr>
    </w:p>
    <w:p>
      <w:pPr>
        <w:spacing w:after="0" w:line="39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Ms. Cox is eligible to participate in the Company’s Non-Employee Director Compensation Plan, which provides for an annual retainer of $40,000 for her Board service, and additional annual retainers of $30,000 for her service as Chairman of the Board, $7,500 for her service as a member of the Audit Committee, and $6,000 for her service as a member of the Compensation Committee, and an initial award of options to purchase 20,000 shares of the Company’s common stock (the “Initial Award”). The Initial Award has an exercise price equal to $1.32 per share, the fair market value of a share of the Company's common stock on the date of grant, and will vest and become exercisable in 36 substantially equal monthly installments following the date of grant, subject to Ms. Cox’s continued service on the Board through each such vesting date. Ms. Cox has also entered into the Company’s standard indemnification agreement for directors and officers.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Ms. Cox succeeds Omid Farokhzad, M.D., who resigned from his positions as a member of the Board and as Chairman of the Board on November 19, 2019, effective immediately prior to the appointment of Ms. Cox as a member of the Board.</w:t>
      </w:r>
    </w:p>
    <w:p>
      <w:pPr>
        <w:sectPr>
          <w:pgSz w:w="11900" w:h="16838" w:orient="portrait"/>
          <w:cols w:equalWidth="0" w:num="1">
            <w:col w:w="11380"/>
          </w:cols>
          <w:pgMar w:left="240" w:top="337"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2019-11-28T02:12:42Z</dcterms:created>
  <dcterms:modified xsi:type="dcterms:W3CDTF">2019-11-28T02:12:42Z</dcterms:modified>
</cp:coreProperties>
</file>