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14,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jc w:val="center"/>
        <w:ind w:right="106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34"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8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679"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679"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679" w:right="2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$0.0001 par value per share</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14, 2019, Selecta Biosciences, Inc. (the “Company”) held its Annual Meeting of Stockholders. A total of 31,784,331 shares of common stock were present in person or represented by proxy at the meeting, representing approximately 71.0 percent of the Company’s outstanding common stock as of the April 17, 2019 record date. The following are the voting results for the proposals considered and voted upon at the meeting, all of which were described in the Company’s Definitive Proxy Statement filed with the Securities and Exchange Commission on April 29, 2019.</w:t>
      </w:r>
    </w:p>
    <w:p>
      <w:pPr>
        <w:spacing w:after="0" w:line="3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Item 1 - Election of two Class III directors to serve until the 2022 Annual Meeting of Stockholders, and until their respective successors have been duly elected and qualified.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ind w:left="980"/>
              <w:spacing w:after="0"/>
              <w:rPr>
                <w:sz w:val="20"/>
                <w:szCs w:val="20"/>
                <w:color w:val="auto"/>
              </w:rPr>
            </w:pPr>
            <w:r>
              <w:rPr>
                <w:rFonts w:ascii="Arial" w:cs="Arial" w:eastAsia="Arial" w:hAnsi="Arial"/>
                <w:sz w:val="18"/>
                <w:szCs w:val="18"/>
                <w:color w:val="auto"/>
              </w:rPr>
              <w:t>NOMINEE</w:t>
            </w:r>
          </w:p>
        </w:tc>
        <w:tc>
          <w:tcPr>
            <w:tcW w:w="2700" w:type="dxa"/>
            <w:vAlign w:val="bottom"/>
          </w:tcPr>
          <w:p>
            <w:pPr>
              <w:ind w:left="1020"/>
              <w:spacing w:after="0"/>
              <w:rPr>
                <w:sz w:val="20"/>
                <w:szCs w:val="20"/>
                <w:color w:val="auto"/>
              </w:rPr>
            </w:pPr>
            <w:r>
              <w:rPr>
                <w:rFonts w:ascii="Arial" w:cs="Arial" w:eastAsia="Arial" w:hAnsi="Arial"/>
                <w:sz w:val="18"/>
                <w:szCs w:val="18"/>
                <w:color w:val="auto"/>
              </w:rPr>
              <w:t>Votes FOR</w:t>
            </w:r>
          </w:p>
        </w:tc>
        <w:tc>
          <w:tcPr>
            <w:tcW w:w="3020" w:type="dxa"/>
            <w:vAlign w:val="bottom"/>
          </w:tcPr>
          <w:p>
            <w:pPr>
              <w:ind w:left="860"/>
              <w:spacing w:after="0"/>
              <w:rPr>
                <w:sz w:val="20"/>
                <w:szCs w:val="20"/>
                <w:color w:val="auto"/>
              </w:rPr>
            </w:pPr>
            <w:r>
              <w:rPr>
                <w:rFonts w:ascii="Arial" w:cs="Arial" w:eastAsia="Arial" w:hAnsi="Arial"/>
                <w:sz w:val="18"/>
                <w:szCs w:val="18"/>
                <w:color w:val="auto"/>
              </w:rPr>
              <w:t>Votes WITHHELD</w:t>
            </w:r>
          </w:p>
        </w:tc>
        <w:tc>
          <w:tcPr>
            <w:tcW w:w="2060" w:type="dxa"/>
            <w:vAlign w:val="bottom"/>
          </w:tcPr>
          <w:p>
            <w:pPr>
              <w:jc w:val="center"/>
              <w:ind w:left="650"/>
              <w:spacing w:after="0"/>
              <w:rPr>
                <w:sz w:val="20"/>
                <w:szCs w:val="20"/>
                <w:color w:val="auto"/>
              </w:rPr>
            </w:pPr>
            <w:r>
              <w:rPr>
                <w:rFonts w:ascii="Arial" w:cs="Arial" w:eastAsia="Arial" w:hAnsi="Arial"/>
                <w:sz w:val="18"/>
                <w:szCs w:val="18"/>
                <w:color w:val="auto"/>
                <w:w w:val="92"/>
              </w:rPr>
              <w:t>Broker Non-Votes</w:t>
            </w: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Timothy C. Barabe</w:t>
            </w:r>
          </w:p>
        </w:tc>
        <w:tc>
          <w:tcPr>
            <w:tcW w:w="2700" w:type="dxa"/>
            <w:vAlign w:val="bottom"/>
          </w:tcPr>
          <w:p>
            <w:pPr>
              <w:ind w:left="1020"/>
              <w:spacing w:after="0"/>
              <w:rPr>
                <w:sz w:val="20"/>
                <w:szCs w:val="20"/>
                <w:color w:val="auto"/>
              </w:rPr>
            </w:pPr>
            <w:r>
              <w:rPr>
                <w:rFonts w:ascii="Arial" w:cs="Arial" w:eastAsia="Arial" w:hAnsi="Arial"/>
                <w:sz w:val="18"/>
                <w:szCs w:val="18"/>
                <w:color w:val="auto"/>
              </w:rPr>
              <w:t>22,596,824</w:t>
            </w:r>
          </w:p>
        </w:tc>
        <w:tc>
          <w:tcPr>
            <w:tcW w:w="3020" w:type="dxa"/>
            <w:vAlign w:val="bottom"/>
          </w:tcPr>
          <w:p>
            <w:pPr>
              <w:jc w:val="right"/>
              <w:ind w:right="1010"/>
              <w:spacing w:after="0"/>
              <w:rPr>
                <w:sz w:val="20"/>
                <w:szCs w:val="20"/>
                <w:color w:val="auto"/>
              </w:rPr>
            </w:pPr>
            <w:r>
              <w:rPr>
                <w:rFonts w:ascii="Arial" w:cs="Arial" w:eastAsia="Arial" w:hAnsi="Arial"/>
                <w:sz w:val="18"/>
                <w:szCs w:val="18"/>
                <w:color w:val="auto"/>
              </w:rPr>
              <w:t>1,025,281</w:t>
            </w:r>
          </w:p>
        </w:tc>
        <w:tc>
          <w:tcPr>
            <w:tcW w:w="2060" w:type="dxa"/>
            <w:vAlign w:val="bottom"/>
          </w:tcPr>
          <w:p>
            <w:pPr>
              <w:jc w:val="center"/>
              <w:ind w:left="650"/>
              <w:spacing w:after="0"/>
              <w:rPr>
                <w:sz w:val="20"/>
                <w:szCs w:val="20"/>
                <w:color w:val="auto"/>
              </w:rPr>
            </w:pPr>
            <w:r>
              <w:rPr>
                <w:rFonts w:ascii="Arial" w:cs="Arial" w:eastAsia="Arial" w:hAnsi="Arial"/>
                <w:sz w:val="18"/>
                <w:szCs w:val="18"/>
                <w:color w:val="auto"/>
                <w:w w:val="89"/>
              </w:rPr>
              <w:t>8,162,226</w:t>
            </w: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Carsten Brunn, Ph.D.</w:t>
            </w:r>
          </w:p>
        </w:tc>
        <w:tc>
          <w:tcPr>
            <w:tcW w:w="2700" w:type="dxa"/>
            <w:vAlign w:val="bottom"/>
          </w:tcPr>
          <w:p>
            <w:pPr>
              <w:ind w:left="1020"/>
              <w:spacing w:after="0"/>
              <w:rPr>
                <w:sz w:val="20"/>
                <w:szCs w:val="20"/>
                <w:color w:val="auto"/>
              </w:rPr>
            </w:pPr>
            <w:r>
              <w:rPr>
                <w:rFonts w:ascii="Arial" w:cs="Arial" w:eastAsia="Arial" w:hAnsi="Arial"/>
                <w:sz w:val="18"/>
                <w:szCs w:val="18"/>
                <w:color w:val="auto"/>
              </w:rPr>
              <w:t>23,473,924</w:t>
            </w:r>
          </w:p>
        </w:tc>
        <w:tc>
          <w:tcPr>
            <w:tcW w:w="3020" w:type="dxa"/>
            <w:vAlign w:val="bottom"/>
          </w:tcPr>
          <w:p>
            <w:pPr>
              <w:jc w:val="right"/>
              <w:ind w:right="1070"/>
              <w:spacing w:after="0"/>
              <w:rPr>
                <w:sz w:val="20"/>
                <w:szCs w:val="20"/>
                <w:color w:val="auto"/>
              </w:rPr>
            </w:pPr>
            <w:r>
              <w:rPr>
                <w:rFonts w:ascii="Arial" w:cs="Arial" w:eastAsia="Arial" w:hAnsi="Arial"/>
                <w:sz w:val="18"/>
                <w:szCs w:val="18"/>
                <w:color w:val="auto"/>
              </w:rPr>
              <w:t>148,181</w:t>
            </w:r>
          </w:p>
        </w:tc>
        <w:tc>
          <w:tcPr>
            <w:tcW w:w="2060" w:type="dxa"/>
            <w:vAlign w:val="bottom"/>
          </w:tcPr>
          <w:p>
            <w:pPr>
              <w:jc w:val="center"/>
              <w:ind w:left="650"/>
              <w:spacing w:after="0"/>
              <w:rPr>
                <w:sz w:val="20"/>
                <w:szCs w:val="20"/>
                <w:color w:val="auto"/>
              </w:rPr>
            </w:pPr>
            <w:r>
              <w:rPr>
                <w:rFonts w:ascii="Arial" w:cs="Arial" w:eastAsia="Arial" w:hAnsi="Arial"/>
                <w:sz w:val="18"/>
                <w:szCs w:val="18"/>
                <w:color w:val="auto"/>
                <w:w w:val="89"/>
              </w:rPr>
              <w:t>8,162,226</w:t>
            </w:r>
          </w:p>
        </w:tc>
      </w:tr>
    </w:tbl>
    <w:p>
      <w:pPr>
        <w:spacing w:after="0" w:line="200" w:lineRule="exact"/>
        <w:rPr>
          <w:sz w:val="20"/>
          <w:szCs w:val="20"/>
          <w:color w:val="auto"/>
        </w:rPr>
      </w:pPr>
    </w:p>
    <w:p>
      <w:pPr>
        <w:spacing w:after="0" w:line="245" w:lineRule="exact"/>
        <w:rPr>
          <w:sz w:val="20"/>
          <w:szCs w:val="20"/>
          <w:color w:val="auto"/>
        </w:rPr>
      </w:pPr>
    </w:p>
    <w:p>
      <w:pPr>
        <w:jc w:val="both"/>
        <w:ind w:right="740"/>
        <w:spacing w:after="0" w:line="277" w:lineRule="auto"/>
        <w:rPr>
          <w:sz w:val="20"/>
          <w:szCs w:val="20"/>
          <w:color w:val="auto"/>
        </w:rPr>
      </w:pPr>
      <w:r>
        <w:rPr>
          <w:rFonts w:ascii="Arial" w:cs="Arial" w:eastAsia="Arial" w:hAnsi="Arial"/>
          <w:sz w:val="18"/>
          <w:szCs w:val="18"/>
          <w:color w:val="auto"/>
        </w:rPr>
        <w:t>Item 2 - Ratification of the appointment of Ernst &amp; Young LLP as the Company’s independent registered public accounting firm for the year ending December 31, 2019.</w:t>
      </w:r>
    </w:p>
    <w:p>
      <w:pPr>
        <w:sectPr>
          <w:pgSz w:w="11900" w:h="16838" w:orient="portrait"/>
          <w:cols w:equalWidth="0" w:num="1">
            <w:col w:w="11400"/>
          </w:cols>
          <w:pgMar w:left="240" w:top="796" w:right="259" w:bottom="1440" w:gutter="0" w:footer="0" w:header="0"/>
        </w:sectPr>
      </w:pP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Votes FOR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Votes AGAINST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Votes ABSTAINED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86" w:lineRule="exact"/>
        <w:rPr>
          <w:sz w:val="20"/>
          <w:szCs w:val="20"/>
          <w:color w:val="auto"/>
        </w:rPr>
      </w:pPr>
    </w:p>
    <w:p>
      <w:pPr>
        <w:sectPr>
          <w:pgSz w:w="11900" w:h="16838" w:orient="portrait"/>
          <w:cols w:equalWidth="0" w:num="4">
            <w:col w:w="2960" w:space="720"/>
            <w:col w:w="2020" w:space="720"/>
            <w:col w:w="2200" w:space="720"/>
            <w:col w:w="2060"/>
          </w:cols>
          <w:pgMar w:left="240" w:top="796" w:right="25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31,745,837</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6"/>
          <w:szCs w:val="16"/>
          <w:color w:val="auto"/>
        </w:rPr>
        <w:t>33,938</w:t>
      </w:r>
    </w:p>
    <w:p>
      <w:pPr>
        <w:spacing w:after="0" w:line="20" w:lineRule="exact"/>
        <w:rPr>
          <w:sz w:val="20"/>
          <w:szCs w:val="20"/>
          <w:color w:val="auto"/>
        </w:rPr>
      </w:pPr>
      <w:r>
        <w:rPr>
          <w:sz w:val="20"/>
          <w:szCs w:val="20"/>
          <w:color w:val="auto"/>
        </w:rPr>
        <w:br w:type="column"/>
      </w:r>
    </w:p>
    <w:p>
      <w:pPr>
        <w:jc w:val="center"/>
        <w:ind w:right="1900"/>
        <w:spacing w:after="0"/>
        <w:rPr>
          <w:sz w:val="20"/>
          <w:szCs w:val="20"/>
          <w:color w:val="auto"/>
        </w:rPr>
      </w:pPr>
      <w:r>
        <w:rPr>
          <w:rFonts w:ascii="Arial" w:cs="Arial" w:eastAsia="Arial" w:hAnsi="Arial"/>
          <w:sz w:val="15"/>
          <w:szCs w:val="15"/>
          <w:color w:val="auto"/>
        </w:rPr>
        <w:t>4,556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320" w:space="720"/>
            <w:col w:w="2180" w:space="720"/>
            <w:col w:w="2300" w:space="720"/>
            <w:col w:w="1440"/>
          </w:cols>
          <w:pgMar w:left="240" w:top="796" w:right="25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votes, Timothy C. Barabe and Carsten Brunn, Ph.D. were elected as Class III directors and Item 2 was approved.</w:t>
      </w:r>
    </w:p>
    <w:p>
      <w:pPr>
        <w:sectPr>
          <w:pgSz w:w="11900" w:h="16838" w:orient="portrait"/>
          <w:cols w:equalWidth="0" w:num="1">
            <w:col w:w="11400"/>
          </w:cols>
          <w:pgMar w:left="240" w:top="796" w:right="25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June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2019-12-01T16:28:23Z</dcterms:created>
  <dcterms:modified xsi:type="dcterms:W3CDTF">2019-12-01T16:28:23Z</dcterms:modified>
</cp:coreProperties>
</file>