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Cartesian Therapeutics,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K. Bradshaw, Jr.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13,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38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sent.</w:t>
      </w:r>
    </w:p>
    <w:p>
      <w:pPr>
        <w:spacing w:after="0" w:line="166" w:lineRule="exact"/>
        <w:rPr>
          <w:sz w:val="24"/>
          <w:szCs w:val="24"/>
          <w:color w:val="auto"/>
        </w:rPr>
      </w:pPr>
    </w:p>
    <w:p>
      <w:pPr>
        <w:ind w:left="340" w:right="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p>
      <w:pPr>
        <w:spacing w:after="0"/>
        <w:tabs>
          <w:tab w:leader="none" w:pos="5520" w:val="left"/>
          <w:tab w:leader="none" w:pos="982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2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646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640" w:right="8480" w:hanging="457"/>
        <w:spacing w:after="0" w:line="342"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Timothy A. Springer</w:t>
      </w:r>
    </w:p>
    <w:p>
      <w:pPr>
        <w:spacing w:after="0" w:line="42" w:lineRule="exact"/>
        <w:rPr>
          <w:rFonts w:ascii="Arial" w:cs="Arial" w:eastAsia="Arial" w:hAnsi="Arial"/>
          <w:sz w:val="16"/>
          <w:szCs w:val="16"/>
          <w:color w:val="auto"/>
        </w:rPr>
      </w:pPr>
    </w:p>
    <w:p>
      <w:pPr>
        <w:ind w:left="640" w:hanging="45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6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640" w:hanging="45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640" w:hanging="45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640" w:hanging="45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640" w:right="7980" w:hanging="457"/>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89"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8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430"/>
              <w:spacing w:after="0"/>
              <w:rPr>
                <w:sz w:val="20"/>
                <w:szCs w:val="20"/>
                <w:color w:val="auto"/>
              </w:rPr>
            </w:pPr>
            <w:r>
              <w:rPr>
                <w:rFonts w:ascii="Arial" w:cs="Arial" w:eastAsia="Arial" w:hAnsi="Arial"/>
                <w:sz w:val="18"/>
                <w:szCs w:val="18"/>
                <w:color w:val="auto"/>
                <w:w w:val="92"/>
              </w:rPr>
              <w:t>Number of</w:t>
            </w:r>
          </w:p>
        </w:tc>
        <w:tc>
          <w:tcPr>
            <w:tcW w:w="520" w:type="dxa"/>
            <w:vAlign w:val="bottom"/>
          </w:tcPr>
          <w:p>
            <w:pPr>
              <w:spacing w:after="0"/>
              <w:rPr>
                <w:sz w:val="18"/>
                <w:szCs w:val="18"/>
                <w:color w:val="auto"/>
              </w:rPr>
            </w:pPr>
          </w:p>
        </w:tc>
        <w:tc>
          <w:tcPr>
            <w:tcW w:w="8800" w:type="dxa"/>
            <w:vAlign w:val="bottom"/>
          </w:tcPr>
          <w:p>
            <w:pPr>
              <w:ind w:left="100"/>
              <w:spacing w:after="0"/>
              <w:rPr>
                <w:sz w:val="20"/>
                <w:szCs w:val="20"/>
                <w:color w:val="auto"/>
              </w:rPr>
            </w:pPr>
            <w:r>
              <w:rPr>
                <w:rFonts w:ascii="Arial" w:cs="Arial" w:eastAsia="Arial" w:hAnsi="Arial"/>
                <w:sz w:val="18"/>
                <w:szCs w:val="18"/>
                <w:color w:val="auto"/>
              </w:rPr>
              <w:t>192,940,664 shares</w:t>
            </w:r>
          </w:p>
        </w:tc>
        <w:tc>
          <w:tcPr>
            <w:tcW w:w="0" w:type="dxa"/>
            <w:vAlign w:val="bottom"/>
          </w:tcPr>
          <w:p>
            <w:pPr>
              <w:spacing w:after="0"/>
              <w:rPr>
                <w:sz w:val="1"/>
                <w:szCs w:val="1"/>
                <w:color w:val="auto"/>
              </w:rPr>
            </w:pPr>
          </w:p>
        </w:tc>
      </w:tr>
      <w:tr>
        <w:trPr>
          <w:trHeight w:val="75"/>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6"/>
                <w:szCs w:val="6"/>
                <w:color w:val="auto"/>
              </w:rPr>
            </w:pPr>
          </w:p>
        </w:tc>
        <w:tc>
          <w:tcPr>
            <w:tcW w:w="8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380" w:type="dxa"/>
            <w:vAlign w:val="bottom"/>
            <w:vMerge w:val="continue"/>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1"/>
                <w:szCs w:val="11"/>
                <w:color w:val="auto"/>
              </w:rPr>
            </w:pPr>
          </w:p>
        </w:tc>
        <w:tc>
          <w:tcPr>
            <w:tcW w:w="8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ind w:right="430"/>
              <w:spacing w:after="0" w:line="203" w:lineRule="exact"/>
              <w:rPr>
                <w:sz w:val="20"/>
                <w:szCs w:val="20"/>
                <w:color w:val="auto"/>
              </w:rPr>
            </w:pPr>
            <w:r>
              <w:rPr>
                <w:rFonts w:ascii="Arial" w:cs="Arial" w:eastAsia="Arial" w:hAnsi="Arial"/>
                <w:sz w:val="18"/>
                <w:szCs w:val="18"/>
                <w:color w:val="auto"/>
                <w:w w:val="91"/>
              </w:rPr>
              <w:t>Owned by</w:t>
            </w:r>
          </w:p>
        </w:tc>
        <w:tc>
          <w:tcPr>
            <w:tcW w:w="520" w:type="dxa"/>
            <w:vAlign w:val="bottom"/>
          </w:tcPr>
          <w:p>
            <w:pPr>
              <w:spacing w:after="0"/>
              <w:rPr>
                <w:sz w:val="12"/>
                <w:szCs w:val="12"/>
                <w:color w:val="auto"/>
              </w:rPr>
            </w:pPr>
          </w:p>
        </w:tc>
        <w:tc>
          <w:tcPr>
            <w:tcW w:w="8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38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Arial" w:cs="Arial" w:eastAsia="Arial" w:hAnsi="Arial"/>
                <w:sz w:val="18"/>
                <w:szCs w:val="18"/>
                <w:color w:val="auto"/>
                <w:w w:val="87"/>
              </w:rPr>
              <w:t>Each</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88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Arial" w:cs="Arial" w:eastAsia="Arial" w:hAnsi="Arial"/>
                <w:sz w:val="18"/>
                <w:szCs w:val="18"/>
                <w:color w:val="auto"/>
                <w:w w:val="92"/>
              </w:rPr>
              <w:t>Reporting</w:t>
            </w:r>
          </w:p>
        </w:tc>
        <w:tc>
          <w:tcPr>
            <w:tcW w:w="520" w:type="dxa"/>
            <w:vAlign w:val="bottom"/>
          </w:tcPr>
          <w:p>
            <w:pPr>
              <w:spacing w:after="0"/>
              <w:rPr>
                <w:sz w:val="18"/>
                <w:szCs w:val="18"/>
                <w:color w:val="auto"/>
              </w:rPr>
            </w:pPr>
          </w:p>
        </w:tc>
        <w:tc>
          <w:tcPr>
            <w:tcW w:w="8800" w:type="dxa"/>
            <w:vAlign w:val="bottom"/>
          </w:tcPr>
          <w:p>
            <w:pPr>
              <w:ind w:left="100"/>
              <w:spacing w:after="0"/>
              <w:rPr>
                <w:sz w:val="20"/>
                <w:szCs w:val="20"/>
                <w:color w:val="auto"/>
              </w:rPr>
            </w:pPr>
            <w:r>
              <w:rPr>
                <w:rFonts w:ascii="Arial" w:cs="Arial" w:eastAsia="Arial" w:hAnsi="Arial"/>
                <w:sz w:val="18"/>
                <w:szCs w:val="18"/>
                <w:color w:val="auto"/>
              </w:rPr>
              <w:t>192,940,664 shares</w:t>
            </w:r>
          </w:p>
        </w:tc>
        <w:tc>
          <w:tcPr>
            <w:tcW w:w="0" w:type="dxa"/>
            <w:vAlign w:val="bottom"/>
          </w:tcPr>
          <w:p>
            <w:pPr>
              <w:spacing w:after="0"/>
              <w:rPr>
                <w:sz w:val="1"/>
                <w:szCs w:val="1"/>
                <w:color w:val="auto"/>
              </w:rPr>
            </w:pPr>
          </w:p>
        </w:tc>
      </w:tr>
      <w:tr>
        <w:trPr>
          <w:trHeight w:val="115"/>
        </w:trPr>
        <w:tc>
          <w:tcPr>
            <w:tcW w:w="1380" w:type="dxa"/>
            <w:vAlign w:val="bottom"/>
            <w:vMerge w:val="restart"/>
          </w:tcPr>
          <w:p>
            <w:pPr>
              <w:jc w:val="center"/>
              <w:ind w:right="430"/>
              <w:spacing w:after="0" w:line="201" w:lineRule="exact"/>
              <w:rPr>
                <w:sz w:val="20"/>
                <w:szCs w:val="20"/>
                <w:color w:val="auto"/>
              </w:rPr>
            </w:pPr>
            <w:r>
              <w:rPr>
                <w:rFonts w:ascii="Arial" w:cs="Arial" w:eastAsia="Arial" w:hAnsi="Arial"/>
                <w:sz w:val="18"/>
                <w:szCs w:val="18"/>
                <w:color w:val="auto"/>
                <w:w w:val="87"/>
              </w:rPr>
              <w:t>Person</w:t>
            </w:r>
          </w:p>
        </w:tc>
        <w:tc>
          <w:tcPr>
            <w:tcW w:w="52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3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5"/>
              </w:rPr>
              <w:t>10.</w:t>
            </w: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05"/>
        </w:trPr>
        <w:tc>
          <w:tcPr>
            <w:tcW w:w="1380" w:type="dxa"/>
            <w:vAlign w:val="bottom"/>
          </w:tcPr>
          <w:p>
            <w:pPr>
              <w:jc w:val="center"/>
              <w:ind w:right="430"/>
              <w:spacing w:after="0" w:line="205" w:lineRule="exact"/>
              <w:rPr>
                <w:sz w:val="20"/>
                <w:szCs w:val="20"/>
                <w:color w:val="auto"/>
              </w:rPr>
            </w:pPr>
            <w:r>
              <w:rPr>
                <w:rFonts w:ascii="Arial" w:cs="Arial" w:eastAsia="Arial" w:hAnsi="Arial"/>
                <w:sz w:val="18"/>
                <w:szCs w:val="18"/>
                <w:color w:val="auto"/>
                <w:w w:val="94"/>
              </w:rPr>
              <w:t>With</w:t>
            </w:r>
          </w:p>
        </w:tc>
        <w:tc>
          <w:tcPr>
            <w:tcW w:w="520" w:type="dxa"/>
            <w:vAlign w:val="bottom"/>
            <w:vMerge w:val="continue"/>
          </w:tcPr>
          <w:p>
            <w:pPr>
              <w:spacing w:after="0"/>
              <w:rPr>
                <w:sz w:val="17"/>
                <w:szCs w:val="17"/>
                <w:color w:val="auto"/>
              </w:rPr>
            </w:pPr>
          </w:p>
        </w:tc>
        <w:tc>
          <w:tcPr>
            <w:tcW w:w="8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680" w:hanging="134"/>
        <w:spacing w:after="0"/>
        <w:tabs>
          <w:tab w:leader="none" w:pos="2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shares</w:t>
      </w:r>
    </w:p>
    <w:p>
      <w:pPr>
        <w:spacing w:after="0" w:line="128" w:lineRule="exact"/>
        <w:rPr>
          <w:rFonts w:ascii="Arial" w:cs="Arial" w:eastAsia="Arial" w:hAnsi="Arial"/>
          <w:sz w:val="18"/>
          <w:szCs w:val="18"/>
          <w:color w:val="auto"/>
        </w:rPr>
      </w:pPr>
    </w:p>
    <w:p>
      <w:pPr>
        <w:ind w:left="640" w:right="5800" w:hanging="498"/>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192,940,664 shares</w:t>
      </w:r>
    </w:p>
    <w:p>
      <w:pPr>
        <w:spacing w:after="0" w:line="89" w:lineRule="exact"/>
        <w:rPr>
          <w:rFonts w:ascii="Arial" w:cs="Arial" w:eastAsia="Arial" w:hAnsi="Arial"/>
          <w:sz w:val="18"/>
          <w:szCs w:val="18"/>
          <w:color w:val="auto"/>
        </w:rPr>
      </w:pPr>
    </w:p>
    <w:p>
      <w:pPr>
        <w:ind w:left="640" w:hanging="50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4" w:lineRule="exact"/>
        <w:rPr>
          <w:rFonts w:ascii="Arial" w:cs="Arial" w:eastAsia="Arial" w:hAnsi="Arial"/>
          <w:sz w:val="18"/>
          <w:szCs w:val="18"/>
          <w:color w:val="auto"/>
        </w:rPr>
      </w:pPr>
    </w:p>
    <w:p>
      <w:pPr>
        <w:ind w:left="640" w:right="6720" w:hanging="501"/>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27.7%</w:t>
      </w:r>
    </w:p>
    <w:p>
      <w:pPr>
        <w:spacing w:after="0" w:line="89" w:lineRule="exact"/>
        <w:rPr>
          <w:rFonts w:ascii="Arial" w:cs="Arial" w:eastAsia="Arial" w:hAnsi="Arial"/>
          <w:sz w:val="18"/>
          <w:szCs w:val="18"/>
          <w:color w:val="auto"/>
        </w:rPr>
      </w:pPr>
    </w:p>
    <w:p>
      <w:pPr>
        <w:ind w:left="640" w:right="7420" w:hanging="501"/>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5520" w:val="left"/>
          <w:tab w:leader="none" w:pos="982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3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646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640" w:right="8480" w:hanging="457"/>
        <w:spacing w:after="0" w:line="30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Names of Reporting Persons. TAS Partners LLC</w:t>
      </w:r>
    </w:p>
    <w:p>
      <w:pPr>
        <w:spacing w:after="0" w:line="65" w:lineRule="exact"/>
        <w:rPr>
          <w:rFonts w:ascii="Arial" w:cs="Arial" w:eastAsia="Arial" w:hAnsi="Arial"/>
          <w:sz w:val="17"/>
          <w:szCs w:val="17"/>
          <w:color w:val="auto"/>
        </w:rPr>
      </w:pPr>
    </w:p>
    <w:p>
      <w:pPr>
        <w:ind w:left="640" w:hanging="45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6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640" w:hanging="45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640" w:hanging="45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29" w:lineRule="exact"/>
        <w:rPr>
          <w:rFonts w:ascii="Arial" w:cs="Arial" w:eastAsia="Arial" w:hAnsi="Arial"/>
          <w:sz w:val="18"/>
          <w:szCs w:val="18"/>
          <w:color w:val="auto"/>
        </w:rPr>
      </w:pPr>
    </w:p>
    <w:p>
      <w:pPr>
        <w:ind w:left="640" w:hanging="45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640" w:right="7980" w:hanging="457"/>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89"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380" w:type="dxa"/>
            <w:vAlign w:val="bottom"/>
            <w:vMerge w:val="restart"/>
          </w:tcPr>
          <w:p>
            <w:pPr>
              <w:jc w:val="center"/>
              <w:ind w:right="430"/>
              <w:spacing w:after="0"/>
              <w:rPr>
                <w:sz w:val="20"/>
                <w:szCs w:val="20"/>
                <w:color w:val="auto"/>
              </w:rPr>
            </w:pPr>
            <w:r>
              <w:rPr>
                <w:rFonts w:ascii="Arial" w:cs="Arial" w:eastAsia="Arial" w:hAnsi="Arial"/>
                <w:sz w:val="18"/>
                <w:szCs w:val="18"/>
                <w:color w:val="auto"/>
                <w:w w:val="92"/>
              </w:rPr>
              <w:t>Number of</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8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800" w:type="dxa"/>
            <w:vAlign w:val="bottom"/>
          </w:tcPr>
          <w:p>
            <w:pPr>
              <w:ind w:left="100"/>
              <w:spacing w:after="0" w:line="202" w:lineRule="exact"/>
              <w:rPr>
                <w:sz w:val="20"/>
                <w:szCs w:val="20"/>
                <w:color w:val="auto"/>
              </w:rPr>
            </w:pPr>
            <w:r>
              <w:rPr>
                <w:rFonts w:ascii="Arial" w:cs="Arial" w:eastAsia="Arial" w:hAnsi="Arial"/>
                <w:sz w:val="18"/>
                <w:szCs w:val="18"/>
                <w:color w:val="auto"/>
              </w:rPr>
              <w:t>61,635,214 shares</w:t>
            </w:r>
          </w:p>
        </w:tc>
        <w:tc>
          <w:tcPr>
            <w:tcW w:w="0" w:type="dxa"/>
            <w:vAlign w:val="bottom"/>
          </w:tcPr>
          <w:p>
            <w:pPr>
              <w:spacing w:after="0"/>
              <w:rPr>
                <w:sz w:val="1"/>
                <w:szCs w:val="1"/>
                <w:color w:val="auto"/>
              </w:rPr>
            </w:pPr>
          </w:p>
        </w:tc>
      </w:tr>
      <w:tr>
        <w:trPr>
          <w:trHeight w:val="89"/>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8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38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8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38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Owned by</w:t>
            </w:r>
          </w:p>
        </w:tc>
        <w:tc>
          <w:tcPr>
            <w:tcW w:w="520" w:type="dxa"/>
            <w:vAlign w:val="bottom"/>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38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380" w:type="dxa"/>
            <w:vAlign w:val="bottom"/>
          </w:tcPr>
          <w:p>
            <w:pPr>
              <w:jc w:val="center"/>
              <w:ind w:right="41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5"/>
                <w:szCs w:val="5"/>
                <w:color w:val="auto"/>
              </w:rPr>
            </w:pPr>
          </w:p>
        </w:tc>
        <w:tc>
          <w:tcPr>
            <w:tcW w:w="8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61,635,214 shares</w:t>
            </w:r>
          </w:p>
        </w:tc>
        <w:tc>
          <w:tcPr>
            <w:tcW w:w="0" w:type="dxa"/>
            <w:vAlign w:val="bottom"/>
          </w:tcPr>
          <w:p>
            <w:pPr>
              <w:spacing w:after="0"/>
              <w:rPr>
                <w:sz w:val="1"/>
                <w:szCs w:val="1"/>
                <w:color w:val="auto"/>
              </w:rPr>
            </w:pPr>
          </w:p>
        </w:tc>
      </w:tr>
      <w:tr>
        <w:trPr>
          <w:trHeight w:val="82"/>
        </w:trPr>
        <w:tc>
          <w:tcPr>
            <w:tcW w:w="1380" w:type="dxa"/>
            <w:vAlign w:val="bottom"/>
            <w:vMerge w:val="restart"/>
          </w:tcPr>
          <w:p>
            <w:pPr>
              <w:jc w:val="center"/>
              <w:ind w:right="430"/>
              <w:spacing w:after="0"/>
              <w:rPr>
                <w:sz w:val="20"/>
                <w:szCs w:val="20"/>
                <w:color w:val="auto"/>
              </w:rPr>
            </w:pPr>
            <w:r>
              <w:rPr>
                <w:rFonts w:ascii="Arial" w:cs="Arial" w:eastAsia="Arial" w:hAnsi="Arial"/>
                <w:sz w:val="18"/>
                <w:szCs w:val="18"/>
                <w:color w:val="auto"/>
                <w:w w:val="87"/>
              </w:rPr>
              <w:t>Person</w:t>
            </w:r>
          </w:p>
        </w:tc>
        <w:tc>
          <w:tcPr>
            <w:tcW w:w="520" w:type="dxa"/>
            <w:vAlign w:val="bottom"/>
          </w:tcPr>
          <w:p>
            <w:pPr>
              <w:spacing w:after="0"/>
              <w:rPr>
                <w:sz w:val="7"/>
                <w:szCs w:val="7"/>
                <w:color w:val="auto"/>
              </w:rPr>
            </w:pPr>
          </w:p>
        </w:tc>
        <w:tc>
          <w:tcPr>
            <w:tcW w:w="8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38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380" w:type="dxa"/>
            <w:vAlign w:val="bottom"/>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5"/>
              </w:rPr>
              <w:t>10.</w:t>
            </w: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8"/>
        </w:trPr>
        <w:tc>
          <w:tcPr>
            <w:tcW w:w="1380" w:type="dxa"/>
            <w:vAlign w:val="bottom"/>
          </w:tcPr>
          <w:p>
            <w:pPr>
              <w:jc w:val="center"/>
              <w:ind w:right="430"/>
              <w:spacing w:after="0"/>
              <w:rPr>
                <w:sz w:val="20"/>
                <w:szCs w:val="20"/>
                <w:color w:val="auto"/>
              </w:rPr>
            </w:pPr>
            <w:r>
              <w:rPr>
                <w:rFonts w:ascii="Arial" w:cs="Arial" w:eastAsia="Arial" w:hAnsi="Arial"/>
                <w:sz w:val="18"/>
                <w:szCs w:val="18"/>
                <w:color w:val="auto"/>
                <w:w w:val="94"/>
              </w:rPr>
              <w:t>With</w:t>
            </w:r>
          </w:p>
        </w:tc>
        <w:tc>
          <w:tcPr>
            <w:tcW w:w="520" w:type="dxa"/>
            <w:vAlign w:val="bottom"/>
            <w:vMerge w:val="continue"/>
          </w:tcPr>
          <w:p>
            <w:pPr>
              <w:spacing w:after="0"/>
              <w:rPr>
                <w:sz w:val="19"/>
                <w:szCs w:val="19"/>
                <w:color w:val="auto"/>
              </w:rPr>
            </w:pPr>
          </w:p>
        </w:tc>
        <w:tc>
          <w:tcPr>
            <w:tcW w:w="8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680" w:hanging="134"/>
        <w:spacing w:after="0"/>
        <w:tabs>
          <w:tab w:leader="none" w:pos="2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shares</w:t>
      </w:r>
    </w:p>
    <w:p>
      <w:pPr>
        <w:spacing w:after="0" w:line="128" w:lineRule="exact"/>
        <w:rPr>
          <w:rFonts w:ascii="Arial" w:cs="Arial" w:eastAsia="Arial" w:hAnsi="Arial"/>
          <w:sz w:val="18"/>
          <w:szCs w:val="18"/>
          <w:color w:val="auto"/>
        </w:rPr>
      </w:pPr>
    </w:p>
    <w:p>
      <w:pPr>
        <w:ind w:left="640" w:right="5800" w:hanging="498"/>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61,635,214 shares</w:t>
      </w:r>
    </w:p>
    <w:p>
      <w:pPr>
        <w:spacing w:after="0" w:line="89" w:lineRule="exact"/>
        <w:rPr>
          <w:rFonts w:ascii="Arial" w:cs="Arial" w:eastAsia="Arial" w:hAnsi="Arial"/>
          <w:sz w:val="18"/>
          <w:szCs w:val="18"/>
          <w:color w:val="auto"/>
        </w:rPr>
      </w:pPr>
    </w:p>
    <w:p>
      <w:pPr>
        <w:ind w:left="640" w:hanging="50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4" w:lineRule="exact"/>
        <w:rPr>
          <w:rFonts w:ascii="Arial" w:cs="Arial" w:eastAsia="Arial" w:hAnsi="Arial"/>
          <w:sz w:val="18"/>
          <w:szCs w:val="18"/>
          <w:color w:val="auto"/>
        </w:rPr>
      </w:pPr>
    </w:p>
    <w:p>
      <w:pPr>
        <w:ind w:left="640" w:right="6720" w:hanging="50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8.9%</w:t>
      </w:r>
    </w:p>
    <w:p>
      <w:pPr>
        <w:spacing w:after="0" w:line="89" w:lineRule="exact"/>
        <w:rPr>
          <w:rFonts w:ascii="Arial" w:cs="Arial" w:eastAsia="Arial" w:hAnsi="Arial"/>
          <w:sz w:val="18"/>
          <w:szCs w:val="18"/>
          <w:color w:val="auto"/>
        </w:rPr>
      </w:pPr>
    </w:p>
    <w:p>
      <w:pPr>
        <w:ind w:left="640" w:hanging="50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5520" w:val="left"/>
          <w:tab w:leader="none" w:pos="982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4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646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640" w:right="8480" w:hanging="457"/>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Chafen Lu</w:t>
      </w:r>
    </w:p>
    <w:p>
      <w:pPr>
        <w:spacing w:after="0" w:line="89" w:lineRule="exact"/>
        <w:rPr>
          <w:rFonts w:ascii="Arial" w:cs="Arial" w:eastAsia="Arial" w:hAnsi="Arial"/>
          <w:sz w:val="18"/>
          <w:szCs w:val="18"/>
          <w:color w:val="auto"/>
        </w:rPr>
      </w:pPr>
    </w:p>
    <w:p>
      <w:pPr>
        <w:ind w:left="640" w:hanging="45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6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640" w:hanging="45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640" w:hanging="45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640" w:hanging="45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640" w:right="7980" w:hanging="457"/>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89"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380" w:type="dxa"/>
            <w:vAlign w:val="bottom"/>
            <w:vMerge w:val="restart"/>
          </w:tcPr>
          <w:p>
            <w:pPr>
              <w:jc w:val="center"/>
              <w:ind w:right="430"/>
              <w:spacing w:after="0"/>
              <w:rPr>
                <w:sz w:val="20"/>
                <w:szCs w:val="20"/>
                <w:color w:val="auto"/>
              </w:rPr>
            </w:pPr>
            <w:r>
              <w:rPr>
                <w:rFonts w:ascii="Arial" w:cs="Arial" w:eastAsia="Arial" w:hAnsi="Arial"/>
                <w:sz w:val="18"/>
                <w:szCs w:val="18"/>
                <w:color w:val="auto"/>
                <w:w w:val="92"/>
              </w:rPr>
              <w:t>Number of</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8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800" w:type="dxa"/>
            <w:vAlign w:val="bottom"/>
          </w:tcPr>
          <w:p>
            <w:pPr>
              <w:ind w:left="100"/>
              <w:spacing w:after="0" w:line="202" w:lineRule="exact"/>
              <w:rPr>
                <w:sz w:val="20"/>
                <w:szCs w:val="20"/>
                <w:color w:val="auto"/>
              </w:rPr>
            </w:pPr>
            <w:r>
              <w:rPr>
                <w:rFonts w:ascii="Arial" w:cs="Arial" w:eastAsia="Arial" w:hAnsi="Arial"/>
                <w:sz w:val="18"/>
                <w:szCs w:val="18"/>
                <w:color w:val="auto"/>
              </w:rPr>
              <w:t>86,418 shares</w:t>
            </w:r>
          </w:p>
        </w:tc>
        <w:tc>
          <w:tcPr>
            <w:tcW w:w="0" w:type="dxa"/>
            <w:vAlign w:val="bottom"/>
          </w:tcPr>
          <w:p>
            <w:pPr>
              <w:spacing w:after="0"/>
              <w:rPr>
                <w:sz w:val="1"/>
                <w:szCs w:val="1"/>
                <w:color w:val="auto"/>
              </w:rPr>
            </w:pPr>
          </w:p>
        </w:tc>
      </w:tr>
      <w:tr>
        <w:trPr>
          <w:trHeight w:val="89"/>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8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38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8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38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Owned by</w:t>
            </w:r>
          </w:p>
        </w:tc>
        <w:tc>
          <w:tcPr>
            <w:tcW w:w="520" w:type="dxa"/>
            <w:vAlign w:val="bottom"/>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38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380" w:type="dxa"/>
            <w:vAlign w:val="bottom"/>
          </w:tcPr>
          <w:p>
            <w:pPr>
              <w:jc w:val="center"/>
              <w:ind w:right="41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5"/>
                <w:szCs w:val="5"/>
                <w:color w:val="auto"/>
              </w:rPr>
            </w:pPr>
          </w:p>
        </w:tc>
        <w:tc>
          <w:tcPr>
            <w:tcW w:w="8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86,418 shares</w:t>
            </w:r>
          </w:p>
        </w:tc>
        <w:tc>
          <w:tcPr>
            <w:tcW w:w="0" w:type="dxa"/>
            <w:vAlign w:val="bottom"/>
          </w:tcPr>
          <w:p>
            <w:pPr>
              <w:spacing w:after="0"/>
              <w:rPr>
                <w:sz w:val="1"/>
                <w:szCs w:val="1"/>
                <w:color w:val="auto"/>
              </w:rPr>
            </w:pPr>
          </w:p>
        </w:tc>
      </w:tr>
      <w:tr>
        <w:trPr>
          <w:trHeight w:val="82"/>
        </w:trPr>
        <w:tc>
          <w:tcPr>
            <w:tcW w:w="1380" w:type="dxa"/>
            <w:vAlign w:val="bottom"/>
            <w:vMerge w:val="restart"/>
          </w:tcPr>
          <w:p>
            <w:pPr>
              <w:jc w:val="center"/>
              <w:ind w:right="430"/>
              <w:spacing w:after="0"/>
              <w:rPr>
                <w:sz w:val="20"/>
                <w:szCs w:val="20"/>
                <w:color w:val="auto"/>
              </w:rPr>
            </w:pPr>
            <w:r>
              <w:rPr>
                <w:rFonts w:ascii="Arial" w:cs="Arial" w:eastAsia="Arial" w:hAnsi="Arial"/>
                <w:sz w:val="18"/>
                <w:szCs w:val="18"/>
                <w:color w:val="auto"/>
                <w:w w:val="87"/>
              </w:rPr>
              <w:t>Person</w:t>
            </w:r>
          </w:p>
        </w:tc>
        <w:tc>
          <w:tcPr>
            <w:tcW w:w="520" w:type="dxa"/>
            <w:vAlign w:val="bottom"/>
          </w:tcPr>
          <w:p>
            <w:pPr>
              <w:spacing w:after="0"/>
              <w:rPr>
                <w:sz w:val="7"/>
                <w:szCs w:val="7"/>
                <w:color w:val="auto"/>
              </w:rPr>
            </w:pPr>
          </w:p>
        </w:tc>
        <w:tc>
          <w:tcPr>
            <w:tcW w:w="8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38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380" w:type="dxa"/>
            <w:vAlign w:val="bottom"/>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5"/>
              </w:rPr>
              <w:t>10.</w:t>
            </w:r>
          </w:p>
        </w:tc>
        <w:tc>
          <w:tcPr>
            <w:tcW w:w="88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8"/>
        </w:trPr>
        <w:tc>
          <w:tcPr>
            <w:tcW w:w="1380" w:type="dxa"/>
            <w:vAlign w:val="bottom"/>
          </w:tcPr>
          <w:p>
            <w:pPr>
              <w:jc w:val="center"/>
              <w:ind w:right="430"/>
              <w:spacing w:after="0"/>
              <w:rPr>
                <w:sz w:val="20"/>
                <w:szCs w:val="20"/>
                <w:color w:val="auto"/>
              </w:rPr>
            </w:pPr>
            <w:r>
              <w:rPr>
                <w:rFonts w:ascii="Arial" w:cs="Arial" w:eastAsia="Arial" w:hAnsi="Arial"/>
                <w:sz w:val="18"/>
                <w:szCs w:val="18"/>
                <w:color w:val="auto"/>
                <w:w w:val="94"/>
              </w:rPr>
              <w:t>With</w:t>
            </w:r>
          </w:p>
        </w:tc>
        <w:tc>
          <w:tcPr>
            <w:tcW w:w="520" w:type="dxa"/>
            <w:vAlign w:val="bottom"/>
            <w:vMerge w:val="continue"/>
          </w:tcPr>
          <w:p>
            <w:pPr>
              <w:spacing w:after="0"/>
              <w:rPr>
                <w:sz w:val="19"/>
                <w:szCs w:val="19"/>
                <w:color w:val="auto"/>
              </w:rPr>
            </w:pPr>
          </w:p>
        </w:tc>
        <w:tc>
          <w:tcPr>
            <w:tcW w:w="8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680" w:hanging="134"/>
        <w:spacing w:after="0"/>
        <w:tabs>
          <w:tab w:leader="none" w:pos="2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shares</w:t>
      </w:r>
    </w:p>
    <w:p>
      <w:pPr>
        <w:spacing w:after="0" w:line="128" w:lineRule="exact"/>
        <w:rPr>
          <w:rFonts w:ascii="Arial" w:cs="Arial" w:eastAsia="Arial" w:hAnsi="Arial"/>
          <w:sz w:val="18"/>
          <w:szCs w:val="18"/>
          <w:color w:val="auto"/>
        </w:rPr>
      </w:pPr>
    </w:p>
    <w:p>
      <w:pPr>
        <w:ind w:left="640" w:right="5800" w:hanging="498"/>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86,418 shares</w:t>
      </w:r>
    </w:p>
    <w:p>
      <w:pPr>
        <w:spacing w:after="0" w:line="89" w:lineRule="exact"/>
        <w:rPr>
          <w:rFonts w:ascii="Arial" w:cs="Arial" w:eastAsia="Arial" w:hAnsi="Arial"/>
          <w:sz w:val="18"/>
          <w:szCs w:val="18"/>
          <w:color w:val="auto"/>
        </w:rPr>
      </w:pPr>
    </w:p>
    <w:p>
      <w:pPr>
        <w:ind w:left="640" w:hanging="50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4" w:lineRule="exact"/>
        <w:rPr>
          <w:rFonts w:ascii="Arial" w:cs="Arial" w:eastAsia="Arial" w:hAnsi="Arial"/>
          <w:sz w:val="18"/>
          <w:szCs w:val="18"/>
          <w:color w:val="auto"/>
        </w:rPr>
      </w:pPr>
    </w:p>
    <w:p>
      <w:pPr>
        <w:ind w:left="640" w:right="6720" w:hanging="50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89" w:lineRule="exact"/>
        <w:rPr>
          <w:rFonts w:ascii="Arial" w:cs="Arial" w:eastAsia="Arial" w:hAnsi="Arial"/>
          <w:sz w:val="18"/>
          <w:szCs w:val="18"/>
          <w:color w:val="auto"/>
        </w:rPr>
      </w:pPr>
    </w:p>
    <w:p>
      <w:pPr>
        <w:ind w:left="640" w:right="7420" w:hanging="50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5520" w:val="left"/>
          <w:tab w:leader="none" w:pos="982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5 of 12 Pages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Amendment No. 11 to the statement on Schedule 13D (this “Statement”) with respect to the shares of common stock, par value $0.0001 per share (the “Shares”), of Cartesian Therapeutics, Inc. (formerly known as Selecta Biosciences, Inc.), a Delaware corporation (the “Issuer”), originally filed by Timothy A. Springer (“Dr. Springer”), TAS Partners LLC (“TAS”), Chafen Lu (“Dr. Lu” and, collectively with Dr. Springer and TAS, the “Reporting Persons”) and Leukon Investments, LP (“Leukon”) filed on March 27, 2019, as amended by Amendment No. 1 filed on August 23, 2019, Amendment No. 2 filed on September 16, 2019, Amendment No. 3 filed on December 17, 2019, Amendment No. 4 filed on January 2, 2020, Amendment No. 5 filed on October 15, 2020, Amendment No. 6 filed on October 23, 2020, Amendment No. 7 filed on May 27, 2021, Amendment No. 8 filed on December 15, 2021, Amendment No. 9 filed on December 27, 2021 and Amendment No. 10 filed on September 25, 2023 (such statement and amendments, as further amended herein, the “Schedule 13D”), amends the Schedule 13D as set forth below.</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capitalized terms contained herein but not otherwise defined shall have the meanings ascribed to such terms in the Schedule 13D. Except as specifically amended by this Amendment No. 11, items in the Schedule 13D are unchanged.</w:t>
      </w:r>
    </w:p>
    <w:p>
      <w:pPr>
        <w:spacing w:after="0" w:line="1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to be supplemented by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November 13, 2023, Selecta Biosciences, Inc., a Delaware corporation (“Selecta” or the “Company”), acquired Cartesian Therapeutics, Inc., a Delaware corporation (“Cartesian”), in accordance with the terms of an Agreement and Plan of Merger, dated November 13, 2023 (the “Merger Agreement”), by and among Selecta, Sakura Merger Sub I, Inc., a Delaware corporation and wholly owned subsidiary of Selecta (“First Merger Sub”), Sakura Merger Sub II, LLC, a Delaware limited liability company and wholly owned subsidiary of Selecta (“Second Merger Sub”), and Cartesian. Pursuant to the Merger Agreement, First Merger Sub merged with and into Cartesian, pursuant to which Cartesian was the surviving corporation and became a wholly owned subsidiary of Selecta (the “First Merger”). Immediately following the First Merger, Cartesian merged with and into Second Merger Sub, pursuant to which Second Merger Sub was the surviving entity (the “Second Merger” and, together with the First Merger, the “Merger”). In connection with the Second Merger, Cartesian changed its name to Cartesian Bio, LLC.</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Merger is intended to qualify as a tax-free reorganization for U.S. federal income tax purposes. As a result of the Merger, Selecta changed its corporate name to Cartesian Therapeutics, Inc. and began trading under the symbol “RNAC” on November 14, 2023.</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Under the terms of the Merger Agreement, following the consummation of the Merger (the “Closing”), in exchange for the outstanding shares of capital stock of Cartesian immediately prior to the effective time of the First Merger, Selecta will issue to the stockholders of Cartesian that are “accredited investors,” as defined in Regulation D promulgated under the Securities Act of 1933, as amended (the “Securities Act”), (A) 6,723,662 shares of the common stock of Selecta, par value $0.0001 per share (the “Common Stock”), which amount is (together with the shares underlying assumed Cartesian Options other than the Continuing Officer Options, each as defined and discussed below) approximately 19.9% of the number of shares of Common Stock outstanding immediately prior to the Merger, and (B) 384,930.725 shares of Series A Preferred Stock (as defined and described below), each share of which is convertible into 1,000 shares of Common Stock, subject to certain conditions described below. An exchange agent selected in accordance with the Merger Agreement will issue book-entry shares of Common Stock and Series A Preferred Stock to be issued in the Merger as soon as reasonably practicable, but no earlier than 21 days after the Closing and no later than 25 days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5520" w:val="left"/>
          <w:tab w:leader="none" w:pos="982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6 of 12 Pages</w:t>
      </w:r>
    </w:p>
    <w:p>
      <w:pPr>
        <w:spacing w:after="0" w:line="229"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Pursuant to the Merger Agreement, Selecta has agreed to hold a stockholders’ meeting to submit the following matters to its stockholders for their consideration: (i) the approval of the conversion of shares of Series A Preferred Stock into shares of Common Stock in accordance with the rules of the Nasdaq Stock Market LLC (the “Conversion Proposal”), and (ii) either or both of (A) the approval of an amendment to Selecta’s restated certificate of incorporation, as amended (the “Charter”), to increase the number of shares of Common Stock authorized under the Charter and (B) the approval of an amendment to the Charter to effect a reverse stock split of all outstanding shares of Common Stock, in either case (A) and (B) by a number of authorized shares or at a stock split ratio, as the case may be, sufficient to allow the conversion of all shares of Series A Preferred Stock issued in the Merger (the “Charter Amendment Proposal,” and together with the Conversion Proposal, the “Meeting Proposals”).</w:t>
      </w:r>
    </w:p>
    <w:p>
      <w:pPr>
        <w:spacing w:after="0" w:line="17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foregoing description of the Merger and the Merger Agreement does not purport to be complete and is qualified in its entirety by reference to the full text of the Merger Agreement, a copy of which is filed as Exhibit 99.6 to this Schedule 13D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Designation</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November 13, 2023, the Company filed a Certificate of Designation of Preferences, Rights and Limitations of the Series A Non-Voting Convertible Preferred Stock (the “Certificate of Designation”) with the Secretary of State of the State of Delaware in connection with the Merger and the Financing. The Certificate of Designation provides for the designation of shares of the Company’s Series A Non-Voting Convertible Preferred Stock, par value $0.0001 per share (the “Series A Preferred Stock”).</w:t>
      </w:r>
    </w:p>
    <w:p>
      <w:pPr>
        <w:spacing w:after="0" w:line="18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Holders of Series A Preferred Stock are entitled to receive dividends on shares of Series A Preferred Stock equal to, on an as-if-converted-to-Common-Stock basis, and in the same form as dividends actually paid on shares of the Common Stock; provided, however, that holders of Series A Preferred Stock (or any shares of Common Stock into which the Series A Preferred Stock is convertible) are not entitled to any CVRs with respect to those shares. Except as otherwise required by law, the Series A Preferred Stock does not have voting rights. However, as long as any shares of Series A Preferred Stock are outstanding, the Company will not, without the affirmative vote of the holders of a majority of the then-outstanding shares of the Series A Preferred Stock,</w:t>
      </w:r>
    </w:p>
    <w:p>
      <w:pPr>
        <w:spacing w:after="0" w:line="2" w:lineRule="exact"/>
        <w:rPr>
          <w:sz w:val="20"/>
          <w:szCs w:val="20"/>
          <w:color w:val="auto"/>
        </w:rPr>
      </w:pPr>
    </w:p>
    <w:p>
      <w:pPr>
        <w:ind w:firstLine="8"/>
        <w:spacing w:after="0" w:line="267" w:lineRule="auto"/>
        <w:tabs>
          <w:tab w:leader="none" w:pos="245" w:val="left"/>
        </w:tabs>
        <w:numPr>
          <w:ilvl w:val="0"/>
          <w:numId w:val="8"/>
        </w:numPr>
        <w:rPr>
          <w:rFonts w:ascii="Arial" w:cs="Arial" w:eastAsia="Arial" w:hAnsi="Arial"/>
          <w:sz w:val="17"/>
          <w:szCs w:val="17"/>
          <w:color w:val="auto"/>
        </w:rPr>
      </w:pPr>
      <w:r>
        <w:rPr>
          <w:rFonts w:ascii="Arial" w:cs="Arial" w:eastAsia="Arial" w:hAnsi="Arial"/>
          <w:sz w:val="17"/>
          <w:szCs w:val="17"/>
          <w:color w:val="auto"/>
        </w:rPr>
        <w:t>alter or change adversely the powers, preferences or rights given to the Series A Preferred Stock, (b) alter or amend the Certificate of Designation, (c) amend the Charter or other organizational documents in any manner that adversely affects any rights of the holders of Series A Preferred Stock, (d) issue further shares of Series A Preferred Stock (other than in connection with the exercise of the Continuing Officer Options) or increase or decrease (other than by conversion) the number of authorized shares of Series A Preferred Stock, (e) prior to the stockholder approval of the Conversion Proposal or at any time while at least 30% of the originally issued Series A Preferred Stock remains issued and outstanding, consummate either (A) a Fundamental Transaction (as defined in the Certificate of Designation) or (B) any merger or consolidation of the Company or other business combination in which the stockholders of the Company immediately before such transaction do not hold at least a majority of the capital stock of the Company immediately after such transaction, (f) amend or fail to comply with, in any manner that would be reasonably likely to prevent, impede or materially delay the conversion (or the stockholder approval thereof), or terminate, any of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 The Series A Preferred Stock does not have a preference upon any liquidation, dissolution or winding-up of the Company.</w:t>
      </w:r>
    </w:p>
    <w:p>
      <w:pPr>
        <w:spacing w:after="0" w:line="1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or any of its affiliates.</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Series A Preferred Stock is redeemable at the option of the holder thereof at any time following the date that is 18 months after the initial issuance of the Series A Preferred Stock, other than any shares of Series A Preferred Stock that would not be convertible into shares of Common Stock as a result of the application of the beneficial ownership limitation referred to in the foregoing paragraph (without regard to the lack of obtaining the requisite stockholder approval to convert the Series A Preferred Stock into Common Stock).</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foregoing description of the Series A Preferred Stock does not purport to be complete and is qualified in its entirety by reference to the full text of the Certificate of Designation, a copy of which is filed as Exhibit 99.7 to this Schedule 13D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5520" w:val="left"/>
          <w:tab w:leader="none" w:pos="982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7 of 12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Agreements</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the execution of the Merger Agreement, Selecta and Cartesian entered into stockholder support agreements (the “Support Agreements”) with certain of Selecta’s officers, directors and stockholders. Pursuant to the Support Agreements, among other things, each of the Selecta stockholder parties thereto has agreed to vote or cause to be voted all of the shares of Common Stock owned by such stockholder in favor of the Meeting Proposals.</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foregoing description of the Support Agreements does not purport to be complete and is qualified in its entirety by reference to the full text of the form of the Support Agreement, a copy of which is included as Exhibit C to the Merger Agreement, which is filed as Exhibit 99.6 to this Schedule 13D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Concurrently and in connection with the execution of the Merger Agreement, certain Cartesian stockholders as of immediately prior to the Closing, and certain of the directors and officers of Selecta as of immediately prior to the Closing entered into lock-up agreements with Selecta and Cartesian, pursuant to which each such stockholder agreed to be subject to a 180-day lockup on the sale or transfer of shares of the Company held by each such stockholder at the Closing, including those shares of Common Stock and Series A Preferred Stock (including the shares of Common Stock into which such Series A Preferred Stock is convertible) received by each such stockholder in the Merger (the “Lock-up Agreements”).</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foregoing description of the Lock-up Agreements does not purport to be complete and is qualified in its entirety by reference to the full text of the form of the Lock-up Agreement, a copy of which is included as Exhibit B to the Merger Agreement, which is filed as Exhibit 99.6 to this Schedule 13D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Value Rights Agreement</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Merger Agreement provides that no later than 30 days following the Closing, the Company will enter into a contingent value rights agreement (the “CVR Agreement”) with a trustee entity (the “Trustee”), pursuant to which each holder of Common Stock as of the applicable record date will be entitled to one contractual contingent value right (each, a “CVR”) issued by the Company, subject to and in accordance with the terms and conditions of the CVR Agreement, for each share of Common Stock held by such holder as of the applicable record time. Holders of the warrants to purchase Common Stock of Selecta (a “Selecta Warrant”) will be entitled to receive, upon exercise of such Selecta Warrant and in accordance with the terms thereof, one CVR per each such share of Common Stock underlying such Selecta Warrant, assuming the same had been exercised on the record date for distribution of the CVR; except that the holders of the Selecta Warrants issued on April 11, 2022 will, as required by the terms of such Selecta Warrants, receive such CVRs upon the initial distribution of CVRs made to the holders of Common Stock, even if such Selecta Warrants are not exercised.</w:t>
      </w:r>
    </w:p>
    <w:p>
      <w:pPr>
        <w:spacing w:after="0" w:line="16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When issued, each contingent value right will entitle the holder (the “Holder”) thereof to distributions of the following, pro rated on a per-CVR basis, during the period ending on the date on which the Royalty Term (as defined in the Company’s License and Development Agreement, as amended, with Swedish Orphan Biovitrum AB (publ.) (the “Sobi License”)) ends (the “Termination Date”):</w:t>
      </w:r>
    </w:p>
    <w:p>
      <w:pPr>
        <w:spacing w:after="0" w:line="184" w:lineRule="exact"/>
        <w:rPr>
          <w:sz w:val="20"/>
          <w:szCs w:val="20"/>
          <w:color w:val="auto"/>
        </w:rPr>
      </w:pPr>
    </w:p>
    <w:p>
      <w:pPr>
        <w:ind w:left="980" w:right="180" w:hanging="648"/>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100% of all milestone payments, royalties and other amounts paid to the Company or its controlled affiliates (the “Company Entities”) prior to the Termination Date under the Sobi License or, following certain terminations of the Sobi License, any agreement a Company Entity enters into that provides for the development and commercialization of SEL-212 (a “New Applicable Agreement”); and</w:t>
      </w:r>
    </w:p>
    <w:p>
      <w:pPr>
        <w:spacing w:after="0" w:line="165" w:lineRule="exact"/>
        <w:rPr>
          <w:rFonts w:ascii="Arial" w:cs="Arial" w:eastAsia="Arial" w:hAnsi="Arial"/>
          <w:sz w:val="17"/>
          <w:szCs w:val="17"/>
          <w:color w:val="auto"/>
        </w:rPr>
      </w:pPr>
    </w:p>
    <w:p>
      <w:pPr>
        <w:ind w:left="980" w:right="140" w:hanging="648"/>
        <w:spacing w:after="0" w:line="275"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100% of all cash consideration and the actual liquidation value of any and all non-cash consideration of any kind that is paid to or is actually received by any Company Entity prior to the Termination Date pursuant to an agreement between a Company Entity and any person who is not a Company Entity relating to a sale, license, transfer or other disposition of any transferable asset of the Company Entities existing as of immediately prior to the Merger (a “Disposition”) other than those exclusively licensed under the Sobi License or which the Company Entities are required to continue to own in order to comply with the Sobi License (a “Disposition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5520" w:val="left"/>
          <w:tab w:leader="none" w:pos="982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8 of 12 Pages</w:t>
      </w:r>
    </w:p>
    <w:p>
      <w:pPr>
        <w:spacing w:after="0" w:line="22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distributions in respect of the CVRs will be made on a semi-annual basis, and will be subject to a number of deductions, subject to certain exceptions or limitations, including for (A) certain taxes, (B) certain out-of-pocket expenses incurred by the Company Entities, including audit and accounting fees incurred in connection with reporting obligations relating to the CVRs, in respect of its performance of the Sobi License or any New Applicable Agreement, in connection with the entry into a Disposition Agreement and under any Disposition Agreement and performance of the Company Entities’ related obligations thereunder, (C) a fixed amount of $750,000 for each Distribution Period (as defined below) to account for general and administrative overhead incurred by the Company Entities, (D) in the case of a distribution that includes payments for certain milestones under clause (ii) above and for the upfront portion, if any, of the consideration payable under a Disposition Agreement (a “Trigger Distribution”), the sum of payments made under any liabilities of the Company Entities arising under real property leases in effect as of immediately prior to Closing (“Lease Liabilities”) after the Closing and the aggregate remaining payment obligations under the Lease Liabilities outstanding as of the applicable date of measurement (but subject to a positive adjustment in case amounts held back under this clause (D) exceed the liabilities actually incurred under the Lease Liabilities at the time such a lease expires or is terminated, assigned or subleased), and (E) in the case of a Trigger Distribution, the sum of payments made after the Closing under certain liabilities relating to the Company’s Xork product candidate (“Xork Liabilities”) after the Closing and the aggregate remaining payment obligations under Xork Liabilities outstanding as of the applicable date of measurement but subject to a positive adjustment in case amounts held back under this clause (E) exceed the liabilities actually incurred under the Xork Liabilities at such time as the development activities with respect to Xork are terminated, transferred or assigned by the Company Entities or otherwise completed in accordance with the development plan set forth in the Company’s License and Development Agreement with Audentes Therapeutics, Inc. (the “Astellas Agreement”), when such termination, transfer, assignment or completion occurs.</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will calculate the amount of any payment due on the CVRs for each six-month period from January 1 through June 30 and each six-month period from July 1 through December 31 of each year (each such period, a “Distribution Period”), except that the initial Distribution Period will commence on the date of the CVR Agreement and run through June 30, 2024. Payments on the CVRs will be cumulative and will be payable no later than the close of business on each March 15 (for Distribution Periods that end on December 31) and September 15 (for Distribution Periods that end on June 30), commencing on September 15, 2024 (each such date, a “Distribution Payment Date”), to holders of record of the CVRs as of the close of business on the first day of the month of the applicable Distribution Payment Date. If a Distribution Payment Date is not a business day, payment will be made on the immediately succeeding business day, without the accumulation of additional distributions. If the amount of any per-CVR distribution is less than $0.02, the Company may elect to defer such distribution until the next Distribution Payment Date when the aggregate per-CVR distribution would be $0.02 or greater.</w:t>
      </w:r>
    </w:p>
    <w:p>
      <w:pPr>
        <w:spacing w:after="0" w:line="19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Under the CVR Agreement, as long as any CVRs are outstanding, the Company will not: (i) without the affirmative vote of the Holders of at least 66 and 2/3% of the then-outstanding CVRs modify in a manner adverse to the Holders any provision contained in the CVR Agreement with respect to the termination of the CVR Agreement or the CVRs, or the time for payment and amount of any distribution, or modify in any manner any provision of the CVR Agreement if such modification would reduce the amounts payable in respect of the CVRs or modify any other payment term or payment date, (ii) without the consent of each Holder of each outstanding CVR affected thereby, reduce the number of CVRs, or modify any provision referenced in the preceding clause (i) or this clause (ii), except to increase the percentage of Holders from whom consent is required or to provide that certain other provisions of the CVR Agreement cannot be modified or waived without the consent of the Holder of each CVR affected thereby, (iii) without the consent of the affirmative vote of the Holders of a majority of the then-outstanding CVRs, alter, change, amend, or modify, in each case in any material respect or in any manner adverse to the Holders, the Sobi License, the Astellas Agreement, or the Company’s Exclusive License Agreement with Genovis AB (publ.), terminate the Sobi License, or sell, license, assign, transfer, enter into any monetization transaction, or otherwise dispose of or otherwise grant or suffer to exist a mortgage, pledge, lien, encumbrance or other security interest on all or a portion of (A) the patents or patent applications licensed under the Sobi License or (B) the Sobi License or any rights to receive any milestone payments, royalties or other amounts under the Sobi License, and (iv) subject to limited exceptions, issue any additional CVRs, other than pursuant to the Merger Agreement to former holders of Selecta’s Common Stock or to holders of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tabs>
          <w:tab w:leader="none" w:pos="5520" w:val="left"/>
          <w:tab w:leader="none" w:pos="982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9 of 12 Pages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Additionally, in the event of certain terminations of the Sobi License at a time when any CVRs are outstanding, the Company will, and will cause its applicable related entities to, exercise its rights to obtain a “reversion license” and enforce any of its rights under the terminated Sobi License that survive the termination or expiration thereof.</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Under the CVR Agreement, the Trustee has, and Holders of at least 20% of the CVRs then-outstanding may also instruct the Trustee to exercise, certain rights to inspection, audit, and enforcement on behalf of all Holders of the CVRs.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foregoing description of the CVR Agreement does not purport to be complete and is qualified in its entirety by reference to the full text of the form of the CVR Agreement, a copy of which is included as Exhibit E to the Merger Agreement, which is filed as Exhibit 99.6 to this Schedule 13D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and Securities Purchase Agreement</w:t>
      </w:r>
    </w:p>
    <w:p>
      <w:pPr>
        <w:spacing w:after="0" w:line="22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On November 13, 2023, the Company entered into a Securities Purchase Agreement (the “Securities Purchase Agreement”) with Dr. Springer, TAS, and Seven One Eight Three Four Irrevocable Trust, a trust associated with Dr. Murat Kalayoglu, a co-founder and the former chief executive officer of Cartesian, who joined the Company’s board of directors effective as of the Closing (the “Investors”) in a transaction exempt from the registration requirements of the Securities Act, in reliance on Section 4(a)(2) as a transaction not involving a public offering and Rule 506 of Regulation D thereunder.</w:t>
      </w:r>
    </w:p>
    <w:p>
      <w:pPr>
        <w:spacing w:after="0" w:line="15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Pursuant to the Securities Purchase Agreement, the Company agreed to issue and sell an aggregate of 149,330.115 shares of Series A Preferred Stock (the “PIPE Securities”) for an aggregate purchase price of approximately $60.25 million (collectively, the “Financing”). Dr. Springer and TAS purchased 123,925.407 and 27,785.081 shares of Series A Preferred Stock, respectively, for aggregate purchase prices of approximately $50.0 million and $10.0 million, respectively. Each share of Series A Preferred Stock is convertible into 1,000 shares of Common Stock, as described below. The powers, preferences, rights, qualifications, limitations and restrictions applicable to the Series A Preferred Stock are set forth in the Certificate of Designation (as defined and described below). Each of the Investors represented that it was an “accredited investor,” as defined in Regulation D, and was acquiring the PIPE Securities for investment only and not with a view towards, or for resale in connection with, the public sale or distribution thereof.</w:t>
      </w:r>
    </w:p>
    <w:p>
      <w:pPr>
        <w:spacing w:after="0" w:line="166"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In the Financing, each of TAS and Dr. Springer agreed to settle its purchases in three approximately equal tranches of shares of Series A Preferred Stock, each for a purchase price of approximately $20 million, with the three tranches settling 30, 60, and 90 days, respectively, following the Closing. TAS, Dr. Springer and Seven One Eight Three Four Irrevocable Trust each purchased their respective PIPE Securities at the same offering price per share.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Financing occurred on November 15, 2023 (the “Financing Closing Date”).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summary of the Securities Purchase Agreement does not purport to be complete and is qualified in its entirety by reference to the full text of the Securities Purchase Agreement, a copy of which is filed as Exhibit 99.8 to this Schedule 13D.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November 13, 2023, in connection with the Securities Purchase Agreement, the Company entered into a Registration Rights Agreement (the “Registration Rights Agreement”) with the holders of Common Stock and Series A Preferred Stock signatory thereto. Pursuant to the Registration Rights Agreement, the Company is required to prepare and file a resale registration statement with the SEC within 90 calendar days following the Financing Closing Date (the “Filing Deadline”), with respect to the shares of Common Stock underlying the PIPE Securities and the Common Stock and Series A Preferred Stock issued to the signatories to the Registration Rights Agreement in the Merger. The Company will use its commercially reasonable efforts to cause such registration statement to be declared effective by the SEC within 45 calendar days of the Filing Deadline (or within 90 calendar days if the SEC reviews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tabs>
          <w:tab w:leader="none" w:pos="5520" w:val="left"/>
          <w:tab w:leader="none" w:pos="972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10 of 12 Pages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the Company’s obligations under the Registration Rights Agreement.</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summary of the Registration Rights Agreement does not purport to be complete and is qualified in its entirety by reference to the full text of the Registration Rights Agreement, a copy of which is filed as Exhibit 99.9 to this Schedule 13D.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Upon the consummation of the First Merger:</w:t>
      </w:r>
    </w:p>
    <w:p>
      <w:pPr>
        <w:spacing w:after="0" w:line="225" w:lineRule="exact"/>
        <w:rPr>
          <w:sz w:val="20"/>
          <w:szCs w:val="20"/>
          <w:color w:val="auto"/>
        </w:rPr>
      </w:pPr>
    </w:p>
    <w:p>
      <w:pPr>
        <w:ind w:left="660" w:right="24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option to acquire shares of Common Stock (a “Company Stock Option”) and each restricted stock unit award with respect to shares of Common Stock (a “Company RSU”), in each case that was outstanding and unvested immediately prior to the Effective Time (as defined in the Merger Agreement), vested in full at the Effective Time;</w:t>
      </w:r>
    </w:p>
    <w:p>
      <w:pPr>
        <w:spacing w:after="0" w:line="183" w:lineRule="exact"/>
        <w:rPr>
          <w:rFonts w:ascii="Arial" w:cs="Arial" w:eastAsia="Arial" w:hAnsi="Arial"/>
          <w:sz w:val="18"/>
          <w:szCs w:val="18"/>
          <w:color w:val="auto"/>
        </w:rPr>
      </w:pPr>
    </w:p>
    <w:p>
      <w:pPr>
        <w:ind w:left="660" w:right="240" w:hanging="328"/>
        <w:spacing w:after="0" w:line="29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$2.06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166" w:lineRule="exact"/>
        <w:rPr>
          <w:rFonts w:ascii="Arial" w:cs="Arial" w:eastAsia="Arial" w:hAnsi="Arial"/>
          <w:sz w:val="16"/>
          <w:szCs w:val="16"/>
          <w:color w:val="auto"/>
        </w:rPr>
      </w:pPr>
    </w:p>
    <w:p>
      <w:pPr>
        <w:ind w:left="660" w:right="8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restricted stock unit award with respect to shares of Common Stock (the “RSUs”)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 result, all of Dr. Springer’s options to purchase shares were canceled on November 13, 2023.</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 and the cover page of the Schedule 13D is incorporated herein by reference into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tabs>
          <w:tab w:leader="none" w:pos="5520" w:val="left"/>
          <w:tab w:leader="none" w:pos="974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11 of 12 Pages</w:t>
      </w:r>
    </w:p>
    <w:p>
      <w:pPr>
        <w:spacing w:after="0" w:line="229" w:lineRule="exact"/>
        <w:rPr>
          <w:sz w:val="20"/>
          <w:szCs w:val="20"/>
          <w:color w:val="auto"/>
        </w:rPr>
      </w:pPr>
    </w:p>
    <w:p>
      <w:pPr>
        <w:ind w:right="160" w:firstLine="8"/>
        <w:spacing w:after="0" w:line="275" w:lineRule="auto"/>
        <w:tabs>
          <w:tab w:leader="none" w:pos="2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percentages of beneficial ownership reported in this Item 5, and on each Reporting Person’s cover page to this Statement, are based on a total of 155,204,182 Shares issued and outstanding as of November 10, 2023, as reported on the Issuer’s Quarterly Report on Form 10-Q, dated November 13, 2023, plus (i) 6,723,662 Shares issued in the Merger, (ii) 384,930,725 Shares issuable upon the conversion of shares of Series A Preferred Stock issued in the merger, and (iii) 149,330,115 Shares issuable upon the conversion of Series A Preferred Stock issued in the Financing. All of the Share numbers reported below, and on each Reporting Person’s cover page to this Statement, are as of November 15, 2023.</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Reporting Persons, in the aggregate, beneficially own 192,940,664 Shares, representing approximately 27.7% of such class of securities.</w:t>
      </w:r>
    </w:p>
    <w:p>
      <w:pPr>
        <w:spacing w:after="0" w:line="23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Dr. Springer is the beneficial owner of a total of 192,940,664 Shares, representing approximately 27.7% of the outstanding Shares and consisting of (i) 7,293,625 Shares held directly, (ii) 123,925,407 Shares issuable upon conversion of shares of Series A Preferred Stock held directly, (iii) 29,868,490 Shares held by TAS, (iv) 24,785,081 Shares issuable upon conversion of Series A Preferred Stock held by TAS, (vi) 6,981,643 Shares underlying warrants exercisable within 60 days of November 15, 2023 held by TAS, and (vii) 86,418 Shares held by Dr. Lu.</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TAS is the beneficial owner of a total of 61,635,214 Shares, representing approximately 8.9% of the outstanding Shares and consisting of (i) 29,868,490 Shares, (ii) 24,785,081 Shares issuable upon conversion of Series A Preferred Stock, and (iii) 6,981,643 Shares underlying warrants exercisable within 60 days of November 15, 2023. TAS holds all such Shares directly. Dr. Springer is the sole managing member of TAS.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Dr. Lu is the beneficial owner of a total of 86,418 Shares, representing approximately 0.0% of the outstanding Shares. Dr. Lu holds all such Shares directly.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 Lu is the spouse of Dr. Springer.</w:t>
      </w:r>
    </w:p>
    <w:p>
      <w:pPr>
        <w:spacing w:after="0" w:line="211" w:lineRule="exact"/>
        <w:rPr>
          <w:sz w:val="20"/>
          <w:szCs w:val="20"/>
          <w:color w:val="auto"/>
        </w:rPr>
      </w:pPr>
    </w:p>
    <w:p>
      <w:pPr>
        <w:ind w:right="240" w:firstLine="8"/>
        <w:spacing w:after="0" w:line="263"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83" w:lineRule="exact"/>
        <w:rPr>
          <w:rFonts w:ascii="Arial" w:cs="Arial" w:eastAsia="Arial" w:hAnsi="Arial"/>
          <w:sz w:val="18"/>
          <w:szCs w:val="18"/>
          <w:color w:val="auto"/>
        </w:rPr>
      </w:pPr>
    </w:p>
    <w:p>
      <w:pPr>
        <w:ind w:right="560" w:firstLine="8"/>
        <w:spacing w:after="0" w:line="277"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70" w:lineRule="exact"/>
        <w:rPr>
          <w:rFonts w:ascii="Arial" w:cs="Arial" w:eastAsia="Arial" w:hAnsi="Arial"/>
          <w:sz w:val="18"/>
          <w:szCs w:val="18"/>
          <w:color w:val="auto"/>
        </w:rPr>
      </w:pPr>
    </w:p>
    <w:p>
      <w:pPr>
        <w:ind w:right="240" w:firstLine="8"/>
        <w:spacing w:after="0" w:line="277"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Material to be Filed as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7 of the Schedule 13D is hereby amended to be supplemented by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7380" w:type="dxa"/>
            <w:vAlign w:val="bottom"/>
            <w:tcBorders>
              <w:bottom w:val="single" w:sz="8" w:color="auto"/>
            </w:tcBorders>
            <w:gridSpan w:val="9"/>
          </w:tcPr>
          <w:p>
            <w:pPr>
              <w:ind w:left="2040"/>
              <w:spacing w:after="0"/>
              <w:rPr>
                <w:sz w:val="20"/>
                <w:szCs w:val="20"/>
                <w:color w:val="auto"/>
              </w:rPr>
            </w:pPr>
            <w:r>
              <w:rPr>
                <w:rFonts w:ascii="Arial" w:cs="Arial" w:eastAsia="Arial" w:hAnsi="Arial"/>
                <w:sz w:val="18"/>
                <w:szCs w:val="18"/>
                <w:b w:val="1"/>
                <w:bCs w:val="1"/>
                <w:color w:val="auto"/>
              </w:rPr>
              <w:t>Exhibit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15"/>
                <w:szCs w:val="15"/>
                <w:color w:val="auto"/>
              </w:rPr>
            </w:pPr>
          </w:p>
        </w:tc>
        <w:tc>
          <w:tcPr>
            <w:tcW w:w="96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r:id="rId25">
              <w:r>
                <w:rPr>
                  <w:rFonts w:ascii="Arial" w:cs="Arial" w:eastAsia="Arial" w:hAnsi="Arial"/>
                  <w:sz w:val="18"/>
                  <w:szCs w:val="18"/>
                  <w:color w:val="0000EE"/>
                  <w:w w:val="89"/>
                </w:rPr>
                <w:t>Agreement and Plan of Merger, dated November 13, 2023, by and among Selecta Biosciences, Inc. Sakura Merger Sub I, Inc., Sakura</w:t>
              </w:r>
            </w:hyperlink>
          </w:p>
        </w:tc>
        <w:tc>
          <w:tcPr>
            <w:tcW w:w="46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w w:val="93"/>
              </w:rPr>
            </w:pPr>
            <w:hyperlink r:id="rId25">
              <w:r>
                <w:rPr>
                  <w:rFonts w:ascii="Arial" w:cs="Arial" w:eastAsia="Arial" w:hAnsi="Arial"/>
                  <w:sz w:val="18"/>
                  <w:szCs w:val="18"/>
                  <w:color w:val="0000EE"/>
                  <w:w w:val="93"/>
                </w:rPr>
                <w:t>Merger Sub II, LLC and Cartesian Therapeutics, Inc. (incorporated by reference to Exhibit 2.1 to the Current Report on Form 8-K filed by</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the Issuer with the Securities and Exchange Commission on November 13, 2023).</w:t>
              </w:r>
            </w:hyperlink>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720" w:type="dxa"/>
            <w:vAlign w:val="bottom"/>
            <w:tcBorders>
              <w:top w:val="single" w:sz="8" w:color="0000EE"/>
            </w:tcBorders>
          </w:tcPr>
          <w:p>
            <w:pPr>
              <w:spacing w:after="0"/>
              <w:rPr>
                <w:sz w:val="18"/>
                <w:szCs w:val="18"/>
                <w:color w:val="auto"/>
              </w:rPr>
            </w:pPr>
          </w:p>
        </w:tc>
        <w:tc>
          <w:tcPr>
            <w:tcW w:w="3180" w:type="dxa"/>
            <w:vAlign w:val="bottom"/>
            <w:tcBorders>
              <w:top w:val="single" w:sz="8" w:color="0000EE"/>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rFonts w:ascii="Arial" w:cs="Arial" w:eastAsia="Arial" w:hAnsi="Arial"/>
                <w:sz w:val="18"/>
                <w:szCs w:val="18"/>
                <w:color w:val="0000EE"/>
                <w:w w:val="95"/>
              </w:rPr>
            </w:pPr>
            <w:hyperlink r:id="rId26">
              <w:r>
                <w:rPr>
                  <w:rFonts w:ascii="Arial" w:cs="Arial" w:eastAsia="Arial" w:hAnsi="Arial"/>
                  <w:sz w:val="18"/>
                  <w:szCs w:val="18"/>
                  <w:color w:val="0000EE"/>
                  <w:w w:val="95"/>
                </w:rPr>
                <w:t>Certificate of Designation of Series A Non-Voting Convertible Preferred Stock (incorporated by reference to Exhibit 3.4 to the Current</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70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Report on Form 8-K filed by the Issuer with the Securities and Exchange Commission on November 13, 2023).</w:t>
              </w:r>
            </w:hyperlink>
          </w:p>
        </w:tc>
        <w:tc>
          <w:tcPr>
            <w:tcW w:w="4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720" w:type="dxa"/>
            <w:vAlign w:val="bottom"/>
            <w:tcBorders>
              <w:top w:val="single" w:sz="8" w:color="0000EE"/>
            </w:tcBorders>
          </w:tcPr>
          <w:p>
            <w:pPr>
              <w:spacing w:after="0"/>
              <w:rPr>
                <w:sz w:val="18"/>
                <w:szCs w:val="18"/>
                <w:color w:val="auto"/>
              </w:rPr>
            </w:pPr>
          </w:p>
        </w:tc>
        <w:tc>
          <w:tcPr>
            <w:tcW w:w="318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r:id="rId27">
              <w:r>
                <w:rPr>
                  <w:rFonts w:ascii="Arial" w:cs="Arial" w:eastAsia="Arial" w:hAnsi="Arial"/>
                  <w:sz w:val="18"/>
                  <w:szCs w:val="18"/>
                  <w:color w:val="0000EE"/>
                  <w:w w:val="88"/>
                </w:rPr>
                <w:t>Securities Purchase Agreement, dated November 13, 2023, by and among Selecta Biosciences, Inc. and the Purchasers named therein</w:t>
              </w:r>
            </w:hyperlink>
          </w:p>
        </w:tc>
        <w:tc>
          <w:tcPr>
            <w:tcW w:w="480" w:type="dxa"/>
            <w:vAlign w:val="bottom"/>
            <w:tcBorders>
              <w:bottom w:val="single" w:sz="8" w:color="CCEEFF"/>
            </w:tcBorders>
            <w:gridSpan w:val="4"/>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38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(incorporated by reference to Exhibit 10.1 to the Current Report on Form 8-K filed by the Issuer with the Securities and Exchange</w:t>
              </w:r>
            </w:hyperlink>
          </w:p>
        </w:tc>
        <w:tc>
          <w:tcPr>
            <w:tcW w:w="720" w:type="dxa"/>
            <w:vAlign w:val="bottom"/>
            <w:tcBorders>
              <w:bottom w:val="single" w:sz="8" w:color="CCEEFF"/>
            </w:tcBorders>
            <w:gridSpan w:val="6"/>
            <w:shd w:val="clear" w:color="auto" w:fill="CCEEFF"/>
          </w:tcPr>
          <w:p>
            <w:pPr>
              <w:spacing w:after="0"/>
              <w:rPr>
                <w:sz w:val="17"/>
                <w:szCs w:val="17"/>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Commission on November 13, 2023).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720" w:type="dxa"/>
            <w:vAlign w:val="bottom"/>
            <w:tcBorders>
              <w:top w:val="single" w:sz="8" w:color="0000EE"/>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rFonts w:ascii="Arial" w:cs="Arial" w:eastAsia="Arial" w:hAnsi="Arial"/>
                <w:sz w:val="18"/>
                <w:szCs w:val="18"/>
                <w:color w:val="0000EE"/>
                <w:w w:val="93"/>
              </w:rPr>
            </w:pPr>
            <w:hyperlink r:id="rId28">
              <w:r>
                <w:rPr>
                  <w:rFonts w:ascii="Arial" w:cs="Arial" w:eastAsia="Arial" w:hAnsi="Arial"/>
                  <w:sz w:val="18"/>
                  <w:szCs w:val="18"/>
                  <w:color w:val="0000EE"/>
                  <w:w w:val="93"/>
                </w:rPr>
                <w:t>Registration Rights Agreement, dated November 13, 2023, by and among Selecta Biosciences, Inc. and the Purchasers named therein</w:t>
              </w:r>
            </w:hyperlink>
          </w:p>
        </w:tc>
      </w:tr>
      <w:tr>
        <w:trPr>
          <w:trHeight w:val="196"/>
        </w:trPr>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38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(incorporated by reference to Exhibit 10.2 to the Current Report on Form 8-K filed by the Issuer with the Securities and Exchange</w:t>
              </w:r>
            </w:hyperlink>
          </w:p>
        </w:tc>
        <w:tc>
          <w:tcPr>
            <w:tcW w:w="220" w:type="dxa"/>
            <w:vAlign w:val="bottom"/>
            <w:tcBorders>
              <w:top w:val="single" w:sz="8" w:color="0000EE"/>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gridSpan w:val="5"/>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Commission on November 13,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tabs>
          <w:tab w:leader="none" w:pos="5520" w:val="left"/>
          <w:tab w:leader="none" w:pos="972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12 of 12 Pages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2023</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Chafen Lu</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ind w:left="67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 Springer</w:t>
            </w:r>
          </w:p>
        </w:tc>
      </w:tr>
      <w:tr>
        <w:trPr>
          <w:trHeight w:val="202"/>
        </w:trPr>
        <w:tc>
          <w:tcPr>
            <w:tcW w:w="7320" w:type="dxa"/>
            <w:vAlign w:val="bottom"/>
          </w:tcPr>
          <w:p>
            <w:pPr>
              <w:ind w:left="67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Timothy A. Springer</w:t>
            </w:r>
          </w:p>
        </w:tc>
      </w:tr>
      <w:tr>
        <w:trPr>
          <w:trHeight w:val="230"/>
        </w:trPr>
        <w:tc>
          <w:tcPr>
            <w:tcW w:w="7320" w:type="dxa"/>
            <w:vAlign w:val="bottom"/>
          </w:tcPr>
          <w:p>
            <w:pPr>
              <w:ind w:left="67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r>
      <w:tr>
        <w:trPr>
          <w:trHeight w:val="439"/>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0"/>
    </w:lvl>
    <w:lvl w:ilvl="1">
      <w:lvlJc w:val="left"/>
      <w:lvlText w:val="0"/>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0"/>
    </w:lvl>
    <w:lvl w:ilvl="1">
      <w:lvlJc w:val="left"/>
      <w:lvlText w:val="0"/>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0"/>
    </w:lvl>
    <w:lvl w:ilvl="1">
      <w:lvlJc w:val="left"/>
      <w:lvlText w:val="0"/>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25" Type="http://schemas.openxmlformats.org/officeDocument/2006/relationships/hyperlink" Target="https://www.sec.gov/Archives/edgar/data/1453687/000119312523275461/d869185dex21.htm" TargetMode="External"/><Relationship Id="rId26" Type="http://schemas.openxmlformats.org/officeDocument/2006/relationships/hyperlink" Target="https://www.sec.gov/Archives/edgar/data/1453687/000119312523275461/d869185dex34.htm" TargetMode="External"/><Relationship Id="rId27" Type="http://schemas.openxmlformats.org/officeDocument/2006/relationships/hyperlink" Target="https://www.sec.gov/Archives/edgar/data/1453687/000119312523275461/d869185dex101.htm" TargetMode="External"/><Relationship Id="rId28" Type="http://schemas.openxmlformats.org/officeDocument/2006/relationships/hyperlink" Target="http://www.sec.gov/Archives/edgar/data/1453687/000119312523275461/d86918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2023-11-17T07:18:57Z</dcterms:created>
  <dcterms:modified xsi:type="dcterms:W3CDTF">2023-11-17T07:18:57Z</dcterms:modified>
</cp:coreProperties>
</file>