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December 3, 2024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7495 New Horizon Way, Frederick, MD 21703</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(301) 348-8698</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On December 3, 2024, Cartesian Therapeutics, Inc. (the “Company”) issued a press release announcing positive updated results from its Phase 2b trial of Descartes-08 in patients with generalized myasthenia gravis (“MG”) and outlining the design of its planned Phase 3 AURORA trial in patients with MG. A copy of the press release is attached hereto as Exhibit 99.1 and incorporated herein by reference. The Company will host a conference call to discuss the updated Phase 2b data and the planned Phase 3 AURORA trial on December 3, 2024 at 7:30 a.m., Eastern Time, and a live audio webcast of the call will be available through the Events &amp; Presentations section of the Company’s website. A copy of the slide presentation to be used during the presentation is attached hereto as Exhibit 99.2 and incorporated herein by reference.</w:t>
      </w:r>
    </w:p>
    <w:p>
      <w:pPr>
        <w:spacing w:after="0" w:line="5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Information.</w:t>
      </w:r>
    </w:p>
    <w:p>
      <w:pPr>
        <w:spacing w:after="0" w:line="8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On December 3, 2024, the Company announced positive updated efficacy and safety data from its Phase 2b trial of Descartes-08 in participants with MG. In the Phase 2b double-blind, placebo-controlled, crossover trial, a total of 36 heavily pre-treated, highly symptomatic participants with MG were randomized 1:1 to receive either Descartes-08 or placebo administered as six weekly outpatient infusions without preconditioning chemotherapy.</w:t>
      </w:r>
    </w:p>
    <w:p>
      <w:pPr>
        <w:spacing w:after="0" w:line="3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primary efficacy dataset for the follow-up portion of the trial consisted of a modified intent-to-treat (“mITT”) population of all subjects enrolled at academic medical centers who received at least one dose of Descartes-08 and completed at least one post-Month 3 MG Activities of Daily Living (“MG-ADL”) score follow-up assessment. As of an October 31, 2024 cutoff date, 12 participants in the primary efficacy dataset completed their Month 4 and Month 6 follow-up assessments, with eight participants evaluable for their Month 9 assessment, and five participants evaluable for their Month 12 assessment. Two participants who were MG Composite responders at Month 3 were lost to follow-up after their Month 3 assessments and were not assessed in the follow-up portion of the treatment.</w:t>
      </w:r>
    </w:p>
    <w:p>
      <w:pPr>
        <w:spacing w:after="0" w:line="50" w:lineRule="exact"/>
        <w:rPr>
          <w:sz w:val="20"/>
          <w:szCs w:val="20"/>
          <w:color w:val="auto"/>
        </w:rPr>
      </w:pPr>
    </w:p>
    <w:p>
      <w:pPr>
        <w:ind w:right="60" w:firstLine="216"/>
        <w:spacing w:after="0" w:line="315" w:lineRule="auto"/>
        <w:rPr>
          <w:sz w:val="20"/>
          <w:szCs w:val="20"/>
          <w:color w:val="auto"/>
        </w:rPr>
      </w:pPr>
      <w:r>
        <w:rPr>
          <w:rFonts w:ascii="Times New Roman" w:cs="Times New Roman" w:eastAsia="Times New Roman" w:hAnsi="Times New Roman"/>
          <w:sz w:val="11"/>
          <w:szCs w:val="11"/>
          <w:color w:val="auto"/>
        </w:rPr>
        <w:t>Deepening responses were observed over time, with participants included in the primary efficacy dataset (n=12) experiencing an average MG-ADL reduction of 5.5 (±1.1) at Month 4. At Month 4, particularly deep responses were observed in participants without prior exposure to biologic therapies (n=7), including complement or neonatal fragment crystallizable receptor inhibitors, with an average MG-ADL reduction of 6.6 (±1.5). Responses were observed to further deepen at Month 6, with 33% (4/12) of participants in the primary efficacy dataset and 57% (4/7) of participants with no prior exposure to biologic therapy observed to have minimum symptom expression, defined as an MG-ADL score of 0 or 1. Responses were observed to be durable through Month 12, with 80% (4/5) of evaluable participants from the primary efficacy dataset maintaining a clinically meaningful response, defined as a reduction in MG-</w:t>
      </w:r>
    </w:p>
    <w:p>
      <w:pPr>
        <w:spacing w:after="0" w:line="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ADL score of at least 2 points. Of the two participants with no prior exposure to biologic therapy that reached Month 12, both maintained at least a clinically meaningful response, with one continuing to demonstrate minimum symptom expression.</w:t>
      </w:r>
    </w:p>
    <w:p>
      <w:pPr>
        <w:spacing w:after="0" w:line="39"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Descartes-08 continues to be observed as well-tolerated, supporting outpatient administration without the need for lymphodepleting chemotherapy. Consistent with previously reported data, Descartes-08 was observed to be well-tolerated across the safety dataset (n=36), and adverse events were transient and mostly mild. Notably, there were no cases of cytokine release syndrome, and no cases of immune effector cell-associated neurotoxicity syndrome. In addition, treatment with Descartes-08 was not observed to lead to a decrease in vaccine titers for common viruses and was not associated with increased rates of infection or hypogammaglobulinemia.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344170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3360" w:type="dxa"/>
            <w:vAlign w:val="bottom"/>
          </w:tcPr>
          <w:p>
            <w:pPr>
              <w:spacing w:after="0"/>
              <w:rPr>
                <w:sz w:val="13"/>
                <w:szCs w:val="13"/>
                <w:color w:val="auto"/>
              </w:rPr>
            </w:pPr>
          </w:p>
        </w:tc>
        <w:tc>
          <w:tcPr>
            <w:tcW w:w="1180" w:type="dxa"/>
            <w:vAlign w:val="bottom"/>
            <w:shd w:val="clear" w:color="auto" w:fill="1A2344"/>
          </w:tcPr>
          <w:p>
            <w:pPr>
              <w:spacing w:after="0"/>
              <w:rPr>
                <w:sz w:val="13"/>
                <w:szCs w:val="13"/>
                <w:color w:val="auto"/>
              </w:rPr>
            </w:pPr>
          </w:p>
        </w:tc>
        <w:tc>
          <w:tcPr>
            <w:tcW w:w="1620" w:type="dxa"/>
            <w:vAlign w:val="bottom"/>
            <w:shd w:val="clear" w:color="auto" w:fill="1A2344"/>
          </w:tcPr>
          <w:p>
            <w:pPr>
              <w:jc w:val="center"/>
              <w:spacing w:after="0"/>
              <w:rPr>
                <w:sz w:val="20"/>
                <w:szCs w:val="20"/>
                <w:color w:val="auto"/>
              </w:rPr>
            </w:pPr>
            <w:r>
              <w:rPr>
                <w:rFonts w:ascii="Times New Roman" w:cs="Times New Roman" w:eastAsia="Times New Roman" w:hAnsi="Times New Roman"/>
                <w:sz w:val="12"/>
                <w:szCs w:val="12"/>
                <w:b w:val="1"/>
                <w:bCs w:val="1"/>
                <w:color w:val="FFFFFF"/>
              </w:rPr>
              <w:t>Descartes-08 (n=20)</w:t>
            </w:r>
          </w:p>
        </w:tc>
        <w:tc>
          <w:tcPr>
            <w:tcW w:w="1160" w:type="dxa"/>
            <w:vAlign w:val="bottom"/>
            <w:shd w:val="clear" w:color="auto" w:fill="1A2344"/>
          </w:tcPr>
          <w:p>
            <w:pPr>
              <w:spacing w:after="0"/>
              <w:rPr>
                <w:sz w:val="13"/>
                <w:szCs w:val="13"/>
                <w:color w:val="auto"/>
              </w:rPr>
            </w:pPr>
          </w:p>
        </w:tc>
        <w:tc>
          <w:tcPr>
            <w:tcW w:w="1240" w:type="dxa"/>
            <w:vAlign w:val="bottom"/>
            <w:shd w:val="clear" w:color="auto" w:fill="1A2344"/>
          </w:tcPr>
          <w:p>
            <w:pPr>
              <w:spacing w:after="0"/>
              <w:rPr>
                <w:sz w:val="13"/>
                <w:szCs w:val="13"/>
                <w:color w:val="auto"/>
              </w:rPr>
            </w:pPr>
          </w:p>
        </w:tc>
        <w:tc>
          <w:tcPr>
            <w:tcW w:w="1500" w:type="dxa"/>
            <w:vAlign w:val="bottom"/>
            <w:shd w:val="clear" w:color="auto" w:fill="1A2344"/>
          </w:tcPr>
          <w:p>
            <w:pPr>
              <w:jc w:val="center"/>
              <w:spacing w:after="0"/>
              <w:rPr>
                <w:sz w:val="20"/>
                <w:szCs w:val="20"/>
                <w:color w:val="auto"/>
              </w:rPr>
            </w:pPr>
            <w:r>
              <w:rPr>
                <w:rFonts w:ascii="Times New Roman" w:cs="Times New Roman" w:eastAsia="Times New Roman" w:hAnsi="Times New Roman"/>
                <w:sz w:val="12"/>
                <w:szCs w:val="12"/>
                <w:b w:val="1"/>
                <w:bCs w:val="1"/>
                <w:color w:val="FFFFFF"/>
              </w:rPr>
              <w:t>Placebo (n=16)</w:t>
            </w:r>
          </w:p>
        </w:tc>
        <w:tc>
          <w:tcPr>
            <w:tcW w:w="1240" w:type="dxa"/>
            <w:vAlign w:val="bottom"/>
            <w:shd w:val="clear" w:color="auto" w:fill="1A2344"/>
          </w:tcPr>
          <w:p>
            <w:pPr>
              <w:spacing w:after="0"/>
              <w:rPr>
                <w:sz w:val="13"/>
                <w:szCs w:val="13"/>
                <w:color w:val="auto"/>
              </w:rPr>
            </w:pPr>
          </w:p>
        </w:tc>
      </w:tr>
      <w:tr>
        <w:trPr>
          <w:trHeight w:val="153"/>
        </w:trPr>
        <w:tc>
          <w:tcPr>
            <w:tcW w:w="3360" w:type="dxa"/>
            <w:vAlign w:val="bottom"/>
          </w:tcPr>
          <w:p>
            <w:pPr>
              <w:spacing w:after="0"/>
              <w:rPr>
                <w:sz w:val="13"/>
                <w:szCs w:val="13"/>
                <w:color w:val="auto"/>
              </w:rPr>
            </w:pPr>
          </w:p>
        </w:tc>
        <w:tc>
          <w:tcPr>
            <w:tcW w:w="1180" w:type="dxa"/>
            <w:vAlign w:val="bottom"/>
            <w:shd w:val="clear" w:color="auto" w:fill="3F5260"/>
          </w:tcPr>
          <w:p>
            <w:pPr>
              <w:ind w:left="460"/>
              <w:spacing w:after="0"/>
              <w:rPr>
                <w:sz w:val="20"/>
                <w:szCs w:val="20"/>
                <w:color w:val="auto"/>
              </w:rPr>
            </w:pPr>
            <w:r>
              <w:rPr>
                <w:rFonts w:ascii="Times New Roman" w:cs="Times New Roman" w:eastAsia="Times New Roman" w:hAnsi="Times New Roman"/>
                <w:sz w:val="12"/>
                <w:szCs w:val="12"/>
                <w:b w:val="1"/>
                <w:bCs w:val="1"/>
                <w:color w:val="FFFFFF"/>
              </w:rPr>
              <w:t>Grade 1</w:t>
            </w:r>
          </w:p>
        </w:tc>
        <w:tc>
          <w:tcPr>
            <w:tcW w:w="1620" w:type="dxa"/>
            <w:vAlign w:val="bottom"/>
            <w:shd w:val="clear" w:color="auto" w:fill="3F5260"/>
          </w:tcPr>
          <w:p>
            <w:pPr>
              <w:jc w:val="center"/>
              <w:spacing w:after="0"/>
              <w:rPr>
                <w:sz w:val="20"/>
                <w:szCs w:val="20"/>
                <w:color w:val="auto"/>
              </w:rPr>
            </w:pPr>
            <w:r>
              <w:rPr>
                <w:rFonts w:ascii="Times New Roman" w:cs="Times New Roman" w:eastAsia="Times New Roman" w:hAnsi="Times New Roman"/>
                <w:sz w:val="12"/>
                <w:szCs w:val="12"/>
                <w:b w:val="1"/>
                <w:bCs w:val="1"/>
                <w:color w:val="FFFFFF"/>
              </w:rPr>
              <w:t>Grade 2</w:t>
            </w:r>
          </w:p>
        </w:tc>
        <w:tc>
          <w:tcPr>
            <w:tcW w:w="1160" w:type="dxa"/>
            <w:vAlign w:val="bottom"/>
            <w:shd w:val="clear" w:color="auto" w:fill="3F5260"/>
          </w:tcPr>
          <w:p>
            <w:pPr>
              <w:jc w:val="center"/>
              <w:ind w:right="80"/>
              <w:spacing w:after="0"/>
              <w:rPr>
                <w:sz w:val="20"/>
                <w:szCs w:val="20"/>
                <w:color w:val="auto"/>
              </w:rPr>
            </w:pPr>
            <w:r>
              <w:rPr>
                <w:rFonts w:ascii="Times New Roman" w:cs="Times New Roman" w:eastAsia="Times New Roman" w:hAnsi="Times New Roman"/>
                <w:sz w:val="12"/>
                <w:szCs w:val="12"/>
                <w:b w:val="1"/>
                <w:bCs w:val="1"/>
                <w:color w:val="FFFFFF"/>
              </w:rPr>
              <w:t>Grade 3</w:t>
            </w:r>
          </w:p>
        </w:tc>
        <w:tc>
          <w:tcPr>
            <w:tcW w:w="1240" w:type="dxa"/>
            <w:vAlign w:val="bottom"/>
            <w:shd w:val="clear" w:color="auto" w:fill="3F5260"/>
          </w:tcPr>
          <w:p>
            <w:pPr>
              <w:ind w:left="460"/>
              <w:spacing w:after="0"/>
              <w:rPr>
                <w:sz w:val="20"/>
                <w:szCs w:val="20"/>
                <w:color w:val="auto"/>
              </w:rPr>
            </w:pPr>
            <w:r>
              <w:rPr>
                <w:rFonts w:ascii="Times New Roman" w:cs="Times New Roman" w:eastAsia="Times New Roman" w:hAnsi="Times New Roman"/>
                <w:sz w:val="12"/>
                <w:szCs w:val="12"/>
                <w:b w:val="1"/>
                <w:bCs w:val="1"/>
                <w:color w:val="FFFFFF"/>
              </w:rPr>
              <w:t>Grade 1</w:t>
            </w:r>
          </w:p>
        </w:tc>
        <w:tc>
          <w:tcPr>
            <w:tcW w:w="1500" w:type="dxa"/>
            <w:vAlign w:val="bottom"/>
            <w:shd w:val="clear" w:color="auto" w:fill="3F5260"/>
          </w:tcPr>
          <w:p>
            <w:pPr>
              <w:jc w:val="center"/>
              <w:spacing w:after="0"/>
              <w:rPr>
                <w:sz w:val="20"/>
                <w:szCs w:val="20"/>
                <w:color w:val="auto"/>
              </w:rPr>
            </w:pPr>
            <w:r>
              <w:rPr>
                <w:rFonts w:ascii="Times New Roman" w:cs="Times New Roman" w:eastAsia="Times New Roman" w:hAnsi="Times New Roman"/>
                <w:sz w:val="12"/>
                <w:szCs w:val="12"/>
                <w:b w:val="1"/>
                <w:bCs w:val="1"/>
                <w:color w:val="FFFFFF"/>
              </w:rPr>
              <w:t>Grade 2</w:t>
            </w:r>
          </w:p>
        </w:tc>
        <w:tc>
          <w:tcPr>
            <w:tcW w:w="1240" w:type="dxa"/>
            <w:vAlign w:val="bottom"/>
            <w:shd w:val="clear" w:color="auto" w:fill="3F5260"/>
          </w:tcPr>
          <w:p>
            <w:pPr>
              <w:ind w:left="360"/>
              <w:spacing w:after="0"/>
              <w:rPr>
                <w:sz w:val="20"/>
                <w:szCs w:val="20"/>
                <w:color w:val="auto"/>
              </w:rPr>
            </w:pPr>
            <w:r>
              <w:rPr>
                <w:rFonts w:ascii="Times New Roman" w:cs="Times New Roman" w:eastAsia="Times New Roman" w:hAnsi="Times New Roman"/>
                <w:sz w:val="12"/>
                <w:szCs w:val="12"/>
                <w:b w:val="1"/>
                <w:bCs w:val="1"/>
                <w:color w:val="FFFFFF"/>
              </w:rPr>
              <w:t>Grade 3</w:t>
            </w: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Headache</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7 (35%)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 (20%)</w:t>
            </w: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7"/>
              </w:rPr>
              <w:t>2 (13%)</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 (19%)</w:t>
            </w: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Chills</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8 (40%)</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 (20%)</w:t>
            </w: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Nausea</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3 (15%)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 (30%)</w:t>
            </w: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rPr>
              <w:t>1 (6%)</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 (13%)</w:t>
            </w: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Fever</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7 (35%)</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 (20%)</w:t>
            </w: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1 (5%)</w:t>
            </w: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Fatigue</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4 (20%)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rPr>
              <w:t>1 (6%)</w:t>
            </w: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Myalgia</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4 (20%)</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 (10%)</w:t>
            </w: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Infusion related reaction</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 (10%)</w:t>
            </w:r>
          </w:p>
        </w:tc>
        <w:tc>
          <w:tcPr>
            <w:tcW w:w="116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1 (5%)</w:t>
            </w:r>
          </w:p>
        </w:tc>
        <w:tc>
          <w:tcPr>
            <w:tcW w:w="12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rPr>
              <w:t>1 (6%)</w:t>
            </w: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Muscle weakness</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tcPr>
          <w:p>
            <w:pPr>
              <w:spacing w:after="0"/>
              <w:rPr>
                <w:sz w:val="13"/>
                <w:szCs w:val="13"/>
                <w:color w:val="auto"/>
              </w:rPr>
            </w:pPr>
          </w:p>
        </w:tc>
        <w:tc>
          <w:tcPr>
            <w:tcW w:w="124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rPr>
              <w:t>1 (6%)</w:t>
            </w: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Arthralgia</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 (6%)</w:t>
            </w: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Tachycardia</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3 (15%)</w:t>
            </w:r>
          </w:p>
        </w:tc>
        <w:tc>
          <w:tcPr>
            <w:tcW w:w="1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Upper respiratory infection</w:t>
            </w:r>
          </w:p>
        </w:tc>
        <w:tc>
          <w:tcPr>
            <w:tcW w:w="1180" w:type="dxa"/>
            <w:vAlign w:val="bottom"/>
            <w:shd w:val="clear" w:color="auto" w:fill="CCEEFF"/>
          </w:tcPr>
          <w:p>
            <w:pPr>
              <w:spacing w:after="0"/>
              <w:rPr>
                <w:sz w:val="13"/>
                <w:szCs w:val="13"/>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 (6%)</w:t>
            </w: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Herpes simplex reactivation</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tcPr>
          <w:p>
            <w:pPr>
              <w:spacing w:after="0"/>
              <w:rPr>
                <w:sz w:val="13"/>
                <w:szCs w:val="13"/>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1 (5%)</w:t>
            </w: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Dysgeusia</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3 (15%)</w:t>
            </w:r>
          </w:p>
        </w:tc>
        <w:tc>
          <w:tcPr>
            <w:tcW w:w="1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Diarrhea</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 (6%)</w:t>
            </w: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Sweating</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rPr>
              <w:t>1 (6%)</w:t>
            </w: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Limb edema</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Flushing</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2 (10%)</w:t>
            </w:r>
          </w:p>
        </w:tc>
        <w:tc>
          <w:tcPr>
            <w:tcW w:w="1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Dyspnea</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6"/>
              </w:rPr>
              <w:t>1 (5%)</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Insomnia</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2 (10%)</w:t>
            </w:r>
          </w:p>
        </w:tc>
        <w:tc>
          <w:tcPr>
            <w:tcW w:w="1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Vomiting</w:t>
            </w:r>
          </w:p>
        </w:tc>
        <w:tc>
          <w:tcPr>
            <w:tcW w:w="11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rPr>
              <w:t>2 (10%)</w:t>
            </w:r>
          </w:p>
        </w:tc>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 (5%)</w:t>
            </w:r>
          </w:p>
        </w:tc>
        <w:tc>
          <w:tcPr>
            <w:tcW w:w="1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Tremor</w:t>
            </w:r>
          </w:p>
        </w:tc>
        <w:tc>
          <w:tcPr>
            <w:tcW w:w="11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rPr>
              <w:t>2 (10%)</w:t>
            </w:r>
          </w:p>
        </w:tc>
        <w:tc>
          <w:tcPr>
            <w:tcW w:w="16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82" w:lineRule="exact"/>
        <w:rPr>
          <w:sz w:val="20"/>
          <w:szCs w:val="20"/>
          <w:color w:val="auto"/>
        </w:rPr>
      </w:pPr>
    </w:p>
    <w:p>
      <w:pPr>
        <w:ind w:right="40" w:firstLine="216"/>
        <w:spacing w:after="0" w:line="252" w:lineRule="auto"/>
        <w:rPr>
          <w:sz w:val="20"/>
          <w:szCs w:val="20"/>
          <w:color w:val="auto"/>
        </w:rPr>
      </w:pPr>
      <w:r>
        <w:rPr>
          <w:rFonts w:ascii="Times New Roman" w:cs="Times New Roman" w:eastAsia="Times New Roman" w:hAnsi="Times New Roman"/>
          <w:sz w:val="12"/>
          <w:szCs w:val="12"/>
          <w:color w:val="auto"/>
        </w:rPr>
        <w:t>Any statements in this Current Report on Form 8-K about the future expectations, plans and prospects of the Company, including without limitation, statements regarding observations and data from the myasthenia gravis Phase 2a/2b trial, the ability of the Company’s product candidates to be administered in an outpatient setting or without the need for preconditioning lymphodepleting chemotherapy, the potential of Descartes-08, Descartes-15, or any of the Company’s other product candidates to treat myasthenia gravis, systemic lupus erythematosus, juvenile dermatomyositis, or any other disease, the anticipated timing or the outcome of ongoing and planned clinical trials, studies and data readouts, the anticipated timing or the outcome of the FDA’s review of the Company’s regulatory filings, the Company’s ability to conduct its clinical trials and preclinical studies, the timing or making of any regulatory filings,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Current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351790</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61" w:right="299" w:bottom="1440" w:gutter="0" w:footer="0" w:header="0"/>
        </w:sectPr>
      </w:pPr>
    </w:p>
    <w:bookmarkStart w:id="3" w:name="page4"/>
    <w:bookmarkEnd w:id="3"/>
    <w:p>
      <w:pPr>
        <w:ind w:right="40"/>
        <w:spacing w:after="0" w:line="279" w:lineRule="auto"/>
        <w:rPr>
          <w:sz w:val="20"/>
          <w:szCs w:val="20"/>
          <w:color w:val="auto"/>
        </w:rPr>
      </w:pPr>
      <w:r>
        <w:rPr>
          <w:rFonts w:ascii="Times New Roman" w:cs="Times New Roman" w:eastAsia="Times New Roman" w:hAnsi="Times New Roman"/>
          <w:sz w:val="12"/>
          <w:szCs w:val="12"/>
          <w:color w:val="auto"/>
        </w:rPr>
        <w:t>Form 8-K represent the Company’s views only as of the date of its publication and should not be relied upon as representing its views as of any subsequent date. The Company specifically disclaims any intention to update any forward-looking statements included in this Current Report on Form 8-K, except as required by law.</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80" w:type="dxa"/>
            <w:vAlign w:val="bottom"/>
            <w:vMerge w:val="restart"/>
          </w:tcPr>
          <w:p>
            <w:pPr>
              <w:ind w:left="92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8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720" w:type="dxa"/>
            <w:vAlign w:val="bottom"/>
            <w:gridSpan w:val="2"/>
          </w:tcPr>
          <w:p>
            <w:pPr>
              <w:jc w:val="center"/>
              <w:ind w:left="464"/>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of Cartesian Therapeutics, Inc., dated December 3,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4"/>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Cartesian Therapeutics, Inc. Phase 2b Updated Data Presentation.</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0"/>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3" w:right="2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40" w:type="dxa"/>
            <w:vAlign w:val="bottom"/>
          </w:tcPr>
          <w:p>
            <w:pPr>
              <w:spacing w:after="0"/>
              <w:rPr>
                <w:sz w:val="13"/>
                <w:szCs w:val="13"/>
                <w:color w:val="auto"/>
              </w:rPr>
            </w:pPr>
          </w:p>
        </w:tc>
        <w:tc>
          <w:tcPr>
            <w:tcW w:w="7920" w:type="dxa"/>
            <w:vAlign w:val="bottom"/>
            <w:gridSpan w:val="2"/>
          </w:tcPr>
          <w:p>
            <w:pPr>
              <w:ind w:left="218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 December 3, 2024</w:t>
            </w:r>
          </w:p>
        </w:tc>
        <w:tc>
          <w:tcPr>
            <w:tcW w:w="2760" w:type="dxa"/>
            <w:vAlign w:val="bottom"/>
          </w:tcPr>
          <w:p>
            <w:pPr>
              <w:ind w:left="218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5" w:name="page6"/>
    <w:bookmarkEnd w:id="5"/>
    <w:p>
      <w:pPr>
        <w:ind w:left="10640"/>
        <w:spacing w:after="0"/>
        <w:rPr>
          <w:sz w:val="20"/>
          <w:szCs w:val="20"/>
          <w:color w:val="auto"/>
        </w:rPr>
      </w:pPr>
      <w:r>
        <w:rPr>
          <w:rFonts w:ascii="Calibri" w:cs="Calibri" w:eastAsia="Calibri" w:hAnsi="Calibri"/>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6229985</wp:posOffset>
            </wp:positionH>
            <wp:positionV relativeFrom="paragraph">
              <wp:posOffset>13970</wp:posOffset>
            </wp:positionV>
            <wp:extent cx="942975" cy="234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97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Cartesian Therapeutcs Announces Positve Updated Results from Phase 2b Trial of Descartes-08 in Partcipants with Myasthenia Gravis and Outlines Design of Planned Phase 3 Trial</w:t>
      </w:r>
    </w:p>
    <w:p>
      <w:pPr>
        <w:spacing w:after="0" w:line="167" w:lineRule="exact"/>
        <w:rPr>
          <w:sz w:val="20"/>
          <w:szCs w:val="20"/>
          <w:color w:val="auto"/>
        </w:rPr>
      </w:pPr>
    </w:p>
    <w:p>
      <w:pPr>
        <w:jc w:val="center"/>
        <w:ind w:right="20"/>
        <w:spacing w:after="0" w:line="242" w:lineRule="auto"/>
        <w:rPr>
          <w:sz w:val="20"/>
          <w:szCs w:val="20"/>
          <w:color w:val="auto"/>
        </w:rPr>
      </w:pPr>
      <w:r>
        <w:rPr>
          <w:rFonts w:ascii="Calibri" w:cs="Calibri" w:eastAsia="Calibri" w:hAnsi="Calibri"/>
          <w:sz w:val="13"/>
          <w:szCs w:val="13"/>
          <w:i w:val="1"/>
          <w:iCs w:val="1"/>
          <w:color w:val="auto"/>
        </w:rPr>
        <w:t>Phase 3 AURORA trial on track to commence in 1H2025; Primary endpoint to assess proporton of Descartes-08-treated partcipants with myasthenia gravis demonstratng an MG-ADL improvement of ≥3 points at Month 4 relatve to placebo</w:t>
      </w:r>
    </w:p>
    <w:p>
      <w:pPr>
        <w:spacing w:after="0" w:line="173"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Deepening responses observed over tme in Phase 2b trial, with Descartes-08-treated partcipants observed to have a 5.5-point reducton in MG-ADL at Month 4</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Durable responses observed through Month 12 in Phase 2b trial</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Safety profle consistent with previously reported data and contnues to support outpatent administraton</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Company to host conference call and webcast with key opinion leader today at 7:30 a.m. ET</w:t>
      </w:r>
    </w:p>
    <w:p>
      <w:pPr>
        <w:spacing w:after="0" w:line="167" w:lineRule="exact"/>
        <w:rPr>
          <w:sz w:val="20"/>
          <w:szCs w:val="20"/>
          <w:color w:val="auto"/>
        </w:rPr>
      </w:pPr>
    </w:p>
    <w:p>
      <w:pPr>
        <w:jc w:val="both"/>
        <w:spacing w:after="0" w:line="237" w:lineRule="auto"/>
        <w:rPr>
          <w:sz w:val="20"/>
          <w:szCs w:val="20"/>
          <w:color w:val="auto"/>
        </w:rPr>
      </w:pPr>
      <w:r>
        <w:rPr>
          <w:rFonts w:ascii="Calibri" w:cs="Calibri" w:eastAsia="Calibri" w:hAnsi="Calibri"/>
          <w:sz w:val="13"/>
          <w:szCs w:val="13"/>
          <w:color w:val="auto"/>
        </w:rPr>
        <w:t>Frederick, MD, December 3, 2024 (GLOBE NEWSWIRE) – Cartesian Therapeutcs, Inc. (NASDAQ: RNAC) (the “Company”), a clinical-stage biotechnology company pioneering mRNA cell therapy for autoimmune diseases, today announced updated efcacy and safety data from the Phase 2b trial of Descartes-08 in partcipants with generalized myasthenia gravis (MG) and provided details on the design of its planned Phase 3 AURORA trial. The updated data will be presented today at the 2</w:t>
      </w:r>
      <w:r>
        <w:rPr>
          <w:rFonts w:ascii="Calibri" w:cs="Calibri" w:eastAsia="Calibri" w:hAnsi="Calibri"/>
          <w:sz w:val="17"/>
          <w:szCs w:val="17"/>
          <w:color w:val="auto"/>
          <w:vertAlign w:val="superscript"/>
        </w:rPr>
        <w:t>nd</w:t>
      </w:r>
      <w:r>
        <w:rPr>
          <w:rFonts w:ascii="Calibri" w:cs="Calibri" w:eastAsia="Calibri" w:hAnsi="Calibri"/>
          <w:sz w:val="13"/>
          <w:szCs w:val="13"/>
          <w:color w:val="auto"/>
        </w:rPr>
        <w:t xml:space="preserve"> Annual Cell Therapy for Autoimmune Disease Summit being held in Philadelphia.</w:t>
      </w:r>
    </w:p>
    <w:p>
      <w:pPr>
        <w:spacing w:after="0" w:line="139"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3"/>
          <w:szCs w:val="13"/>
          <w:color w:val="auto"/>
        </w:rPr>
        <w:t>Descartes-08, Cartesian’s lead mRNA cell therapy candidate, is an autologous mRNA-engineered chimeric antgen receptor T-cell therapy (mRNA CAR-T) product candidate targetng B-cell maturaton antgen (BCMA). Descartes-08 is designed to be administered without preconditoning chemotherapy and does not use integratng vectors. Descartes-08 was previously granted Regeneratve Medicine Advanced Therapy (RMAT) Designaton and Orphan Drug Designaton by the U.S. Food and Drug Administraton (FDA) for the treatment of MG.</w:t>
      </w:r>
    </w:p>
    <w:p>
      <w:pPr>
        <w:spacing w:after="0" w:line="161"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“Current standards of care are associated with broad immunosuppression and limited efcacy, and patents with MG, which is a rare and incurable autoimmune disorder, are in dire need of new treatment optons,” said James F. Howard Jr., M.D., Professor of Neurology, Medicine, and Allied Health at the University of North Carolina School of Medicine, and investgator in the Phase 2b trial. “These updated results contnue to show deep responses durable for months afer cessaton of treatment in both heavily pre-treated partcipants and, notably, partcipants without prior exposure to biologic drugs, underscoring the potental for Descartes-08 to emerge as a meaningful additon to available MG treatments.”</w:t>
      </w:r>
    </w:p>
    <w:p>
      <w:pPr>
        <w:spacing w:after="0" w:line="163" w:lineRule="exact"/>
        <w:rPr>
          <w:sz w:val="20"/>
          <w:szCs w:val="20"/>
          <w:color w:val="auto"/>
        </w:rPr>
      </w:pPr>
    </w:p>
    <w:p>
      <w:pPr>
        <w:jc w:val="both"/>
        <w:spacing w:after="0" w:line="250" w:lineRule="auto"/>
        <w:rPr>
          <w:sz w:val="20"/>
          <w:szCs w:val="20"/>
          <w:color w:val="auto"/>
        </w:rPr>
      </w:pPr>
      <w:r>
        <w:rPr>
          <w:rFonts w:ascii="Calibri" w:cs="Calibri" w:eastAsia="Calibri" w:hAnsi="Calibri"/>
          <w:sz w:val="13"/>
          <w:szCs w:val="13"/>
          <w:color w:val="auto"/>
        </w:rPr>
        <w:t>“Data reported today add to the growing body of evidence supportng the potental for Descartes-08 to provide deep and durable improvements for partcipants with MG in the convenient outpatent setng and without the need for preconditoning chemotherapy,” said Carsten Brunn, Ph.D., President and Chief Executve Ofcer of Cartesian. “Importantly, we believe these updated results align well with the endpoints of our planned Phase 3 trial, strengthening our confdence in the design of the next phase of</w:t>
      </w:r>
    </w:p>
    <w:p>
      <w:pPr>
        <w:sectPr>
          <w:pgSz w:w="11900" w:h="16838" w:orient="portrait"/>
          <w:cols w:equalWidth="0" w:num="1">
            <w:col w:w="11300"/>
          </w:cols>
          <w:pgMar w:left="300" w:top="121" w:right="299"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Descartes-08’s development. We look forward to commencing the trial during the frst half of next year as we contnue to work toward our mission to deliver this much-needed therapy to patents with MG.”</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Overview of Planned Phase 3 AURORA Trial</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color w:val="auto"/>
        </w:rPr>
        <w:t>The Company today provided details on the design of its planned Phase 3 trial of Descartes-08 in patents with MG.</w:t>
      </w:r>
    </w:p>
    <w:p>
      <w:pPr>
        <w:spacing w:after="0" w:line="167"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The randomized, double-blind, placebo-controlled Phase 3 AURORA trial is designed to assess Descartes-08 versus placebo (1:1 randomizaton) administered as six weekly outpatent infusions without preconditoning chemotherapy in approximately 100 partcipants with acetylcholine receptor autoantbody positve (AChR Ab+) MG. The primary endpoint will assess the proporton of Descartes-08 partcipants with an improvement in MG Actvites of Daily Living (MG-ADL) score of three points or more at Month 4 compared to placebo. Secondary endpoints will assess safety and tolerability and the proporton of partcipants with a reducton of four points or more in MG Composite (MGC) score, as well as improvements in other validated MG severity scales, including Quanttatve MG (QMG) and MG Quality of Life Revised Scale (MG-QoL-15R).</w:t>
      </w:r>
    </w:p>
    <w:p>
      <w:pPr>
        <w:spacing w:after="0" w:line="332" w:lineRule="exact"/>
        <w:rPr>
          <w:sz w:val="20"/>
          <w:szCs w:val="20"/>
          <w:color w:val="auto"/>
        </w:rPr>
      </w:pPr>
    </w:p>
    <w:p>
      <w:pPr>
        <w:spacing w:after="0"/>
        <w:rPr>
          <w:sz w:val="20"/>
          <w:szCs w:val="20"/>
          <w:color w:val="auto"/>
        </w:rPr>
      </w:pPr>
      <w:r>
        <w:rPr>
          <w:rFonts w:ascii="Calibri" w:cs="Calibri" w:eastAsia="Calibri" w:hAnsi="Calibri"/>
          <w:sz w:val="13"/>
          <w:szCs w:val="13"/>
          <w:color w:val="auto"/>
        </w:rPr>
        <w:t>Cartesian expects to commence the trial in the frst half of 2025.</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Updated Phase 2b Trial Results</w:t>
      </w:r>
    </w:p>
    <w:p>
      <w:pPr>
        <w:spacing w:after="0" w:line="167" w:lineRule="exact"/>
        <w:rPr>
          <w:sz w:val="20"/>
          <w:szCs w:val="20"/>
          <w:color w:val="auto"/>
        </w:rPr>
      </w:pPr>
    </w:p>
    <w:p>
      <w:pPr>
        <w:jc w:val="both"/>
        <w:spacing w:after="0" w:line="250" w:lineRule="auto"/>
        <w:rPr>
          <w:rFonts w:ascii="Calibri" w:cs="Calibri" w:eastAsia="Calibri" w:hAnsi="Calibri"/>
          <w:sz w:val="13"/>
          <w:szCs w:val="13"/>
          <w:color w:val="auto"/>
        </w:rPr>
      </w:pPr>
      <w:r>
        <w:rPr>
          <w:rFonts w:ascii="Calibri" w:cs="Calibri" w:eastAsia="Calibri" w:hAnsi="Calibri"/>
          <w:sz w:val="13"/>
          <w:szCs w:val="13"/>
          <w:color w:val="auto"/>
        </w:rPr>
        <w:t xml:space="preserve">In the Phase 2b double-blind, placebo-controlled, crossover trial, a total of 36 heavily pre-treated, highly symptomatc partcipants with MG were randomized 1:1 to receive either Descartes-08 or placebo administered as six weekly outpatent infusions without preconditoning chemotherapy. As </w:t>
      </w:r>
      <w:hyperlink r:id="rId17">
        <w:r>
          <w:rPr>
            <w:rFonts w:ascii="Calibri" w:cs="Calibri" w:eastAsia="Calibri" w:hAnsi="Calibri"/>
            <w:sz w:val="13"/>
            <w:szCs w:val="13"/>
            <w:u w:val="single" w:color="auto"/>
            <w:color w:val="0563C1"/>
          </w:rPr>
          <w:t>previously announced</w:t>
        </w:r>
      </w:hyperlink>
      <w:r>
        <w:rPr>
          <w:rFonts w:ascii="Calibri" w:cs="Calibri" w:eastAsia="Calibri" w:hAnsi="Calibri"/>
          <w:sz w:val="13"/>
          <w:szCs w:val="13"/>
          <w:color w:val="auto"/>
        </w:rPr>
        <w:t>, the trial met its primary endpoint and demonstrated a safety profle supportng outpatent administraton of Descartes-08.</w:t>
      </w:r>
    </w:p>
    <w:p>
      <w:pPr>
        <w:spacing w:after="0" w:line="161"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The primary efcacy dataset for the follow-up porton of the trial consisted of a modifed intent-to-treat (mITT) populaton of all subjects enrolled at academic medical centers who received at least one dose of Descartes-08 and completed at least one post-Month 3 MG-ADL score follow-up assessment. As of an October 31, 2024 cutof date, 12 partcipants in the primary efcacy dataset completed their Month 4 and Month 6 follow-up assessments, with eight partcipants evaluable for their Month 9 assessment, and fve partcipants evaluable for their Month 12 assessment. Two partcipants who were MGC responders at Month 3 were lost to follow-up afer their Month 3 assessments and were not assessed in the follow-up porton of the treatment.</w:t>
      </w:r>
    </w:p>
    <w:p>
      <w:pPr>
        <w:spacing w:after="0" w:line="170"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Updated Efcacy Results</w:t>
      </w:r>
    </w:p>
    <w:p>
      <w:pPr>
        <w:spacing w:after="0" w:line="165" w:lineRule="exact"/>
        <w:rPr>
          <w:sz w:val="20"/>
          <w:szCs w:val="20"/>
          <w:color w:val="auto"/>
        </w:rPr>
      </w:pPr>
    </w:p>
    <w:p>
      <w:pPr>
        <w:ind w:left="420" w:hanging="212"/>
        <w:spacing w:after="0"/>
        <w:tabs>
          <w:tab w:leader="none" w:pos="420"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Deepening responses were observed over tme, with partcipants included in the primary efcacy dataset (n=12) experiencing an average MG-ADL reducton of 5.5 (±1.1) at Month 4.</w:t>
      </w:r>
    </w:p>
    <w:p>
      <w:pPr>
        <w:spacing w:after="0" w:line="5" w:lineRule="exact"/>
        <w:rPr>
          <w:rFonts w:ascii="Calibri" w:cs="Calibri" w:eastAsia="Calibri" w:hAnsi="Calibri"/>
          <w:sz w:val="13"/>
          <w:szCs w:val="13"/>
          <w:color w:val="auto"/>
        </w:rPr>
      </w:pPr>
    </w:p>
    <w:p>
      <w:pPr>
        <w:ind w:left="420" w:right="20" w:hanging="212"/>
        <w:spacing w:after="0" w:line="251" w:lineRule="auto"/>
        <w:tabs>
          <w:tab w:leader="none" w:pos="416"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At Month 4, partcularly deep responses were observed in partcipants without prior exposure to biologic therapies (n=7), including complement or neonatal fragment crystallizable receptor (FcRn) inhibitors, with an average MG-ADL reducton of 6.6 (±1.5).</w:t>
      </w:r>
    </w:p>
    <w:p>
      <w:pPr>
        <w:spacing w:after="0" w:line="1" w:lineRule="exact"/>
        <w:rPr>
          <w:rFonts w:ascii="Calibri" w:cs="Calibri" w:eastAsia="Calibri" w:hAnsi="Calibri"/>
          <w:sz w:val="13"/>
          <w:szCs w:val="13"/>
          <w:color w:val="auto"/>
        </w:rPr>
      </w:pPr>
    </w:p>
    <w:p>
      <w:pPr>
        <w:ind w:left="420" w:hanging="212"/>
        <w:spacing w:after="0" w:line="242" w:lineRule="auto"/>
        <w:tabs>
          <w:tab w:leader="none" w:pos="416" w:val="left"/>
        </w:tabs>
        <w:numPr>
          <w:ilvl w:val="0"/>
          <w:numId w:val="2"/>
        </w:numPr>
        <w:rPr>
          <w:rFonts w:ascii="Calibri" w:cs="Calibri" w:eastAsia="Calibri" w:hAnsi="Calibri"/>
          <w:sz w:val="13"/>
          <w:szCs w:val="13"/>
          <w:color w:val="auto"/>
        </w:rPr>
      </w:pPr>
      <w:r>
        <w:rPr>
          <w:rFonts w:ascii="Calibri" w:cs="Calibri" w:eastAsia="Calibri" w:hAnsi="Calibri"/>
          <w:sz w:val="13"/>
          <w:szCs w:val="13"/>
          <w:color w:val="auto"/>
        </w:rPr>
        <w:t>Responses were observed to further deepen at Month 6, with 33% (4/12) of partcipants in the primary efcacy dataset and 57% (4/7) of partcipants with no prior exposure to biologic therapy observed to have minimum symptom expression, defned as an MG-ADL score of 0 or 1.</w:t>
      </w:r>
    </w:p>
    <w:p>
      <w:pPr>
        <w:sectPr>
          <w:pgSz w:w="11900" w:h="16838" w:orient="portrait"/>
          <w:cols w:equalWidth="0" w:num="1">
            <w:col w:w="11300"/>
          </w:cols>
          <w:pgMar w:left="300" w:top="985" w:right="299" w:bottom="1440" w:gutter="0" w:footer="0" w:header="0"/>
        </w:sectPr>
      </w:pPr>
    </w:p>
    <w:bookmarkStart w:id="7" w:name="page8"/>
    <w:bookmarkEnd w:id="7"/>
    <w:p>
      <w:pPr>
        <w:ind w:left="420" w:right="20" w:hanging="212"/>
        <w:spacing w:after="0" w:line="242" w:lineRule="auto"/>
        <w:tabs>
          <w:tab w:leader="none" w:pos="416"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Responses were observed to be durable through Month 12, with 80% (4/5) of evaluable partcipants from the primary efcacy dataset maintaining a clinically meaningful response, defned as a reducton in MG-ADL score of at least 2 points.</w:t>
      </w:r>
    </w:p>
    <w:p>
      <w:pPr>
        <w:spacing w:after="0" w:line="12" w:lineRule="exact"/>
        <w:rPr>
          <w:rFonts w:ascii="Calibri" w:cs="Calibri" w:eastAsia="Calibri" w:hAnsi="Calibri"/>
          <w:sz w:val="13"/>
          <w:szCs w:val="13"/>
          <w:color w:val="auto"/>
        </w:rPr>
      </w:pPr>
    </w:p>
    <w:p>
      <w:pPr>
        <w:ind w:left="420" w:hanging="212"/>
        <w:spacing w:after="0" w:line="242" w:lineRule="auto"/>
        <w:tabs>
          <w:tab w:leader="none" w:pos="416" w:val="left"/>
        </w:tabs>
        <w:numPr>
          <w:ilvl w:val="0"/>
          <w:numId w:val="3"/>
        </w:numPr>
        <w:rPr>
          <w:rFonts w:ascii="Calibri" w:cs="Calibri" w:eastAsia="Calibri" w:hAnsi="Calibri"/>
          <w:sz w:val="13"/>
          <w:szCs w:val="13"/>
          <w:color w:val="auto"/>
        </w:rPr>
      </w:pPr>
      <w:r>
        <w:rPr>
          <w:rFonts w:ascii="Calibri" w:cs="Calibri" w:eastAsia="Calibri" w:hAnsi="Calibri"/>
          <w:sz w:val="13"/>
          <w:szCs w:val="13"/>
          <w:color w:val="auto"/>
        </w:rPr>
        <w:t>Of the two partcipants with no prior exposure to biologic therapy that reached Month 12, both maintained at least a clinically meaningful response, with one contnuing to demonstrate minimum symptom expression.</w:t>
      </w:r>
    </w:p>
    <w:p>
      <w:pPr>
        <w:spacing w:after="0" w:line="164" w:lineRule="exact"/>
        <w:rPr>
          <w:sz w:val="20"/>
          <w:szCs w:val="20"/>
          <w:color w:val="auto"/>
        </w:rPr>
      </w:pPr>
    </w:p>
    <w:p>
      <w:pPr>
        <w:spacing w:after="0"/>
        <w:rPr>
          <w:sz w:val="20"/>
          <w:szCs w:val="20"/>
          <w:color w:val="auto"/>
        </w:rPr>
      </w:pPr>
      <w:r>
        <w:rPr>
          <w:rFonts w:ascii="Calibri" w:cs="Calibri" w:eastAsia="Calibri" w:hAnsi="Calibri"/>
          <w:sz w:val="13"/>
          <w:szCs w:val="13"/>
          <w:i w:val="1"/>
          <w:iCs w:val="1"/>
          <w:color w:val="auto"/>
        </w:rPr>
        <w:t>Safety</w:t>
      </w:r>
    </w:p>
    <w:p>
      <w:pPr>
        <w:spacing w:after="0" w:line="176" w:lineRule="exact"/>
        <w:rPr>
          <w:sz w:val="20"/>
          <w:szCs w:val="20"/>
          <w:color w:val="auto"/>
        </w:rPr>
      </w:pPr>
    </w:p>
    <w:p>
      <w:pPr>
        <w:ind w:left="420" w:hanging="212"/>
        <w:spacing w:after="0" w:line="248" w:lineRule="auto"/>
        <w:tabs>
          <w:tab w:leader="none" w:pos="416"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Descartes-08 contnues to be observed as well-tolerated, supportng outpatent administraton without the need for lymphodepletng chemotherapy. Consistent with previously reported data, Descartes-08 was observed to be well-tolerated across the safety dataset (n=36), and adverse events were transient and mostly mild. Notably, there were no cases of cytokine release syndrome (CRS), and no cases of immune efector cell-associated neurotoxicity syndrome (ICANS). In additon, treatment with Descartes-08 was not observed to lead to a decrease in vaccine tters for common viruses and was not associated with increased rates of infecton or hypogammaglobulinemia.</w:t>
      </w:r>
    </w:p>
    <w:p>
      <w:pPr>
        <w:spacing w:after="0" w:line="26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Updated Phase 2a Open-Label Trial Results</w:t>
      </w:r>
    </w:p>
    <w:p>
      <w:pPr>
        <w:spacing w:after="0" w:line="167" w:lineRule="exact"/>
        <w:rPr>
          <w:sz w:val="20"/>
          <w:szCs w:val="20"/>
          <w:color w:val="auto"/>
        </w:rPr>
      </w:pPr>
    </w:p>
    <w:p>
      <w:pPr>
        <w:jc w:val="both"/>
        <w:spacing w:after="0" w:line="247" w:lineRule="auto"/>
        <w:rPr>
          <w:sz w:val="20"/>
          <w:szCs w:val="20"/>
          <w:color w:val="auto"/>
        </w:rPr>
      </w:pPr>
      <w:r>
        <w:rPr>
          <w:rFonts w:ascii="Calibri" w:cs="Calibri" w:eastAsia="Calibri" w:hAnsi="Calibri"/>
          <w:sz w:val="13"/>
          <w:szCs w:val="13"/>
          <w:color w:val="auto"/>
        </w:rPr>
        <w:t>Cartesian today also announced positve updated results from retreated partcipants enrolled in the Phase 2a open-label porton of the trial. Two partcipants were previously retreated, and experienced rapid improvement in clinical scores and maintained minimum symptom expression for up to one year afer receiving a second treatment cycle. A third partcipant received a second treatment cycle and at the partcipant’s Month 2 visit, two weeks afer the last Descartes-08 infusion, achieved a 4-point reducton in MG-ADL and 6-point reducton in MGC scores from baseline, without reports of CRS or ICANS. The tme course and magnitude of treatment response upon retreatment were similar to the tme course and magnitude of treatment response observed when the partcipants were frst treated. Four of the seven remaining partcipants from the Phase 2a porton of the trial maintained clinically meaningful responses for at least one year following inital dosing.</w:t>
      </w:r>
    </w:p>
    <w:p>
      <w:pPr>
        <w:spacing w:after="0" w:line="173" w:lineRule="exact"/>
        <w:rPr>
          <w:sz w:val="20"/>
          <w:szCs w:val="20"/>
          <w:color w:val="auto"/>
        </w:rPr>
      </w:pPr>
    </w:p>
    <w:p>
      <w:pPr>
        <w:jc w:val="both"/>
        <w:spacing w:after="0" w:line="237" w:lineRule="auto"/>
        <w:rPr>
          <w:rFonts w:ascii="Calibri" w:cs="Calibri" w:eastAsia="Calibri" w:hAnsi="Calibri"/>
          <w:sz w:val="13"/>
          <w:szCs w:val="13"/>
          <w:color w:val="auto"/>
        </w:rPr>
      </w:pPr>
      <w:r>
        <w:rPr>
          <w:rFonts w:ascii="Calibri" w:cs="Calibri" w:eastAsia="Calibri" w:hAnsi="Calibri"/>
          <w:sz w:val="13"/>
          <w:szCs w:val="13"/>
          <w:color w:val="auto"/>
        </w:rPr>
        <w:t xml:space="preserve">The Company </w:t>
      </w:r>
      <w:hyperlink r:id="rId19">
        <w:r>
          <w:rPr>
            <w:rFonts w:ascii="Calibri" w:cs="Calibri" w:eastAsia="Calibri" w:hAnsi="Calibri"/>
            <w:sz w:val="13"/>
            <w:szCs w:val="13"/>
            <w:u w:val="single" w:color="auto"/>
            <w:color w:val="0563C1"/>
          </w:rPr>
          <w:t>previously announced</w:t>
        </w:r>
        <w:r>
          <w:rPr>
            <w:rFonts w:ascii="Calibri" w:cs="Calibri" w:eastAsia="Calibri" w:hAnsi="Calibri"/>
            <w:sz w:val="13"/>
            <w:szCs w:val="13"/>
            <w:u w:val="single" w:color="auto"/>
            <w:color w:val="auto"/>
          </w:rPr>
          <w:t xml:space="preserve"> </w:t>
        </w:r>
      </w:hyperlink>
      <w:r>
        <w:rPr>
          <w:rFonts w:ascii="Calibri" w:cs="Calibri" w:eastAsia="Calibri" w:hAnsi="Calibri"/>
          <w:sz w:val="13"/>
          <w:szCs w:val="13"/>
          <w:color w:val="auto"/>
        </w:rPr>
        <w:t xml:space="preserve">positve long-term follow up data from the Phase 2a trial in which Descartes-08 was administered in an outpatent setng without preconditoning chemotherapy. Durable depleton of autoantbodies and clinically meaningful improvements in MG severity scores were observed at the one-year follow-up period. The data were </w:t>
      </w:r>
      <w:r>
        <w:rPr>
          <w:rFonts w:ascii="Calibri" w:cs="Calibri" w:eastAsia="Calibri" w:hAnsi="Calibri"/>
          <w:sz w:val="13"/>
          <w:szCs w:val="13"/>
          <w:u w:val="single" w:color="auto"/>
          <w:color w:val="0563C1"/>
        </w:rPr>
        <w:t>subsequently featured</w:t>
      </w:r>
      <w:r>
        <w:rPr>
          <w:rFonts w:ascii="Calibri" w:cs="Calibri" w:eastAsia="Calibri" w:hAnsi="Calibri"/>
          <w:sz w:val="13"/>
          <w:szCs w:val="13"/>
          <w:color w:val="auto"/>
        </w:rPr>
        <w:t xml:space="preserve"> during an oral session at the American Society of Gene and Cell Therapy 27</w:t>
      </w:r>
      <w:r>
        <w:rPr>
          <w:rFonts w:ascii="Calibri" w:cs="Calibri" w:eastAsia="Calibri" w:hAnsi="Calibri"/>
          <w:sz w:val="17"/>
          <w:szCs w:val="17"/>
          <w:color w:val="auto"/>
          <w:vertAlign w:val="superscript"/>
        </w:rPr>
        <w:t>th</w:t>
      </w:r>
      <w:r>
        <w:rPr>
          <w:rFonts w:ascii="Calibri" w:cs="Calibri" w:eastAsia="Calibri" w:hAnsi="Calibri"/>
          <w:sz w:val="13"/>
          <w:szCs w:val="13"/>
          <w:color w:val="auto"/>
        </w:rPr>
        <w:t xml:space="preserve"> Annual Meetng in May 2024.</w:t>
      </w:r>
    </w:p>
    <w:p>
      <w:pPr>
        <w:spacing w:after="0" w:line="13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Conference Call and Webcast</w:t>
      </w:r>
    </w:p>
    <w:p>
      <w:pPr>
        <w:spacing w:after="0" w:line="167" w:lineRule="exact"/>
        <w:rPr>
          <w:sz w:val="20"/>
          <w:szCs w:val="20"/>
          <w:color w:val="auto"/>
        </w:rPr>
      </w:pPr>
    </w:p>
    <w:p>
      <w:pPr>
        <w:jc w:val="both"/>
        <w:spacing w:after="0" w:line="242" w:lineRule="auto"/>
        <w:rPr>
          <w:sz w:val="20"/>
          <w:szCs w:val="20"/>
          <w:color w:val="auto"/>
        </w:rPr>
      </w:pPr>
      <w:r>
        <w:rPr>
          <w:rFonts w:ascii="Calibri" w:cs="Calibri" w:eastAsia="Calibri" w:hAnsi="Calibri"/>
          <w:sz w:val="13"/>
          <w:szCs w:val="13"/>
          <w:color w:val="auto"/>
        </w:rPr>
        <w:t>The Company will host a conference call and webcast to discuss the updated data, as well as the design of its planned Phase 3 trial today, Tuesday, December 3, 2024, at 7:30 a.m. ET. Joining members of the Cartesian management team will be Dr. Howard.</w:t>
      </w:r>
    </w:p>
    <w:p>
      <w:pPr>
        <w:spacing w:after="0" w:line="175" w:lineRule="exact"/>
        <w:rPr>
          <w:sz w:val="20"/>
          <w:szCs w:val="20"/>
          <w:color w:val="auto"/>
        </w:rPr>
      </w:pPr>
    </w:p>
    <w:p>
      <w:pPr>
        <w:jc w:val="both"/>
        <w:spacing w:after="0" w:line="242" w:lineRule="auto"/>
        <w:rPr>
          <w:sz w:val="20"/>
          <w:szCs w:val="20"/>
          <w:color w:val="auto"/>
        </w:rPr>
      </w:pPr>
      <w:r>
        <w:rPr>
          <w:rFonts w:ascii="Calibri" w:cs="Calibri" w:eastAsia="Calibri" w:hAnsi="Calibri"/>
          <w:sz w:val="13"/>
          <w:szCs w:val="13"/>
          <w:color w:val="auto"/>
        </w:rPr>
        <w:t>To access the conference call, please dial 1-800-715-9871 (toll-free) or 1-646-307-1963 (internatonal) at least 10 minutes prior to the start tme and ask to be joined into the Cartesian Therapeutcs call. The live audio webcast, along with accompanying slides, can be accessed on the Events &amp; Presentatons secton</w:t>
      </w:r>
    </w:p>
    <w:p>
      <w:pPr>
        <w:sectPr>
          <w:pgSz w:w="11900" w:h="16838" w:orient="portrait"/>
          <w:cols w:equalWidth="0" w:num="1">
            <w:col w:w="11300"/>
          </w:cols>
          <w:pgMar w:left="300" w:top="987" w:right="299"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 xml:space="preserve">of Cartesian’s website at </w:t>
      </w:r>
      <w:r>
        <w:rPr>
          <w:rFonts w:ascii="Calibri" w:cs="Calibri" w:eastAsia="Calibri" w:hAnsi="Calibri"/>
          <w:sz w:val="13"/>
          <w:szCs w:val="13"/>
          <w:u w:val="single" w:color="auto"/>
          <w:color w:val="0563C1"/>
        </w:rPr>
        <w:t>htps://ir.cartesiantherapeutcs.com/news-and-events/events-presentatons</w:t>
      </w:r>
      <w:r>
        <w:rPr>
          <w:rFonts w:ascii="Calibri" w:cs="Calibri" w:eastAsia="Calibri" w:hAnsi="Calibri"/>
          <w:sz w:val="13"/>
          <w:szCs w:val="13"/>
          <w:color w:val="auto"/>
        </w:rPr>
        <w:t>. A replay of the webcast will be available for a limited tme following the event on Cartesian’s website.</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Myasthenia Gravis</w:t>
      </w:r>
    </w:p>
    <w:p>
      <w:pPr>
        <w:spacing w:after="0" w:line="176" w:lineRule="exact"/>
        <w:rPr>
          <w:sz w:val="20"/>
          <w:szCs w:val="20"/>
          <w:color w:val="auto"/>
        </w:rPr>
      </w:pPr>
    </w:p>
    <w:p>
      <w:pPr>
        <w:jc w:val="both"/>
        <w:spacing w:after="0" w:line="243" w:lineRule="auto"/>
        <w:rPr>
          <w:sz w:val="20"/>
          <w:szCs w:val="20"/>
          <w:color w:val="auto"/>
        </w:rPr>
      </w:pPr>
      <w:r>
        <w:rPr>
          <w:rFonts w:ascii="Calibri" w:cs="Calibri" w:eastAsia="Calibri" w:hAnsi="Calibri"/>
          <w:sz w:val="13"/>
          <w:szCs w:val="13"/>
          <w:color w:val="auto"/>
        </w:rPr>
        <w:t>Myasthenia gravis (MG) is a chronic autoimmune disorder that causes disabling muscle weakness and fatgue. For most people with MG, the disease is characterized by the presence of antbodies against the acetylcholine receptor, a protein found on the surface of nerve cells that plays a key role in muscle contracton. There is currently no cure for MG, and treatment typically requires chronic immunosuppressive medicines, with their atendant risks and side efects.</w:t>
      </w:r>
    </w:p>
    <w:p>
      <w:pPr>
        <w:spacing w:after="0" w:line="173"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Descartes-08</w:t>
      </w:r>
    </w:p>
    <w:p>
      <w:pPr>
        <w:spacing w:after="0" w:line="167" w:lineRule="exact"/>
        <w:rPr>
          <w:sz w:val="20"/>
          <w:szCs w:val="20"/>
          <w:color w:val="auto"/>
        </w:rPr>
      </w:pPr>
    </w:p>
    <w:p>
      <w:pPr>
        <w:jc w:val="both"/>
        <w:spacing w:after="0" w:line="247" w:lineRule="auto"/>
        <w:rPr>
          <w:sz w:val="20"/>
          <w:szCs w:val="20"/>
          <w:color w:val="auto"/>
        </w:rPr>
      </w:pPr>
      <w:r>
        <w:rPr>
          <w:rFonts w:ascii="Calibri" w:cs="Calibri" w:eastAsia="Calibri" w:hAnsi="Calibri"/>
          <w:sz w:val="13"/>
          <w:szCs w:val="13"/>
          <w:color w:val="auto"/>
        </w:rPr>
        <w:t>Descartes-08, Cartesian’s lead mRNA cell therapy candidate, is an autologous mRNA-engineered chimeric antgen receptor T-cell therapy (mRNA CAR-T) product targetng B-cell maturaton antgen (BCMA) in clinical development for generalized myasthenia gravis (MG) and systemic lupus erythematosus. In contrast to conventonal DNA-based CAR T-cell therapies, mRNA CAR-T administraton is designed to not require preconditoning chemotherapy, can be administered in the outpatent setng, and does not carry the risk of genomic integraton associated with cancerous transformaton. Descartes-08 has been granted Orphan Drug Designaton and Regeneratve Medicine Advanced Therapy Designaton by the U.S. Food and Drug Administraton for the treatment of MG, and Rare Pediatric Disease Designaton for the treatment of juvenile dermatomyosits.</w:t>
      </w:r>
    </w:p>
    <w:p>
      <w:pPr>
        <w:spacing w:after="0" w:line="10"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About Cartesian Therapeutcs</w:t>
      </w:r>
    </w:p>
    <w:p>
      <w:pPr>
        <w:spacing w:after="0" w:line="167"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 xml:space="preserve">Cartesian Therapeutcs is a clinical-stage company pioneering mRNA cell therapies for the treatment of autoimmune diseases. The Company’s lead asset, Descartes-08, is an mRNA CAR-T in Phase 2b clinical development for patents with generalized myasthenia gravis and Phase 2 development for systemic lupus erythematosus, with a Phase 2 basket trial planned in additonal autoimmune indicatons. The Company’s clinical-stage pipeline also includes Descartes-15, a next-generaton, autologous ant-BCMA mRNA CAR-T. For more informaton, please visit </w:t>
      </w:r>
      <w:r>
        <w:rPr>
          <w:rFonts w:ascii="Calibri" w:cs="Calibri" w:eastAsia="Calibri" w:hAnsi="Calibri"/>
          <w:sz w:val="13"/>
          <w:szCs w:val="13"/>
          <w:u w:val="single" w:color="auto"/>
          <w:color w:val="0563C1"/>
        </w:rPr>
        <w:t>www.cartesiantherapeutcs.com</w:t>
      </w:r>
      <w:r>
        <w:rPr>
          <w:rFonts w:ascii="Calibri" w:cs="Calibri" w:eastAsia="Calibri" w:hAnsi="Calibri"/>
          <w:sz w:val="13"/>
          <w:szCs w:val="13"/>
          <w:color w:val="auto"/>
        </w:rPr>
        <w:t xml:space="preserve"> or follow the Company on </w:t>
      </w:r>
      <w:r>
        <w:rPr>
          <w:rFonts w:ascii="Calibri" w:cs="Calibri" w:eastAsia="Calibri" w:hAnsi="Calibri"/>
          <w:sz w:val="13"/>
          <w:szCs w:val="13"/>
          <w:u w:val="single" w:color="auto"/>
          <w:color w:val="0563C1"/>
        </w:rPr>
        <w:t>LinkedIn</w:t>
      </w:r>
      <w:r>
        <w:rPr>
          <w:rFonts w:ascii="Calibri" w:cs="Calibri" w:eastAsia="Calibri" w:hAnsi="Calibri"/>
          <w:sz w:val="13"/>
          <w:szCs w:val="13"/>
          <w:color w:val="auto"/>
        </w:rPr>
        <w:t xml:space="preserve"> or </w:t>
      </w:r>
      <w:r>
        <w:rPr>
          <w:rFonts w:ascii="Calibri" w:cs="Calibri" w:eastAsia="Calibri" w:hAnsi="Calibri"/>
          <w:sz w:val="13"/>
          <w:szCs w:val="13"/>
          <w:u w:val="single" w:color="auto"/>
          <w:color w:val="0563C1"/>
        </w:rPr>
        <w:t>X</w:t>
      </w:r>
      <w:r>
        <w:rPr>
          <w:rFonts w:ascii="Calibri" w:cs="Calibri" w:eastAsia="Calibri" w:hAnsi="Calibri"/>
          <w:sz w:val="13"/>
          <w:szCs w:val="13"/>
          <w:color w:val="auto"/>
        </w:rPr>
        <w:t>, formerly known as Twiter.</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Forward Looking Statements</w:t>
      </w:r>
    </w:p>
    <w:p>
      <w:pPr>
        <w:spacing w:after="0" w:line="176" w:lineRule="exact"/>
        <w:rPr>
          <w:sz w:val="20"/>
          <w:szCs w:val="20"/>
          <w:color w:val="auto"/>
        </w:rPr>
      </w:pPr>
    </w:p>
    <w:p>
      <w:pPr>
        <w:jc w:val="both"/>
        <w:spacing w:after="0" w:line="247" w:lineRule="auto"/>
        <w:rPr>
          <w:sz w:val="20"/>
          <w:szCs w:val="20"/>
          <w:color w:val="auto"/>
        </w:rPr>
      </w:pPr>
      <w:r>
        <w:rPr>
          <w:rFonts w:ascii="Calibri" w:cs="Calibri" w:eastAsia="Calibri" w:hAnsi="Calibri"/>
          <w:sz w:val="13"/>
          <w:szCs w:val="13"/>
          <w:color w:val="auto"/>
        </w:rPr>
        <w:t>Any statements in this press release about the future expectatons, plans and prospects of the Company, including without limitaton, statements regarding observatons and data from the myasthenia gravis Phase 2a/2b trial, the ability of the Company’s product candidates to be administered in an outpatent setng or without the need for preconditoning lymphodepletng chemotherapy, the potental of Descartes-08, Descartes-15, or any of the Company’s other product candidates to treat myasthenia gravis, systemic lupus erythematosus, juvenile dermatomyosits, or any other disease, the antcipated tming or the outcome of ongoing and planned clinical trials, studies and data readouts, the antcipated tming or the outcome of the FDA’s review of the Company’s regulatory flings, the Company’s ability to conduct its clinical trials and preclinical studies, the tming or making of any regulatory flings, the novelty of treatment paradigms that the Company is able to develop, the potental of any therapies developed by the Company to fulfll unmet medical needs, and enrollment in the Company’s clinical trials and other statements containing the words “antcipate,” “believe,” “contnue,” “could,”</w:t>
      </w:r>
    </w:p>
    <w:p>
      <w:pPr>
        <w:sectPr>
          <w:pgSz w:w="11900" w:h="16838" w:orient="portrait"/>
          <w:cols w:equalWidth="0" w:num="1">
            <w:col w:w="11300"/>
          </w:cols>
          <w:pgMar w:left="300" w:top="985" w:right="299" w:bottom="1440" w:gutter="0" w:footer="0" w:header="0"/>
        </w:sectPr>
      </w:pPr>
    </w:p>
    <w:bookmarkStart w:id="9" w:name="page10"/>
    <w:bookmarkEnd w:id="9"/>
    <w:p>
      <w:pPr>
        <w:jc w:val="both"/>
        <w:spacing w:after="0" w:line="249" w:lineRule="auto"/>
        <w:rPr>
          <w:sz w:val="20"/>
          <w:szCs w:val="20"/>
          <w:color w:val="auto"/>
        </w:rPr>
      </w:pPr>
      <w:r>
        <w:rPr>
          <w:rFonts w:ascii="Calibri" w:cs="Calibri" w:eastAsia="Calibri" w:hAnsi="Calibri"/>
          <w:sz w:val="13"/>
          <w:szCs w:val="13"/>
          <w:color w:val="auto"/>
        </w:rPr>
        <w:drawing>
          <wp:anchor simplePos="0" relativeHeight="251657728" behindDoc="1" locked="0" layoutInCell="0" allowOverlap="1">
            <wp:simplePos x="0" y="0"/>
            <wp:positionH relativeFrom="page">
              <wp:posOffset>6420485</wp:posOffset>
            </wp:positionH>
            <wp:positionV relativeFrom="page">
              <wp:posOffset>88900</wp:posOffset>
            </wp:positionV>
            <wp:extent cx="942975" cy="234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42975" cy="234315"/>
                    </a:xfrm>
                    <a:prstGeom prst="rect">
                      <a:avLst/>
                    </a:prstGeom>
                    <a:noFill/>
                  </pic:spPr>
                </pic:pic>
              </a:graphicData>
            </a:graphic>
          </wp:anchor>
        </w:drawing>
        <w:t>“estmate,” “expect,” “hypothesize,” “intend,” “may,” “plan,” “potental,” “predict,” “project,” “should,” “target,” “would,” and similar expressions, consttute forward-looking statements within the meaning of The Private Securites Litgaton Reform Act of 1995. Actual results may difer materially from those indicated by such forward-looking statements as a result of various important factors, including, but not limited to, the following: the uncertaintes inherent in the initaton, completon and cost of clinical trials including proof of concept trials, including uncertain outcomes, the availability and tming of data from ongoing and future clinical trials and the results of such trials, whether preliminary results from a partcular clinical trial will be predictve of the fnal results of that trial and whether results of early clinical trials will be indicatve of the results of later clinical trials, the ability to predict results of studies performed on human beings based on results of studies performed on non-human subjects, the unproven approach of the Company’s technology, potental delays in enrollment of patents, undesirable side efects of the Company’s product candidates, its reliance on third partes to conduct its clinical trials, the Company’s inability to maintain its existng or future collaboratons, licenses or contractual relatonships, its inability to protect its proprietary technology and intellectual property, potental delays in regulatory approvals, the availability of funding sufcient for its foreseeable and unforeseeable operatng expenses and capital expenditure requirements, the Company’s recurring losses from operatons and negatve cash fows, substantal fuctuaton in the price of the Company’s common stock, risks related to geopolitcal conficts and pandemics and other important factors discussed in the “Risk Factors” secton of the Company’s most recent Annual Report on Form 10-K and subsequently fled Quarterly Reports on Form 10-Q, and in other flings that the Company makes with the Securites and Exchange Commission. In additon, any forward-looking statements included in this press release represent the Company’s views only as of the date of its publicaton and should not be relied upon as representng its views as of any subsequent date. The Company specifcally disclaims any intenton to update any forward-looking statements included in this press release, except as required by law.</w:t>
      </w:r>
    </w:p>
    <w:p>
      <w:pPr>
        <w:spacing w:after="0" w:line="354"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Contact</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color w:val="auto"/>
        </w:rPr>
        <w:t>Blaine Davis</w:t>
      </w:r>
    </w:p>
    <w:p>
      <w:pPr>
        <w:spacing w:after="0" w:line="12" w:lineRule="exact"/>
        <w:rPr>
          <w:sz w:val="20"/>
          <w:szCs w:val="20"/>
          <w:color w:val="auto"/>
        </w:rPr>
      </w:pPr>
    </w:p>
    <w:p>
      <w:pPr>
        <w:spacing w:after="0"/>
        <w:rPr>
          <w:sz w:val="20"/>
          <w:szCs w:val="20"/>
          <w:color w:val="auto"/>
        </w:rPr>
      </w:pPr>
      <w:r>
        <w:rPr>
          <w:rFonts w:ascii="Calibri" w:cs="Calibri" w:eastAsia="Calibri" w:hAnsi="Calibri"/>
          <w:sz w:val="13"/>
          <w:szCs w:val="13"/>
          <w:color w:val="auto"/>
        </w:rPr>
        <w:t>Chief Financial Ofcer</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0563C1"/>
        </w:rPr>
        <w:t>blaine@cartesiantx.com</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Media Contact</w:t>
      </w:r>
    </w:p>
    <w:p>
      <w:pPr>
        <w:spacing w:after="0" w:line="174" w:lineRule="exact"/>
        <w:rPr>
          <w:sz w:val="20"/>
          <w:szCs w:val="20"/>
          <w:color w:val="auto"/>
        </w:rPr>
      </w:pPr>
    </w:p>
    <w:p>
      <w:pPr>
        <w:spacing w:after="0"/>
        <w:rPr>
          <w:sz w:val="20"/>
          <w:szCs w:val="20"/>
          <w:color w:val="auto"/>
        </w:rPr>
      </w:pPr>
      <w:r>
        <w:rPr>
          <w:rFonts w:ascii="Calibri" w:cs="Calibri" w:eastAsia="Calibri" w:hAnsi="Calibri"/>
          <w:sz w:val="13"/>
          <w:szCs w:val="13"/>
          <w:color w:val="auto"/>
        </w:rPr>
        <w:t>David Rosen</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Argot Partners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u w:val="single" w:color="auto"/>
          <w:color w:val="0563C1"/>
        </w:rPr>
        <w:t>david.rosen@argotpartners.com</w:t>
      </w:r>
    </w:p>
    <w:p>
      <w:pPr>
        <w:sectPr>
          <w:pgSz w:w="11900" w:h="16838" w:orient="portrait"/>
          <w:cols w:equalWidth="0" w:num="1">
            <w:col w:w="11300"/>
          </w:cols>
          <w:pgMar w:left="300" w:top="987" w:right="2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8"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17" Type="http://schemas.openxmlformats.org/officeDocument/2006/relationships/hyperlink" Target="https://www.sec.gov/Archives/edgar/data/0001453687/000114036124032080/ef20031962_ex99-2.htm" TargetMode="External"/><Relationship Id="rId19" Type="http://schemas.openxmlformats.org/officeDocument/2006/relationships/hyperlink" Target="https://www.sec.gov/Archives/edgar/data/0001453687/000114036124001205/ny20014884x2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2024-12-03T05:18:04Z</dcterms:created>
  <dcterms:modified xsi:type="dcterms:W3CDTF">2024-12-03T05:18:04Z</dcterms:modified>
</cp:coreProperties>
</file>