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5"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Date of Report (Date of earliest event reported): August 25, 2023</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SELECTA BIOSCIENCES, INC.</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6" w:lineRule="exact"/>
        <w:rPr>
          <w:sz w:val="24"/>
          <w:szCs w:val="24"/>
          <w:color w:val="auto"/>
        </w:rPr>
      </w:pPr>
    </w:p>
    <w:tbl>
      <w:tblPr>
        <w:tblLayout w:type="fixed"/>
        <w:tblInd w:w="780" w:type="dxa"/>
        <w:tblCellMar>
          <w:top w:w="0" w:type="dxa"/>
          <w:left w:w="0" w:type="dxa"/>
          <w:bottom w:w="0" w:type="dxa"/>
          <w:right w:w="0" w:type="dxa"/>
        </w:tblCellMar>
      </w:tblPr>
      <w:tr>
        <w:trPr>
          <w:trHeight w:val="233"/>
        </w:trPr>
        <w:tc>
          <w:tcPr>
            <w:tcW w:w="2460" w:type="dxa"/>
            <w:vAlign w:val="bottom"/>
          </w:tcPr>
          <w:p>
            <w:pPr>
              <w:jc w:val="center"/>
              <w:ind w:right="450"/>
              <w:spacing w:after="0"/>
              <w:rPr>
                <w:sz w:val="20"/>
                <w:szCs w:val="20"/>
                <w:color w:val="auto"/>
              </w:rPr>
            </w:pPr>
            <w:r>
              <w:rPr>
                <w:rFonts w:ascii="Arial" w:cs="Arial" w:eastAsia="Arial" w:hAnsi="Arial"/>
                <w:sz w:val="18"/>
                <w:szCs w:val="18"/>
                <w:b w:val="1"/>
                <w:bCs w:val="1"/>
                <w:color w:val="auto"/>
                <w:w w:val="91"/>
              </w:rPr>
              <w:t>Delaware</w:t>
            </w:r>
          </w:p>
        </w:tc>
        <w:tc>
          <w:tcPr>
            <w:tcW w:w="496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001-37798</w:t>
            </w:r>
          </w:p>
        </w:tc>
        <w:tc>
          <w:tcPr>
            <w:tcW w:w="1960" w:type="dxa"/>
            <w:vAlign w:val="bottom"/>
          </w:tcPr>
          <w:p>
            <w:pPr>
              <w:jc w:val="center"/>
              <w:ind w:left="530"/>
              <w:spacing w:after="0"/>
              <w:rPr>
                <w:sz w:val="20"/>
                <w:szCs w:val="20"/>
                <w:color w:val="auto"/>
              </w:rPr>
            </w:pPr>
            <w:r>
              <w:rPr>
                <w:rFonts w:ascii="Arial" w:cs="Arial" w:eastAsia="Arial" w:hAnsi="Arial"/>
                <w:sz w:val="18"/>
                <w:szCs w:val="18"/>
                <w:b w:val="1"/>
                <w:bCs w:val="1"/>
                <w:color w:val="auto"/>
                <w:w w:val="89"/>
              </w:rPr>
              <w:t>26-1622110</w:t>
            </w:r>
          </w:p>
        </w:tc>
      </w:tr>
      <w:tr>
        <w:trPr>
          <w:trHeight w:val="176"/>
        </w:trPr>
        <w:tc>
          <w:tcPr>
            <w:tcW w:w="2460" w:type="dxa"/>
            <w:vAlign w:val="bottom"/>
          </w:tcPr>
          <w:p>
            <w:pPr>
              <w:jc w:val="center"/>
              <w:ind w:right="490"/>
              <w:spacing w:after="0" w:line="176" w:lineRule="exact"/>
              <w:rPr>
                <w:sz w:val="20"/>
                <w:szCs w:val="20"/>
                <w:color w:val="auto"/>
              </w:rPr>
            </w:pPr>
            <w:r>
              <w:rPr>
                <w:rFonts w:ascii="Arial" w:cs="Arial" w:eastAsia="Arial" w:hAnsi="Arial"/>
                <w:sz w:val="18"/>
                <w:szCs w:val="18"/>
                <w:color w:val="auto"/>
                <w:w w:val="91"/>
              </w:rPr>
              <w:t>(State or other jurisdiction</w:t>
            </w:r>
          </w:p>
        </w:tc>
        <w:tc>
          <w:tcPr>
            <w:tcW w:w="496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93"/>
              </w:rPr>
              <w:t>(Commission</w:t>
            </w:r>
          </w:p>
        </w:tc>
        <w:tc>
          <w:tcPr>
            <w:tcW w:w="1960" w:type="dxa"/>
            <w:vAlign w:val="bottom"/>
          </w:tcPr>
          <w:p>
            <w:pPr>
              <w:jc w:val="center"/>
              <w:ind w:left="530"/>
              <w:spacing w:after="0" w:line="176" w:lineRule="exact"/>
              <w:rPr>
                <w:sz w:val="20"/>
                <w:szCs w:val="20"/>
                <w:color w:val="auto"/>
              </w:rPr>
            </w:pPr>
            <w:r>
              <w:rPr>
                <w:rFonts w:ascii="Arial" w:cs="Arial" w:eastAsia="Arial" w:hAnsi="Arial"/>
                <w:sz w:val="18"/>
                <w:szCs w:val="18"/>
                <w:color w:val="auto"/>
                <w:w w:val="93"/>
              </w:rPr>
              <w:t>(IRS Employer</w:t>
            </w:r>
          </w:p>
        </w:tc>
      </w:tr>
      <w:tr>
        <w:trPr>
          <w:trHeight w:val="230"/>
        </w:trPr>
        <w:tc>
          <w:tcPr>
            <w:tcW w:w="2460" w:type="dxa"/>
            <w:vAlign w:val="bottom"/>
          </w:tcPr>
          <w:p>
            <w:pPr>
              <w:jc w:val="center"/>
              <w:ind w:right="430"/>
              <w:spacing w:after="0"/>
              <w:rPr>
                <w:sz w:val="20"/>
                <w:szCs w:val="20"/>
                <w:color w:val="auto"/>
              </w:rPr>
            </w:pPr>
            <w:r>
              <w:rPr>
                <w:rFonts w:ascii="Arial" w:cs="Arial" w:eastAsia="Arial" w:hAnsi="Arial"/>
                <w:sz w:val="18"/>
                <w:szCs w:val="18"/>
                <w:color w:val="auto"/>
                <w:w w:val="93"/>
              </w:rPr>
              <w:t>of incorporation)</w:t>
            </w:r>
          </w:p>
        </w:tc>
        <w:tc>
          <w:tcPr>
            <w:tcW w:w="4960" w:type="dxa"/>
            <w:vAlign w:val="bottom"/>
          </w:tcPr>
          <w:p>
            <w:pPr>
              <w:jc w:val="center"/>
              <w:ind w:right="130"/>
              <w:spacing w:after="0"/>
              <w:rPr>
                <w:sz w:val="20"/>
                <w:szCs w:val="20"/>
                <w:color w:val="auto"/>
              </w:rPr>
            </w:pPr>
            <w:r>
              <w:rPr>
                <w:rFonts w:ascii="Arial" w:cs="Arial" w:eastAsia="Arial" w:hAnsi="Arial"/>
                <w:sz w:val="18"/>
                <w:szCs w:val="18"/>
                <w:color w:val="auto"/>
                <w:w w:val="94"/>
              </w:rPr>
              <w:t>File Number)</w:t>
            </w:r>
          </w:p>
        </w:tc>
        <w:tc>
          <w:tcPr>
            <w:tcW w:w="1960" w:type="dxa"/>
            <w:vAlign w:val="bottom"/>
          </w:tcPr>
          <w:p>
            <w:pPr>
              <w:jc w:val="center"/>
              <w:ind w:left="530"/>
              <w:spacing w:after="0"/>
              <w:rPr>
                <w:sz w:val="20"/>
                <w:szCs w:val="20"/>
                <w:color w:val="auto"/>
              </w:rPr>
            </w:pPr>
            <w:r>
              <w:rPr>
                <w:rFonts w:ascii="Arial" w:cs="Arial" w:eastAsia="Arial" w:hAnsi="Arial"/>
                <w:sz w:val="18"/>
                <w:szCs w:val="18"/>
                <w:color w:val="auto"/>
                <w:w w:val="95"/>
              </w:rPr>
              <w:t>Identification No.)</w:t>
            </w:r>
          </w:p>
        </w:tc>
      </w:tr>
      <w:tr>
        <w:trPr>
          <w:trHeight w:val="430"/>
        </w:trPr>
        <w:tc>
          <w:tcPr>
            <w:tcW w:w="2460" w:type="dxa"/>
            <w:vAlign w:val="bottom"/>
          </w:tcPr>
          <w:p>
            <w:pPr>
              <w:spacing w:after="0"/>
              <w:rPr>
                <w:sz w:val="24"/>
                <w:szCs w:val="24"/>
                <w:color w:val="auto"/>
              </w:rPr>
            </w:pPr>
          </w:p>
        </w:tc>
        <w:tc>
          <w:tcPr>
            <w:tcW w:w="496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65 Grove Street, Watertown, MA 02472</w:t>
            </w:r>
          </w:p>
        </w:tc>
        <w:tc>
          <w:tcPr>
            <w:tcW w:w="1960" w:type="dxa"/>
            <w:vAlign w:val="bottom"/>
          </w:tcPr>
          <w:p>
            <w:pPr>
              <w:spacing w:after="0"/>
              <w:rPr>
                <w:sz w:val="24"/>
                <w:szCs w:val="24"/>
                <w:color w:val="auto"/>
              </w:rPr>
            </w:pPr>
          </w:p>
        </w:tc>
      </w:tr>
      <w:tr>
        <w:trPr>
          <w:trHeight w:val="230"/>
        </w:trPr>
        <w:tc>
          <w:tcPr>
            <w:tcW w:w="2460" w:type="dxa"/>
            <w:vAlign w:val="bottom"/>
          </w:tcPr>
          <w:p>
            <w:pPr>
              <w:spacing w:after="0"/>
              <w:rPr>
                <w:sz w:val="20"/>
                <w:szCs w:val="20"/>
                <w:color w:val="auto"/>
              </w:rPr>
            </w:pPr>
          </w:p>
        </w:tc>
        <w:tc>
          <w:tcPr>
            <w:tcW w:w="4960" w:type="dxa"/>
            <w:vAlign w:val="bottom"/>
          </w:tcPr>
          <w:p>
            <w:pPr>
              <w:ind w:left="700"/>
              <w:spacing w:after="0"/>
              <w:rPr>
                <w:sz w:val="20"/>
                <w:szCs w:val="20"/>
                <w:color w:val="auto"/>
              </w:rPr>
            </w:pPr>
            <w:r>
              <w:rPr>
                <w:rFonts w:ascii="Arial" w:cs="Arial" w:eastAsia="Arial" w:hAnsi="Arial"/>
                <w:sz w:val="18"/>
                <w:szCs w:val="18"/>
                <w:color w:val="auto"/>
              </w:rPr>
              <w:t>(Address of principal executive offices)(Zip Code)</w:t>
            </w:r>
          </w:p>
        </w:tc>
        <w:tc>
          <w:tcPr>
            <w:tcW w:w="1960" w:type="dxa"/>
            <w:vAlign w:val="bottom"/>
          </w:tcPr>
          <w:p>
            <w:pPr>
              <w:spacing w:after="0"/>
              <w:rPr>
                <w:sz w:val="20"/>
                <w:szCs w:val="20"/>
                <w:color w:val="auto"/>
              </w:rPr>
            </w:pPr>
          </w:p>
        </w:tc>
      </w:tr>
      <w:tr>
        <w:trPr>
          <w:trHeight w:val="418"/>
        </w:trPr>
        <w:tc>
          <w:tcPr>
            <w:tcW w:w="2460" w:type="dxa"/>
            <w:vAlign w:val="bottom"/>
          </w:tcPr>
          <w:p>
            <w:pPr>
              <w:spacing w:after="0"/>
              <w:rPr>
                <w:sz w:val="24"/>
                <w:szCs w:val="24"/>
                <w:color w:val="auto"/>
              </w:rPr>
            </w:pPr>
          </w:p>
        </w:tc>
        <w:tc>
          <w:tcPr>
            <w:tcW w:w="49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(617) 923-1400</w:t>
            </w:r>
          </w:p>
        </w:tc>
        <w:tc>
          <w:tcPr>
            <w:tcW w:w="1960" w:type="dxa"/>
            <w:vAlign w:val="bottom"/>
          </w:tcPr>
          <w:p>
            <w:pPr>
              <w:spacing w:after="0"/>
              <w:rPr>
                <w:sz w:val="24"/>
                <w:szCs w:val="24"/>
                <w:color w:val="auto"/>
              </w:rPr>
            </w:pPr>
          </w:p>
        </w:tc>
      </w:tr>
      <w:tr>
        <w:trPr>
          <w:trHeight w:val="230"/>
        </w:trPr>
        <w:tc>
          <w:tcPr>
            <w:tcW w:w="2460" w:type="dxa"/>
            <w:vAlign w:val="bottom"/>
          </w:tcPr>
          <w:p>
            <w:pPr>
              <w:spacing w:after="0"/>
              <w:rPr>
                <w:sz w:val="20"/>
                <w:szCs w:val="20"/>
                <w:color w:val="auto"/>
              </w:rPr>
            </w:pPr>
          </w:p>
        </w:tc>
        <w:tc>
          <w:tcPr>
            <w:tcW w:w="4960" w:type="dxa"/>
            <w:vAlign w:val="bottom"/>
          </w:tcPr>
          <w:p>
            <w:pPr>
              <w:ind w:left="560"/>
              <w:spacing w:after="0"/>
              <w:rPr>
                <w:sz w:val="20"/>
                <w:szCs w:val="20"/>
                <w:color w:val="auto"/>
              </w:rPr>
            </w:pPr>
            <w:r>
              <w:rPr>
                <w:rFonts w:ascii="Arial" w:cs="Arial" w:eastAsia="Arial" w:hAnsi="Arial"/>
                <w:sz w:val="18"/>
                <w:szCs w:val="18"/>
                <w:color w:val="auto"/>
              </w:rPr>
              <w:t>Registrant’s telephone number, including area code</w:t>
            </w:r>
          </w:p>
        </w:tc>
        <w:tc>
          <w:tcPr>
            <w:tcW w:w="196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80"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61"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4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$0.0001)</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SELB</w:t>
            </w:r>
          </w:p>
        </w:tc>
        <w:tc>
          <w:tcPr>
            <w:tcW w:w="4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337"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52"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773430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0980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wp:posOffset>
            </wp:positionV>
            <wp:extent cx="70980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 w:name="page2"/>
    <w:bookmarkEnd w:id="1"/>
    <w:p>
      <w:pPr>
        <w:ind w:right="220"/>
        <w:spacing w:after="0" w:line="266"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207"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On August 25, 2023, the Board of Directors (the “Board”) of Selecta Biosciences, Inc. (the “Company”) approved a one-time cash bonus payment (each, a “Retention Bonus” and together, the “Retention Bonuses”) to certain of the Company’s executive officers equal to a multiplier of that executive officer's annual base salary for 2023, including Carsten Brunn (2x annual base salary), Blaine Davis (2x annual base salary), Peter Traber (1.5x annual base salary), Takashi Kei Kishimoto (1x annual base salary) and Lloyd Johnston (2x annual base salary), provided that each such executive officer remains employed by the Company in good standing on March 31, 2024. The Retention Bonus payments will be made on the first payroll date following March 31, 2024. In connection with the approval of the Retention Bonuses, the Board delegated authority to the Compensation Committee of the Company (the “Compensation Committee”) to release any individual receiving a Retention Bonus prior to March 31, 2024, at its discretion. In such event, the applicable Retention Bonus shall be paid to such individual employee in connection with any approved separation package. The Compensation Committee, at its discretion, may also elect to accelerate payment of any Retention Bonus or waive any service requirements imposed in connection with any Retention Bonus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p>
        </w:tc>
        <w:tc>
          <w:tcPr>
            <w:tcW w:w="7500" w:type="dxa"/>
            <w:vAlign w:val="bottom"/>
            <w:gridSpan w:val="2"/>
          </w:tcPr>
          <w:p>
            <w:pPr>
              <w:ind w:left="1780"/>
              <w:spacing w:after="0"/>
              <w:rPr>
                <w:sz w:val="20"/>
                <w:szCs w:val="20"/>
                <w:color w:val="auto"/>
              </w:rPr>
            </w:pPr>
            <w:r>
              <w:rPr>
                <w:rFonts w:ascii="Arial" w:cs="Arial" w:eastAsia="Arial" w:hAnsi="Arial"/>
                <w:sz w:val="18"/>
                <w:szCs w:val="18"/>
                <w:color w:val="auto"/>
              </w:rPr>
              <w:t>SELECTA BIOSCIENCES, INC.</w:t>
            </w:r>
          </w:p>
        </w:tc>
      </w:tr>
      <w:tr>
        <w:trPr>
          <w:trHeight w:val="688"/>
        </w:trPr>
        <w:tc>
          <w:tcPr>
            <w:tcW w:w="3680" w:type="dxa"/>
            <w:vAlign w:val="bottom"/>
          </w:tcPr>
          <w:p>
            <w:pPr>
              <w:spacing w:after="0"/>
              <w:rPr>
                <w:sz w:val="20"/>
                <w:szCs w:val="20"/>
                <w:color w:val="auto"/>
              </w:rPr>
            </w:pPr>
            <w:r>
              <w:rPr>
                <w:rFonts w:ascii="Arial" w:cs="Arial" w:eastAsia="Arial" w:hAnsi="Arial"/>
                <w:sz w:val="18"/>
                <w:szCs w:val="18"/>
                <w:color w:val="auto"/>
              </w:rPr>
              <w:t>Date: September 25, 2023</w:t>
            </w:r>
          </w:p>
        </w:tc>
        <w:tc>
          <w:tcPr>
            <w:tcW w:w="2360" w:type="dxa"/>
            <w:vAlign w:val="bottom"/>
          </w:tcPr>
          <w:p>
            <w:pPr>
              <w:ind w:left="178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Carsten Brunn, Ph.D.</w:t>
            </w:r>
          </w:p>
        </w:tc>
      </w:tr>
      <w:tr>
        <w:trPr>
          <w:trHeight w:val="222"/>
        </w:trPr>
        <w:tc>
          <w:tcPr>
            <w:tcW w:w="36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Carsten Brunn, Ph.D.</w:t>
            </w:r>
          </w:p>
        </w:tc>
      </w:tr>
      <w:tr>
        <w:trPr>
          <w:trHeight w:val="230"/>
        </w:trPr>
        <w:tc>
          <w:tcPr>
            <w:tcW w:w="36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pacing w:after="0" w:line="1" w:lineRule="exact"/>
        <w:rPr>
          <w:sz w:val="20"/>
          <w:szCs w:val="20"/>
          <w:color w:val="auto"/>
        </w:rPr>
      </w:pPr>
    </w:p>
    <w:sectPr>
      <w:pgSz w:w="11900" w:h="16838" w:orient="portrait"/>
      <w:cols w:equalWidth="0" w:num="1">
        <w:col w:w="11200"/>
      </w:cols>
      <w:pgMar w:left="320" w:top="76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2023-09-25T15:38:00Z</dcterms:created>
  <dcterms:modified xsi:type="dcterms:W3CDTF">2023-09-25T15:38:00Z</dcterms:modified>
</cp:coreProperties>
</file>