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7049135" cy="441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41833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Miljkovic Milos</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(Last)</w:t>
            </w:r>
          </w:p>
        </w:tc>
        <w:tc>
          <w:tcPr>
            <w:tcW w:w="900" w:type="dxa"/>
            <w:vAlign w:val="bottom"/>
          </w:tcPr>
          <w:p>
            <w:pPr>
              <w:ind w:left="12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0000FF"/>
              </w:rPr>
              <w:t>C/O CARTESIAN THERAPEUTICS, INC.</w:t>
            </w:r>
          </w:p>
        </w:tc>
      </w:tr>
      <w:tr>
        <w:trPr>
          <w:trHeight w:val="247"/>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color w:val="0000FF"/>
              </w:rPr>
              <w:t>65 GROVE STREET</w:t>
            </w:r>
          </w:p>
        </w:tc>
        <w:tc>
          <w:tcPr>
            <w:tcW w:w="164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46"/>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WATERTOWN</w:t>
            </w:r>
          </w:p>
        </w:tc>
        <w:tc>
          <w:tcPr>
            <w:tcW w:w="900" w:type="dxa"/>
            <w:vAlign w:val="bottom"/>
          </w:tcPr>
          <w:p>
            <w:pPr>
              <w:ind w:left="120"/>
              <w:spacing w:after="0"/>
              <w:rPr>
                <w:sz w:val="20"/>
                <w:szCs w:val="20"/>
                <w:color w:val="auto"/>
              </w:rPr>
            </w:pPr>
            <w:r>
              <w:rPr>
                <w:rFonts w:ascii="Arial" w:cs="Arial" w:eastAsia="Arial" w:hAnsi="Arial"/>
                <w:sz w:val="16"/>
                <w:szCs w:val="16"/>
                <w:color w:val="0000FF"/>
              </w:rPr>
              <w:t>MA</w:t>
            </w:r>
          </w:p>
        </w:tc>
        <w:tc>
          <w:tcPr>
            <w:tcW w:w="1640" w:type="dxa"/>
            <w:vAlign w:val="bottom"/>
          </w:tcPr>
          <w:p>
            <w:pPr>
              <w:ind w:left="440"/>
              <w:spacing w:after="0"/>
              <w:rPr>
                <w:sz w:val="20"/>
                <w:szCs w:val="20"/>
                <w:color w:val="auto"/>
              </w:rPr>
            </w:pPr>
            <w:r>
              <w:rPr>
                <w:rFonts w:ascii="Arial" w:cs="Arial" w:eastAsia="Arial" w:hAnsi="Arial"/>
                <w:sz w:val="16"/>
                <w:szCs w:val="16"/>
                <w:color w:val="0000FF"/>
              </w:rPr>
              <w:t>02472</w:t>
            </w: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3"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5"/>
        </w:trPr>
        <w:tc>
          <w:tcPr>
            <w:tcW w:w="228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6"/>
                <w:szCs w:val="16"/>
                <w:color w:val="0000FF"/>
              </w:rPr>
              <w:t>Chief Medical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00" w:right="400"/>
        <w:spacing w:after="0" w:line="26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860" w:type="dxa"/>
            <w:vAlign w:val="bottom"/>
          </w:tcPr>
          <w:p>
            <w:pPr>
              <w:ind w:left="88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 and 4)</w:t>
            </w:r>
          </w:p>
        </w:tc>
        <w:tc>
          <w:tcPr>
            <w:tcW w:w="7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7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Non-Voting</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Arial" w:cs="Arial" w:eastAsia="Arial" w:hAnsi="Arial"/>
                <w:sz w:val="16"/>
                <w:szCs w:val="16"/>
                <w:color w:val="0000FF"/>
                <w:w w:val="95"/>
              </w:rPr>
              <w:t>2,565.872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ind w:left="1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107.59</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11/13/2023</w:t>
            </w:r>
          </w:p>
        </w:tc>
        <w:tc>
          <w:tcPr>
            <w:tcW w:w="1040" w:type="dxa"/>
            <w:vAlign w:val="bottom"/>
          </w:tcPr>
          <w:p>
            <w:pPr>
              <w:spacing w:after="0"/>
              <w:rPr>
                <w:sz w:val="6"/>
                <w:szCs w:val="6"/>
                <w:color w:val="auto"/>
              </w:rPr>
            </w:pPr>
          </w:p>
        </w:tc>
        <w:tc>
          <w:tcPr>
            <w:tcW w:w="76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4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rPr>
              <w:t>2,565.872</w:t>
            </w:r>
          </w:p>
        </w:tc>
        <w:tc>
          <w:tcPr>
            <w:tcW w:w="28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9"/>
              </w:rPr>
              <w:t>09/12/2031</w:t>
            </w:r>
          </w:p>
        </w:tc>
        <w:tc>
          <w:tcPr>
            <w:tcW w:w="7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6"/>
                <w:szCs w:val="6"/>
                <w:color w:val="auto"/>
              </w:rPr>
            </w:pPr>
          </w:p>
        </w:tc>
        <w:tc>
          <w:tcPr>
            <w:tcW w:w="660" w:type="dxa"/>
            <w:vAlign w:val="bottom"/>
            <w:vMerge w:val="restart"/>
          </w:tcPr>
          <w:p>
            <w:pPr>
              <w:ind w:left="280"/>
              <w:spacing w:after="0"/>
              <w:rPr>
                <w:sz w:val="20"/>
                <w:szCs w:val="20"/>
                <w:color w:val="auto"/>
              </w:rPr>
            </w:pPr>
            <w:r>
              <w:rPr>
                <w:rFonts w:ascii="Arial" w:cs="Arial" w:eastAsia="Arial" w:hAnsi="Arial"/>
                <w:sz w:val="10"/>
                <w:szCs w:val="10"/>
                <w:color w:val="008000"/>
              </w:rPr>
              <w:t>(3)</w:t>
            </w:r>
          </w:p>
        </w:tc>
        <w:tc>
          <w:tcPr>
            <w:tcW w:w="900" w:type="dxa"/>
            <w:vAlign w:val="bottom"/>
            <w:vMerge w:val="restart"/>
          </w:tcPr>
          <w:p>
            <w:pPr>
              <w:ind w:left="200"/>
              <w:spacing w:after="0" w:line="136" w:lineRule="exact"/>
              <w:rPr>
                <w:sz w:val="20"/>
                <w:szCs w:val="20"/>
                <w:color w:val="auto"/>
              </w:rPr>
            </w:pPr>
            <w:r>
              <w:rPr>
                <w:rFonts w:ascii="Arial" w:cs="Arial" w:eastAsia="Arial" w:hAnsi="Arial"/>
                <w:sz w:val="12"/>
                <w:szCs w:val="12"/>
                <w:color w:val="0000FF"/>
              </w:rPr>
              <w:t>2,565.872</w:t>
            </w:r>
          </w:p>
        </w:tc>
        <w:tc>
          <w:tcPr>
            <w:tcW w:w="7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ind w:left="120"/>
              <w:spacing w:after="0" w:line="85"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3460" w:type="dxa"/>
            <w:vAlign w:val="bottom"/>
          </w:tcPr>
          <w:p>
            <w:pPr>
              <w:spacing w:after="0"/>
              <w:rPr>
                <w:sz w:val="20"/>
                <w:szCs w:val="20"/>
                <w:color w:val="auto"/>
              </w:rPr>
            </w:pPr>
            <w:r>
              <w:rPr>
                <w:rFonts w:ascii="Arial" w:cs="Arial" w:eastAsia="Arial" w:hAnsi="Arial"/>
                <w:sz w:val="12"/>
                <w:szCs w:val="12"/>
                <w:color w:val="0000FF"/>
              </w:rPr>
              <w:t>Buy)</w:t>
            </w:r>
          </w:p>
        </w:tc>
        <w:tc>
          <w:tcPr>
            <w:tcW w:w="3640" w:type="dxa"/>
            <w:vAlign w:val="bottom"/>
            <w:vMerge w:val="restart"/>
          </w:tcPr>
          <w:p>
            <w:pPr>
              <w:ind w:left="3240"/>
              <w:spacing w:after="0"/>
              <w:rPr>
                <w:sz w:val="20"/>
                <w:szCs w:val="20"/>
                <w:color w:val="auto"/>
              </w:rPr>
            </w:pPr>
            <w:r>
              <w:rPr>
                <w:rFonts w:ascii="Arial" w:cs="Arial" w:eastAsia="Arial" w:hAnsi="Arial"/>
                <w:sz w:val="12"/>
                <w:szCs w:val="12"/>
                <w:color w:val="0000FF"/>
                <w:w w:val="81"/>
              </w:rPr>
              <w:t>Stock</w:t>
            </w:r>
            <w:r>
              <w:rPr>
                <w:rFonts w:ascii="Arial" w:cs="Arial" w:eastAsia="Arial" w:hAnsi="Arial"/>
                <w:sz w:val="20"/>
                <w:szCs w:val="20"/>
                <w:color w:val="008000"/>
                <w:w w:val="81"/>
                <w:vertAlign w:val="superscript"/>
              </w:rPr>
              <w:t>(2)</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54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is currently exercisable for 1,282.936 shares of Series A Non-Voting Convertible Preferred Stock of the issuer ("Series A Preferred Stock") and becomes exercisable for the remaining shares in two equal tranches on September 13, 2024 and 2025.</w:t>
      </w:r>
    </w:p>
    <w:p>
      <w:pPr>
        <w:spacing w:after="0" w:line="14" w:lineRule="exact"/>
        <w:rPr>
          <w:rFonts w:ascii="Arial" w:cs="Arial" w:eastAsia="Arial" w:hAnsi="Arial"/>
          <w:sz w:val="12"/>
          <w:szCs w:val="12"/>
          <w:color w:val="008000"/>
        </w:rPr>
      </w:pPr>
    </w:p>
    <w:p>
      <w:pPr>
        <w:ind w:left="40" w:right="260" w:hanging="4"/>
        <w:spacing w:after="0" w:line="246"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Following the approval by the stockholders of the issuer of the conversion of the Series A Preferred Stock into shares of common stock of the issuer ("Common Stock"), each share of Series A Preferred Stock will be convertible into 1,000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p>
      <w:pPr>
        <w:spacing w:after="0" w:line="27" w:lineRule="exact"/>
        <w:rPr>
          <w:rFonts w:ascii="Arial" w:cs="Arial" w:eastAsia="Arial" w:hAnsi="Arial"/>
          <w:sz w:val="12"/>
          <w:szCs w:val="12"/>
          <w:color w:val="008000"/>
        </w:rPr>
      </w:pPr>
    </w:p>
    <w:p>
      <w:pPr>
        <w:ind w:left="40" w:right="48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13, 2023, the issuer acquired Cartesian Therapeutics, Inc. ("Cartesian") in accordance with the terms of an Agreement and Plan of Merger, dated November 13, 2023. Options to purchase Cartesian common stock held by the reporting person were converted into options to purchase shares of Series A Preferred Stock in connection with the acquisition.</w:t>
      </w:r>
    </w:p>
    <w:p>
      <w:pPr>
        <w:spacing w:after="0" w:line="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8"/>
              </w:rPr>
              <w:t>/s/ Milos Miljkovic</w:t>
            </w:r>
          </w:p>
        </w:tc>
        <w:tc>
          <w:tcPr>
            <w:tcW w:w="9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11/15/2023</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028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2023-11-15T15:47:42Z</dcterms:created>
  <dcterms:modified xsi:type="dcterms:W3CDTF">2023-11-15T15:47:42Z</dcterms:modified>
</cp:coreProperties>
</file>