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31, 2023</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SELECTA BIOSCIENCES,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Delaware</w:t>
            </w:r>
          </w:p>
        </w:tc>
        <w:tc>
          <w:tcPr>
            <w:tcW w:w="49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001-37798</w:t>
            </w:r>
          </w:p>
        </w:tc>
        <w:tc>
          <w:tcPr>
            <w:tcW w:w="196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26-1622110</w:t>
            </w:r>
          </w:p>
        </w:tc>
      </w:tr>
      <w:tr>
        <w:trPr>
          <w:trHeight w:val="176"/>
        </w:trPr>
        <w:tc>
          <w:tcPr>
            <w:tcW w:w="2460" w:type="dxa"/>
            <w:vAlign w:val="bottom"/>
          </w:tcPr>
          <w:p>
            <w:pPr>
              <w:jc w:val="center"/>
              <w:ind w:right="490"/>
              <w:spacing w:after="0" w:line="176" w:lineRule="exact"/>
              <w:rPr>
                <w:sz w:val="20"/>
                <w:szCs w:val="20"/>
                <w:color w:val="auto"/>
              </w:rPr>
            </w:pPr>
            <w:r>
              <w:rPr>
                <w:rFonts w:ascii="Arial" w:cs="Arial" w:eastAsia="Arial" w:hAnsi="Arial"/>
                <w:sz w:val="18"/>
                <w:szCs w:val="18"/>
                <w:color w:val="auto"/>
                <w:w w:val="91"/>
              </w:rPr>
              <w:t>(State or other jurisdiction</w:t>
            </w:r>
          </w:p>
        </w:tc>
        <w:tc>
          <w:tcPr>
            <w:tcW w:w="496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3"/>
              </w:rPr>
              <w:t>(Commission</w:t>
            </w:r>
          </w:p>
        </w:tc>
        <w:tc>
          <w:tcPr>
            <w:tcW w:w="1960" w:type="dxa"/>
            <w:vAlign w:val="bottom"/>
          </w:tcPr>
          <w:p>
            <w:pPr>
              <w:jc w:val="center"/>
              <w:ind w:left="530"/>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2460" w:type="dxa"/>
            <w:vAlign w:val="bottom"/>
          </w:tcPr>
          <w:p>
            <w:pPr>
              <w:jc w:val="center"/>
              <w:ind w:right="430"/>
              <w:spacing w:after="0"/>
              <w:rPr>
                <w:sz w:val="20"/>
                <w:szCs w:val="20"/>
                <w:color w:val="auto"/>
              </w:rPr>
            </w:pPr>
            <w:r>
              <w:rPr>
                <w:rFonts w:ascii="Arial" w:cs="Arial" w:eastAsia="Arial" w:hAnsi="Arial"/>
                <w:sz w:val="18"/>
                <w:szCs w:val="18"/>
                <w:color w:val="auto"/>
                <w:w w:val="93"/>
              </w:rPr>
              <w:t>of incorporation)</w:t>
            </w:r>
          </w:p>
        </w:tc>
        <w:tc>
          <w:tcPr>
            <w:tcW w:w="4960" w:type="dxa"/>
            <w:vAlign w:val="bottom"/>
          </w:tcPr>
          <w:p>
            <w:pPr>
              <w:jc w:val="center"/>
              <w:ind w:right="130"/>
              <w:spacing w:after="0"/>
              <w:rPr>
                <w:sz w:val="20"/>
                <w:szCs w:val="20"/>
                <w:color w:val="auto"/>
              </w:rPr>
            </w:pPr>
            <w:r>
              <w:rPr>
                <w:rFonts w:ascii="Arial" w:cs="Arial" w:eastAsia="Arial" w:hAnsi="Arial"/>
                <w:sz w:val="18"/>
                <w:szCs w:val="18"/>
                <w:color w:val="auto"/>
                <w:w w:val="94"/>
              </w:rPr>
              <w:t>File Number)</w:t>
            </w:r>
          </w:p>
        </w:tc>
        <w:tc>
          <w:tcPr>
            <w:tcW w:w="1960" w:type="dxa"/>
            <w:vAlign w:val="bottom"/>
          </w:tcPr>
          <w:p>
            <w:pPr>
              <w:jc w:val="center"/>
              <w:ind w:left="530"/>
              <w:spacing w:after="0"/>
              <w:rPr>
                <w:sz w:val="20"/>
                <w:szCs w:val="20"/>
                <w:color w:val="auto"/>
              </w:rPr>
            </w:pPr>
            <w:r>
              <w:rPr>
                <w:rFonts w:ascii="Arial" w:cs="Arial" w:eastAsia="Arial" w:hAnsi="Arial"/>
                <w:sz w:val="18"/>
                <w:szCs w:val="18"/>
                <w:color w:val="auto"/>
                <w:w w:val="95"/>
              </w:rPr>
              <w:t>Identification No.)</w:t>
            </w:r>
          </w:p>
        </w:tc>
      </w:tr>
      <w:tr>
        <w:trPr>
          <w:trHeight w:val="430"/>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65 Grove Street, Watertown, MA 02472</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Arial" w:cs="Arial" w:eastAsia="Arial" w:hAnsi="Arial"/>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8"/>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(617) 923-1400</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Arial" w:cs="Arial" w:eastAsia="Arial" w:hAnsi="Arial"/>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1"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3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5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On October 31, 2023, Selecta Biosciences, Inc. (the “Company”) and Swedish Orphan Biovitrum AB (publ.) (“Sobi”) entered into Amendment No. 1 (the “Amendment”) to the License and Development Agreement (as so amended, the “Agreement”) by and between the Company and Sobi. Pursuant to the Amendment, the Company granted Sobi an exclusive license to manufacture ImmTOR solely in connection with Sobi’s development of SEL-212 under the Agreement and is transferring certain contracts and manufacturing equipment to Sobi. Additionally, in connection with entry into the Amendment, Sobi agreed to make employment offers to certain of the Company’s employees engaged in ImmTOR manufacturing activities on or prior to a specified date, and the Company agreed not to terminate the employment of such employees prior to such specified date. As a result of the Amendment, the Company maintains no responsibilities to Sobi to manufacture, or supply Sobi with, ImmTOR under the Agreement.</w:t>
      </w:r>
    </w:p>
    <w:p>
      <w:pPr>
        <w:spacing w:after="0" w:line="65"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20" w:firstLine="324"/>
        <w:spacing w:after="0" w:line="292" w:lineRule="auto"/>
        <w:rPr>
          <w:sz w:val="20"/>
          <w:szCs w:val="20"/>
          <w:color w:val="auto"/>
        </w:rPr>
      </w:pPr>
      <w:r>
        <w:rPr>
          <w:rFonts w:ascii="Arial" w:cs="Arial" w:eastAsia="Arial" w:hAnsi="Arial"/>
          <w:sz w:val="16"/>
          <w:szCs w:val="16"/>
          <w:color w:val="auto"/>
        </w:rPr>
        <w:t>In connection with the Amendment, Peter Traber, the Company’s Chief Medical Officer, has agreed to serve as a consultant to Sobi and move to part-time status as the Company’s Chief Medical Officer, each effective as of November 6, 2023. On October 31, 2023, the Company and Dr. Traber entered into an amended and restated employment agreement (the “Amended Employment Agreement”), dated as of October 31, 2023, pursuant to which Dr. Traber’s working time and efforts to the business and affairs of the Company were reduced by 50%, his annual base salary was reduced to $250,000 and his target bonus for 2023 was adjusted such that it will be calculated based upon (i) his aggregate base salary through November 5, 2023 under his prior</w:t>
      </w:r>
    </w:p>
    <w:p>
      <w:pPr>
        <w:spacing w:after="0" w:line="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employment agreement plus (ii) his aggregate base salary from November 6 through the remainder of 2023 under the Amended Employment Agreement. The Amended Employment Agreement provides for continued vesting of awards previously granted to Dr. Traber under the Company’s equity compensation plans, subject to Dr. Traber’s continued employment and the terms of the applicable plan(s) and award agreement(s). The Amended Employment Agreement also provides that Dr. Traber’s severance benefits will be calculated based upon his annual base salary immediately prior to entry into the Amended Employment Agreement in the event that Dr. Traber is terminated without cause or resigns for good reason (each as defined in the Amended Employment Agreement) within six months following the effective date of the Amended Employment Agreement.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On October 31, 2023, the Company issued a press release announcing the Amendment. A copy of this press release is attached to this Current Report on Form 8-K as Exhibit 99.1 and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9420" w:type="dxa"/>
            <w:vAlign w:val="bottom"/>
            <w:gridSpan w:val="2"/>
            <w:vMerge w:val="restart"/>
          </w:tcPr>
          <w:p>
            <w:pPr>
              <w:ind w:left="4100"/>
              <w:spacing w:after="0"/>
              <w:rPr>
                <w:sz w:val="20"/>
                <w:szCs w:val="20"/>
                <w:color w:val="auto"/>
              </w:rPr>
            </w:pPr>
            <w:r>
              <w:rPr>
                <w:rFonts w:ascii="Arial" w:cs="Arial" w:eastAsia="Arial" w:hAnsi="Arial"/>
                <w:sz w:val="14"/>
                <w:szCs w:val="14"/>
                <w:b w:val="1"/>
                <w:bCs w:val="1"/>
                <w:color w:val="auto"/>
              </w:rPr>
              <w:t>Exhibit Description</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7"/>
              </w:rPr>
              <w:t>No.</w:t>
            </w:r>
          </w:p>
        </w:tc>
        <w:tc>
          <w:tcPr>
            <w:tcW w:w="5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420" w:type="dxa"/>
            <w:vAlign w:val="bottom"/>
            <w:tcBorders>
              <w:bottom w:val="single" w:sz="8" w:color="auto"/>
            </w:tcBorders>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8"/>
        </w:trPr>
        <w:tc>
          <w:tcPr>
            <w:tcW w:w="1240" w:type="dxa"/>
            <w:vAlign w:val="bottom"/>
            <w:gridSpan w:val="3"/>
          </w:tcPr>
          <w:p>
            <w:pPr>
              <w:jc w:val="center"/>
              <w:ind w:right="440"/>
              <w:spacing w:after="0"/>
              <w:rPr>
                <w:sz w:val="20"/>
                <w:szCs w:val="20"/>
                <w:color w:val="auto"/>
              </w:rPr>
            </w:pPr>
            <w:r>
              <w:rPr>
                <w:rFonts w:ascii="Arial" w:cs="Arial" w:eastAsia="Arial" w:hAnsi="Arial"/>
                <w:sz w:val="18"/>
                <w:szCs w:val="18"/>
                <w:color w:val="0000FF"/>
              </w:rPr>
              <w:t>99.</w:t>
            </w:r>
            <w:r>
              <w:rPr>
                <w:rFonts w:ascii="Arial" w:cs="Arial" w:eastAsia="Arial" w:hAnsi="Arial"/>
                <w:sz w:val="18"/>
                <w:szCs w:val="18"/>
                <w:u w:val="single" w:color="auto"/>
                <w:color w:val="0000FF"/>
              </w:rPr>
              <w:t>1</w:t>
            </w:r>
          </w:p>
        </w:tc>
        <w:tc>
          <w:tcPr>
            <w:tcW w:w="540" w:type="dxa"/>
            <w:vAlign w:val="bottom"/>
          </w:tcPr>
          <w:p>
            <w:pPr>
              <w:spacing w:after="0"/>
              <w:rPr>
                <w:sz w:val="24"/>
                <w:szCs w:val="24"/>
                <w:color w:val="auto"/>
              </w:rPr>
            </w:pPr>
          </w:p>
        </w:tc>
        <w:tc>
          <w:tcPr>
            <w:tcW w:w="9460" w:type="dxa"/>
            <w:vAlign w:val="bottom"/>
            <w:gridSpan w:val="4"/>
          </w:tcPr>
          <w:p>
            <w:pPr>
              <w:ind w:left="20"/>
              <w:spacing w:after="0"/>
              <w:rPr>
                <w:sz w:val="20"/>
                <w:szCs w:val="20"/>
                <w:color w:val="auto"/>
              </w:rPr>
            </w:pPr>
            <w:r>
              <w:rPr>
                <w:rFonts w:ascii="Arial" w:cs="Arial" w:eastAsia="Arial" w:hAnsi="Arial"/>
                <w:sz w:val="18"/>
                <w:szCs w:val="18"/>
                <w:color w:val="0000FF"/>
              </w:rPr>
              <w:t>Press Release of Selecta Biosciences, Inc. dated October 31, 2023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40" w:type="dxa"/>
            <w:vAlign w:val="bottom"/>
            <w:shd w:val="clear" w:color="auto" w:fill="0000FF"/>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104</w:t>
            </w: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60" w:type="dxa"/>
            <w:vAlign w:val="bottom"/>
            <w:gridSpan w:val="4"/>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965"/>
        </w:trPr>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600" w:type="dxa"/>
            <w:vAlign w:val="bottom"/>
            <w:gridSpan w:val="2"/>
          </w:tcPr>
          <w:p>
            <w:pPr>
              <w:ind w:left="1880"/>
              <w:spacing w:after="0"/>
              <w:rPr>
                <w:sz w:val="20"/>
                <w:szCs w:val="20"/>
                <w:color w:val="auto"/>
              </w:rPr>
            </w:pPr>
            <w:r>
              <w:rPr>
                <w:rFonts w:ascii="Arial" w:cs="Arial" w:eastAsia="Arial" w:hAnsi="Arial"/>
                <w:sz w:val="18"/>
                <w:szCs w:val="18"/>
                <w:color w:val="auto"/>
              </w:rPr>
              <w:t>SELECTA BIOSCIENCES, INC.</w:t>
            </w:r>
          </w:p>
        </w:tc>
      </w:tr>
      <w:tr>
        <w:trPr>
          <w:trHeight w:val="688"/>
        </w:trPr>
        <w:tc>
          <w:tcPr>
            <w:tcW w:w="3580" w:type="dxa"/>
            <w:vAlign w:val="bottom"/>
          </w:tcPr>
          <w:p>
            <w:pPr>
              <w:spacing w:after="0"/>
              <w:rPr>
                <w:sz w:val="20"/>
                <w:szCs w:val="20"/>
                <w:color w:val="auto"/>
              </w:rPr>
            </w:pPr>
            <w:r>
              <w:rPr>
                <w:rFonts w:ascii="Arial" w:cs="Arial" w:eastAsia="Arial" w:hAnsi="Arial"/>
                <w:sz w:val="18"/>
                <w:szCs w:val="18"/>
                <w:color w:val="auto"/>
              </w:rPr>
              <w:t>Date: October 31, 2023</w:t>
            </w:r>
          </w:p>
        </w:tc>
        <w:tc>
          <w:tcPr>
            <w:tcW w:w="2460" w:type="dxa"/>
            <w:vAlign w:val="bottom"/>
          </w:tcPr>
          <w:p>
            <w:pPr>
              <w:ind w:left="18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Carsten Brunn, Ph.D.</w:t>
            </w:r>
          </w:p>
        </w:tc>
      </w:tr>
      <w:tr>
        <w:trPr>
          <w:trHeight w:val="222"/>
        </w:trPr>
        <w:tc>
          <w:tcPr>
            <w:tcW w:w="35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Carsten Brunn, Ph.D.</w:t>
            </w:r>
          </w:p>
        </w:tc>
      </w:tr>
      <w:tr>
        <w:trPr>
          <w:trHeight w:val="230"/>
        </w:trPr>
        <w:tc>
          <w:tcPr>
            <w:tcW w:w="35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00"/>
          </w:cols>
          <w:pgMar w:left="320" w:top="769"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697355" cy="531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9735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Selecta Announces Transiton of Manufacturing and Clinical Operatons of ImmTOR for SEL-212 to Commercializaton Partner Sobi</w:t>
      </w:r>
    </w:p>
    <w:p>
      <w:pPr>
        <w:spacing w:after="0" w:line="198" w:lineRule="exact"/>
        <w:rPr>
          <w:sz w:val="20"/>
          <w:szCs w:val="20"/>
          <w:color w:val="auto"/>
        </w:rPr>
      </w:pPr>
    </w:p>
    <w:p>
      <w:pPr>
        <w:jc w:val="both"/>
        <w:spacing w:after="0" w:line="326" w:lineRule="auto"/>
        <w:rPr>
          <w:sz w:val="20"/>
          <w:szCs w:val="20"/>
          <w:color w:val="auto"/>
        </w:rPr>
      </w:pPr>
      <w:r>
        <w:rPr>
          <w:rFonts w:ascii="Arial" w:cs="Arial" w:eastAsia="Arial" w:hAnsi="Arial"/>
          <w:sz w:val="18"/>
          <w:szCs w:val="18"/>
          <w:color w:val="auto"/>
        </w:rPr>
        <w:t>WATERTOWN, Mass., October 31, 2023 (GLOBE NEWSWIRE) – Selecta Biosciences, Inc. (NASDAQ: SELB), a biotechnology company leveraging its clinically validated ImmTOR™ platorm to develop tolerogenic therapies for autoimmune diseases and gene therapies, today announced that it has entered into an agreement to transiton the manufacturing and development rights and remaining clinical operatons of ImmTOR for SEL-212 to its development and commercializaton partner, Swedish Orphan Biovitrum AB (publ.) (Sobi). As of November 6, 2023, Sobi will assume responsibility for the manufacturing and commercial supply of ImmTOR for SEL-212. SEL-212, a combinaton of Selecta’s ImmTOR immune tolerance platorm and a therapeutc uricase enzyme (pegadricase), is in development for the treatment of chronic refractory gout. A Biologics License Applicaton (BLA) submission for SEL-212 remains on track for the frst half of 2024.</w:t>
      </w:r>
    </w:p>
    <w:p>
      <w:pPr>
        <w:spacing w:after="0" w:line="178"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In connecton with this transiton, 15 Selecta employees currently supportng ImmTOR manufacturing and clinical development actvites for SEL-212 are expected to become employees of Sobi. In additon, Peter G. Traber, M.D., Chief Medical Ofcer of Selecta, will begin serving as a consultant to Sobi, helping to oversee the clinical and regulatory actvites associated with SEL-212. Dr. Traber will also contnue to serve in his role as Chief Medical Ofcer at Selecta on a part-tme basis.</w:t>
      </w:r>
    </w:p>
    <w:p>
      <w:pPr>
        <w:spacing w:after="0" w:line="207" w:lineRule="exact"/>
        <w:rPr>
          <w:sz w:val="20"/>
          <w:szCs w:val="20"/>
          <w:color w:val="auto"/>
        </w:rPr>
      </w:pPr>
    </w:p>
    <w:p>
      <w:pPr>
        <w:jc w:val="both"/>
        <w:spacing w:after="0" w:line="303" w:lineRule="auto"/>
        <w:rPr>
          <w:sz w:val="20"/>
          <w:szCs w:val="20"/>
          <w:color w:val="auto"/>
        </w:rPr>
      </w:pPr>
      <w:r>
        <w:rPr>
          <w:rFonts w:ascii="Arial" w:cs="Arial" w:eastAsia="Arial" w:hAnsi="Arial"/>
          <w:sz w:val="19"/>
          <w:szCs w:val="19"/>
          <w:color w:val="auto"/>
        </w:rPr>
        <w:t>“We believe transitoning our manufacturing operatons to Sobi will further streamline our organizaton, consistent with our announced strategic objectve to optmize the value of our SEL-212 royalty stream for stockholders,” said Carsten Brunn, Ph.D., President and Chief Executve Ofcer of Selecta. “Leveraging ImmTOR, the only immune tolerance platorm with positve Phase 3 data, we frmly believe that SEL-212 has strong potental to address this signifcant unmet need and exceed $700 million in peak sales in the U.S."</w:t>
      </w:r>
    </w:p>
    <w:p>
      <w:pPr>
        <w:spacing w:after="0" w:line="193"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Sobi licensed SEL-212 from Selecta in June 2020 and is responsible for development, regulatory and commercial actvites in all markets outside of China. Selecta was originally responsible for ImmTOR manufacturing. Selecta is eligible to receive up to $615.0 million in remaining regulatory and commercial milestone payments and tered double-digit royaltes on net sales of SEL-212.</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Selecta Biosciences, Inc.</w:t>
      </w:r>
    </w:p>
    <w:p>
      <w:pPr>
        <w:spacing w:after="0" w:line="27"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Selecta Biosciences Inc. (NASDAQ: SELB) is a clinical stage biotechnology company leveraging its ImmTOR™ platorm to develop tolerogenic therapies that selectvely mitgate unwanted immune responses. With a proven ability to induce tolerance to highly immunogenic proteins, ImmTOR has the potental to amplify the efcacy of biologic therapies, including redosing of life-saving gene therapies, as well as restore the body’s natural self-tolerance in autoimmune diseases. Selecta has several proprietary and partnered programs in its pipeline focused on enzyme therapies, gene therapies, and autoimmune diseases. Selecta Biosciences is headquartered in the Greater Boston area. For more informaton, please visit www.selectabio.com.</w:t>
      </w:r>
    </w:p>
    <w:p>
      <w:pPr>
        <w:sectPr>
          <w:pgSz w:w="11900" w:h="16838" w:orient="portrait"/>
          <w:cols w:equalWidth="0" w:num="1">
            <w:col w:w="11240"/>
          </w:cols>
          <w:pgMar w:left="320" w:top="92"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Selecta Forward-Looking Statements</w:t>
      </w:r>
    </w:p>
    <w:p>
      <w:pPr>
        <w:spacing w:after="0" w:line="4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i w:val="1"/>
          <w:iCs w:val="1"/>
          <w:color w:val="auto"/>
        </w:rPr>
        <w:t>Any statements in this press release about the future expectatons, plans and prospects of Selecta Biosciences, Inc. (the “Company”), including without limitaton, statements regarding the Company’s strategic prioritzaton of SEL-212 and its collaboratons with Sobi and Astellas, the Company’s plans regarding the transiton of manufacturing and clinical operatons for SEL-212 to Sobi, the Company’s plans to maximize the value of its pipeline through potental licensing and corporate development actvites, the unique proprietary technology platorm of the Company and its partners, the potental of ImmTOR to enable re-dosing of therapies and to mitgate immunogenicity, the potental of ImmTOR and the Company’s product pipeline to treat chronic refractory gout, MMA, liver diseases, other autoimmune diseases, or any other disease, the antcipated tming or the outcome of ongoing and planned clinical trials, studies and data readouts, the antcipated tming or the outcome of the FDA’s review of the Company’s regulatory flings, the Company’s and its partners’ ability to conduct its and their clinical trials and preclinical studies, the tming or making of any regulatory flings, the antcipated tming or outcome of selecton of developmental product candidates, the ability of the Company to consummate any expected agreements and licenses, the potental treatment applicatons of product candidates utlizing the ImmTOR platorm in areas such as gene therapy, gout and autoimmune disease, the ability of the Company and its partners where applicable to develop gene therapy products using ImmTOR, the novelty of treatment paradigms that the Company is able to develop, the potental of any therapies developed by the Company to fulfll unmet medical needs, the Company’s plan to apply its ImmTOR technology platorm to a range of biologics for rare and orphan genetc diseases, the potental of the ImmTOR technology platorm generally, the Company’s ability to grow and maintain its strategic partnerships, and enrollment in the Company's clinical trials and other statements containing the words “antcipate,” “believe,” “contnue,” “could,” “estmate,” “expect,” “hypothesize,” “intend,” “may,” “plan,” “potental,” “predict,” “project,” “should,” “target,” “would,” and similar expressions, consttute forward-looking statements within the meaning of The Private Securites Litgaton Reform Act of 1995. Actual results may difer materially from those indicated by such forward-looking statements as a result of various important factors, including, but not limited to, the following: the uncertaintes inherent in the initaton, completon and cost of clinical trials including proof of concept trials, including uncertain outcomes, the availability and tming of data from ongoing and future clinical trials and the results of such trials, whether preliminary results from a partcular clinical trial will be predictve of the fnal results of that trial and whether results of early clinical trials will be indicatve of the results of later clinical trials, the ability to predict results of studies performed on human beings based on results of studies performed on non-human subjects, the unproven approach of the Company’s ImmTOR technology, potental delays in enrollment of patents, undesirable side efects of the Company’s product candidates, its reliance on third partes to manufacture its product candidates and to conduct its clinical trials, the Company’s inability to maintain its existng or future collaboratons, licenses or contractual relatonships, its inability to protect its proprietary technology and intellectual property, potental delays in regulatory approvals, the availability of funding sufcient for its foreseeable and unforeseeable operatng expenses and capital expenditure requirements, the Company’s recurring losses from operatons and negatve cash fows, substantal fuctuaton in the price of the Company’s common stock, risks related to geopolitcal conficts and pandemics and other important factors discussed in the “Risk Factors” secton of the Company’s most recent Annual Report on Form 10-K and Quarterly Reports on Form 10-Q, and in other flings that the Company makes with the Securites and Exchange Commission. In additon, any forward-looking statements included in this press release represent the Company’s views only as of the date of its</w:t>
      </w:r>
    </w:p>
    <w:p>
      <w:pPr>
        <w:sectPr>
          <w:pgSz w:w="11900" w:h="16838" w:orient="portrait"/>
          <w:cols w:equalWidth="0" w:num="1">
            <w:col w:w="11240"/>
          </w:cols>
          <w:pgMar w:left="320" w:top="1411" w:right="339" w:bottom="1440" w:gutter="0" w:footer="0" w:header="0"/>
        </w:sectPr>
      </w:pPr>
    </w:p>
    <w:bookmarkStart w:id="5" w:name="page6"/>
    <w:bookmarkEnd w:id="5"/>
    <w:p>
      <w:pPr>
        <w:spacing w:after="0" w:line="303" w:lineRule="auto"/>
        <w:rPr>
          <w:sz w:val="20"/>
          <w:szCs w:val="20"/>
          <w:color w:val="auto"/>
        </w:rPr>
      </w:pPr>
      <w:r>
        <w:rPr>
          <w:rFonts w:ascii="Arial" w:cs="Arial" w:eastAsia="Arial" w:hAnsi="Arial"/>
          <w:sz w:val="20"/>
          <w:szCs w:val="20"/>
          <w:i w:val="1"/>
          <w:iCs w:val="1"/>
          <w:color w:val="auto"/>
        </w:rPr>
        <w:t>publicaton and should not be relied upon as representng its views as of any subsequent date. The Company specifcally disclaims any intenton to update any forward-looking statements included in this press release, except as required by law.</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Investors and Media:</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Blaine Davis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Chief Financial Ofcer</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E32E1"/>
        </w:rPr>
        <w:t>bdavis@selectabio.com</w:t>
      </w:r>
    </w:p>
    <w:sectPr>
      <w:pgSz w:w="11900" w:h="16838" w:orient="portrait"/>
      <w:cols w:equalWidth="0" w:num="1">
        <w:col w:w="11240"/>
      </w:cols>
      <w:pgMar w:left="320" w:top="14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2023-10-31T15:17:47Z</dcterms:created>
  <dcterms:modified xsi:type="dcterms:W3CDTF">2023-10-31T15:17:47Z</dcterms:modified>
</cp:coreProperties>
</file>