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5)*</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Advisors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Capital GP III LLC</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 54th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Receive Notices and Communications)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both"/>
        <w:ind w:firstLine="63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0" w:lineRule="exact"/>
        <w:rPr>
          <w:sz w:val="24"/>
          <w:szCs w:val="24"/>
          <w:color w:val="auto"/>
        </w:rPr>
      </w:pPr>
    </w:p>
    <w:p>
      <w:pPr>
        <w:jc w:val="both"/>
        <w:ind w:firstLine="63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97" w:lineRule="exact"/>
        <w:rPr>
          <w:sz w:val="24"/>
          <w:szCs w:val="24"/>
          <w:color w:val="auto"/>
        </w:rPr>
      </w:pPr>
    </w:p>
    <w:p>
      <w:pPr>
        <w:jc w:val="both"/>
        <w:ind w:firstLine="63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jc w:val="both"/>
        <w:ind w:firstLine="63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280" w:type="dxa"/>
            <w:vAlign w:val="bottom"/>
            <w:tcBorders>
              <w:top w:val="single" w:sz="8" w:color="auto"/>
              <w:left w:val="single" w:sz="8" w:color="auto"/>
            </w:tcBorders>
            <w:gridSpan w:val="4"/>
          </w:tcPr>
          <w:p>
            <w:pPr>
              <w:ind w:left="100"/>
              <w:spacing w:after="0"/>
              <w:rPr>
                <w:sz w:val="20"/>
                <w:szCs w:val="20"/>
                <w:color w:val="auto"/>
              </w:rPr>
            </w:pPr>
            <w:r>
              <w:rPr>
                <w:rFonts w:ascii="Arial" w:cs="Arial" w:eastAsia="Arial" w:hAnsi="Arial"/>
                <w:sz w:val="18"/>
                <w:szCs w:val="18"/>
                <w:color w:val="auto"/>
              </w:rPr>
              <w:t>CUSIP No. 816212104</w:t>
            </w:r>
          </w:p>
        </w:tc>
        <w:tc>
          <w:tcPr>
            <w:tcW w:w="620" w:type="dxa"/>
            <w:vAlign w:val="bottom"/>
            <w:tcBorders>
              <w:top w:val="single" w:sz="8" w:color="auto"/>
            </w:tcBorders>
          </w:tcPr>
          <w:p>
            <w:pPr>
              <w:spacing w:after="0"/>
              <w:rPr>
                <w:sz w:val="24"/>
                <w:szCs w:val="24"/>
                <w:color w:val="auto"/>
              </w:rPr>
            </w:pPr>
          </w:p>
        </w:tc>
        <w:tc>
          <w:tcPr>
            <w:tcW w:w="784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2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900" w:type="dxa"/>
            <w:vAlign w:val="bottom"/>
            <w:tcBorders>
              <w:bottom w:val="single" w:sz="8" w:color="auto"/>
              <w:right w:val="single" w:sz="8" w:color="auto"/>
            </w:tcBorders>
            <w:gridSpan w:val="4"/>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1</w:t>
            </w:r>
          </w:p>
        </w:tc>
        <w:tc>
          <w:tcPr>
            <w:tcW w:w="220" w:type="dxa"/>
            <w:vAlign w:val="bottom"/>
            <w:tcBorders>
              <w:right w:val="single" w:sz="8" w:color="auto"/>
            </w:tcBorders>
          </w:tcPr>
          <w:p>
            <w:pPr>
              <w:spacing w:after="0"/>
              <w:rPr>
                <w:sz w:val="23"/>
                <w:szCs w:val="23"/>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color w:val="auto"/>
              </w:rPr>
              <w:t>OrbiMed Advisors LLC</w:t>
            </w: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900" w:type="dxa"/>
            <w:vAlign w:val="bottom"/>
            <w:tcBorders>
              <w:bottom w:val="single" w:sz="8" w:color="auto"/>
              <w:right w:val="single" w:sz="8" w:color="auto"/>
            </w:tcBorders>
            <w:gridSpan w:val="4"/>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2</w:t>
            </w:r>
          </w:p>
        </w:tc>
        <w:tc>
          <w:tcPr>
            <w:tcW w:w="220" w:type="dxa"/>
            <w:vAlign w:val="bottom"/>
            <w:tcBorders>
              <w:right w:val="single" w:sz="8" w:color="auto"/>
            </w:tcBorders>
          </w:tcPr>
          <w:p>
            <w:pPr>
              <w:spacing w:after="0"/>
              <w:rPr>
                <w:sz w:val="20"/>
                <w:szCs w:val="20"/>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3</w:t>
            </w:r>
          </w:p>
        </w:tc>
        <w:tc>
          <w:tcPr>
            <w:tcW w:w="220" w:type="dxa"/>
            <w:vAlign w:val="bottom"/>
            <w:tcBorders>
              <w:right w:val="single" w:sz="8" w:color="auto"/>
            </w:tcBorders>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20" w:type="dxa"/>
            <w:vAlign w:val="bottom"/>
          </w:tcPr>
          <w:p>
            <w:pPr>
              <w:spacing w:after="0"/>
              <w:rPr>
                <w:sz w:val="24"/>
                <w:szCs w:val="24"/>
                <w:color w:val="auto"/>
              </w:rPr>
            </w:pPr>
          </w:p>
        </w:tc>
        <w:tc>
          <w:tcPr>
            <w:tcW w:w="78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2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2060" w:type="dxa"/>
            <w:vAlign w:val="bottom"/>
            <w:tcBorders>
              <w:bottom w:val="single" w:sz="8" w:color="auto"/>
            </w:tcBorders>
            <w:gridSpan w:val="3"/>
          </w:tcPr>
          <w:p>
            <w:pPr>
              <w:spacing w:after="0"/>
              <w:rPr>
                <w:sz w:val="8"/>
                <w:szCs w:val="8"/>
                <w:color w:val="auto"/>
              </w:rPr>
            </w:pPr>
          </w:p>
        </w:tc>
        <w:tc>
          <w:tcPr>
            <w:tcW w:w="784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4</w:t>
            </w:r>
          </w:p>
        </w:tc>
        <w:tc>
          <w:tcPr>
            <w:tcW w:w="220" w:type="dxa"/>
            <w:vAlign w:val="bottom"/>
            <w:tcBorders>
              <w:right w:val="single" w:sz="8" w:color="auto"/>
            </w:tcBorders>
          </w:tcPr>
          <w:p>
            <w:pPr>
              <w:spacing w:after="0"/>
              <w:rPr>
                <w:sz w:val="23"/>
                <w:szCs w:val="23"/>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color w:val="auto"/>
              </w:rPr>
              <w:t>SOURCE OF FUNDS</w:t>
            </w:r>
          </w:p>
        </w:tc>
        <w:tc>
          <w:tcPr>
            <w:tcW w:w="784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AF</w:t>
            </w:r>
          </w:p>
        </w:tc>
        <w:tc>
          <w:tcPr>
            <w:tcW w:w="62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900" w:type="dxa"/>
            <w:vAlign w:val="bottom"/>
            <w:tcBorders>
              <w:bottom w:val="single" w:sz="8" w:color="auto"/>
              <w:right w:val="single" w:sz="8" w:color="auto"/>
            </w:tcBorders>
            <w:gridSpan w:val="4"/>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5</w:t>
            </w:r>
          </w:p>
        </w:tc>
        <w:tc>
          <w:tcPr>
            <w:tcW w:w="220" w:type="dxa"/>
            <w:vAlign w:val="bottom"/>
            <w:tcBorders>
              <w:right w:val="single" w:sz="8" w:color="auto"/>
            </w:tcBorders>
          </w:tcPr>
          <w:p>
            <w:pPr>
              <w:spacing w:after="0"/>
              <w:rPr>
                <w:sz w:val="24"/>
                <w:szCs w:val="24"/>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900" w:type="dxa"/>
            <w:vAlign w:val="bottom"/>
            <w:tcBorders>
              <w:bottom w:val="single" w:sz="8" w:color="auto"/>
              <w:right w:val="single" w:sz="8" w:color="auto"/>
            </w:tcBorders>
            <w:gridSpan w:val="4"/>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6</w:t>
            </w:r>
          </w:p>
        </w:tc>
        <w:tc>
          <w:tcPr>
            <w:tcW w:w="220" w:type="dxa"/>
            <w:vAlign w:val="bottom"/>
            <w:tcBorders>
              <w:right w:val="single" w:sz="8" w:color="auto"/>
            </w:tcBorders>
          </w:tcPr>
          <w:p>
            <w:pPr>
              <w:spacing w:after="0"/>
              <w:rPr>
                <w:sz w:val="23"/>
                <w:szCs w:val="23"/>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7</w:t>
            </w: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26,193</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1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100" w:type="dxa"/>
            <w:vAlign w:val="bottom"/>
            <w:tcBorders>
              <w:left w:val="single" w:sz="8" w:color="auto"/>
              <w:right w:val="single" w:sz="8" w:color="auto"/>
            </w:tcBorders>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8</w:t>
            </w: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2,752,871</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20" w:type="dxa"/>
            <w:vAlign w:val="bottom"/>
            <w:tcBorders>
              <w:left w:val="single" w:sz="8" w:color="auto"/>
            </w:tcBorders>
          </w:tcPr>
          <w:p>
            <w:pPr>
              <w:spacing w:after="0"/>
              <w:rPr>
                <w:sz w:val="10"/>
                <w:szCs w:val="10"/>
                <w:color w:val="auto"/>
              </w:rPr>
            </w:pPr>
          </w:p>
        </w:tc>
        <w:tc>
          <w:tcPr>
            <w:tcW w:w="148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5"/>
              </w:rPr>
              <w:t>OWNED</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20" w:type="dxa"/>
            <w:vAlign w:val="bottom"/>
            <w:tcBorders>
              <w:left w:val="single" w:sz="8" w:color="auto"/>
            </w:tcBorders>
          </w:tcPr>
          <w:p>
            <w:pPr>
              <w:spacing w:after="0"/>
              <w:rPr>
                <w:sz w:val="6"/>
                <w:szCs w:val="6"/>
                <w:color w:val="auto"/>
              </w:rPr>
            </w:pPr>
          </w:p>
        </w:tc>
        <w:tc>
          <w:tcPr>
            <w:tcW w:w="148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9"/>
              </w:rPr>
              <w:t>9</w:t>
            </w:r>
          </w:p>
        </w:tc>
        <w:tc>
          <w:tcPr>
            <w:tcW w:w="7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0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18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7840" w:type="dxa"/>
            <w:vAlign w:val="bottom"/>
            <w:tcBorders>
              <w:right w:val="single" w:sz="8" w:color="auto"/>
            </w:tcBorders>
            <w:vMerge w:val="continue"/>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26,193</w:t>
            </w:r>
          </w:p>
        </w:tc>
        <w:tc>
          <w:tcPr>
            <w:tcW w:w="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620" w:type="dxa"/>
            <w:vAlign w:val="bottom"/>
            <w:tcBorders>
              <w:lef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10</w:t>
            </w: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2,752,871</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gridSpan w:val="2"/>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11</w:t>
            </w:r>
          </w:p>
        </w:tc>
        <w:tc>
          <w:tcPr>
            <w:tcW w:w="220" w:type="dxa"/>
            <w:vAlign w:val="bottom"/>
            <w:tcBorders>
              <w:right w:val="single" w:sz="8" w:color="auto"/>
            </w:tcBorders>
          </w:tcPr>
          <w:p>
            <w:pPr>
              <w:spacing w:after="0"/>
              <w:rPr>
                <w:sz w:val="23"/>
                <w:szCs w:val="23"/>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260" w:type="dxa"/>
            <w:vAlign w:val="bottom"/>
          </w:tcPr>
          <w:p>
            <w:pPr>
              <w:ind w:left="80"/>
              <w:spacing w:after="0"/>
              <w:rPr>
                <w:sz w:val="20"/>
                <w:szCs w:val="20"/>
                <w:color w:val="auto"/>
              </w:rPr>
            </w:pPr>
            <w:r>
              <w:rPr>
                <w:rFonts w:ascii="Arial" w:cs="Arial" w:eastAsia="Arial" w:hAnsi="Arial"/>
                <w:sz w:val="18"/>
                <w:szCs w:val="18"/>
                <w:color w:val="auto"/>
              </w:rPr>
              <w:t>2,779,064</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12</w:t>
            </w:r>
          </w:p>
        </w:tc>
        <w:tc>
          <w:tcPr>
            <w:tcW w:w="220" w:type="dxa"/>
            <w:vAlign w:val="bottom"/>
            <w:tcBorders>
              <w:right w:val="single" w:sz="8" w:color="auto"/>
            </w:tcBorders>
          </w:tcPr>
          <w:p>
            <w:pPr>
              <w:spacing w:after="0"/>
              <w:rPr>
                <w:sz w:val="24"/>
                <w:szCs w:val="24"/>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78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13</w:t>
            </w:r>
          </w:p>
        </w:tc>
        <w:tc>
          <w:tcPr>
            <w:tcW w:w="220" w:type="dxa"/>
            <w:vAlign w:val="bottom"/>
            <w:tcBorders>
              <w:right w:val="single" w:sz="8" w:color="auto"/>
            </w:tcBorders>
          </w:tcPr>
          <w:p>
            <w:pPr>
              <w:spacing w:after="0"/>
              <w:rPr>
                <w:sz w:val="23"/>
                <w:szCs w:val="23"/>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260" w:type="dxa"/>
            <w:vAlign w:val="bottom"/>
          </w:tcPr>
          <w:p>
            <w:pPr>
              <w:ind w:left="8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14</w:t>
            </w:r>
          </w:p>
        </w:tc>
        <w:tc>
          <w:tcPr>
            <w:tcW w:w="220" w:type="dxa"/>
            <w:vAlign w:val="bottom"/>
            <w:tcBorders>
              <w:right w:val="single" w:sz="8" w:color="auto"/>
            </w:tcBorders>
          </w:tcPr>
          <w:p>
            <w:pPr>
              <w:spacing w:after="0"/>
              <w:rPr>
                <w:sz w:val="23"/>
                <w:szCs w:val="23"/>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IA</w:t>
            </w:r>
          </w:p>
        </w:tc>
        <w:tc>
          <w:tcPr>
            <w:tcW w:w="62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percentage is calculated based upon 86,325,547 shares of common stock, par value $0.0001 per share, of Selecta Biosciences,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as set forth in the Issuer’s Registration Statement on Form S-3 filed with the Securities and Exchange Commission on January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2260" w:type="dxa"/>
            <w:vAlign w:val="bottom"/>
            <w:tcBorders>
              <w:top w:val="single" w:sz="8" w:color="auto"/>
              <w:left w:val="single" w:sz="8" w:color="auto"/>
            </w:tcBorders>
            <w:gridSpan w:val="4"/>
          </w:tcPr>
          <w:p>
            <w:pPr>
              <w:ind w:left="100"/>
              <w:spacing w:after="0"/>
              <w:rPr>
                <w:sz w:val="20"/>
                <w:szCs w:val="20"/>
                <w:color w:val="auto"/>
              </w:rPr>
            </w:pPr>
            <w:r>
              <w:rPr>
                <w:rFonts w:ascii="Arial" w:cs="Arial" w:eastAsia="Arial" w:hAnsi="Arial"/>
                <w:sz w:val="18"/>
                <w:szCs w:val="18"/>
                <w:color w:val="auto"/>
              </w:rPr>
              <w:t>CUSIP No. 816212104</w:t>
            </w:r>
          </w:p>
        </w:tc>
        <w:tc>
          <w:tcPr>
            <w:tcW w:w="620" w:type="dxa"/>
            <w:vAlign w:val="bottom"/>
            <w:tcBorders>
              <w:top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2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780" w:type="dxa"/>
            <w:vAlign w:val="bottom"/>
            <w:tcBorders>
              <w:bottom w:val="single" w:sz="8" w:color="auto"/>
              <w:right w:val="single" w:sz="8" w:color="auto"/>
            </w:tcBorders>
            <w:gridSpan w:val="4"/>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1</w:t>
            </w:r>
          </w:p>
        </w:tc>
        <w:tc>
          <w:tcPr>
            <w:tcW w:w="220" w:type="dxa"/>
            <w:vAlign w:val="bottom"/>
            <w:tcBorders>
              <w:right w:val="single" w:sz="8" w:color="auto"/>
            </w:tcBorders>
          </w:tcPr>
          <w:p>
            <w:pPr>
              <w:spacing w:after="0"/>
              <w:rPr>
                <w:sz w:val="23"/>
                <w:szCs w:val="23"/>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OrbiMed Capital GP III LLC</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4"/>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2</w:t>
            </w:r>
          </w:p>
        </w:tc>
        <w:tc>
          <w:tcPr>
            <w:tcW w:w="220" w:type="dxa"/>
            <w:vAlign w:val="bottom"/>
            <w:tcBorders>
              <w:right w:val="single" w:sz="8" w:color="auto"/>
            </w:tcBorders>
          </w:tcPr>
          <w:p>
            <w:pPr>
              <w:spacing w:after="0"/>
              <w:rPr>
                <w:sz w:val="20"/>
                <w:szCs w:val="20"/>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8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7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3</w:t>
            </w:r>
          </w:p>
        </w:tc>
        <w:tc>
          <w:tcPr>
            <w:tcW w:w="220" w:type="dxa"/>
            <w:vAlign w:val="bottom"/>
            <w:tcBorders>
              <w:right w:val="single" w:sz="8" w:color="auto"/>
            </w:tcBorders>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w w:val="99"/>
              </w:rPr>
              <w:t>SEC USE ONLY</w:t>
            </w:r>
          </w:p>
        </w:tc>
        <w:tc>
          <w:tcPr>
            <w:tcW w:w="620" w:type="dxa"/>
            <w:vAlign w:val="bottom"/>
          </w:tcPr>
          <w:p>
            <w:pPr>
              <w:spacing w:after="0"/>
              <w:rPr>
                <w:sz w:val="24"/>
                <w:szCs w:val="24"/>
                <w:color w:val="auto"/>
              </w:rPr>
            </w:pPr>
          </w:p>
        </w:tc>
        <w:tc>
          <w:tcPr>
            <w:tcW w:w="77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2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tcBorders>
            <w:gridSpan w:val="3"/>
          </w:tcPr>
          <w:p>
            <w:pPr>
              <w:spacing w:after="0"/>
              <w:rPr>
                <w:sz w:val="8"/>
                <w:szCs w:val="8"/>
                <w:color w:val="auto"/>
              </w:rPr>
            </w:pPr>
          </w:p>
        </w:tc>
        <w:tc>
          <w:tcPr>
            <w:tcW w:w="774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4</w:t>
            </w:r>
          </w:p>
        </w:tc>
        <w:tc>
          <w:tcPr>
            <w:tcW w:w="220" w:type="dxa"/>
            <w:vAlign w:val="bottom"/>
            <w:tcBorders>
              <w:right w:val="single" w:sz="8" w:color="auto"/>
            </w:tcBorders>
          </w:tcPr>
          <w:p>
            <w:pPr>
              <w:spacing w:after="0"/>
              <w:rPr>
                <w:sz w:val="23"/>
                <w:szCs w:val="23"/>
                <w:color w:val="auto"/>
              </w:rPr>
            </w:pPr>
          </w:p>
        </w:tc>
        <w:tc>
          <w:tcPr>
            <w:tcW w:w="2040" w:type="dxa"/>
            <w:vAlign w:val="bottom"/>
            <w:gridSpan w:val="3"/>
          </w:tcPr>
          <w:p>
            <w:pPr>
              <w:ind w:left="80"/>
              <w:spacing w:after="0"/>
              <w:rPr>
                <w:sz w:val="20"/>
                <w:szCs w:val="20"/>
                <w:color w:val="auto"/>
              </w:rPr>
            </w:pPr>
            <w:r>
              <w:rPr>
                <w:rFonts w:ascii="Arial" w:cs="Arial" w:eastAsia="Arial" w:hAnsi="Arial"/>
                <w:sz w:val="18"/>
                <w:szCs w:val="18"/>
                <w:color w:val="auto"/>
              </w:rPr>
              <w:t>SOURCE OF FUNDS</w:t>
            </w:r>
          </w:p>
        </w:tc>
        <w:tc>
          <w:tcPr>
            <w:tcW w:w="77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AF</w:t>
            </w:r>
          </w:p>
        </w:tc>
        <w:tc>
          <w:tcPr>
            <w:tcW w:w="620" w:type="dxa"/>
            <w:vAlign w:val="bottom"/>
          </w:tcPr>
          <w:p>
            <w:pPr>
              <w:spacing w:after="0"/>
              <w:rPr>
                <w:sz w:val="20"/>
                <w:szCs w:val="20"/>
                <w:color w:val="auto"/>
              </w:rPr>
            </w:pPr>
          </w:p>
        </w:tc>
        <w:tc>
          <w:tcPr>
            <w:tcW w:w="77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4"/>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5</w:t>
            </w:r>
          </w:p>
        </w:tc>
        <w:tc>
          <w:tcPr>
            <w:tcW w:w="220" w:type="dxa"/>
            <w:vAlign w:val="bottom"/>
            <w:tcBorders>
              <w:right w:val="single" w:sz="8" w:color="auto"/>
            </w:tcBorders>
          </w:tcPr>
          <w:p>
            <w:pPr>
              <w:spacing w:after="0"/>
              <w:rPr>
                <w:sz w:val="24"/>
                <w:szCs w:val="24"/>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8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780" w:type="dxa"/>
            <w:vAlign w:val="bottom"/>
            <w:tcBorders>
              <w:bottom w:val="single" w:sz="8" w:color="auto"/>
              <w:right w:val="single" w:sz="8" w:color="auto"/>
            </w:tcBorders>
            <w:gridSpan w:val="4"/>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6</w:t>
            </w:r>
          </w:p>
        </w:tc>
        <w:tc>
          <w:tcPr>
            <w:tcW w:w="220" w:type="dxa"/>
            <w:vAlign w:val="bottom"/>
            <w:tcBorders>
              <w:right w:val="single" w:sz="8" w:color="auto"/>
            </w:tcBorders>
          </w:tcPr>
          <w:p>
            <w:pPr>
              <w:spacing w:after="0"/>
              <w:rPr>
                <w:sz w:val="23"/>
                <w:szCs w:val="23"/>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0"/>
                <w:szCs w:val="20"/>
                <w:color w:val="auto"/>
              </w:rPr>
            </w:pPr>
          </w:p>
        </w:tc>
        <w:tc>
          <w:tcPr>
            <w:tcW w:w="77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7</w:t>
            </w: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4"/>
                <w:szCs w:val="24"/>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8</w:t>
            </w: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right w:val="single" w:sz="8" w:color="auto"/>
            </w:tcBorders>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74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2,752,871</w:t>
            </w: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2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5"/>
              </w:rPr>
              <w:t>OWNED</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7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20" w:type="dxa"/>
            <w:vAlign w:val="bottom"/>
            <w:tcBorders>
              <w:left w:val="single" w:sz="8" w:color="auto"/>
            </w:tcBorders>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9"/>
              </w:rPr>
              <w:t>9</w:t>
            </w:r>
          </w:p>
        </w:tc>
        <w:tc>
          <w:tcPr>
            <w:tcW w:w="7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18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774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74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10</w:t>
            </w: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2,752,871</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gridSpan w:val="2"/>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11</w:t>
            </w:r>
          </w:p>
        </w:tc>
        <w:tc>
          <w:tcPr>
            <w:tcW w:w="220" w:type="dxa"/>
            <w:vAlign w:val="bottom"/>
            <w:tcBorders>
              <w:right w:val="single" w:sz="8" w:color="auto"/>
            </w:tcBorders>
          </w:tcPr>
          <w:p>
            <w:pPr>
              <w:spacing w:after="0"/>
              <w:rPr>
                <w:sz w:val="23"/>
                <w:szCs w:val="23"/>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2,752,871</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7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12</w:t>
            </w:r>
          </w:p>
        </w:tc>
        <w:tc>
          <w:tcPr>
            <w:tcW w:w="220" w:type="dxa"/>
            <w:vAlign w:val="bottom"/>
            <w:tcBorders>
              <w:right w:val="single" w:sz="8" w:color="auto"/>
            </w:tcBorders>
          </w:tcPr>
          <w:p>
            <w:pPr>
              <w:spacing w:after="0"/>
              <w:rPr>
                <w:sz w:val="24"/>
                <w:szCs w:val="24"/>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8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77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13</w:t>
            </w:r>
          </w:p>
        </w:tc>
        <w:tc>
          <w:tcPr>
            <w:tcW w:w="220" w:type="dxa"/>
            <w:vAlign w:val="bottom"/>
            <w:tcBorders>
              <w:right w:val="single" w:sz="8" w:color="auto"/>
            </w:tcBorders>
          </w:tcPr>
          <w:p>
            <w:pPr>
              <w:spacing w:after="0"/>
              <w:rPr>
                <w:sz w:val="23"/>
                <w:szCs w:val="23"/>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7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14</w:t>
            </w:r>
          </w:p>
        </w:tc>
        <w:tc>
          <w:tcPr>
            <w:tcW w:w="220" w:type="dxa"/>
            <w:vAlign w:val="bottom"/>
            <w:tcBorders>
              <w:right w:val="single" w:sz="8" w:color="auto"/>
            </w:tcBorders>
          </w:tcPr>
          <w:p>
            <w:pPr>
              <w:spacing w:after="0"/>
              <w:rPr>
                <w:sz w:val="23"/>
                <w:szCs w:val="23"/>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620" w:type="dxa"/>
            <w:vAlign w:val="bottom"/>
          </w:tcPr>
          <w:p>
            <w:pPr>
              <w:spacing w:after="0"/>
              <w:rPr>
                <w:sz w:val="20"/>
                <w:szCs w:val="20"/>
                <w:color w:val="auto"/>
              </w:rPr>
            </w:pPr>
          </w:p>
        </w:tc>
        <w:tc>
          <w:tcPr>
            <w:tcW w:w="77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percentage is calculated based upon 86,325,547 shares of common stock, par value $0.0001 per share, of Selecta Biosciences,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as set forth in the Issuer’s Registration Statement on Form S-3 filed with the Securities and Exchange Commission on January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This Amendment No. 5 (“</w:t>
      </w:r>
      <w:r>
        <w:rPr>
          <w:rFonts w:ascii="Arial" w:cs="Arial" w:eastAsia="Arial" w:hAnsi="Arial"/>
          <w:sz w:val="18"/>
          <w:szCs w:val="18"/>
          <w:u w:val="single" w:color="auto"/>
          <w:color w:val="auto"/>
        </w:rPr>
        <w:t>Amendment No. 5</w:t>
      </w:r>
      <w:r>
        <w:rPr>
          <w:rFonts w:ascii="Arial" w:cs="Arial" w:eastAsia="Arial" w:hAnsi="Arial"/>
          <w:sz w:val="18"/>
          <w:szCs w:val="18"/>
          <w:color w:val="auto"/>
        </w:rPr>
        <w:t>”) to Schedule 13D supplements and amends the Statement on Schedule 13D of OrbiMed Advisors LLC and OrbiMed Capital GP III LLC (the “</w:t>
      </w:r>
      <w:r>
        <w:rPr>
          <w:rFonts w:ascii="Arial" w:cs="Arial" w:eastAsia="Arial" w:hAnsi="Arial"/>
          <w:sz w:val="18"/>
          <w:szCs w:val="18"/>
          <w:u w:val="single" w:color="auto"/>
          <w:color w:val="auto"/>
        </w:rPr>
        <w:t>Statement</w:t>
      </w:r>
      <w:r>
        <w:rPr>
          <w:rFonts w:ascii="Arial" w:cs="Arial" w:eastAsia="Arial" w:hAnsi="Arial"/>
          <w:sz w:val="18"/>
          <w:szCs w:val="18"/>
          <w:color w:val="auto"/>
        </w:rPr>
        <w:t>”) originally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July 7, 2016 with Samuel D. Isaly as an additional reporting person, and amended by Amendment No. 1 thereto filed with the SEC on August 15, 2017, Amendment No. 2 filed on January 26, 2018, Amendment No. 3 filed on October 25, 2018 and Amendment No. 4 filed on November 13, 2019. This Statement relates to the common stock, par value $0.0001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Selecta Biosciences, Inc., a corporation organized under the laws of Delaware (the “</w:t>
      </w:r>
      <w:r>
        <w:rPr>
          <w:rFonts w:ascii="Arial" w:cs="Arial" w:eastAsia="Arial" w:hAnsi="Arial"/>
          <w:sz w:val="18"/>
          <w:szCs w:val="18"/>
          <w:u w:val="single" w:color="auto"/>
          <w:color w:val="auto"/>
        </w:rPr>
        <w:t>Issuer</w:t>
      </w:r>
      <w:r>
        <w:rPr>
          <w:rFonts w:ascii="Arial" w:cs="Arial" w:eastAsia="Arial" w:hAnsi="Arial"/>
          <w:sz w:val="18"/>
          <w:szCs w:val="18"/>
          <w:color w:val="auto"/>
        </w:rPr>
        <w:t>”), with its principal executive offices located at 480 Arsenal Way, Watertown, Massachusetts 02472. Information given in response to each item shall be deemed incorporated by reference in all other items, as applicable.</w:t>
      </w:r>
    </w:p>
    <w:p>
      <w:pPr>
        <w:spacing w:after="0" w:line="189"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On December 23, 2019, the Issuer closed a private placement (the “</w:t>
      </w:r>
      <w:r>
        <w:rPr>
          <w:rFonts w:ascii="Arial" w:cs="Arial" w:eastAsia="Arial" w:hAnsi="Arial"/>
          <w:sz w:val="16"/>
          <w:szCs w:val="16"/>
          <w:u w:val="single" w:color="auto"/>
          <w:color w:val="auto"/>
        </w:rPr>
        <w:t>Private Placement</w:t>
      </w:r>
      <w:r>
        <w:rPr>
          <w:rFonts w:ascii="Arial" w:cs="Arial" w:eastAsia="Arial" w:hAnsi="Arial"/>
          <w:sz w:val="16"/>
          <w:szCs w:val="16"/>
          <w:color w:val="auto"/>
        </w:rPr>
        <w:t>”). The Issuer issued in the Private Placement a total of 68,965,512 Shares at a purchase price of $1.46, of which 22,988,501 are issuable upon the exercise of warrants and 8,342,128 are issuable upon the exercise of pre-funded warrants, with gross proceeds of approximately $70 million (the “</w:t>
      </w:r>
      <w:r>
        <w:rPr>
          <w:rFonts w:ascii="Arial" w:cs="Arial" w:eastAsia="Arial" w:hAnsi="Arial"/>
          <w:sz w:val="16"/>
          <w:szCs w:val="16"/>
          <w:u w:val="single" w:color="auto"/>
          <w:color w:val="auto"/>
        </w:rPr>
        <w:t>Share Issuance</w:t>
      </w:r>
      <w:r>
        <w:rPr>
          <w:rFonts w:ascii="Arial" w:cs="Arial" w:eastAsia="Arial" w:hAnsi="Arial"/>
          <w:sz w:val="16"/>
          <w:szCs w:val="16"/>
          <w:color w:val="auto"/>
        </w:rPr>
        <w:t>”). None of the Reporting Persons participated in the Private Placement. As a result of the Share Issuance, the percentage of outstanding Shares that the Reporting Persons may be deemed to beneficially own was reduced by more than one percent (and is currently less than 5%) of the Issuer’ s Shares outstanding since the filing of Amendment No. 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Identity and Background</w:t>
      </w:r>
    </w:p>
    <w:p>
      <w:pPr>
        <w:spacing w:after="0" w:line="283" w:lineRule="exact"/>
        <w:rPr>
          <w:sz w:val="20"/>
          <w:szCs w:val="20"/>
          <w:color w:val="auto"/>
        </w:rPr>
      </w:pPr>
    </w:p>
    <w:p>
      <w:pPr>
        <w:jc w:val="both"/>
        <w:ind w:firstLine="368"/>
        <w:spacing w:after="0" w:line="264" w:lineRule="auto"/>
        <w:tabs>
          <w:tab w:leader="none" w:pos="132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Amendment No. 5 is being filed by OrbiMed Advisors LLC (“</w:t>
      </w:r>
      <w:r>
        <w:rPr>
          <w:rFonts w:ascii="Arial" w:cs="Arial" w:eastAsia="Arial" w:hAnsi="Arial"/>
          <w:sz w:val="18"/>
          <w:szCs w:val="18"/>
          <w:u w:val="single" w:color="auto"/>
          <w:color w:val="auto"/>
        </w:rPr>
        <w:t>Advisors</w:t>
      </w:r>
      <w:r>
        <w:rPr>
          <w:rFonts w:ascii="Arial" w:cs="Arial" w:eastAsia="Arial" w:hAnsi="Arial"/>
          <w:sz w:val="18"/>
          <w:szCs w:val="18"/>
          <w:color w:val="auto"/>
        </w:rPr>
        <w:t>”), a limited liability company organized under the laws of Delaware, and OrbiMed Capital GP III LLC (“</w:t>
      </w:r>
      <w:r>
        <w:rPr>
          <w:rFonts w:ascii="Arial" w:cs="Arial" w:eastAsia="Arial" w:hAnsi="Arial"/>
          <w:sz w:val="18"/>
          <w:szCs w:val="18"/>
          <w:u w:val="single" w:color="auto"/>
          <w:color w:val="auto"/>
        </w:rPr>
        <w:t>GP III</w:t>
      </w:r>
      <w:r>
        <w:rPr>
          <w:rFonts w:ascii="Arial" w:cs="Arial" w:eastAsia="Arial" w:hAnsi="Arial"/>
          <w:sz w:val="18"/>
          <w:szCs w:val="18"/>
          <w:color w:val="auto"/>
        </w:rPr>
        <w:t>”), a limited liability company organized under the laws of Delaware (collectively, the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firstLine="368"/>
        <w:spacing w:after="0" w:line="259" w:lineRule="auto"/>
        <w:tabs>
          <w:tab w:leader="none" w:pos="622" w:val="left"/>
        </w:tabs>
        <w:numPr>
          <w:ilvl w:val="0"/>
          <w:numId w:val="1"/>
        </w:numPr>
        <w:rPr>
          <w:rFonts w:ascii="Arial" w:cs="Arial" w:eastAsia="Arial" w:hAnsi="Arial"/>
          <w:sz w:val="18"/>
          <w:szCs w:val="18"/>
          <w:color w:val="auto"/>
        </w:rPr>
      </w:pPr>
      <w:r>
        <w:rPr>
          <w:rFonts w:ascii="Arial" w:cs="Arial" w:eastAsia="Arial" w:hAnsi="Arial"/>
          <w:sz w:val="18"/>
          <w:szCs w:val="18"/>
          <w:color w:val="auto"/>
        </w:rPr>
        <w:t>– (c), (f) Advisors, a registered investment adviser under the Investment Advisers Act of 1940, as amended, is the sole general partner of OrbiMed Associates III, LP (“</w:t>
      </w:r>
      <w:r>
        <w:rPr>
          <w:rFonts w:ascii="Arial" w:cs="Arial" w:eastAsia="Arial" w:hAnsi="Arial"/>
          <w:sz w:val="18"/>
          <w:szCs w:val="18"/>
          <w:u w:val="single" w:color="auto"/>
          <w:color w:val="auto"/>
        </w:rPr>
        <w:t>Associates III</w:t>
      </w:r>
      <w:r>
        <w:rPr>
          <w:rFonts w:ascii="Arial" w:cs="Arial" w:eastAsia="Arial" w:hAnsi="Arial"/>
          <w:sz w:val="18"/>
          <w:szCs w:val="18"/>
          <w:color w:val="auto"/>
        </w:rPr>
        <w:t>”) and the sole managing member of GP III, which is the sole general partner of OrbiMed Private Investments III, LP (“</w:t>
      </w:r>
      <w:r>
        <w:rPr>
          <w:rFonts w:ascii="Arial" w:cs="Arial" w:eastAsia="Arial" w:hAnsi="Arial"/>
          <w:sz w:val="18"/>
          <w:szCs w:val="18"/>
          <w:u w:val="single" w:color="auto"/>
          <w:color w:val="auto"/>
        </w:rPr>
        <w:t>OPI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OPI III and Associates III hold Shares as described herein. Advisors and GP III have their principal offices at 601 Lexington Avenue, 54th Floor, New York, New York 10022.</w:t>
      </w:r>
    </w:p>
    <w:p>
      <w:pPr>
        <w:spacing w:after="0" w:line="21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directors and executive officers of Advisors and GP III are set forth on Schedules I and II, attached hereto. Schedules I and II set forth the following information with respect to each such person:</w:t>
      </w:r>
    </w:p>
    <w:p>
      <w:pPr>
        <w:spacing w:after="0" w:line="197" w:lineRule="exact"/>
        <w:rPr>
          <w:sz w:val="20"/>
          <w:szCs w:val="20"/>
          <w:color w:val="auto"/>
        </w:rPr>
      </w:pPr>
    </w:p>
    <w:p>
      <w:pPr>
        <w:ind w:left="820" w:hanging="447"/>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w:t>
      </w:r>
    </w:p>
    <w:p>
      <w:pPr>
        <w:spacing w:after="0" w:line="279" w:lineRule="exact"/>
        <w:rPr>
          <w:rFonts w:ascii="Arial" w:cs="Arial" w:eastAsia="Arial" w:hAnsi="Arial"/>
          <w:sz w:val="18"/>
          <w:szCs w:val="18"/>
          <w:color w:val="auto"/>
        </w:rPr>
      </w:pPr>
    </w:p>
    <w:p>
      <w:pPr>
        <w:ind w:left="820" w:hanging="44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279" w:lineRule="exact"/>
        <w:rPr>
          <w:rFonts w:ascii="Arial" w:cs="Arial" w:eastAsia="Arial" w:hAnsi="Arial"/>
          <w:sz w:val="18"/>
          <w:szCs w:val="18"/>
          <w:color w:val="auto"/>
        </w:rPr>
      </w:pPr>
    </w:p>
    <w:p>
      <w:pPr>
        <w:ind w:left="820" w:right="20" w:hanging="447"/>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 principal occupation or employment and the name, principal business and address of any corporation or other organization in which such employment is conducted;</w:t>
      </w:r>
    </w:p>
    <w:p>
      <w:pPr>
        <w:spacing w:after="0" w:line="197" w:lineRule="exact"/>
        <w:rPr>
          <w:rFonts w:ascii="Arial" w:cs="Arial" w:eastAsia="Arial" w:hAnsi="Arial"/>
          <w:sz w:val="18"/>
          <w:szCs w:val="18"/>
          <w:color w:val="auto"/>
        </w:rPr>
      </w:pPr>
    </w:p>
    <w:p>
      <w:pPr>
        <w:ind w:left="820" w:hanging="447"/>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06" w:lineRule="exact"/>
        <w:rPr>
          <w:rFonts w:ascii="Arial" w:cs="Arial" w:eastAsia="Arial" w:hAnsi="Arial"/>
          <w:sz w:val="18"/>
          <w:szCs w:val="18"/>
          <w:color w:val="auto"/>
        </w:rPr>
      </w:pPr>
    </w:p>
    <w:p>
      <w:pPr>
        <w:jc w:val="both"/>
        <w:ind w:firstLine="368"/>
        <w:spacing w:after="0" w:line="259"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(e) During the last five years, neither the Reporting Persons nor any Person named in Schedule I or II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Purpose of Transaction</w:t>
      </w:r>
    </w:p>
    <w:p>
      <w:pPr>
        <w:spacing w:after="0" w:line="20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Shares initially had been acquired by the Reporting Persons for the purpose of making an investment in the Issuer and not with the intention of acquiring control of the Issuer’s business on behalf of OPI III or Associates III.</w:t>
      </w:r>
    </w:p>
    <w:p>
      <w:pPr>
        <w:spacing w:after="0" w:line="13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the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138"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Except as set forth in this Amendment No. 5,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83" w:lineRule="exact"/>
        <w:rPr>
          <w:sz w:val="20"/>
          <w:szCs w:val="20"/>
          <w:color w:val="auto"/>
        </w:rPr>
      </w:pPr>
    </w:p>
    <w:p>
      <w:pPr>
        <w:jc w:val="both"/>
        <w:ind w:firstLine="368"/>
        <w:spacing w:after="0" w:line="288" w:lineRule="auto"/>
        <w:tabs>
          <w:tab w:leader="none" w:pos="605" w:val="left"/>
        </w:tabs>
        <w:numPr>
          <w:ilvl w:val="0"/>
          <w:numId w:val="6"/>
        </w:numPr>
        <w:rPr>
          <w:rFonts w:ascii="Arial" w:cs="Arial" w:eastAsia="Arial" w:hAnsi="Arial"/>
          <w:sz w:val="16"/>
          <w:szCs w:val="16"/>
          <w:color w:val="auto"/>
        </w:rPr>
      </w:pPr>
      <w:r>
        <w:rPr>
          <w:rFonts w:ascii="Arial" w:cs="Arial" w:eastAsia="Arial" w:hAnsi="Arial"/>
          <w:sz w:val="16"/>
          <w:szCs w:val="16"/>
          <w:color w:val="auto"/>
        </w:rPr>
        <w:t>– (b) As of the date of this filing, the Reporting Persons may be deemed, for purposes of Rule 13d-3 of the Act, directly or indirectly, including by reason of their mutual affiliation, to be the beneficial owners of the Shares. Based upon information contained in the Issuer’s Registration Statement on Form S-3 filed with the SEC on January 29, 2020, such Shares deemed to be indirectly beneficially owned by GP III constitutes approximately 3.2% of the issued and outstanding Shares, and such Shares deemed to be indirectly beneficially owned by Advisors constitutes approximately 3.2% of the issued and outstanding Shares. Advisors, pursuant to its authority as the sole managing member of GP III, which is the sole general partner of OPI III, and as the sole general partner of Associates III, may be deemed to indirectly beneficially own the Shares held by OPI III and Associates III. GP III, pursuant to its authority as the general partner of OPI III, may be deemed to indirectly beneficially own the Shares held by OPI III. As a result, Advisors and GP III share the power to direct the vote and the disposition of the Shares held by OPI III described in Item 6 below, and Advisors has the power to direct the vote and the disposition of the Shares held by Associates III. Advisors exercises this investment and voting power through a management committee comprised of Carl L. Gordon, Sven H. Borho and Jonathan T. Silverstein, each of whom disclaims beneficial ownership of the Shares held by OPI III and Associates III.</w:t>
      </w:r>
    </w:p>
    <w:p>
      <w:pPr>
        <w:spacing w:after="0" w:line="19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 addition, Advisors and GP III, pursuant to their authority under the limited partnership agreements of OPI III and/or Associates III, prior to the date of this filing, caused OPI III and Associates III, as applicable, to enter into the agreements referred to in Item 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Seller</w:t>
            </w:r>
          </w:p>
        </w:tc>
        <w:tc>
          <w:tcPr>
            <w:tcW w:w="22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Date of Transactions</w:t>
            </w:r>
          </w:p>
        </w:tc>
        <w:tc>
          <w:tcPr>
            <w:tcW w:w="22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Transaction</w:t>
            </w:r>
          </w:p>
        </w:tc>
        <w:tc>
          <w:tcPr>
            <w:tcW w:w="22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Number of Shares</w:t>
            </w:r>
          </w:p>
        </w:tc>
        <w:tc>
          <w:tcPr>
            <w:tcW w:w="2260" w:type="dxa"/>
            <w:vAlign w:val="bottom"/>
            <w:tcBorders>
              <w:top w:val="single" w:sz="8" w:color="auto"/>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w w:val="92"/>
              </w:rPr>
              <w:t>Price Per Share</w:t>
            </w:r>
          </w:p>
        </w:tc>
      </w:tr>
      <w:tr>
        <w:trPr>
          <w:trHeight w:val="21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January 7, 2019</w:t>
            </w:r>
          </w:p>
        </w:tc>
        <w:tc>
          <w:tcPr>
            <w:tcW w:w="228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Sold</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245</w:t>
            </w:r>
          </w:p>
        </w:tc>
        <w:tc>
          <w:tcPr>
            <w:tcW w:w="226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$2.73</w:t>
            </w:r>
          </w:p>
        </w:tc>
      </w:tr>
      <w:tr>
        <w:trPr>
          <w:trHeight w:val="21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January 7, 2019</w:t>
            </w:r>
          </w:p>
        </w:tc>
        <w:tc>
          <w:tcPr>
            <w:tcW w:w="228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Sold</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25,769</w:t>
            </w:r>
          </w:p>
        </w:tc>
        <w:tc>
          <w:tcPr>
            <w:tcW w:w="226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$2.73</w:t>
            </w:r>
          </w:p>
        </w:tc>
      </w:tr>
      <w:tr>
        <w:trPr>
          <w:trHeight w:val="21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January 7, 2019</w:t>
            </w:r>
          </w:p>
        </w:tc>
        <w:tc>
          <w:tcPr>
            <w:tcW w:w="228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Sold</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698</w:t>
            </w:r>
          </w:p>
        </w:tc>
        <w:tc>
          <w:tcPr>
            <w:tcW w:w="226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$2.81</w:t>
            </w:r>
          </w:p>
        </w:tc>
      </w:tr>
      <w:tr>
        <w:trPr>
          <w:trHeight w:val="21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January 7, 2019</w:t>
            </w:r>
          </w:p>
        </w:tc>
        <w:tc>
          <w:tcPr>
            <w:tcW w:w="228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Sold</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73,288</w:t>
            </w:r>
          </w:p>
        </w:tc>
        <w:tc>
          <w:tcPr>
            <w:tcW w:w="226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$2.81</w:t>
            </w:r>
          </w:p>
        </w:tc>
      </w:tr>
    </w:tbl>
    <w:p>
      <w:pPr>
        <w:spacing w:after="0" w:line="200" w:lineRule="exact"/>
        <w:rPr>
          <w:sz w:val="20"/>
          <w:szCs w:val="20"/>
          <w:color w:val="auto"/>
        </w:rPr>
      </w:pPr>
    </w:p>
    <w:p>
      <w:pPr>
        <w:spacing w:after="0" w:line="245" w:lineRule="exact"/>
        <w:rPr>
          <w:sz w:val="20"/>
          <w:szCs w:val="20"/>
          <w:color w:val="auto"/>
        </w:rPr>
      </w:pPr>
    </w:p>
    <w:p>
      <w:pPr>
        <w:ind w:left="700" w:hanging="69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23, 2019, the Reporting Persons ceased to beneficially own more than 5% of the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 with Respect to Securities of the Issuer</w:t>
      </w:r>
    </w:p>
    <w:p>
      <w:pPr>
        <w:spacing w:after="0" w:line="25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to the relationships between the Reporting Persons described in Items 2 and 5 above, GP III is the sole general partner of OPI III, pursuant to the terms of the limited partnership agreement of OPI III. Advisors is the sole managing member of GP III, pursuant to the terms of the limited liability company agreement of GP III, and the sole general partner of Associates III, pursuant to the terms of the limited partnership agreement of Associates</w:t>
      </w:r>
    </w:p>
    <w:p>
      <w:pPr>
        <w:ind w:firstLine="8"/>
        <w:spacing w:after="0" w:line="292" w:lineRule="auto"/>
        <w:tabs>
          <w:tab w:leader="none" w:pos="270"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Pursuant to these agreements and relationships, Advisors and GP III have discretionary investment management authority with respect to the assets of OPI III, and Advisors has discretionary investment management authority with respect to the assets of Associates III. Such authority includes the power of GP III and Advisors to vote and otherwise dispose of securities purchased by OPI III, and the power of Advisors to vote and otherwise dispose of securities purchased by Associates III. The number of outstanding Shares held by OPI III is 2,752,871 and the number of outstanding Shares held by Associates III is 26,193. Advisors may be considered to hold indirectly 2,779,064 Shares, and GP III may be considered to hold indirectly 2,752,871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380" w:type="dxa"/>
            <w:vAlign w:val="bottom"/>
          </w:tcPr>
          <w:p>
            <w:pPr>
              <w:ind w:left="2480"/>
              <w:spacing w:after="0"/>
              <w:rPr>
                <w:sz w:val="20"/>
                <w:szCs w:val="20"/>
                <w:color w:val="auto"/>
              </w:rPr>
            </w:pPr>
            <w:r>
              <w:rPr>
                <w:rFonts w:ascii="Arial" w:cs="Arial" w:eastAsia="Arial" w:hAnsi="Arial"/>
                <w:sz w:val="18"/>
                <w:szCs w:val="18"/>
                <w:b w:val="1"/>
                <w:bCs w:val="1"/>
                <w:color w:val="auto"/>
                <w:w w:val="88"/>
              </w:rPr>
              <w:t>Description</w:t>
            </w:r>
          </w:p>
        </w:tc>
      </w:tr>
    </w:tbl>
    <w:p>
      <w:pPr>
        <w:spacing w:after="0" w:line="148" w:lineRule="exact"/>
        <w:rPr>
          <w:sz w:val="20"/>
          <w:szCs w:val="20"/>
          <w:color w:val="auto"/>
        </w:rPr>
      </w:pPr>
    </w:p>
    <w:p>
      <w:pPr>
        <w:ind w:left="1260" w:hanging="732"/>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and OrbiMed Capital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2020</w:t>
      </w:r>
    </w:p>
    <w:p>
      <w:pPr>
        <w:spacing w:after="0" w:line="200" w:lineRule="exact"/>
        <w:rPr>
          <w:sz w:val="20"/>
          <w:szCs w:val="20"/>
          <w:color w:val="auto"/>
        </w:rPr>
      </w:pP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OrbiMed Advisors LLC</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40640</wp:posOffset>
            </wp:positionV>
            <wp:extent cx="27355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35580" cy="17145"/>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Member</w:t>
      </w:r>
    </w:p>
    <w:p>
      <w:pPr>
        <w:spacing w:after="0" w:line="200" w:lineRule="exact"/>
        <w:rPr>
          <w:sz w:val="20"/>
          <w:szCs w:val="20"/>
          <w:color w:val="auto"/>
        </w:rPr>
      </w:pPr>
    </w:p>
    <w:p>
      <w:pPr>
        <w:spacing w:after="0" w:line="3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OrbiMed Capital GP III LLC</w:t>
      </w:r>
    </w:p>
    <w:p>
      <w:pPr>
        <w:spacing w:after="0" w:line="27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8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40640</wp:posOffset>
            </wp:positionV>
            <wp:extent cx="25984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Schedule I</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name and present principal occupation of each of the executive officers and directors of OrbiMed Advisors LLC are set forth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below. Unless otherwise noted, each of these persons are United States citizens and have as their business address 601 Lexington Avenue, 54th Floor,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York, NY 10022.</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600" w:type="dxa"/>
            <w:vAlign w:val="bottom"/>
            <w:tcBorders>
              <w:top w:val="single" w:sz="8" w:color="auto"/>
              <w:left w:val="single" w:sz="8" w:color="auto"/>
              <w:right w:val="single" w:sz="8" w:color="auto"/>
            </w:tcBorders>
          </w:tcPr>
          <w:p>
            <w:pPr>
              <w:spacing w:after="0"/>
              <w:rPr>
                <w:sz w:val="23"/>
                <w:szCs w:val="23"/>
                <w:color w:val="auto"/>
              </w:rPr>
            </w:pPr>
          </w:p>
        </w:tc>
        <w:tc>
          <w:tcPr>
            <w:tcW w:w="342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Position with Reporting</w:t>
            </w:r>
          </w:p>
        </w:tc>
        <w:tc>
          <w:tcPr>
            <w:tcW w:w="3400" w:type="dxa"/>
            <w:vAlign w:val="bottom"/>
            <w:tcBorders>
              <w:top w:val="single" w:sz="8" w:color="auto"/>
              <w:right w:val="single" w:sz="8" w:color="auto"/>
            </w:tcBorders>
          </w:tcPr>
          <w:p>
            <w:pPr>
              <w:spacing w:after="0"/>
              <w:rPr>
                <w:sz w:val="23"/>
                <w:szCs w:val="23"/>
                <w:color w:val="auto"/>
              </w:rPr>
            </w:pPr>
          </w:p>
        </w:tc>
      </w:tr>
      <w:tr>
        <w:trPr>
          <w:trHeight w:val="230"/>
        </w:trPr>
        <w:tc>
          <w:tcPr>
            <w:tcW w:w="4600" w:type="dxa"/>
            <w:vAlign w:val="bottom"/>
            <w:tcBorders>
              <w:left w:val="single" w:sz="8" w:color="auto"/>
              <w:right w:val="single" w:sz="8" w:color="auto"/>
            </w:tcBorders>
          </w:tcPr>
          <w:p>
            <w:pPr>
              <w:ind w:left="2080"/>
              <w:spacing w:after="0"/>
              <w:rPr>
                <w:sz w:val="20"/>
                <w:szCs w:val="20"/>
                <w:color w:val="auto"/>
              </w:rPr>
            </w:pPr>
            <w:r>
              <w:rPr>
                <w:rFonts w:ascii="Arial" w:cs="Arial" w:eastAsia="Arial" w:hAnsi="Arial"/>
                <w:sz w:val="18"/>
                <w:szCs w:val="18"/>
                <w:color w:val="auto"/>
              </w:rPr>
              <w:t>Name</w:t>
            </w:r>
          </w:p>
        </w:tc>
        <w:tc>
          <w:tcPr>
            <w:tcW w:w="342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Person</w:t>
            </w:r>
          </w:p>
        </w:tc>
        <w:tc>
          <w:tcPr>
            <w:tcW w:w="34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Principal Occupation</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Carl L. Gordon</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Sven H. Borho</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 and Swedish Citizen</w:t>
            </w: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Jonathan T. Silverstein</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 Carter Neild</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Geoffrey C. Hsu</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 Scotland Stevens</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David P. Bonita</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Trey Block</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831"/>
        </w:trPr>
        <w:tc>
          <w:tcPr>
            <w:tcW w:w="4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business and operations of OrbiMed Capital GP III LLC are managed by the executive officers and directors of its managing member, OrbiMed Advisors LLC, set forth on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9" w:name="page10"/>
    <w:bookmarkEnd w:id="9"/>
    <w:p>
      <w:pPr>
        <w:ind w:left="466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172085</wp:posOffset>
            </wp:positionV>
            <wp:extent cx="7246620"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360" w:type="dxa"/>
            <w:vAlign w:val="bottom"/>
          </w:tcPr>
          <w:p>
            <w:pPr>
              <w:ind w:left="2480"/>
              <w:spacing w:after="0"/>
              <w:rPr>
                <w:sz w:val="20"/>
                <w:szCs w:val="20"/>
                <w:color w:val="auto"/>
              </w:rPr>
            </w:pPr>
            <w:r>
              <w:rPr>
                <w:rFonts w:ascii="Arial" w:cs="Arial" w:eastAsia="Arial" w:hAnsi="Arial"/>
                <w:sz w:val="18"/>
                <w:szCs w:val="18"/>
                <w:b w:val="1"/>
                <w:bCs w:val="1"/>
                <w:color w:val="auto"/>
                <w:w w:val="86"/>
              </w:rPr>
              <w:t>Description</w:t>
            </w:r>
          </w:p>
        </w:tc>
      </w:tr>
    </w:tbl>
    <w:p>
      <w:pPr>
        <w:spacing w:after="0" w:line="148" w:lineRule="exact"/>
        <w:rPr>
          <w:sz w:val="20"/>
          <w:szCs w:val="20"/>
          <w:color w:val="auto"/>
        </w:rPr>
      </w:pPr>
    </w:p>
    <w:p>
      <w:pPr>
        <w:ind w:left="1000" w:hanging="778"/>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Joint Filing Agreement among OrbiMed Advisors LLC and OrbiMed Capital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1838960</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859"/>
          </w:cols>
          <w:pgMar w:left="600" w:top="580" w:right="1440" w:bottom="1440" w:gutter="0" w:footer="0" w:header="0"/>
        </w:sectPr>
      </w:pPr>
    </w:p>
    <w:bookmarkStart w:id="10" w:name="page11"/>
    <w:bookmarkEnd w:id="10"/>
    <w:p>
      <w:pPr>
        <w:ind w:left="10520"/>
        <w:spacing w:after="0"/>
        <w:rPr>
          <w:sz w:val="20"/>
          <w:szCs w:val="20"/>
          <w:color w:val="auto"/>
        </w:rPr>
      </w:pPr>
      <w:r>
        <w:rPr>
          <w:rFonts w:ascii="Arial" w:cs="Arial" w:eastAsia="Arial" w:hAnsi="Arial"/>
          <w:sz w:val="18"/>
          <w:szCs w:val="18"/>
          <w:b w:val="1"/>
          <w:bCs w:val="1"/>
          <w:color w:val="auto"/>
        </w:rPr>
        <w:t>EXHIBIT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hereby agree that the Amendment No. 5 to Schedule 13D, dated February 5, 2020, with respect to the Common Stock of Selecta Biosciences,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9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WITNESS WHEREOF, the undersigned have executed this Agreement as of the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2020.</w:t>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OrbiMed Advisors LLC</w:t>
      </w:r>
    </w:p>
    <w:p>
      <w:pPr>
        <w:spacing w:after="0" w:line="252" w:lineRule="exact"/>
        <w:rPr>
          <w:sz w:val="20"/>
          <w:szCs w:val="20"/>
          <w:color w:val="auto"/>
        </w:rPr>
      </w:pPr>
    </w:p>
    <w:p>
      <w:pPr>
        <w:ind w:left="6060"/>
        <w:spacing w:after="0"/>
        <w:tabs>
          <w:tab w:leader="none" w:pos="6500" w:val="left"/>
        </w:tabs>
        <w:rPr>
          <w:sz w:val="20"/>
          <w:szCs w:val="20"/>
          <w:color w:val="auto"/>
        </w:rPr>
      </w:pPr>
      <w:r>
        <w:rPr>
          <w:rFonts w:ascii="Arial" w:cs="Arial" w:eastAsia="Arial" w:hAnsi="Arial"/>
          <w:sz w:val="18"/>
          <w:szCs w:val="18"/>
          <w:color w:val="auto"/>
        </w:rPr>
        <w:t>By:</w:t>
        <w:tab/>
        <w:t>/s/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40640</wp:posOffset>
            </wp:positionV>
            <wp:extent cx="27527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57" w:lineRule="exact"/>
        <w:rPr>
          <w:sz w:val="20"/>
          <w:szCs w:val="20"/>
          <w:color w:val="auto"/>
        </w:rPr>
      </w:pPr>
    </w:p>
    <w:p>
      <w:pPr>
        <w:ind w:left="6520"/>
        <w:spacing w:after="0"/>
        <w:tabs>
          <w:tab w:leader="none" w:pos="7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Carl L. Gordon</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Member</w:t>
      </w:r>
    </w:p>
    <w:p>
      <w:pPr>
        <w:spacing w:after="0" w:line="200" w:lineRule="exact"/>
        <w:rPr>
          <w:sz w:val="20"/>
          <w:szCs w:val="20"/>
          <w:color w:val="auto"/>
        </w:rPr>
      </w:pPr>
    </w:p>
    <w:p>
      <w:pPr>
        <w:spacing w:after="0" w:line="3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OrbiMed Capital GP III LLC</w:t>
      </w:r>
    </w:p>
    <w:p>
      <w:pPr>
        <w:spacing w:after="0" w:line="279" w:lineRule="exact"/>
        <w:rPr>
          <w:sz w:val="20"/>
          <w:szCs w:val="20"/>
          <w:color w:val="auto"/>
        </w:rPr>
      </w:pPr>
    </w:p>
    <w:p>
      <w:pPr>
        <w:ind w:left="6060"/>
        <w:spacing w:after="0"/>
        <w:tabs>
          <w:tab w:leader="none" w:pos="6500" w:val="left"/>
        </w:tabs>
        <w:rPr>
          <w:sz w:val="20"/>
          <w:szCs w:val="20"/>
          <w:color w:val="auto"/>
        </w:rPr>
      </w:pPr>
      <w:r>
        <w:rPr>
          <w:rFonts w:ascii="Arial" w:cs="Arial" w:eastAsia="Arial" w:hAnsi="Arial"/>
          <w:sz w:val="18"/>
          <w:szCs w:val="18"/>
          <w:color w:val="auto"/>
        </w:rPr>
        <w:t>By:</w:t>
        <w:tab/>
        <w:t>OrbiMed Advisors LLC</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81" w:lineRule="exact"/>
        <w:rPr>
          <w:sz w:val="20"/>
          <w:szCs w:val="20"/>
          <w:color w:val="auto"/>
        </w:rPr>
      </w:pPr>
    </w:p>
    <w:p>
      <w:pPr>
        <w:ind w:left="6060"/>
        <w:spacing w:after="0"/>
        <w:tabs>
          <w:tab w:leader="none" w:pos="6500" w:val="left"/>
        </w:tabs>
        <w:rPr>
          <w:sz w:val="20"/>
          <w:szCs w:val="20"/>
          <w:color w:val="auto"/>
        </w:rPr>
      </w:pPr>
      <w:r>
        <w:rPr>
          <w:rFonts w:ascii="Arial" w:cs="Arial" w:eastAsia="Arial" w:hAnsi="Arial"/>
          <w:sz w:val="18"/>
          <w:szCs w:val="18"/>
          <w:color w:val="auto"/>
        </w:rPr>
        <w:t>By:</w:t>
        <w:tab/>
        <w:t>/s/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40640</wp:posOffset>
            </wp:positionV>
            <wp:extent cx="2615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57" w:lineRule="exact"/>
        <w:rPr>
          <w:sz w:val="20"/>
          <w:szCs w:val="20"/>
          <w:color w:val="auto"/>
        </w:rPr>
      </w:pPr>
    </w:p>
    <w:p>
      <w:pPr>
        <w:ind w:left="6520"/>
        <w:spacing w:after="0"/>
        <w:tabs>
          <w:tab w:leader="none" w:pos="7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Carl L. Gordon</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lowerLetter"/>
      <w:start w:val="9"/>
    </w:lvl>
    <w:lvl w:ilvl="1">
      <w:lvlJc w:val="left"/>
      <w:lvlText w:val="%2"/>
      <w:numFmt w:val="lowerRoman"/>
      <w:start w:val="1"/>
    </w:lvl>
  </w:abstractNum>
  <w:abstractNum w:abstractNumId="2">
    <w:nsid w:val="2EB141F2"/>
    <w:multiLevelType w:val="hybridMultilevel"/>
    <w:lvl w:ilvl="0">
      <w:lvlJc w:val="left"/>
      <w:lvlText w:val="(%1)"/>
      <w:numFmt w:val="lowerLetter"/>
      <w:start w:val="35"/>
    </w:lvl>
    <w:lvl w:ilvl="1">
      <w:lvlJc w:val="left"/>
      <w:lvlText w:val="%2"/>
      <w:numFmt w:val="lowerRoman"/>
      <w:start w:val="1"/>
    </w:lvl>
  </w:abstractNum>
  <w:abstractNum w:abstractNumId="3">
    <w:nsid w:val="41B71EFB"/>
    <w:multiLevelType w:val="hybridMultilevel"/>
    <w:lvl w:ilvl="0">
      <w:lvlJc w:val="left"/>
      <w:lvlText w:val="(%1)"/>
      <w:numFmt w:val="lowerLetter"/>
      <w:start w:val="61"/>
    </w:lvl>
    <w:lvl w:ilvl="1">
      <w:lvlJc w:val="left"/>
      <w:lvlText w:val="(%2)"/>
      <w:numFmt w:val="lowerRoman"/>
      <w:start w:val="4"/>
    </w:lvl>
  </w:abstractNum>
  <w:abstractNum w:abstractNumId="4">
    <w:nsid w:val="79E2A9E3"/>
    <w:multiLevelType w:val="hybridMultilevel"/>
    <w:lvl w:ilvl="0">
      <w:lvlJc w:val="left"/>
      <w:lvlText w:val="(%1)"/>
      <w:numFmt w:val="lowerLetter"/>
      <w:start w:val="4"/>
    </w:lvl>
    <w:lvl w:ilvl="1">
      <w:lvlJc w:val="left"/>
      <w:lvlText w:val="%2"/>
      <w:numFmt w:val="lowerRoman"/>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upperLetter"/>
      <w:start w:val="6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2020-02-05T15:39:10Z</dcterms:created>
  <dcterms:modified xsi:type="dcterms:W3CDTF">2020-02-05T15:39:10Z</dcterms:modified>
</cp:coreProperties>
</file>