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187325</wp:posOffset>
            </wp:positionH>
            <wp:positionV relativeFrom="page">
              <wp:posOffset>142875</wp:posOffset>
            </wp:positionV>
            <wp:extent cx="717359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3595" cy="24130"/>
                    </a:xfrm>
                    <a:prstGeom prst="rect">
                      <a:avLst/>
                    </a:prstGeom>
                    <a:noFill/>
                  </pic:spPr>
                </pic:pic>
              </a:graphicData>
            </a:graphic>
          </wp:anchor>
        </w:drawing>
        <w:drawing>
          <wp:anchor simplePos="0" relativeHeight="251657728" behindDoc="1" locked="0" layoutInCell="0" allowOverlap="1">
            <wp:simplePos x="0" y="0"/>
            <wp:positionH relativeFrom="page">
              <wp:posOffset>187325</wp:posOffset>
            </wp:positionH>
            <wp:positionV relativeFrom="page">
              <wp:posOffset>226060</wp:posOffset>
            </wp:positionV>
            <wp:extent cx="717359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3595" cy="5715"/>
                    </a:xfrm>
                    <a:prstGeom prst="rect">
                      <a:avLst/>
                    </a:prstGeom>
                    <a:noFill/>
                  </pic:spPr>
                </pic:pic>
              </a:graphicData>
            </a:graphic>
          </wp:anchor>
        </w:drawing>
        <w:t>UNITED STATES</w:t>
      </w:r>
    </w:p>
    <w:p>
      <w:pPr>
        <w:spacing w:after="0" w:line="1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73595"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pacing w:after="0" w:line="38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3"/>
          <w:szCs w:val="23"/>
          <w:b w:val="1"/>
          <w:bCs w:val="1"/>
          <w:color w:val="auto"/>
        </w:rPr>
        <w:t>FORM 8-K/A</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173595"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November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7173595"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0"/>
          <w:szCs w:val="30"/>
          <w:b w:val="1"/>
          <w:bCs w:val="1"/>
          <w:color w:val="auto"/>
        </w:rPr>
        <w:t>CARTESIAN THERAPEUTICS, INC.</w:t>
      </w:r>
    </w:p>
    <w:p>
      <w:pPr>
        <w:spacing w:after="0" w:line="4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17359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tbl>
      <w:tblPr>
        <w:tblLayout w:type="fixed"/>
        <w:tblInd w:w="1145" w:type="dxa"/>
        <w:tblCellMar>
          <w:top w:w="0" w:type="dxa"/>
          <w:left w:w="0" w:type="dxa"/>
          <w:bottom w:w="0" w:type="dxa"/>
          <w:right w:w="0" w:type="dxa"/>
        </w:tblCellMar>
      </w:tblPr>
      <w:tr>
        <w:trPr>
          <w:trHeight w:val="151"/>
        </w:trPr>
        <w:tc>
          <w:tcPr>
            <w:tcW w:w="2080" w:type="dxa"/>
            <w:vAlign w:val="bottom"/>
          </w:tcPr>
          <w:p>
            <w:pPr>
              <w:jc w:val="center"/>
              <w:ind w:right="57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001-37798</w:t>
            </w:r>
          </w:p>
        </w:tc>
        <w:tc>
          <w:tcPr>
            <w:tcW w:w="1940" w:type="dxa"/>
            <w:vAlign w:val="bottom"/>
          </w:tcPr>
          <w:p>
            <w:pPr>
              <w:jc w:val="center"/>
              <w:ind w:left="617"/>
              <w:spacing w:after="0"/>
              <w:rPr>
                <w:sz w:val="20"/>
                <w:szCs w:val="20"/>
                <w:color w:val="auto"/>
              </w:rPr>
            </w:pPr>
            <w:r>
              <w:rPr>
                <w:rFonts w:ascii="Times New Roman" w:cs="Times New Roman" w:eastAsia="Times New Roman" w:hAnsi="Times New Roman"/>
                <w:sz w:val="13"/>
                <w:szCs w:val="13"/>
                <w:b w:val="1"/>
                <w:bCs w:val="1"/>
                <w:color w:val="auto"/>
                <w:w w:val="92"/>
              </w:rPr>
              <w:t>26-1622110</w:t>
            </w:r>
          </w:p>
        </w:tc>
      </w:tr>
      <w:tr>
        <w:trPr>
          <w:trHeight w:val="151"/>
        </w:trPr>
        <w:tc>
          <w:tcPr>
            <w:tcW w:w="2080" w:type="dxa"/>
            <w:vAlign w:val="bottom"/>
          </w:tcPr>
          <w:p>
            <w:pPr>
              <w:jc w:val="center"/>
              <w:ind w:right="57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4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940" w:type="dxa"/>
            <w:vAlign w:val="bottom"/>
          </w:tcPr>
          <w:p>
            <w:pPr>
              <w:jc w:val="center"/>
              <w:ind w:left="617"/>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080" w:type="dxa"/>
            <w:vAlign w:val="bottom"/>
          </w:tcPr>
          <w:p>
            <w:pPr>
              <w:jc w:val="center"/>
              <w:ind w:right="577"/>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4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1940" w:type="dxa"/>
            <w:vAlign w:val="bottom"/>
          </w:tcPr>
          <w:p>
            <w:pPr>
              <w:jc w:val="center"/>
              <w:ind w:left="617"/>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r>
        <w:trPr>
          <w:trHeight w:val="286"/>
        </w:trPr>
        <w:tc>
          <w:tcPr>
            <w:tcW w:w="208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704 Quince Orchard Road</w:t>
            </w:r>
          </w:p>
        </w:tc>
        <w:tc>
          <w:tcPr>
            <w:tcW w:w="1940" w:type="dxa"/>
            <w:vAlign w:val="bottom"/>
          </w:tcPr>
          <w:p>
            <w:pPr>
              <w:spacing w:after="0"/>
              <w:rPr>
                <w:sz w:val="24"/>
                <w:szCs w:val="24"/>
                <w:color w:val="auto"/>
              </w:rPr>
            </w:pPr>
          </w:p>
        </w:tc>
      </w:tr>
      <w:tr>
        <w:trPr>
          <w:trHeight w:val="151"/>
        </w:trPr>
        <w:tc>
          <w:tcPr>
            <w:tcW w:w="2080" w:type="dxa"/>
            <w:vAlign w:val="bottom"/>
          </w:tcPr>
          <w:p>
            <w:pPr>
              <w:spacing w:after="0"/>
              <w:rPr>
                <w:sz w:val="13"/>
                <w:szCs w:val="13"/>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Gaithersburg, Maryland 20878</w:t>
            </w:r>
          </w:p>
        </w:tc>
        <w:tc>
          <w:tcPr>
            <w:tcW w:w="1940" w:type="dxa"/>
            <w:vAlign w:val="bottom"/>
          </w:tcPr>
          <w:p>
            <w:pPr>
              <w:spacing w:after="0"/>
              <w:rPr>
                <w:sz w:val="13"/>
                <w:szCs w:val="13"/>
                <w:color w:val="auto"/>
              </w:rPr>
            </w:pPr>
          </w:p>
        </w:tc>
      </w:tr>
      <w:tr>
        <w:trPr>
          <w:trHeight w:val="166"/>
        </w:trPr>
        <w:tc>
          <w:tcPr>
            <w:tcW w:w="2080" w:type="dxa"/>
            <w:vAlign w:val="bottom"/>
          </w:tcPr>
          <w:p>
            <w:pPr>
              <w:spacing w:after="0"/>
              <w:rPr>
                <w:sz w:val="14"/>
                <w:szCs w:val="14"/>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c>
          <w:tcPr>
            <w:tcW w:w="1940" w:type="dxa"/>
            <w:vAlign w:val="bottom"/>
          </w:tcPr>
          <w:p>
            <w:pPr>
              <w:spacing w:after="0"/>
              <w:rPr>
                <w:sz w:val="14"/>
                <w:szCs w:val="14"/>
                <w:color w:val="auto"/>
              </w:rPr>
            </w:pPr>
          </w:p>
        </w:tc>
      </w:tr>
      <w:tr>
        <w:trPr>
          <w:trHeight w:val="301"/>
        </w:trPr>
        <w:tc>
          <w:tcPr>
            <w:tcW w:w="208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 (617) 923-1400</w:t>
            </w:r>
          </w:p>
        </w:tc>
        <w:tc>
          <w:tcPr>
            <w:tcW w:w="1940" w:type="dxa"/>
            <w:vAlign w:val="bottom"/>
          </w:tcPr>
          <w:p>
            <w:pPr>
              <w:spacing w:after="0"/>
              <w:rPr>
                <w:sz w:val="24"/>
                <w:szCs w:val="24"/>
                <w:color w:val="auto"/>
              </w:rPr>
            </w:pPr>
          </w:p>
        </w:tc>
      </w:tr>
      <w:tr>
        <w:trPr>
          <w:trHeight w:val="286"/>
        </w:trPr>
        <w:tc>
          <w:tcPr>
            <w:tcW w:w="208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1940" w:type="dxa"/>
            <w:vAlign w:val="bottom"/>
          </w:tcPr>
          <w:p>
            <w:pPr>
              <w:spacing w:after="0"/>
              <w:rPr>
                <w:sz w:val="24"/>
                <w:szCs w:val="24"/>
                <w:color w:val="auto"/>
              </w:rPr>
            </w:pPr>
          </w:p>
        </w:tc>
      </w:tr>
      <w:tr>
        <w:trPr>
          <w:trHeight w:val="166"/>
        </w:trPr>
        <w:tc>
          <w:tcPr>
            <w:tcW w:w="2080" w:type="dxa"/>
            <w:vAlign w:val="bottom"/>
          </w:tcPr>
          <w:p>
            <w:pPr>
              <w:spacing w:after="0"/>
              <w:rPr>
                <w:sz w:val="14"/>
                <w:szCs w:val="14"/>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9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173595"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5"/>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52" w:lineRule="exact"/>
        <w:rPr>
          <w:sz w:val="24"/>
          <w:szCs w:val="24"/>
          <w:color w:val="auto"/>
        </w:rPr>
      </w:pPr>
    </w:p>
    <w:p>
      <w:pPr>
        <w:ind w:left="265" w:hanging="265"/>
        <w:spacing w:after="0"/>
        <w:tabs>
          <w:tab w:leader="none" w:pos="265"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51" w:lineRule="exact"/>
        <w:rPr>
          <w:rFonts w:ascii="MS PGothic" w:cs="MS PGothic" w:eastAsia="MS PGothic" w:hAnsi="MS PGothic"/>
          <w:sz w:val="13"/>
          <w:szCs w:val="13"/>
          <w:color w:val="auto"/>
        </w:rPr>
      </w:pPr>
    </w:p>
    <w:p>
      <w:pPr>
        <w:ind w:left="265" w:hanging="265"/>
        <w:spacing w:after="0"/>
        <w:tabs>
          <w:tab w:leader="none" w:pos="265"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51" w:lineRule="exact"/>
        <w:rPr>
          <w:rFonts w:ascii="MS PGothic" w:cs="MS PGothic" w:eastAsia="MS PGothic" w:hAnsi="MS PGothic"/>
          <w:sz w:val="13"/>
          <w:szCs w:val="13"/>
          <w:color w:val="auto"/>
        </w:rPr>
      </w:pPr>
    </w:p>
    <w:p>
      <w:pPr>
        <w:ind w:left="225" w:hanging="225"/>
        <w:spacing w:after="0"/>
        <w:tabs>
          <w:tab w:leader="none" w:pos="225"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51" w:lineRule="exact"/>
        <w:rPr>
          <w:rFonts w:ascii="MS PGothic" w:cs="MS PGothic" w:eastAsia="MS PGothic" w:hAnsi="MS PGothic"/>
          <w:sz w:val="13"/>
          <w:szCs w:val="13"/>
          <w:color w:val="auto"/>
        </w:rPr>
      </w:pPr>
    </w:p>
    <w:p>
      <w:pPr>
        <w:ind w:left="5" w:right="5480" w:hanging="5"/>
        <w:spacing w:after="0" w:line="481" w:lineRule="auto"/>
        <w:tabs>
          <w:tab w:leader="none" w:pos="221"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5" w:type="dxa"/>
        <w:tblCellMar>
          <w:top w:w="0" w:type="dxa"/>
          <w:left w:w="0" w:type="dxa"/>
          <w:bottom w:w="0" w:type="dxa"/>
          <w:right w:w="0" w:type="dxa"/>
        </w:tblCellMar>
      </w:tblPr>
      <w:tr>
        <w:trPr>
          <w:trHeight w:val="151"/>
        </w:trPr>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Trading</w:t>
            </w:r>
          </w:p>
        </w:tc>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w:t>
            </w:r>
          </w:p>
        </w:tc>
      </w:tr>
      <w:tr>
        <w:trPr>
          <w:trHeight w:val="165"/>
        </w:trPr>
        <w:tc>
          <w:tcPr>
            <w:tcW w:w="5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163"/>
        </w:trPr>
        <w:tc>
          <w:tcPr>
            <w:tcW w:w="5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Common Stock (Par Value $0.0001)</w:t>
            </w:r>
          </w:p>
        </w:tc>
        <w:tc>
          <w:tcPr>
            <w:tcW w:w="100" w:type="dxa"/>
            <w:vAlign w:val="bottom"/>
          </w:tcPr>
          <w:p>
            <w:pPr>
              <w:spacing w:after="0"/>
              <w:rPr>
                <w:sz w:val="14"/>
                <w:szCs w:val="14"/>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RNAC</w:t>
            </w:r>
          </w:p>
        </w:tc>
        <w:tc>
          <w:tcPr>
            <w:tcW w:w="100" w:type="dxa"/>
            <w:vAlign w:val="bottom"/>
          </w:tcPr>
          <w:p>
            <w:pPr>
              <w:spacing w:after="0"/>
              <w:rPr>
                <w:sz w:val="14"/>
                <w:szCs w:val="14"/>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bl>
    <w:p>
      <w:pPr>
        <w:spacing w:after="0" w:line="124" w:lineRule="exact"/>
        <w:rPr>
          <w:sz w:val="24"/>
          <w:szCs w:val="24"/>
          <w:color w:val="auto"/>
        </w:rPr>
      </w:pPr>
    </w:p>
    <w:p>
      <w:pPr>
        <w:jc w:val="both"/>
        <w:ind w:left="5" w:right="2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5"/>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0" w:lineRule="exact"/>
        <w:rPr>
          <w:sz w:val="24"/>
          <w:szCs w:val="24"/>
          <w:color w:val="auto"/>
        </w:rPr>
      </w:pPr>
    </w:p>
    <w:p>
      <w:pPr>
        <w:jc w:val="both"/>
        <w:ind w:left="5" w:right="4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359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96520</wp:posOffset>
            </wp:positionV>
            <wp:extent cx="717359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3595"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198120</wp:posOffset>
            </wp:positionV>
            <wp:extent cx="7173595"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5"/>
          </w:cols>
          <w:pgMar w:left="295" w:top="441" w:right="299" w:bottom="1440" w:gutter="0" w:footer="0" w:header="0"/>
        </w:sectPr>
      </w:pPr>
    </w:p>
    <w:bookmarkStart w:id="1" w:name="page2"/>
    <w:bookmarkEnd w:id="1"/>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54" w:lineRule="exact"/>
        <w:rPr>
          <w:sz w:val="20"/>
          <w:szCs w:val="20"/>
          <w:color w:val="auto"/>
        </w:rPr>
      </w:pPr>
    </w:p>
    <w:p>
      <w:pPr>
        <w:ind w:left="5" w:right="80"/>
        <w:spacing w:after="0" w:line="246" w:lineRule="auto"/>
        <w:rPr>
          <w:sz w:val="20"/>
          <w:szCs w:val="20"/>
          <w:color w:val="auto"/>
        </w:rPr>
      </w:pPr>
      <w:r>
        <w:rPr>
          <w:rFonts w:ascii="Times New Roman" w:cs="Times New Roman" w:eastAsia="Times New Roman" w:hAnsi="Times New Roman"/>
          <w:sz w:val="13"/>
          <w:szCs w:val="13"/>
          <w:color w:val="auto"/>
        </w:rPr>
        <w:t>On November 13, 2023, Cartesian Therapeutics, Inc. (formerly known as Selecta Biosciences, Inc.) (the “Company”) filed a Current Report on Form 8-K (the “Original Form 8-K”) reporting that pursuant to an Agreement and Plan of Merger (the “Merger Agreement”) dated November 13, 2023, by and among the Company, Sakura Merger Sub I, Inc., a Delaware corporation and wholly owned subsidiary of the Company (“Merger Sub I”), Sakura Merger Sub II, LLC, a Delaware limited liability company and wholly owned subsidiary of the Company (“Merger Sub II”), and Cartesian Bio, LLC, (formerly known as Cartesian Therapeutics, Inc.) (“Old Cartesian”), Merger Sub I merged with and into Old Cartesian (the “First Merger”), with Old Cartesian surviving such First Merger as a wholly owned subsidiary of the Company, and, as part of the same overall transaction, promptly after the First Merger, the surviving entity of the First Merger merged with and into Merger Sub II (the “Second Merger” and together with the First Merger, the “Mergers”), with Merger Sub II surviving the Second Merger.</w:t>
      </w:r>
    </w:p>
    <w:p>
      <w:pPr>
        <w:spacing w:after="0" w:line="134" w:lineRule="exact"/>
        <w:rPr>
          <w:sz w:val="20"/>
          <w:szCs w:val="20"/>
          <w:color w:val="auto"/>
        </w:rPr>
      </w:pPr>
    </w:p>
    <w:p>
      <w:pPr>
        <w:ind w:left="5" w:right="80"/>
        <w:spacing w:after="0" w:line="264" w:lineRule="auto"/>
        <w:rPr>
          <w:sz w:val="20"/>
          <w:szCs w:val="20"/>
          <w:color w:val="auto"/>
        </w:rPr>
      </w:pPr>
      <w:r>
        <w:rPr>
          <w:rFonts w:ascii="Times New Roman" w:cs="Times New Roman" w:eastAsia="Times New Roman" w:hAnsi="Times New Roman"/>
          <w:sz w:val="13"/>
          <w:szCs w:val="13"/>
          <w:color w:val="auto"/>
        </w:rPr>
        <w:t>This Current Report on Form 8-K/A, amends Item 9.01 of the Original Form 8-K to include the financial statements and unaudited pro forma financial information required by Items 9.01(a) and (b) of Form 8-K, respectively, which were not included in the Original Form 8-K pursuant to Items 9.01(a)(3) and (b)(2) of Form 8-K.</w:t>
      </w:r>
    </w:p>
    <w:p>
      <w:pPr>
        <w:spacing w:after="0" w:line="121" w:lineRule="exact"/>
        <w:rPr>
          <w:sz w:val="20"/>
          <w:szCs w:val="20"/>
          <w:color w:val="auto"/>
        </w:rPr>
      </w:pPr>
    </w:p>
    <w:p>
      <w:pPr>
        <w:ind w:left="5"/>
        <w:spacing w:after="0"/>
        <w:tabs>
          <w:tab w:leader="none" w:pos="2484"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2" w:lineRule="exact"/>
        <w:rPr>
          <w:sz w:val="20"/>
          <w:szCs w:val="20"/>
          <w:color w:val="auto"/>
        </w:rPr>
      </w:pPr>
    </w:p>
    <w:p>
      <w:pPr>
        <w:ind w:left="705" w:hanging="705"/>
        <w:spacing w:after="0"/>
        <w:tabs>
          <w:tab w:leader="none" w:pos="705" w:val="left"/>
        </w:tabs>
        <w:numPr>
          <w:ilvl w:val="0"/>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Financial statements of businesses acquired.</w:t>
      </w:r>
    </w:p>
    <w:p>
      <w:pPr>
        <w:spacing w:after="0" w:line="154" w:lineRule="exact"/>
        <w:rPr>
          <w:sz w:val="20"/>
          <w:szCs w:val="20"/>
          <w:color w:val="auto"/>
        </w:rPr>
      </w:pPr>
    </w:p>
    <w:p>
      <w:pPr>
        <w:ind w:left="5" w:right="20"/>
        <w:spacing w:after="0" w:line="264" w:lineRule="auto"/>
        <w:rPr>
          <w:sz w:val="20"/>
          <w:szCs w:val="20"/>
          <w:color w:val="auto"/>
        </w:rPr>
      </w:pPr>
      <w:r>
        <w:rPr>
          <w:rFonts w:ascii="Times New Roman" w:cs="Times New Roman" w:eastAsia="Times New Roman" w:hAnsi="Times New Roman"/>
          <w:sz w:val="13"/>
          <w:szCs w:val="13"/>
          <w:color w:val="auto"/>
        </w:rPr>
        <w:t>The audited financial statements and accompanying notes of Old Cartesian as of and for the years ended December 31, 2022 and 2021 are filed as Exhibit 99.1 to this Current Report on Form 8-K/A and incorporated herein by reference.</w:t>
      </w:r>
    </w:p>
    <w:p>
      <w:pPr>
        <w:spacing w:after="0" w:line="123" w:lineRule="exact"/>
        <w:rPr>
          <w:sz w:val="20"/>
          <w:szCs w:val="20"/>
          <w:color w:val="auto"/>
        </w:rPr>
      </w:pPr>
    </w:p>
    <w:p>
      <w:pPr>
        <w:ind w:left="5" w:right="20"/>
        <w:spacing w:after="0" w:line="264" w:lineRule="auto"/>
        <w:rPr>
          <w:sz w:val="20"/>
          <w:szCs w:val="20"/>
          <w:color w:val="auto"/>
        </w:rPr>
      </w:pPr>
      <w:r>
        <w:rPr>
          <w:rFonts w:ascii="Times New Roman" w:cs="Times New Roman" w:eastAsia="Times New Roman" w:hAnsi="Times New Roman"/>
          <w:sz w:val="13"/>
          <w:szCs w:val="13"/>
          <w:color w:val="auto"/>
        </w:rPr>
        <w:t>The unaudited financial statements and accompanying notes of Old Cartesian as of and for the nine months ended September 30, 2023 and 2022 are filed as Exhibit 99.2 to this Current Report on Form 8-K/A and incorporated herein by reference.</w:t>
      </w:r>
    </w:p>
    <w:p>
      <w:pPr>
        <w:spacing w:after="0" w:line="121" w:lineRule="exact"/>
        <w:rPr>
          <w:sz w:val="20"/>
          <w:szCs w:val="20"/>
          <w:color w:val="auto"/>
        </w:rPr>
      </w:pPr>
    </w:p>
    <w:p>
      <w:pPr>
        <w:ind w:left="685" w:hanging="685"/>
        <w:spacing w:after="0"/>
        <w:tabs>
          <w:tab w:leader="none" w:pos="685"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Pro forma financial information.</w:t>
      </w:r>
    </w:p>
    <w:p>
      <w:pPr>
        <w:spacing w:after="0" w:line="154" w:lineRule="exact"/>
        <w:rPr>
          <w:sz w:val="20"/>
          <w:szCs w:val="20"/>
          <w:color w:val="auto"/>
        </w:rPr>
      </w:pPr>
    </w:p>
    <w:p>
      <w:pPr>
        <w:ind w:left="5" w:right="80"/>
        <w:spacing w:after="0" w:line="253" w:lineRule="auto"/>
        <w:rPr>
          <w:sz w:val="20"/>
          <w:szCs w:val="20"/>
          <w:color w:val="auto"/>
        </w:rPr>
      </w:pPr>
      <w:r>
        <w:rPr>
          <w:rFonts w:ascii="Times New Roman" w:cs="Times New Roman" w:eastAsia="Times New Roman" w:hAnsi="Times New Roman"/>
          <w:sz w:val="13"/>
          <w:szCs w:val="13"/>
          <w:color w:val="auto"/>
        </w:rPr>
        <w:t>The unaudited pro forma condensed combined balance sheet as of September 30, 2023, the unaudited pro forma condensed combined statement of operations for the nine months ended September 30, 2023, the unaudited pro forma combined statement of operations for the year ended December 31, 2022, and the related notes of Cartesian Therapeutics, Inc. with respect to the transaction described above, are filed as Exhibit 99.3 to this Current Report on Form 8-K/A and incorporated herein by reference.</w:t>
      </w:r>
    </w:p>
    <w:p>
      <w:pPr>
        <w:spacing w:after="0" w:line="127" w:lineRule="exact"/>
        <w:rPr>
          <w:sz w:val="20"/>
          <w:szCs w:val="20"/>
          <w:color w:val="auto"/>
        </w:rPr>
      </w:pPr>
    </w:p>
    <w:p>
      <w:pPr>
        <w:ind w:left="685" w:hanging="685"/>
        <w:spacing w:after="0"/>
        <w:tabs>
          <w:tab w:leader="none" w:pos="685"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Exhibits.</w:t>
      </w:r>
    </w:p>
    <w:p>
      <w:pPr>
        <w:spacing w:after="0" w:line="152" w:lineRule="exact"/>
        <w:rPr>
          <w:sz w:val="20"/>
          <w:szCs w:val="20"/>
          <w:color w:val="auto"/>
        </w:rPr>
      </w:pPr>
    </w:p>
    <w:tbl>
      <w:tblPr>
        <w:tblLayout w:type="fixed"/>
        <w:tblInd w:w="5" w:type="dxa"/>
        <w:tblCellMar>
          <w:top w:w="0" w:type="dxa"/>
          <w:left w:w="0" w:type="dxa"/>
          <w:bottom w:w="0" w:type="dxa"/>
          <w:right w:w="0" w:type="dxa"/>
        </w:tblCellMar>
      </w:tblPr>
      <w:tr>
        <w:trPr>
          <w:trHeight w:val="151"/>
        </w:trPr>
        <w:tc>
          <w:tcPr>
            <w:tcW w:w="220" w:type="dxa"/>
            <w:vAlign w:val="bottom"/>
          </w:tcPr>
          <w:p>
            <w:pPr>
              <w:spacing w:after="0"/>
              <w:rPr>
                <w:sz w:val="13"/>
                <w:szCs w:val="13"/>
                <w:color w:val="auto"/>
              </w:rPr>
            </w:pPr>
          </w:p>
        </w:tc>
        <w:tc>
          <w:tcPr>
            <w:tcW w:w="5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0560" w:type="dxa"/>
            <w:vAlign w:val="bottom"/>
          </w:tcPr>
          <w:p>
            <w:pPr>
              <w:spacing w:after="0"/>
              <w:rPr>
                <w:sz w:val="13"/>
                <w:szCs w:val="13"/>
                <w:color w:val="auto"/>
              </w:rPr>
            </w:pPr>
          </w:p>
        </w:tc>
      </w:tr>
      <w:tr>
        <w:trPr>
          <w:trHeight w:val="166"/>
        </w:trPr>
        <w:tc>
          <w:tcPr>
            <w:tcW w:w="7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560" w:type="dxa"/>
            <w:vAlign w:val="bottom"/>
          </w:tcPr>
          <w:p>
            <w:pPr>
              <w:ind w:left="50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72"/>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87"/>
              </w:rPr>
              <w:t>23.</w:t>
            </w:r>
            <w:r>
              <w:rPr>
                <w:rFonts w:ascii="Times New Roman" w:cs="Times New Roman" w:eastAsia="Times New Roman" w:hAnsi="Times New Roman"/>
                <w:sz w:val="13"/>
                <w:szCs w:val="13"/>
                <w:u w:val="single" w:color="auto"/>
                <w:color w:val="0000EE"/>
                <w:w w:val="87"/>
              </w:rPr>
              <w:t>1</w:t>
            </w:r>
          </w:p>
        </w:tc>
        <w:tc>
          <w:tcPr>
            <w:tcW w:w="520" w:type="dxa"/>
            <w:vAlign w:val="bottom"/>
          </w:tcPr>
          <w:p>
            <w:pPr>
              <w:spacing w:after="0"/>
              <w:rPr>
                <w:sz w:val="23"/>
                <w:szCs w:val="23"/>
                <w:color w:val="auto"/>
              </w:rPr>
            </w:pPr>
          </w:p>
        </w:tc>
        <w:tc>
          <w:tcPr>
            <w:tcW w:w="10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Consent of BDO USA, P.C.</w:t>
            </w:r>
          </w:p>
        </w:tc>
      </w:tr>
      <w:tr>
        <w:trPr>
          <w:trHeight w:val="281"/>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1</w:t>
            </w:r>
          </w:p>
        </w:tc>
        <w:tc>
          <w:tcPr>
            <w:tcW w:w="520" w:type="dxa"/>
            <w:vAlign w:val="bottom"/>
          </w:tcPr>
          <w:p>
            <w:pPr>
              <w:spacing w:after="0"/>
              <w:rPr>
                <w:sz w:val="24"/>
                <w:szCs w:val="24"/>
                <w:color w:val="auto"/>
              </w:rPr>
            </w:pPr>
          </w:p>
        </w:tc>
        <w:tc>
          <w:tcPr>
            <w:tcW w:w="10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Audited financial statements of Old Cartesian, as of December 31, 2022 and 2021 and for the years then ended.</w:t>
            </w:r>
          </w:p>
        </w:tc>
      </w:tr>
      <w:tr>
        <w:trPr>
          <w:trHeight w:val="281"/>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2</w:t>
            </w:r>
          </w:p>
        </w:tc>
        <w:tc>
          <w:tcPr>
            <w:tcW w:w="520" w:type="dxa"/>
            <w:vAlign w:val="bottom"/>
          </w:tcPr>
          <w:p>
            <w:pPr>
              <w:spacing w:after="0"/>
              <w:rPr>
                <w:sz w:val="24"/>
                <w:szCs w:val="24"/>
                <w:color w:val="auto"/>
              </w:rPr>
            </w:pPr>
          </w:p>
        </w:tc>
        <w:tc>
          <w:tcPr>
            <w:tcW w:w="10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Unaudited financial statements of Old Cartesian, as of and for the nine months ended September 30, 2023 and 2022.</w:t>
            </w:r>
          </w:p>
        </w:tc>
      </w:tr>
      <w:tr>
        <w:trPr>
          <w:trHeight w:val="281"/>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3</w:t>
            </w:r>
          </w:p>
        </w:tc>
        <w:tc>
          <w:tcPr>
            <w:tcW w:w="520" w:type="dxa"/>
            <w:vAlign w:val="bottom"/>
          </w:tcPr>
          <w:p>
            <w:pPr>
              <w:spacing w:after="0"/>
              <w:rPr>
                <w:sz w:val="24"/>
                <w:szCs w:val="24"/>
                <w:color w:val="auto"/>
              </w:rPr>
            </w:pPr>
          </w:p>
        </w:tc>
        <w:tc>
          <w:tcPr>
            <w:tcW w:w="10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Unaudited pro forma condensed combined financial information of Cartesian Therapeutics, Inc. with respect to the acquisition of Old Cartesian.</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520" w:type="dxa"/>
            <w:vAlign w:val="bottom"/>
          </w:tcPr>
          <w:p>
            <w:pPr>
              <w:spacing w:after="0"/>
              <w:rPr>
                <w:sz w:val="24"/>
                <w:szCs w:val="24"/>
                <w:color w:val="auto"/>
              </w:rPr>
            </w:pPr>
          </w:p>
        </w:tc>
        <w:tc>
          <w:tcPr>
            <w:tcW w:w="10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 document).</w:t>
            </w:r>
          </w:p>
        </w:tc>
      </w:tr>
      <w:tr>
        <w:trPr>
          <w:trHeight w:val="272"/>
        </w:trPr>
        <w:tc>
          <w:tcPr>
            <w:tcW w:w="2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560" w:type="dxa"/>
            <w:vAlign w:val="bottom"/>
            <w:tcBorders>
              <w:bottom w:val="single" w:sz="8" w:color="auto"/>
            </w:tcBorders>
          </w:tcPr>
          <w:p>
            <w:pPr>
              <w:spacing w:after="0"/>
              <w:rPr>
                <w:sz w:val="23"/>
                <w:szCs w:val="23"/>
                <w:color w:val="auto"/>
              </w:rPr>
            </w:pPr>
          </w:p>
        </w:tc>
      </w:tr>
    </w:tbl>
    <w:p>
      <w:pPr>
        <w:sectPr>
          <w:pgSz w:w="11900" w:h="16838" w:orient="portrait"/>
          <w:cols w:equalWidth="0" w:num="1">
            <w:col w:w="11305"/>
          </w:cols>
          <w:pgMar w:left="295" w:top="275"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Date: January 23, 2024</w:t>
            </w:r>
          </w:p>
        </w:tc>
        <w:tc>
          <w:tcPr>
            <w:tcW w:w="7900" w:type="dxa"/>
            <w:vAlign w:val="bottom"/>
            <w:gridSpan w:val="2"/>
          </w:tcPr>
          <w:p>
            <w:pPr>
              <w:ind w:left="2240"/>
              <w:spacing w:after="0"/>
              <w:rPr>
                <w:sz w:val="20"/>
                <w:szCs w:val="20"/>
                <w:color w:val="auto"/>
              </w:rPr>
            </w:pPr>
            <w:r>
              <w:rPr>
                <w:rFonts w:ascii="Times New Roman" w:cs="Times New Roman" w:eastAsia="Times New Roman" w:hAnsi="Times New Roman"/>
                <w:sz w:val="13"/>
                <w:szCs w:val="13"/>
                <w:color w:val="auto"/>
              </w:rPr>
              <w:t>CARTESIAN THERAPEUTICS, INC.</w:t>
            </w:r>
          </w:p>
        </w:tc>
      </w:tr>
      <w:tr>
        <w:trPr>
          <w:trHeight w:val="301"/>
        </w:trPr>
        <w:tc>
          <w:tcPr>
            <w:tcW w:w="3400" w:type="dxa"/>
            <w:vAlign w:val="bottom"/>
          </w:tcPr>
          <w:p>
            <w:pPr>
              <w:spacing w:after="0"/>
              <w:rPr>
                <w:sz w:val="24"/>
                <w:szCs w:val="24"/>
                <w:color w:val="auto"/>
              </w:rPr>
            </w:pPr>
          </w:p>
        </w:tc>
        <w:tc>
          <w:tcPr>
            <w:tcW w:w="2700" w:type="dxa"/>
            <w:vAlign w:val="bottom"/>
          </w:tcPr>
          <w:p>
            <w:pPr>
              <w:ind w:left="2240"/>
              <w:spacing w:after="0"/>
              <w:rPr>
                <w:sz w:val="20"/>
                <w:szCs w:val="20"/>
                <w:color w:val="auto"/>
              </w:rPr>
            </w:pPr>
            <w:r>
              <w:rPr>
                <w:rFonts w:ascii="Times New Roman" w:cs="Times New Roman" w:eastAsia="Times New Roman" w:hAnsi="Times New Roman"/>
                <w:sz w:val="13"/>
                <w:szCs w:val="13"/>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Carsten Brunn, Ph.D.</w:t>
            </w:r>
          </w:p>
        </w:tc>
      </w:tr>
      <w:tr>
        <w:trPr>
          <w:trHeight w:val="136"/>
        </w:trPr>
        <w:tc>
          <w:tcPr>
            <w:tcW w:w="3400" w:type="dxa"/>
            <w:vAlign w:val="bottom"/>
          </w:tcPr>
          <w:p>
            <w:pPr>
              <w:spacing w:after="0"/>
              <w:rPr>
                <w:sz w:val="11"/>
                <w:szCs w:val="11"/>
                <w:color w:val="auto"/>
              </w:rPr>
            </w:pPr>
          </w:p>
        </w:tc>
        <w:tc>
          <w:tcPr>
            <w:tcW w:w="2700" w:type="dxa"/>
            <w:vAlign w:val="bottom"/>
          </w:tcPr>
          <w:p>
            <w:pPr>
              <w:ind w:left="2240"/>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52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Carsten Brunn, Ph.D.</w:t>
            </w:r>
          </w:p>
        </w:tc>
      </w:tr>
      <w:tr>
        <w:trPr>
          <w:trHeight w:val="164"/>
        </w:trPr>
        <w:tc>
          <w:tcPr>
            <w:tcW w:w="3400" w:type="dxa"/>
            <w:vAlign w:val="bottom"/>
          </w:tcPr>
          <w:p>
            <w:pPr>
              <w:spacing w:after="0"/>
              <w:rPr>
                <w:sz w:val="14"/>
                <w:szCs w:val="14"/>
                <w:color w:val="auto"/>
              </w:rPr>
            </w:pPr>
          </w:p>
        </w:tc>
        <w:tc>
          <w:tcPr>
            <w:tcW w:w="2700" w:type="dxa"/>
            <w:vAlign w:val="bottom"/>
          </w:tcPr>
          <w:p>
            <w:pPr>
              <w:ind w:left="2240"/>
              <w:spacing w:after="0"/>
              <w:rPr>
                <w:sz w:val="20"/>
                <w:szCs w:val="20"/>
                <w:color w:val="auto"/>
              </w:rPr>
            </w:pPr>
            <w:r>
              <w:rPr>
                <w:rFonts w:ascii="Times New Roman" w:cs="Times New Roman" w:eastAsia="Times New Roman" w:hAnsi="Times New Roman"/>
                <w:sz w:val="13"/>
                <w:szCs w:val="13"/>
                <w:color w:val="auto"/>
              </w:rPr>
              <w:t>Title:</w:t>
            </w:r>
          </w:p>
        </w:tc>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216"/>
        </w:trPr>
        <w:tc>
          <w:tcPr>
            <w:tcW w:w="34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r>
    </w:tbl>
    <w:p>
      <w:pPr>
        <w:sectPr>
          <w:pgSz w:w="11900" w:h="16838" w:orient="portrait"/>
          <w:cols w:equalWidth="0" w:num="1">
            <w:col w:w="11300"/>
          </w:cols>
          <w:pgMar w:left="300" w:top="275"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7359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3595" cy="24130"/>
                    </a:xfrm>
                    <a:prstGeom prst="rect">
                      <a:avLst/>
                    </a:prstGeom>
                    <a:noFill/>
                  </pic:spPr>
                </pic:pic>
              </a:graphicData>
            </a:graphic>
          </wp:anchor>
        </w:drawing>
        <w:t>Exhibit 23.1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Consent of Independent Registered Public Accounting Firm</w:t>
      </w:r>
    </w:p>
    <w:p>
      <w:pPr>
        <w:spacing w:after="0" w:line="15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3"/>
          <w:szCs w:val="13"/>
          <w:color w:val="auto"/>
        </w:rPr>
        <w:t>We hereby consent to the incorporation by reference in the Registration Statements on Form S-3 (No. 333-275171) and Form S-8 (Nos. 333-276486, 333-274036, 333-264691, 333-256061, 333-239075, 333-230501, 333-228264, 333-224109 and 333-212215) of Cartesian Therapeutics, Inc. (formerly known as Selecta Biosciences, Inc.) of our report dated January 23, 2024, relating to the financial statements of Cartesian Therapeutics, Inc., which appears in this Form 8-K/A.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BDO USA, P.C.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Potomac, Maryland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January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7173595"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28"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7359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3595" cy="24130"/>
                    </a:xfrm>
                    <a:prstGeom prst="rect">
                      <a:avLst/>
                    </a:prstGeom>
                    <a:noFill/>
                  </pic:spPr>
                </pic:pic>
              </a:graphicData>
            </a:graphic>
          </wp:anchor>
        </w:drawing>
        <w:t>Exhibit 99.1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Independent Auditor’s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Cartesian Therapeutics,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704 Quince Orchard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Gaithersburg, MD 20878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Opinion</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have audited the financial statements of Cartesian Therapeutics, Inc. (the Company), which comprise the balance sheets as of December 31, 2022 and 2021, and the related statements of operations and comprehensive loss, preferred stock and stockholders’ deficit, and cash flows for the years then ended, and the related notes to the financial statements.</w:t>
      </w:r>
    </w:p>
    <w:p>
      <w:pPr>
        <w:spacing w:after="0" w:line="12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In our opinion, the accompanying financial statements present fairly, in all material respects, the financial position of the Company as of December 31, 2022 and 2021, and the results of its operations and its cash flows for the years then ended in accordance with accounting principles generally accepted in the United States of America.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Basis for Opinion</w:t>
      </w:r>
    </w:p>
    <w:p>
      <w:pPr>
        <w:spacing w:after="0" w:line="15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3"/>
          <w:szCs w:val="13"/>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Responsibilities of Management for the Financial Statements</w:t>
      </w:r>
    </w:p>
    <w:p>
      <w:pPr>
        <w:spacing w:after="0" w:line="15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2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Auditor’s Responsibilities for the Audit of the Financial Statements</w:t>
      </w:r>
    </w:p>
    <w:p>
      <w:pPr>
        <w:spacing w:after="0" w:line="15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1"/>
          <w:szCs w:val="11"/>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149860</wp:posOffset>
            </wp:positionV>
            <wp:extent cx="7173595"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28" w:right="299" w:bottom="1440" w:gutter="0" w:footer="0" w:header="0"/>
        </w:sectPr>
      </w:pPr>
    </w:p>
    <w:bookmarkStart w:id="5" w:name="page6"/>
    <w:bookmarkEnd w:id="5"/>
    <w:p>
      <w:pPr>
        <w:ind w:left="5"/>
        <w:spacing w:after="0"/>
        <w:rPr>
          <w:sz w:val="20"/>
          <w:szCs w:val="20"/>
          <w:color w:val="auto"/>
        </w:rPr>
      </w:pPr>
      <w:r>
        <w:rPr>
          <w:rFonts w:ascii="Times New Roman" w:cs="Times New Roman" w:eastAsia="Times New Roman" w:hAnsi="Times New Roman"/>
          <w:sz w:val="13"/>
          <w:szCs w:val="13"/>
          <w:color w:val="auto"/>
        </w:rPr>
        <w:t>In performing an audit in accordance with GAAS, we:</w:t>
      </w:r>
    </w:p>
    <w:p>
      <w:pPr>
        <w:spacing w:after="0" w:line="152" w:lineRule="exact"/>
        <w:rPr>
          <w:sz w:val="20"/>
          <w:szCs w:val="20"/>
          <w:color w:val="auto"/>
        </w:rPr>
      </w:pPr>
    </w:p>
    <w:p>
      <w:pPr>
        <w:ind w:left="245" w:hanging="245"/>
        <w:spacing w:after="0"/>
        <w:tabs>
          <w:tab w:leader="none" w:pos="245"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Exercise professional judgment and maintain professional skepticism throughout the audit.</w:t>
      </w:r>
    </w:p>
    <w:p>
      <w:pPr>
        <w:spacing w:after="0" w:line="151" w:lineRule="exact"/>
        <w:rPr>
          <w:rFonts w:ascii="Times New Roman" w:cs="Times New Roman" w:eastAsia="Times New Roman" w:hAnsi="Times New Roman"/>
          <w:sz w:val="13"/>
          <w:szCs w:val="13"/>
          <w:color w:val="auto"/>
        </w:rPr>
      </w:pPr>
    </w:p>
    <w:p>
      <w:pPr>
        <w:ind w:left="245" w:right="20" w:hanging="245"/>
        <w:spacing w:after="0" w:line="264" w:lineRule="auto"/>
        <w:tabs>
          <w:tab w:leader="none" w:pos="245"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22" w:lineRule="exact"/>
        <w:rPr>
          <w:rFonts w:ascii="Times New Roman" w:cs="Times New Roman" w:eastAsia="Times New Roman" w:hAnsi="Times New Roman"/>
          <w:sz w:val="13"/>
          <w:szCs w:val="13"/>
          <w:color w:val="auto"/>
        </w:rPr>
      </w:pPr>
    </w:p>
    <w:p>
      <w:pPr>
        <w:ind w:left="245" w:right="200" w:hanging="245"/>
        <w:spacing w:after="0" w:line="264" w:lineRule="auto"/>
        <w:tabs>
          <w:tab w:leader="none" w:pos="245"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22" w:lineRule="exact"/>
        <w:rPr>
          <w:rFonts w:ascii="Times New Roman" w:cs="Times New Roman" w:eastAsia="Times New Roman" w:hAnsi="Times New Roman"/>
          <w:sz w:val="13"/>
          <w:szCs w:val="13"/>
          <w:color w:val="auto"/>
        </w:rPr>
      </w:pPr>
    </w:p>
    <w:p>
      <w:pPr>
        <w:ind w:left="245" w:hanging="245"/>
        <w:spacing w:after="0"/>
        <w:tabs>
          <w:tab w:leader="none" w:pos="245"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 the appropriateness of accounting policies used and the reasonableness of significant accounting estimates made by management, as well as evaluate the overall presentation of the financial statements.</w:t>
      </w:r>
    </w:p>
    <w:p>
      <w:pPr>
        <w:spacing w:after="0" w:line="151" w:lineRule="exact"/>
        <w:rPr>
          <w:rFonts w:ascii="Times New Roman" w:cs="Times New Roman" w:eastAsia="Times New Roman" w:hAnsi="Times New Roman"/>
          <w:sz w:val="13"/>
          <w:szCs w:val="13"/>
          <w:color w:val="auto"/>
        </w:rPr>
      </w:pPr>
    </w:p>
    <w:p>
      <w:pPr>
        <w:ind w:left="245" w:hanging="245"/>
        <w:spacing w:after="0"/>
        <w:tabs>
          <w:tab w:leader="none" w:pos="245"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Conclude whether, in our judgment, there are conditions or events, considered in the aggregate, that raise substantial doubt about the Company’s ability to continue as a going concern for a reasonable period of time</w:t>
      </w:r>
    </w:p>
    <w:p>
      <w:pPr>
        <w:spacing w:after="0" w:line="175" w:lineRule="exact"/>
        <w:rPr>
          <w:sz w:val="20"/>
          <w:szCs w:val="20"/>
          <w:color w:val="auto"/>
        </w:rPr>
      </w:pPr>
    </w:p>
    <w:p>
      <w:pPr>
        <w:ind w:left="5"/>
        <w:spacing w:after="0" w:line="264" w:lineRule="auto"/>
        <w:rPr>
          <w:sz w:val="20"/>
          <w:szCs w:val="20"/>
          <w:color w:val="auto"/>
        </w:rPr>
      </w:pPr>
      <w:r>
        <w:rPr>
          <w:rFonts w:ascii="Times New Roman" w:cs="Times New Roman" w:eastAsia="Times New Roman" w:hAnsi="Times New Roman"/>
          <w:sz w:val="13"/>
          <w:szCs w:val="13"/>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/s/ BDO USA, P.C.</w:t>
      </w:r>
    </w:p>
    <w:p>
      <w:pPr>
        <w:spacing w:after="0" w:line="1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Potomac, Maryland</w:t>
      </w:r>
    </w:p>
    <w:p>
      <w:pPr>
        <w:spacing w:after="0" w:line="1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January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7173595"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285"/>
          </w:cols>
          <w:pgMar w:left="295" w:top="277"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Balance Sheets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(Amounts 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 , 2022</w:t>
            </w:r>
          </w:p>
        </w:tc>
        <w:tc>
          <w:tcPr>
            <w:tcW w:w="5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 2021</w:t>
            </w:r>
          </w:p>
        </w:tc>
      </w:tr>
      <w:tr>
        <w:trPr>
          <w:trHeight w:val="149"/>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5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r>
      <w:tr>
        <w:trPr>
          <w:trHeight w:val="151"/>
        </w:trPr>
        <w:tc>
          <w:tcPr>
            <w:tcW w:w="7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5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52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12,001</w:t>
            </w:r>
          </w:p>
        </w:tc>
        <w:tc>
          <w:tcPr>
            <w:tcW w:w="5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4,735</w:t>
            </w:r>
          </w:p>
        </w:tc>
      </w:tr>
      <w:tr>
        <w:trPr>
          <w:trHeight w:val="151"/>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5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3,129</w:t>
            </w:r>
          </w:p>
        </w:tc>
      </w:tr>
      <w:tr>
        <w:trPr>
          <w:trHeight w:val="15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Payroll tax credit receivable</w:t>
            </w: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r>
      <w:tr>
        <w:trPr>
          <w:trHeight w:val="160"/>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5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69"/>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assets</w:t>
            </w:r>
          </w:p>
        </w:tc>
        <w:tc>
          <w:tcPr>
            <w:tcW w:w="52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13,405</w:t>
            </w:r>
          </w:p>
        </w:tc>
        <w:tc>
          <w:tcPr>
            <w:tcW w:w="2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8,139</w:t>
            </w:r>
          </w:p>
        </w:tc>
      </w:tr>
      <w:tr>
        <w:trPr>
          <w:trHeight w:val="129"/>
        </w:trPr>
        <w:tc>
          <w:tcPr>
            <w:tcW w:w="72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5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r>
      <w:tr>
        <w:trPr>
          <w:trHeight w:val="151"/>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Right-of-use asset, net</w:t>
            </w:r>
          </w:p>
        </w:tc>
        <w:tc>
          <w:tcPr>
            <w:tcW w:w="5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w:t>
            </w:r>
          </w:p>
        </w:tc>
      </w:tr>
      <w:tr>
        <w:trPr>
          <w:trHeight w:val="180"/>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Security deposit</w:t>
            </w:r>
          </w:p>
        </w:tc>
        <w:tc>
          <w:tcPr>
            <w:tcW w:w="5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6"/>
        </w:trPr>
        <w:tc>
          <w:tcPr>
            <w:tcW w:w="7220" w:type="dxa"/>
            <w:vAlign w:val="bottom"/>
            <w:tcBorders>
              <w:bottom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Total assets</w:t>
            </w:r>
          </w:p>
        </w:tc>
        <w:tc>
          <w:tcPr>
            <w:tcW w:w="520" w:type="dxa"/>
            <w:vAlign w:val="bottom"/>
            <w:tcBorders>
              <w:bottom w:val="single" w:sz="8" w:color="auto"/>
            </w:tcBorders>
          </w:tcPr>
          <w:p>
            <w:pPr>
              <w:jc w:val="right"/>
              <w:ind w:right="29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14,610</w:t>
            </w:r>
          </w:p>
        </w:tc>
        <w:tc>
          <w:tcPr>
            <w:tcW w:w="2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29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9,668</w:t>
            </w:r>
          </w:p>
        </w:tc>
      </w:tr>
      <w:tr>
        <w:trPr>
          <w:trHeight w:val="151"/>
        </w:trPr>
        <w:tc>
          <w:tcPr>
            <w:tcW w:w="7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Liabilities, preferred stock and stockholders' deficit</w:t>
            </w: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1"/>
        </w:trPr>
        <w:tc>
          <w:tcPr>
            <w:tcW w:w="7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5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liability</w:t>
            </w:r>
          </w:p>
        </w:tc>
        <w:tc>
          <w:tcPr>
            <w:tcW w:w="52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151"/>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5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r>
      <w:tr>
        <w:trPr>
          <w:trHeight w:val="15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NIH liability</w:t>
            </w: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5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2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978</w:t>
            </w:r>
          </w:p>
        </w:tc>
      </w:tr>
      <w:tr>
        <w:trPr>
          <w:trHeight w:val="169"/>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liabilities</w:t>
            </w:r>
          </w:p>
        </w:tc>
        <w:tc>
          <w:tcPr>
            <w:tcW w:w="52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1,638</w:t>
            </w:r>
          </w:p>
        </w:tc>
        <w:tc>
          <w:tcPr>
            <w:tcW w:w="2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w:t>
            </w:r>
          </w:p>
        </w:tc>
      </w:tr>
      <w:tr>
        <w:trPr>
          <w:trHeight w:val="129"/>
        </w:trPr>
        <w:tc>
          <w:tcPr>
            <w:tcW w:w="72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liabilities:</w:t>
            </w:r>
          </w:p>
        </w:tc>
        <w:tc>
          <w:tcPr>
            <w:tcW w:w="5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NIH liability</w:t>
            </w: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r>
      <w:tr>
        <w:trPr>
          <w:trHeight w:val="160"/>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Lease liability, net of current</w:t>
            </w:r>
          </w:p>
        </w:tc>
        <w:tc>
          <w:tcPr>
            <w:tcW w:w="5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2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w:t>
            </w:r>
          </w:p>
        </w:tc>
      </w:tr>
      <w:tr>
        <w:trPr>
          <w:trHeight w:val="169"/>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52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2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w:t>
            </w:r>
          </w:p>
        </w:tc>
      </w:tr>
      <w:tr>
        <w:trPr>
          <w:trHeight w:val="129"/>
        </w:trPr>
        <w:tc>
          <w:tcPr>
            <w:tcW w:w="72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Commitments and contingencies (Note 11)</w:t>
            </w:r>
          </w:p>
        </w:tc>
        <w:tc>
          <w:tcPr>
            <w:tcW w:w="5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 Preferred Stock; $0.01 par value, 220 authorized, 219.125 issued and outstanding as of</w:t>
            </w: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1"/>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December 31, 2022 and December 31, 2021</w:t>
            </w:r>
          </w:p>
        </w:tc>
        <w:tc>
          <w:tcPr>
            <w:tcW w:w="5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9,623</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9,623</w:t>
            </w:r>
          </w:p>
        </w:tc>
      </w:tr>
      <w:tr>
        <w:trPr>
          <w:trHeight w:val="15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B Preferred Stock; $0.01 par value, 110 authorized, 109.267 issued and outstanding as of</w:t>
            </w: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1"/>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December 31, 2022 and December 31, 2021</w:t>
            </w:r>
          </w:p>
        </w:tc>
        <w:tc>
          <w:tcPr>
            <w:tcW w:w="5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7,128</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7,128</w:t>
            </w:r>
          </w:p>
        </w:tc>
      </w:tr>
      <w:tr>
        <w:trPr>
          <w:trHeight w:val="15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B-1 Preferred Stock; $0.01 par value, 77 authorized, 65.017 issued and outstanding as of</w:t>
            </w: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1"/>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December 31, 2022 and December 31, 2021</w:t>
            </w:r>
          </w:p>
        </w:tc>
        <w:tc>
          <w:tcPr>
            <w:tcW w:w="5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3,162</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3,162</w:t>
            </w:r>
          </w:p>
        </w:tc>
      </w:tr>
      <w:tr>
        <w:trPr>
          <w:trHeight w:val="15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B-2 Preferred Stock; $0.01 par value, 195 authorized, 193.644 issued and outstanding as of</w:t>
            </w: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1"/>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December 31, 2022 and none authorized, issued and outstanding as of December 31, 2021</w:t>
            </w:r>
          </w:p>
        </w:tc>
        <w:tc>
          <w:tcPr>
            <w:tcW w:w="520" w:type="dxa"/>
            <w:vAlign w:val="bottom"/>
          </w:tcPr>
          <w:p>
            <w:pPr>
              <w:spacing w:after="0"/>
              <w:rPr>
                <w:sz w:val="13"/>
                <w:szCs w:val="13"/>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12,144</w:t>
            </w:r>
          </w:p>
        </w:tc>
        <w:tc>
          <w:tcPr>
            <w:tcW w:w="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B-2 Preferred Stock Subscription Receivable</w:t>
            </w: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7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Stockholders' deficit:</w:t>
            </w:r>
          </w:p>
        </w:tc>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38"/>
        </w:trPr>
        <w:tc>
          <w:tcPr>
            <w:tcW w:w="72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Common stock, $0.01 par value, 3,200 authorized, 1,240.625 issued and outstanding as of December 31, 2022 and 1,237.625 issued and</w:t>
            </w:r>
          </w:p>
        </w:tc>
        <w:tc>
          <w:tcPr>
            <w:tcW w:w="52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6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 as of December 31, 2021</w:t>
            </w:r>
          </w:p>
        </w:tc>
        <w:tc>
          <w:tcPr>
            <w:tcW w:w="5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51"/>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5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7,432</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6,644</w:t>
            </w:r>
          </w:p>
        </w:tc>
      </w:tr>
      <w:tr>
        <w:trPr>
          <w:trHeight w:val="18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5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(26,064)</w:t>
            </w:r>
          </w:p>
        </w:tc>
        <w:tc>
          <w:tcPr>
            <w:tcW w:w="5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(19,609)</w:t>
            </w:r>
          </w:p>
        </w:tc>
      </w:tr>
      <w:tr>
        <w:trPr>
          <w:trHeight w:val="129"/>
        </w:trPr>
        <w:tc>
          <w:tcPr>
            <w:tcW w:w="7220" w:type="dxa"/>
            <w:vAlign w:val="bottom"/>
            <w:tcBorders>
              <w:top w:val="single" w:sz="8" w:color="CCEEFF"/>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Total stockholders’ deficit</w:t>
            </w:r>
          </w:p>
        </w:tc>
        <w:tc>
          <w:tcPr>
            <w:tcW w:w="520" w:type="dxa"/>
            <w:vAlign w:val="bottom"/>
            <w:tcBorders>
              <w:top w:val="single" w:sz="8" w:color="auto"/>
              <w:bottom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(18,632)</w:t>
            </w:r>
          </w:p>
        </w:tc>
        <w:tc>
          <w:tcPr>
            <w:tcW w:w="240" w:type="dxa"/>
            <w:vAlign w:val="bottom"/>
            <w:tcBorders>
              <w:top w:val="single" w:sz="8" w:color="CCEEFF"/>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(12,965)</w:t>
            </w:r>
          </w:p>
        </w:tc>
      </w:tr>
      <w:tr>
        <w:trPr>
          <w:trHeight w:val="176"/>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preferred stock and stockholders' deficit</w:t>
            </w:r>
          </w:p>
        </w:tc>
        <w:tc>
          <w:tcPr>
            <w:tcW w:w="52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14,610</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9,668</w:t>
            </w:r>
          </w:p>
        </w:tc>
      </w:tr>
    </w:tbl>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7173595"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Grant revenue: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Operating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Research and development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General and administrative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operating expenses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Loss from operations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income, net: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income, net</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p>
      <w:pPr>
        <w:spacing w:after="0" w:line="16"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1"/>
          <w:szCs w:val="11"/>
          <w:b w:val="1"/>
          <w:bCs w:val="1"/>
          <w:color w:val="auto"/>
        </w:rPr>
        <w:t>Statements of Operations and Comprehensive Loss</w:t>
      </w:r>
    </w:p>
    <w:p>
      <w:pPr>
        <w:spacing w:after="0" w:line="24"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3"/>
          <w:szCs w:val="13"/>
          <w:b w:val="1"/>
          <w:bCs w:val="1"/>
          <w:color w:val="auto"/>
        </w:rPr>
        <w:t>(Amounts in thousands)</w:t>
      </w:r>
    </w:p>
    <w:p>
      <w:pPr>
        <w:spacing w:after="0" w:line="13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Year Ended December 31 ,</w:t>
      </w:r>
    </w:p>
    <w:p>
      <w:pPr>
        <w:spacing w:after="0" w:line="16" w:lineRule="exact"/>
        <w:rPr>
          <w:sz w:val="20"/>
          <w:szCs w:val="20"/>
          <w:color w:val="auto"/>
        </w:rPr>
      </w:pPr>
    </w:p>
    <w:tbl>
      <w:tblPr>
        <w:tblLayout w:type="fixed"/>
        <w:tblInd w:w="2940" w:type="dxa"/>
        <w:tblCellMar>
          <w:top w:w="0" w:type="dxa"/>
          <w:left w:w="0" w:type="dxa"/>
          <w:bottom w:w="0" w:type="dxa"/>
          <w:right w:w="0" w:type="dxa"/>
        </w:tblCellMar>
      </w:tblPr>
      <w:tr>
        <w:trPr>
          <w:trHeight w:val="168"/>
        </w:trPr>
        <w:tc>
          <w:tcPr>
            <w:tcW w:w="56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4"/>
                <w:szCs w:val="14"/>
                <w:color w:val="auto"/>
              </w:rPr>
            </w:pPr>
          </w:p>
        </w:tc>
      </w:tr>
      <w:tr>
        <w:trPr>
          <w:trHeight w:val="163"/>
        </w:trPr>
        <w:tc>
          <w:tcPr>
            <w:tcW w:w="5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240" w:type="dxa"/>
            <w:vAlign w:val="bottom"/>
          </w:tcPr>
          <w:p>
            <w:pPr>
              <w:spacing w:after="0"/>
              <w:rPr>
                <w:sz w:val="14"/>
                <w:szCs w:val="14"/>
                <w:color w:val="auto"/>
              </w:rPr>
            </w:pP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3,337</w:t>
            </w:r>
          </w:p>
        </w:tc>
        <w:tc>
          <w:tcPr>
            <w:tcW w:w="20" w:type="dxa"/>
            <w:vAlign w:val="bottom"/>
          </w:tcPr>
          <w:p>
            <w:pPr>
              <w:spacing w:after="0"/>
              <w:rPr>
                <w:sz w:val="14"/>
                <w:szCs w:val="14"/>
                <w:color w:val="auto"/>
              </w:rPr>
            </w:pPr>
          </w:p>
        </w:tc>
      </w:tr>
      <w:tr>
        <w:trPr>
          <w:trHeight w:val="425"/>
        </w:trPr>
        <w:tc>
          <w:tcPr>
            <w:tcW w:w="5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6,841</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6,090</w:t>
            </w:r>
          </w:p>
        </w:tc>
      </w:tr>
      <w:tr>
        <w:trPr>
          <w:trHeight w:val="172"/>
        </w:trPr>
        <w:tc>
          <w:tcPr>
            <w:tcW w:w="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1,006</w:t>
            </w:r>
          </w:p>
        </w:tc>
      </w:tr>
      <w:tr>
        <w:trPr>
          <w:trHeight w:val="151"/>
        </w:trPr>
        <w:tc>
          <w:tcPr>
            <w:tcW w:w="5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8,085</w:t>
            </w:r>
          </w:p>
        </w:tc>
        <w:tc>
          <w:tcPr>
            <w:tcW w:w="2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7,096</w:t>
            </w:r>
          </w:p>
        </w:tc>
      </w:tr>
      <w:tr>
        <w:trPr>
          <w:trHeight w:val="163"/>
        </w:trPr>
        <w:tc>
          <w:tcPr>
            <w:tcW w:w="5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(6,636)</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(3,759)</w:t>
            </w:r>
          </w:p>
        </w:tc>
      </w:tr>
      <w:tr>
        <w:trPr>
          <w:trHeight w:val="275"/>
        </w:trPr>
        <w:tc>
          <w:tcPr>
            <w:tcW w:w="5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r>
      <w:tr>
        <w:trPr>
          <w:trHeight w:val="164"/>
        </w:trPr>
        <w:tc>
          <w:tcPr>
            <w:tcW w:w="5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-991235</wp:posOffset>
            </wp:positionV>
            <wp:extent cx="7173595" cy="101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3595" cy="10160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-793750</wp:posOffset>
            </wp:positionV>
            <wp:extent cx="7173595" cy="95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3595" cy="9588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-602615</wp:posOffset>
            </wp:positionV>
            <wp:extent cx="7173595" cy="107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3595" cy="10731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-387985</wp:posOffset>
            </wp:positionV>
            <wp:extent cx="7173595" cy="101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3595" cy="10160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-190500</wp:posOffset>
            </wp:positionV>
            <wp:extent cx="7173595" cy="95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3595" cy="958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60" w:space="720"/>
            <w:col w:w="7020"/>
          </w:cols>
          <w:pgMar w:left="300" w:top="275" w:right="299" w:bottom="1440" w:gutter="0" w:footer="0" w:header="0"/>
        </w:sectPr>
      </w:pPr>
    </w:p>
    <w:tbl>
      <w:tblPr>
        <w:tblLayout w:type="fixed"/>
        <w:tblInd w:w="0" w:type="dxa"/>
        <w:tblCellMar>
          <w:top w:w="0" w:type="dxa"/>
          <w:left w:w="0" w:type="dxa"/>
          <w:bottom w:w="0" w:type="dxa"/>
          <w:right w:w="0" w:type="dxa"/>
        </w:tblCellMar>
      </w:tblPr>
      <w:tr>
        <w:trPr>
          <w:trHeight w:val="178"/>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other income</w:t>
            </w:r>
          </w:p>
        </w:tc>
        <w:tc>
          <w:tcPr>
            <w:tcW w:w="8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39"/>
        </w:trPr>
        <w:tc>
          <w:tcPr>
            <w:tcW w:w="722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Net loss</w:t>
            </w:r>
          </w:p>
        </w:tc>
        <w:tc>
          <w:tcPr>
            <w:tcW w:w="860" w:type="dxa"/>
            <w:vAlign w:val="bottom"/>
            <w:tcBorders>
              <w:bottom w:val="single" w:sz="8" w:color="auto"/>
            </w:tcBorders>
          </w:tcPr>
          <w:p>
            <w:pPr>
              <w:jc w:val="right"/>
              <w:ind w:right="63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(6,455)</w:t>
            </w:r>
          </w:p>
        </w:tc>
        <w:tc>
          <w:tcPr>
            <w:tcW w:w="240" w:type="dxa"/>
            <w:vAlign w:val="bottom"/>
          </w:tcPr>
          <w:p>
            <w:pPr>
              <w:spacing w:after="0"/>
              <w:rPr>
                <w:sz w:val="12"/>
                <w:szCs w:val="12"/>
                <w:color w:val="auto"/>
              </w:rPr>
            </w:pPr>
          </w:p>
        </w:tc>
        <w:tc>
          <w:tcPr>
            <w:tcW w:w="860" w:type="dxa"/>
            <w:vAlign w:val="bottom"/>
            <w:tcBorders>
              <w:bottom w:val="single" w:sz="8" w:color="auto"/>
            </w:tcBorders>
          </w:tcPr>
          <w:p>
            <w:pPr>
              <w:jc w:val="right"/>
              <w:ind w:right="63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(3,640)</w:t>
            </w:r>
          </w:p>
        </w:tc>
      </w:tr>
      <w:tr>
        <w:trPr>
          <w:trHeight w:val="20"/>
        </w:trPr>
        <w:tc>
          <w:tcPr>
            <w:tcW w:w="7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7173595"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Statements of Preferred Stock and Stockholders’ Deficit</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(Amounts in thousands, except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tcPr>
          <w:p>
            <w:pPr>
              <w:ind w:left="240"/>
              <w:spacing w:after="0" w:line="111" w:lineRule="exact"/>
              <w:rPr>
                <w:sz w:val="20"/>
                <w:szCs w:val="20"/>
                <w:color w:val="auto"/>
              </w:rPr>
            </w:pPr>
            <w:r>
              <w:rPr>
                <w:rFonts w:ascii="Times New Roman" w:cs="Times New Roman" w:eastAsia="Times New Roman" w:hAnsi="Times New Roman"/>
                <w:sz w:val="10"/>
                <w:szCs w:val="10"/>
                <w:b w:val="1"/>
                <w:bCs w:val="1"/>
                <w:color w:val="auto"/>
              </w:rPr>
              <w:t>Series A</w:t>
            </w:r>
          </w:p>
        </w:tc>
        <w:tc>
          <w:tcPr>
            <w:tcW w:w="860" w:type="dxa"/>
            <w:vAlign w:val="bottom"/>
            <w:gridSpan w:val="2"/>
          </w:tcPr>
          <w:p>
            <w:pPr>
              <w:ind w:left="260"/>
              <w:spacing w:after="0" w:line="111" w:lineRule="exact"/>
              <w:rPr>
                <w:sz w:val="20"/>
                <w:szCs w:val="20"/>
                <w:color w:val="auto"/>
              </w:rPr>
            </w:pPr>
            <w:r>
              <w:rPr>
                <w:rFonts w:ascii="Times New Roman" w:cs="Times New Roman" w:eastAsia="Times New Roman" w:hAnsi="Times New Roman"/>
                <w:sz w:val="10"/>
                <w:szCs w:val="10"/>
                <w:b w:val="1"/>
                <w:bCs w:val="1"/>
                <w:color w:val="auto"/>
              </w:rPr>
              <w:t>Series B</w:t>
            </w:r>
          </w:p>
        </w:tc>
        <w:tc>
          <w:tcPr>
            <w:tcW w:w="840" w:type="dxa"/>
            <w:vAlign w:val="bottom"/>
            <w:gridSpan w:val="2"/>
          </w:tcPr>
          <w:p>
            <w:pPr>
              <w:ind w:left="200"/>
              <w:spacing w:after="0" w:line="111" w:lineRule="exact"/>
              <w:rPr>
                <w:sz w:val="20"/>
                <w:szCs w:val="20"/>
                <w:color w:val="auto"/>
              </w:rPr>
            </w:pPr>
            <w:r>
              <w:rPr>
                <w:rFonts w:ascii="Times New Roman" w:cs="Times New Roman" w:eastAsia="Times New Roman" w:hAnsi="Times New Roman"/>
                <w:sz w:val="10"/>
                <w:szCs w:val="10"/>
                <w:b w:val="1"/>
                <w:bCs w:val="1"/>
                <w:color w:val="auto"/>
              </w:rPr>
              <w:t>Series B-1</w:t>
            </w:r>
          </w:p>
        </w:tc>
        <w:tc>
          <w:tcPr>
            <w:tcW w:w="880" w:type="dxa"/>
            <w:vAlign w:val="bottom"/>
            <w:gridSpan w:val="2"/>
          </w:tcPr>
          <w:p>
            <w:pPr>
              <w:ind w:left="220"/>
              <w:spacing w:after="0" w:line="111" w:lineRule="exact"/>
              <w:rPr>
                <w:sz w:val="20"/>
                <w:szCs w:val="20"/>
                <w:color w:val="auto"/>
              </w:rPr>
            </w:pPr>
            <w:r>
              <w:rPr>
                <w:rFonts w:ascii="Times New Roman" w:cs="Times New Roman" w:eastAsia="Times New Roman" w:hAnsi="Times New Roman"/>
                <w:sz w:val="10"/>
                <w:szCs w:val="10"/>
                <w:b w:val="1"/>
                <w:bCs w:val="1"/>
                <w:color w:val="auto"/>
              </w:rPr>
              <w:t>Series B-2</w:t>
            </w:r>
          </w:p>
        </w:tc>
        <w:tc>
          <w:tcPr>
            <w:tcW w:w="100" w:type="dxa"/>
            <w:vAlign w:val="bottom"/>
          </w:tcPr>
          <w:p>
            <w:pPr>
              <w:spacing w:after="0"/>
              <w:rPr>
                <w:sz w:val="9"/>
                <w:szCs w:val="9"/>
                <w:color w:val="auto"/>
              </w:rPr>
            </w:pPr>
          </w:p>
        </w:tc>
        <w:tc>
          <w:tcPr>
            <w:tcW w:w="520" w:type="dxa"/>
            <w:vAlign w:val="bottom"/>
            <w:tcBorders>
              <w:right w:val="single" w:sz="8" w:color="auto"/>
            </w:tcBorders>
          </w:tcPr>
          <w:p>
            <w:pPr>
              <w:jc w:val="center"/>
              <w:ind w:right="70"/>
              <w:spacing w:after="0" w:line="111"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900" w:type="dxa"/>
            <w:vAlign w:val="bottom"/>
            <w:gridSpan w:val="2"/>
          </w:tcPr>
          <w:p>
            <w:pPr>
              <w:ind w:left="280"/>
              <w:spacing w:after="0" w:line="111" w:lineRule="exact"/>
              <w:rPr>
                <w:sz w:val="20"/>
                <w:szCs w:val="20"/>
                <w:color w:val="auto"/>
              </w:rPr>
            </w:pPr>
            <w:r>
              <w:rPr>
                <w:rFonts w:ascii="Times New Roman" w:cs="Times New Roman" w:eastAsia="Times New Roman" w:hAnsi="Times New Roman"/>
                <w:sz w:val="10"/>
                <w:szCs w:val="10"/>
                <w:b w:val="1"/>
                <w:bCs w:val="1"/>
                <w:color w:val="auto"/>
              </w:rPr>
              <w:t>Series A</w:t>
            </w:r>
          </w:p>
        </w:tc>
        <w:tc>
          <w:tcPr>
            <w:tcW w:w="940" w:type="dxa"/>
            <w:vAlign w:val="bottom"/>
            <w:gridSpan w:val="3"/>
          </w:tcPr>
          <w:p>
            <w:pPr>
              <w:ind w:left="300"/>
              <w:spacing w:after="0" w:line="111" w:lineRule="exact"/>
              <w:rPr>
                <w:sz w:val="20"/>
                <w:szCs w:val="20"/>
                <w:color w:val="auto"/>
              </w:rPr>
            </w:pPr>
            <w:r>
              <w:rPr>
                <w:rFonts w:ascii="Times New Roman" w:cs="Times New Roman" w:eastAsia="Times New Roman" w:hAnsi="Times New Roman"/>
                <w:sz w:val="10"/>
                <w:szCs w:val="10"/>
                <w:b w:val="1"/>
                <w:bCs w:val="1"/>
                <w:color w:val="auto"/>
              </w:rPr>
              <w:t>Series B</w:t>
            </w:r>
          </w:p>
        </w:tc>
        <w:tc>
          <w:tcPr>
            <w:tcW w:w="960" w:type="dxa"/>
            <w:vAlign w:val="bottom"/>
            <w:gridSpan w:val="2"/>
          </w:tcPr>
          <w:p>
            <w:pPr>
              <w:ind w:left="280"/>
              <w:spacing w:after="0" w:line="111" w:lineRule="exact"/>
              <w:rPr>
                <w:sz w:val="20"/>
                <w:szCs w:val="20"/>
                <w:color w:val="auto"/>
              </w:rPr>
            </w:pPr>
            <w:r>
              <w:rPr>
                <w:rFonts w:ascii="Times New Roman" w:cs="Times New Roman" w:eastAsia="Times New Roman" w:hAnsi="Times New Roman"/>
                <w:sz w:val="10"/>
                <w:szCs w:val="10"/>
                <w:b w:val="1"/>
                <w:bCs w:val="1"/>
                <w:color w:val="auto"/>
              </w:rPr>
              <w:t>Common</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ind w:left="80"/>
              <w:spacing w:after="0" w:line="104"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860" w:type="dxa"/>
            <w:vAlign w:val="bottom"/>
            <w:tcBorders>
              <w:bottom w:val="single" w:sz="8" w:color="auto"/>
            </w:tcBorders>
            <w:gridSpan w:val="2"/>
          </w:tcPr>
          <w:p>
            <w:pPr>
              <w:ind w:left="100"/>
              <w:spacing w:after="0" w:line="104"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840" w:type="dxa"/>
            <w:vAlign w:val="bottom"/>
            <w:tcBorders>
              <w:bottom w:val="single" w:sz="8" w:color="auto"/>
            </w:tcBorders>
            <w:gridSpan w:val="2"/>
          </w:tcPr>
          <w:p>
            <w:pPr>
              <w:ind w:left="100"/>
              <w:spacing w:after="0" w:line="104"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880" w:type="dxa"/>
            <w:vAlign w:val="bottom"/>
            <w:tcBorders>
              <w:bottom w:val="single" w:sz="8" w:color="auto"/>
            </w:tcBorders>
            <w:gridSpan w:val="2"/>
          </w:tcPr>
          <w:p>
            <w:pPr>
              <w:ind w:left="120"/>
              <w:spacing w:after="0" w:line="104"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100" w:type="dxa"/>
            <w:vAlign w:val="bottom"/>
          </w:tcPr>
          <w:p>
            <w:pPr>
              <w:spacing w:after="0"/>
              <w:rPr>
                <w:sz w:val="10"/>
                <w:szCs w:val="10"/>
                <w:color w:val="auto"/>
              </w:rPr>
            </w:pPr>
          </w:p>
        </w:tc>
        <w:tc>
          <w:tcPr>
            <w:tcW w:w="520" w:type="dxa"/>
            <w:vAlign w:val="bottom"/>
            <w:tcBorders>
              <w:right w:val="single" w:sz="8" w:color="auto"/>
            </w:tcBorders>
          </w:tcPr>
          <w:p>
            <w:pPr>
              <w:jc w:val="center"/>
              <w:ind w:right="70"/>
              <w:spacing w:after="0" w:line="104" w:lineRule="exact"/>
              <w:rPr>
                <w:sz w:val="20"/>
                <w:szCs w:val="20"/>
                <w:color w:val="auto"/>
              </w:rPr>
            </w:pPr>
            <w:r>
              <w:rPr>
                <w:rFonts w:ascii="Times New Roman" w:cs="Times New Roman" w:eastAsia="Times New Roman" w:hAnsi="Times New Roman"/>
                <w:sz w:val="10"/>
                <w:szCs w:val="10"/>
                <w:b w:val="1"/>
                <w:bCs w:val="1"/>
                <w:color w:val="auto"/>
              </w:rPr>
              <w:t>Stock</w:t>
            </w:r>
          </w:p>
        </w:tc>
        <w:tc>
          <w:tcPr>
            <w:tcW w:w="900" w:type="dxa"/>
            <w:vAlign w:val="bottom"/>
            <w:tcBorders>
              <w:bottom w:val="single" w:sz="8" w:color="auto"/>
            </w:tcBorders>
            <w:gridSpan w:val="2"/>
          </w:tcPr>
          <w:p>
            <w:pPr>
              <w:ind w:left="120"/>
              <w:spacing w:after="0" w:line="104"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940" w:type="dxa"/>
            <w:vAlign w:val="bottom"/>
            <w:tcBorders>
              <w:bottom w:val="single" w:sz="8" w:color="auto"/>
            </w:tcBorders>
            <w:gridSpan w:val="3"/>
          </w:tcPr>
          <w:p>
            <w:pPr>
              <w:ind w:left="160"/>
              <w:spacing w:after="0" w:line="104"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960" w:type="dxa"/>
            <w:vAlign w:val="bottom"/>
            <w:tcBorders>
              <w:bottom w:val="single" w:sz="8" w:color="auto"/>
            </w:tcBorders>
            <w:gridSpan w:val="2"/>
          </w:tcPr>
          <w:p>
            <w:pPr>
              <w:ind w:left="360"/>
              <w:spacing w:after="0" w:line="104" w:lineRule="exact"/>
              <w:rPr>
                <w:sz w:val="20"/>
                <w:szCs w:val="20"/>
                <w:color w:val="auto"/>
              </w:rPr>
            </w:pPr>
            <w:r>
              <w:rPr>
                <w:rFonts w:ascii="Times New Roman" w:cs="Times New Roman" w:eastAsia="Times New Roman" w:hAnsi="Times New Roman"/>
                <w:sz w:val="10"/>
                <w:szCs w:val="10"/>
                <w:b w:val="1"/>
                <w:bCs w:val="1"/>
                <w:color w:val="auto"/>
              </w:rPr>
              <w:t>Stock</w:t>
            </w: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7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20" w:type="dxa"/>
            <w:vAlign w:val="bottom"/>
            <w:tcBorders>
              <w:right w:val="single" w:sz="8" w:color="auto"/>
            </w:tcBorders>
            <w:gridSpan w:val="2"/>
          </w:tcPr>
          <w:p>
            <w:pPr>
              <w:jc w:val="center"/>
              <w:spacing w:after="0" w:line="59" w:lineRule="exact"/>
              <w:rPr>
                <w:sz w:val="20"/>
                <w:szCs w:val="20"/>
                <w:color w:val="auto"/>
              </w:rPr>
            </w:pPr>
            <w:r>
              <w:rPr>
                <w:rFonts w:ascii="Times New Roman" w:cs="Times New Roman" w:eastAsia="Times New Roman" w:hAnsi="Times New Roman"/>
                <w:sz w:val="6"/>
                <w:szCs w:val="6"/>
                <w:b w:val="1"/>
                <w:bCs w:val="1"/>
                <w:color w:val="auto"/>
              </w:rPr>
              <w:t>Subscription</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00" w:type="dxa"/>
            <w:vAlign w:val="bottom"/>
          </w:tcPr>
          <w:p>
            <w:pPr>
              <w:ind w:left="80"/>
              <w:spacing w:after="0" w:line="59" w:lineRule="exact"/>
              <w:rPr>
                <w:sz w:val="20"/>
                <w:szCs w:val="20"/>
                <w:color w:val="auto"/>
              </w:rPr>
            </w:pPr>
            <w:r>
              <w:rPr>
                <w:rFonts w:ascii="Times New Roman" w:cs="Times New Roman" w:eastAsia="Times New Roman" w:hAnsi="Times New Roman"/>
                <w:sz w:val="6"/>
                <w:szCs w:val="6"/>
                <w:b w:val="1"/>
                <w:bCs w:val="1"/>
                <w:color w:val="auto"/>
              </w:rPr>
              <w:t>Paid-In</w:t>
            </w:r>
          </w:p>
        </w:tc>
        <w:tc>
          <w:tcPr>
            <w:tcW w:w="1240" w:type="dxa"/>
            <w:vAlign w:val="bottom"/>
            <w:gridSpan w:val="3"/>
          </w:tcPr>
          <w:p>
            <w:pPr>
              <w:ind w:left="20"/>
              <w:spacing w:after="0" w:line="59" w:lineRule="exact"/>
              <w:rPr>
                <w:sz w:val="20"/>
                <w:szCs w:val="20"/>
                <w:color w:val="auto"/>
              </w:rPr>
            </w:pPr>
            <w:r>
              <w:rPr>
                <w:rFonts w:ascii="Times New Roman" w:cs="Times New Roman" w:eastAsia="Times New Roman" w:hAnsi="Times New Roman"/>
                <w:sz w:val="6"/>
                <w:szCs w:val="6"/>
                <w:b w:val="1"/>
                <w:bCs w:val="1"/>
                <w:color w:val="auto"/>
              </w:rPr>
              <w:t>Accumulated Stockholders'</w:t>
            </w:r>
          </w:p>
        </w:tc>
        <w:tc>
          <w:tcPr>
            <w:tcW w:w="0" w:type="dxa"/>
            <w:vAlign w:val="bottom"/>
          </w:tcPr>
          <w:p>
            <w:pPr>
              <w:spacing w:after="0"/>
              <w:rPr>
                <w:sz w:val="1"/>
                <w:szCs w:val="1"/>
                <w:color w:val="auto"/>
              </w:rPr>
            </w:pPr>
          </w:p>
        </w:tc>
      </w:tr>
      <w:tr>
        <w:trPr>
          <w:trHeight w:val="120"/>
        </w:trPr>
        <w:tc>
          <w:tcPr>
            <w:tcW w:w="270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Receivable</w:t>
            </w:r>
          </w:p>
        </w:tc>
        <w:tc>
          <w:tcPr>
            <w:tcW w:w="46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tcBorders>
            <w:gridSpan w:val="2"/>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122"/>
        </w:trPr>
        <w:tc>
          <w:tcPr>
            <w:tcW w:w="2700" w:type="dxa"/>
            <w:vAlign w:val="bottom"/>
            <w:tcBorders>
              <w:bottom w:val="single" w:sz="8" w:color="CCEEFF"/>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Balance at December 31, 2020</w:t>
            </w:r>
          </w:p>
        </w:tc>
        <w:tc>
          <w:tcPr>
            <w:tcW w:w="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20" w:type="dxa"/>
            <w:vAlign w:val="bottom"/>
            <w:tcBorders>
              <w:bottom w:val="single" w:sz="8" w:color="auto"/>
            </w:tcBorders>
            <w:shd w:val="clear" w:color="auto" w:fill="CCEEFF"/>
          </w:tcPr>
          <w:p>
            <w:pPr>
              <w:ind w:left="60"/>
              <w:spacing w:after="0" w:line="10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Borders>
              <w:bottom w:val="single" w:sz="8" w:color="auto"/>
            </w:tcBorders>
            <w:shd w:val="clear" w:color="auto" w:fill="CCEEFF"/>
          </w:tcPr>
          <w:p>
            <w:pPr>
              <w:jc w:val="right"/>
              <w:ind w:right="291"/>
              <w:spacing w:after="0" w:line="10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20" w:type="dxa"/>
            <w:vAlign w:val="bottom"/>
            <w:tcBorders>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Borders>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right w:val="single" w:sz="8" w:color="auto"/>
            </w:tcBorders>
            <w:shd w:val="clear" w:color="auto" w:fill="CCEEFF"/>
          </w:tcPr>
          <w:p>
            <w:pPr>
              <w:jc w:val="right"/>
              <w:ind w:right="410"/>
              <w:spacing w:after="0" w:line="10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bottom w:val="single" w:sz="8" w:color="auto"/>
            </w:tcBorders>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169.125</w:t>
            </w:r>
          </w:p>
        </w:tc>
        <w:tc>
          <w:tcPr>
            <w:tcW w:w="440" w:type="dxa"/>
            <w:vAlign w:val="bottom"/>
            <w:tcBorders>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109.267</w:t>
            </w:r>
          </w:p>
        </w:tc>
        <w:tc>
          <w:tcPr>
            <w:tcW w:w="120" w:type="dxa"/>
            <w:vAlign w:val="bottom"/>
            <w:tcBorders>
              <w:bottom w:val="single" w:sz="8" w:color="auto"/>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auto"/>
            </w:tcBorders>
            <w:shd w:val="clear" w:color="auto" w:fill="CCEEFF"/>
          </w:tcPr>
          <w:p>
            <w:pPr>
              <w:ind w:left="60"/>
              <w:spacing w:after="0" w:line="103" w:lineRule="exact"/>
              <w:rPr>
                <w:sz w:val="20"/>
                <w:szCs w:val="20"/>
                <w:color w:val="auto"/>
              </w:rPr>
            </w:pPr>
            <w:r>
              <w:rPr>
                <w:rFonts w:ascii="Times New Roman" w:cs="Times New Roman" w:eastAsia="Times New Roman" w:hAnsi="Times New Roman"/>
                <w:sz w:val="10"/>
                <w:szCs w:val="10"/>
                <w:color w:val="auto"/>
              </w:rPr>
              <w:t>1,287.625</w:t>
            </w:r>
          </w:p>
        </w:tc>
        <w:tc>
          <w:tcPr>
            <w:tcW w:w="460" w:type="dxa"/>
            <w:vAlign w:val="bottom"/>
            <w:tcBorders>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bottom w:val="single" w:sz="8" w:color="auto"/>
            </w:tcBorders>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$ 20,909</w:t>
            </w:r>
          </w:p>
        </w:tc>
        <w:tc>
          <w:tcPr>
            <w:tcW w:w="120" w:type="dxa"/>
            <w:vAlign w:val="bottom"/>
            <w:tcBorders>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auto"/>
            </w:tcBorders>
            <w:shd w:val="clear" w:color="auto" w:fill="CCEEFF"/>
          </w:tcPr>
          <w:p>
            <w:pPr>
              <w:jc w:val="center"/>
              <w:ind w:right="11"/>
              <w:spacing w:after="0" w:line="103" w:lineRule="exact"/>
              <w:rPr>
                <w:sz w:val="20"/>
                <w:szCs w:val="20"/>
                <w:color w:val="auto"/>
              </w:rPr>
            </w:pPr>
            <w:r>
              <w:rPr>
                <w:rFonts w:ascii="Times New Roman" w:cs="Times New Roman" w:eastAsia="Times New Roman" w:hAnsi="Times New Roman"/>
                <w:sz w:val="10"/>
                <w:szCs w:val="10"/>
                <w:color w:val="auto"/>
                <w:w w:val="99"/>
              </w:rPr>
              <w:t>(15,319)</w:t>
            </w:r>
          </w:p>
        </w:tc>
        <w:tc>
          <w:tcPr>
            <w:tcW w:w="680" w:type="dxa"/>
            <w:vAlign w:val="bottom"/>
            <w:tcBorders>
              <w:bottom w:val="single" w:sz="8" w:color="auto"/>
            </w:tcBorders>
            <w:shd w:val="clear" w:color="auto" w:fill="CCEEFF"/>
          </w:tcPr>
          <w:p>
            <w:pPr>
              <w:ind w:left="80"/>
              <w:spacing w:after="0" w:line="103" w:lineRule="exact"/>
              <w:rPr>
                <w:sz w:val="20"/>
                <w:szCs w:val="20"/>
                <w:color w:val="auto"/>
              </w:rPr>
            </w:pPr>
            <w:r>
              <w:rPr>
                <w:rFonts w:ascii="Times New Roman" w:cs="Times New Roman" w:eastAsia="Times New Roman" w:hAnsi="Times New Roman"/>
                <w:sz w:val="10"/>
                <w:szCs w:val="10"/>
                <w:color w:val="auto"/>
              </w:rPr>
              <w:t>$ 5,590</w:t>
            </w:r>
          </w:p>
        </w:tc>
        <w:tc>
          <w:tcPr>
            <w:tcW w:w="0" w:type="dxa"/>
            <w:vAlign w:val="bottom"/>
          </w:tcPr>
          <w:p>
            <w:pPr>
              <w:spacing w:after="0"/>
              <w:rPr>
                <w:sz w:val="1"/>
                <w:szCs w:val="1"/>
                <w:color w:val="auto"/>
              </w:rPr>
            </w:pPr>
          </w:p>
        </w:tc>
      </w:tr>
      <w:tr>
        <w:trPr>
          <w:trHeight w:val="82"/>
        </w:trPr>
        <w:tc>
          <w:tcPr>
            <w:tcW w:w="2700" w:type="dxa"/>
            <w:vAlign w:val="bottom"/>
          </w:tcPr>
          <w:p>
            <w:pPr>
              <w:jc w:val="right"/>
              <w:spacing w:after="0" w:line="82" w:lineRule="exact"/>
              <w:rPr>
                <w:sz w:val="20"/>
                <w:szCs w:val="20"/>
                <w:color w:val="auto"/>
              </w:rPr>
            </w:pPr>
            <w:r>
              <w:rPr>
                <w:rFonts w:ascii="Times New Roman" w:cs="Times New Roman" w:eastAsia="Times New Roman" w:hAnsi="Times New Roman"/>
                <w:sz w:val="9"/>
                <w:szCs w:val="9"/>
                <w:color w:val="auto"/>
              </w:rPr>
              <w:t>Issuance of Series B-1 Preferred Stock, net of $16 of issuance costs</w:t>
            </w:r>
          </w:p>
        </w:tc>
        <w:tc>
          <w:tcPr>
            <w:tcW w:w="20" w:type="dxa"/>
            <w:vAlign w:val="bottom"/>
          </w:tcPr>
          <w:p>
            <w:pPr>
              <w:spacing w:after="0"/>
              <w:rPr>
                <w:sz w:val="7"/>
                <w:szCs w:val="7"/>
                <w:color w:val="auto"/>
              </w:rPr>
            </w:pPr>
          </w:p>
        </w:tc>
        <w:tc>
          <w:tcPr>
            <w:tcW w:w="40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ind w:left="60"/>
              <w:spacing w:after="0" w:line="82"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11"/>
              <w:spacing w:after="0" w:line="82" w:lineRule="exact"/>
              <w:rPr>
                <w:sz w:val="20"/>
                <w:szCs w:val="20"/>
                <w:color w:val="auto"/>
              </w:rPr>
            </w:pPr>
            <w:r>
              <w:rPr>
                <w:rFonts w:ascii="Times New Roman" w:cs="Times New Roman" w:eastAsia="Times New Roman" w:hAnsi="Times New Roman"/>
                <w:sz w:val="9"/>
                <w:szCs w:val="9"/>
                <w:color w:val="auto"/>
              </w:rPr>
              <w:t>65.017</w:t>
            </w:r>
          </w:p>
        </w:tc>
        <w:tc>
          <w:tcPr>
            <w:tcW w:w="44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4,207</w:t>
            </w:r>
          </w:p>
        </w:tc>
        <w:tc>
          <w:tcPr>
            <w:tcW w:w="42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ind w:left="60"/>
              <w:spacing w:after="0" w:line="82"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Borders>
              <w:right w:val="single" w:sz="8" w:color="auto"/>
            </w:tcBorders>
          </w:tcPr>
          <w:p>
            <w:pPr>
              <w:spacing w:after="0"/>
              <w:rPr>
                <w:sz w:val="7"/>
                <w:szCs w:val="7"/>
                <w:color w:val="auto"/>
              </w:rPr>
            </w:pPr>
          </w:p>
        </w:tc>
        <w:tc>
          <w:tcPr>
            <w:tcW w:w="460" w:type="dxa"/>
            <w:vAlign w:val="bottom"/>
          </w:tcPr>
          <w:p>
            <w:pPr>
              <w:ind w:left="20"/>
              <w:spacing w:after="0" w:line="82"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jc w:val="right"/>
              <w:spacing w:after="0" w:line="82"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7"/>
                <w:szCs w:val="7"/>
                <w:color w:val="auto"/>
              </w:rPr>
            </w:pPr>
          </w:p>
        </w:tc>
        <w:tc>
          <w:tcPr>
            <w:tcW w:w="500" w:type="dxa"/>
            <w:vAlign w:val="bottom"/>
          </w:tcPr>
          <w:p>
            <w:pPr>
              <w:ind w:left="20"/>
              <w:spacing w:after="0" w:line="82"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ind w:left="20"/>
              <w:spacing w:after="0" w:line="82"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spacing w:after="0"/>
              <w:rPr>
                <w:sz w:val="7"/>
                <w:szCs w:val="7"/>
                <w:color w:val="auto"/>
              </w:rPr>
            </w:pPr>
          </w:p>
        </w:tc>
        <w:tc>
          <w:tcPr>
            <w:tcW w:w="680" w:type="dxa"/>
            <w:vAlign w:val="bottom"/>
          </w:tcPr>
          <w:p>
            <w:pPr>
              <w:ind w:left="80"/>
              <w:spacing w:after="0" w:line="82"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3"/>
        </w:trPr>
        <w:tc>
          <w:tcPr>
            <w:tcW w:w="3120" w:type="dxa"/>
            <w:vAlign w:val="bottom"/>
            <w:gridSpan w:val="3"/>
            <w:shd w:val="clear" w:color="auto" w:fill="CCEEFF"/>
          </w:tcPr>
          <w:p>
            <w:pPr>
              <w:ind w:left="420"/>
              <w:spacing w:after="0" w:line="104" w:lineRule="exact"/>
              <w:rPr>
                <w:sz w:val="20"/>
                <w:szCs w:val="20"/>
                <w:color w:val="auto"/>
              </w:rPr>
            </w:pPr>
            <w:r>
              <w:rPr>
                <w:rFonts w:ascii="Times New Roman" w:cs="Times New Roman" w:eastAsia="Times New Roman" w:hAnsi="Times New Roman"/>
                <w:sz w:val="10"/>
                <w:szCs w:val="10"/>
                <w:color w:val="auto"/>
              </w:rPr>
              <w:t>Exchange of Common Stock to Series A Preferred Stock 50.000</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2,196</w:t>
            </w:r>
          </w:p>
        </w:tc>
        <w:tc>
          <w:tcPr>
            <w:tcW w:w="420" w:type="dxa"/>
            <w:vAlign w:val="bottom"/>
            <w:shd w:val="clear" w:color="auto" w:fill="CCEEFF"/>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ind w:right="291"/>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60"/>
              <w:spacing w:after="0" w:line="104" w:lineRule="exact"/>
              <w:rPr>
                <w:sz w:val="20"/>
                <w:szCs w:val="20"/>
                <w:color w:val="auto"/>
              </w:rPr>
            </w:pPr>
            <w:r>
              <w:rPr>
                <w:rFonts w:ascii="Times New Roman" w:cs="Times New Roman" w:eastAsia="Times New Roman" w:hAnsi="Times New Roman"/>
                <w:sz w:val="10"/>
                <w:szCs w:val="10"/>
                <w:color w:val="auto"/>
              </w:rPr>
              <w:t>(1,045)</w:t>
            </w:r>
          </w:p>
        </w:tc>
        <w:tc>
          <w:tcPr>
            <w:tcW w:w="42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right w:val="single" w:sz="8" w:color="auto"/>
            </w:tcBorders>
            <w:shd w:val="clear" w:color="auto" w:fill="CCEEFF"/>
          </w:tcPr>
          <w:p>
            <w:pPr>
              <w:spacing w:after="0"/>
              <w:rPr>
                <w:sz w:val="8"/>
                <w:szCs w:val="8"/>
                <w:color w:val="auto"/>
              </w:rPr>
            </w:pPr>
          </w:p>
        </w:tc>
        <w:tc>
          <w:tcPr>
            <w:tcW w:w="46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8"/>
                <w:szCs w:val="8"/>
                <w:color w:val="auto"/>
              </w:rPr>
            </w:pPr>
          </w:p>
        </w:tc>
        <w:tc>
          <w:tcPr>
            <w:tcW w:w="500" w:type="dxa"/>
            <w:vAlign w:val="bottom"/>
            <w:shd w:val="clear" w:color="auto" w:fill="CCEEFF"/>
          </w:tcPr>
          <w:p>
            <w:pPr>
              <w:ind w:left="60"/>
              <w:spacing w:after="0" w:line="104" w:lineRule="exact"/>
              <w:rPr>
                <w:sz w:val="20"/>
                <w:szCs w:val="20"/>
                <w:color w:val="auto"/>
              </w:rPr>
            </w:pPr>
            <w:r>
              <w:rPr>
                <w:rFonts w:ascii="Times New Roman" w:cs="Times New Roman" w:eastAsia="Times New Roman" w:hAnsi="Times New Roman"/>
                <w:sz w:val="10"/>
                <w:szCs w:val="10"/>
                <w:color w:val="auto"/>
              </w:rPr>
              <w:t>(50.000)</w:t>
            </w:r>
          </w:p>
        </w:tc>
        <w:tc>
          <w:tcPr>
            <w:tcW w:w="46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(500)</w:t>
            </w:r>
          </w:p>
        </w:tc>
        <w:tc>
          <w:tcPr>
            <w:tcW w:w="560" w:type="dxa"/>
            <w:vAlign w:val="bottom"/>
            <w:gridSpan w:val="2"/>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(650)</w:t>
            </w:r>
          </w:p>
        </w:tc>
        <w:tc>
          <w:tcPr>
            <w:tcW w:w="680" w:type="dxa"/>
            <w:vAlign w:val="bottom"/>
            <w:shd w:val="clear" w:color="auto" w:fill="CCEEFF"/>
          </w:tcPr>
          <w:p>
            <w:pPr>
              <w:ind w:left="100"/>
              <w:spacing w:after="0" w:line="104" w:lineRule="exact"/>
              <w:rPr>
                <w:sz w:val="20"/>
                <w:szCs w:val="20"/>
                <w:color w:val="auto"/>
              </w:rPr>
            </w:pPr>
            <w:r>
              <w:rPr>
                <w:rFonts w:ascii="Times New Roman" w:cs="Times New Roman" w:eastAsia="Times New Roman" w:hAnsi="Times New Roman"/>
                <w:sz w:val="10"/>
                <w:szCs w:val="10"/>
                <w:color w:val="auto"/>
              </w:rPr>
              <w:t>(1,150)</w:t>
            </w:r>
          </w:p>
        </w:tc>
        <w:tc>
          <w:tcPr>
            <w:tcW w:w="0" w:type="dxa"/>
            <w:vAlign w:val="bottom"/>
          </w:tcPr>
          <w:p>
            <w:pPr>
              <w:spacing w:after="0"/>
              <w:rPr>
                <w:sz w:val="1"/>
                <w:szCs w:val="1"/>
                <w:color w:val="auto"/>
              </w:rPr>
            </w:pPr>
          </w:p>
        </w:tc>
      </w:tr>
      <w:tr>
        <w:trPr>
          <w:trHeight w:val="103"/>
        </w:trPr>
        <w:tc>
          <w:tcPr>
            <w:tcW w:w="2720" w:type="dxa"/>
            <w:vAlign w:val="bottom"/>
            <w:gridSpan w:val="2"/>
          </w:tcPr>
          <w:p>
            <w:pPr>
              <w:jc w:val="right"/>
              <w:ind w:right="20"/>
              <w:spacing w:after="0" w:line="104" w:lineRule="exact"/>
              <w:rPr>
                <w:sz w:val="20"/>
                <w:szCs w:val="20"/>
                <w:color w:val="auto"/>
              </w:rPr>
            </w:pPr>
            <w:r>
              <w:rPr>
                <w:rFonts w:ascii="Times New Roman" w:cs="Times New Roman" w:eastAsia="Times New Roman" w:hAnsi="Times New Roman"/>
                <w:sz w:val="10"/>
                <w:szCs w:val="10"/>
                <w:color w:val="auto"/>
              </w:rPr>
              <w:t>Reclassification of Series A and Series B Preferred Stock</w:t>
            </w:r>
          </w:p>
        </w:tc>
        <w:tc>
          <w:tcPr>
            <w:tcW w:w="40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169.125</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7,427</w:t>
            </w:r>
          </w:p>
        </w:tc>
        <w:tc>
          <w:tcPr>
            <w:tcW w:w="42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rPr>
              <w:t>109.267</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7,128</w:t>
            </w:r>
          </w:p>
        </w:tc>
        <w:tc>
          <w:tcPr>
            <w:tcW w:w="400" w:type="dxa"/>
            <w:vAlign w:val="bottom"/>
          </w:tcPr>
          <w:p>
            <w:pPr>
              <w:jc w:val="right"/>
              <w:ind w:right="291"/>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right w:val="single" w:sz="8" w:color="auto"/>
            </w:tcBorders>
          </w:tcPr>
          <w:p>
            <w:pPr>
              <w:spacing w:after="0"/>
              <w:rPr>
                <w:sz w:val="8"/>
                <w:szCs w:val="8"/>
                <w:color w:val="auto"/>
              </w:rPr>
            </w:pPr>
          </w:p>
        </w:tc>
        <w:tc>
          <w:tcPr>
            <w:tcW w:w="46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(169.125)</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rPr>
              <w:t>(109.267)</w:t>
            </w:r>
          </w:p>
        </w:tc>
        <w:tc>
          <w:tcPr>
            <w:tcW w:w="1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8"/>
                <w:szCs w:val="8"/>
                <w:color w:val="auto"/>
              </w:rPr>
            </w:pPr>
          </w:p>
        </w:tc>
        <w:tc>
          <w:tcPr>
            <w:tcW w:w="50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(14,555)</w:t>
            </w:r>
          </w:p>
        </w:tc>
        <w:tc>
          <w:tcPr>
            <w:tcW w:w="12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8"/>
                <w:szCs w:val="8"/>
                <w:color w:val="auto"/>
              </w:rPr>
            </w:pPr>
          </w:p>
        </w:tc>
        <w:tc>
          <w:tcPr>
            <w:tcW w:w="680" w:type="dxa"/>
            <w:vAlign w:val="bottom"/>
          </w:tcPr>
          <w:p>
            <w:pPr>
              <w:ind w:left="80"/>
              <w:spacing w:after="0" w:line="104" w:lineRule="exact"/>
              <w:rPr>
                <w:sz w:val="20"/>
                <w:szCs w:val="20"/>
                <w:color w:val="auto"/>
              </w:rPr>
            </w:pPr>
            <w:r>
              <w:rPr>
                <w:rFonts w:ascii="Times New Roman" w:cs="Times New Roman" w:eastAsia="Times New Roman" w:hAnsi="Times New Roman"/>
                <w:sz w:val="10"/>
                <w:szCs w:val="10"/>
                <w:color w:val="auto"/>
              </w:rPr>
              <w:t>(14,555)</w:t>
            </w:r>
          </w:p>
        </w:tc>
        <w:tc>
          <w:tcPr>
            <w:tcW w:w="0" w:type="dxa"/>
            <w:vAlign w:val="bottom"/>
          </w:tcPr>
          <w:p>
            <w:pPr>
              <w:spacing w:after="0"/>
              <w:rPr>
                <w:sz w:val="1"/>
                <w:szCs w:val="1"/>
                <w:color w:val="auto"/>
              </w:rPr>
            </w:pPr>
          </w:p>
        </w:tc>
      </w:tr>
      <w:tr>
        <w:trPr>
          <w:trHeight w:val="103"/>
        </w:trPr>
        <w:tc>
          <w:tcPr>
            <w:tcW w:w="2720" w:type="dxa"/>
            <w:vAlign w:val="bottom"/>
            <w:gridSpan w:val="2"/>
            <w:shd w:val="clear" w:color="auto" w:fill="CCEEFF"/>
          </w:tcPr>
          <w:p>
            <w:pPr>
              <w:jc w:val="right"/>
              <w:ind w:right="20"/>
              <w:spacing w:after="0" w:line="104"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40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ind w:right="291"/>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right w:val="single" w:sz="8" w:color="auto"/>
            </w:tcBorders>
            <w:shd w:val="clear" w:color="auto" w:fill="CCEEFF"/>
          </w:tcPr>
          <w:p>
            <w:pPr>
              <w:spacing w:after="0"/>
              <w:rPr>
                <w:sz w:val="8"/>
                <w:szCs w:val="8"/>
                <w:color w:val="auto"/>
              </w:rPr>
            </w:pPr>
          </w:p>
        </w:tc>
        <w:tc>
          <w:tcPr>
            <w:tcW w:w="46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8"/>
                <w:szCs w:val="8"/>
                <w:color w:val="auto"/>
              </w:rPr>
            </w:pPr>
          </w:p>
        </w:tc>
        <w:tc>
          <w:tcPr>
            <w:tcW w:w="50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color w:val="auto"/>
              </w:rPr>
              <w:t>790</w:t>
            </w:r>
          </w:p>
        </w:tc>
        <w:tc>
          <w:tcPr>
            <w:tcW w:w="12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8"/>
                <w:szCs w:val="8"/>
                <w:color w:val="auto"/>
              </w:rPr>
            </w:pPr>
          </w:p>
        </w:tc>
        <w:tc>
          <w:tcPr>
            <w:tcW w:w="680" w:type="dxa"/>
            <w:vAlign w:val="bottom"/>
            <w:shd w:val="clear" w:color="auto" w:fill="CCEEFF"/>
          </w:tcPr>
          <w:p>
            <w:pPr>
              <w:ind w:left="80"/>
              <w:spacing w:after="0" w:line="104" w:lineRule="exact"/>
              <w:rPr>
                <w:sz w:val="20"/>
                <w:szCs w:val="20"/>
                <w:color w:val="auto"/>
              </w:rPr>
            </w:pPr>
            <w:r>
              <w:rPr>
                <w:rFonts w:ascii="Times New Roman" w:cs="Times New Roman" w:eastAsia="Times New Roman" w:hAnsi="Times New Roman"/>
                <w:sz w:val="10"/>
                <w:szCs w:val="10"/>
                <w:color w:val="auto"/>
              </w:rPr>
              <w:t>790</w:t>
            </w:r>
          </w:p>
        </w:tc>
        <w:tc>
          <w:tcPr>
            <w:tcW w:w="0" w:type="dxa"/>
            <w:vAlign w:val="bottom"/>
          </w:tcPr>
          <w:p>
            <w:pPr>
              <w:spacing w:after="0"/>
              <w:rPr>
                <w:sz w:val="1"/>
                <w:szCs w:val="1"/>
                <w:color w:val="auto"/>
              </w:rPr>
            </w:pPr>
          </w:p>
        </w:tc>
      </w:tr>
      <w:tr>
        <w:trPr>
          <w:trHeight w:val="103"/>
        </w:trPr>
        <w:tc>
          <w:tcPr>
            <w:tcW w:w="2720" w:type="dxa"/>
            <w:vAlign w:val="bottom"/>
            <w:gridSpan w:val="2"/>
          </w:tcPr>
          <w:p>
            <w:pPr>
              <w:jc w:val="right"/>
              <w:ind w:right="20"/>
              <w:spacing w:after="0" w:line="104"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291"/>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right w:val="single" w:sz="8" w:color="auto"/>
            </w:tcBorders>
          </w:tcPr>
          <w:p>
            <w:pPr>
              <w:spacing w:after="0"/>
              <w:rPr>
                <w:sz w:val="8"/>
                <w:szCs w:val="8"/>
                <w:color w:val="auto"/>
              </w:rPr>
            </w:pPr>
          </w:p>
        </w:tc>
        <w:tc>
          <w:tcPr>
            <w:tcW w:w="46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8"/>
                <w:szCs w:val="8"/>
                <w:color w:val="auto"/>
              </w:rPr>
            </w:pPr>
          </w:p>
        </w:tc>
        <w:tc>
          <w:tcPr>
            <w:tcW w:w="50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ind w:left="40"/>
              <w:spacing w:after="0" w:line="104" w:lineRule="exact"/>
              <w:rPr>
                <w:sz w:val="20"/>
                <w:szCs w:val="20"/>
                <w:color w:val="auto"/>
              </w:rPr>
            </w:pPr>
            <w:r>
              <w:rPr>
                <w:rFonts w:ascii="Times New Roman" w:cs="Times New Roman" w:eastAsia="Times New Roman" w:hAnsi="Times New Roman"/>
                <w:sz w:val="10"/>
                <w:szCs w:val="10"/>
                <w:color w:val="auto"/>
              </w:rPr>
              <w:t>(3,640)</w:t>
            </w:r>
          </w:p>
        </w:tc>
        <w:tc>
          <w:tcPr>
            <w:tcW w:w="680" w:type="dxa"/>
            <w:vAlign w:val="bottom"/>
          </w:tcPr>
          <w:p>
            <w:pPr>
              <w:ind w:left="100"/>
              <w:spacing w:after="0" w:line="104" w:lineRule="exact"/>
              <w:rPr>
                <w:sz w:val="20"/>
                <w:szCs w:val="20"/>
                <w:color w:val="auto"/>
              </w:rPr>
            </w:pPr>
            <w:r>
              <w:rPr>
                <w:rFonts w:ascii="Times New Roman" w:cs="Times New Roman" w:eastAsia="Times New Roman" w:hAnsi="Times New Roman"/>
                <w:sz w:val="10"/>
                <w:szCs w:val="10"/>
                <w:color w:val="auto"/>
              </w:rPr>
              <w:t>(3,640)</w:t>
            </w:r>
          </w:p>
        </w:tc>
        <w:tc>
          <w:tcPr>
            <w:tcW w:w="0" w:type="dxa"/>
            <w:vAlign w:val="bottom"/>
          </w:tcPr>
          <w:p>
            <w:pPr>
              <w:spacing w:after="0"/>
              <w:rPr>
                <w:sz w:val="1"/>
                <w:szCs w:val="1"/>
                <w:color w:val="auto"/>
              </w:rPr>
            </w:pPr>
          </w:p>
        </w:tc>
      </w:tr>
      <w:tr>
        <w:trPr>
          <w:trHeight w:val="122"/>
        </w:trPr>
        <w:tc>
          <w:tcPr>
            <w:tcW w:w="2700" w:type="dxa"/>
            <w:vAlign w:val="bottom"/>
            <w:tcBorders>
              <w:top w:val="single" w:sz="8" w:color="CCEEFF"/>
              <w:bottom w:val="single" w:sz="8" w:color="CCEEFF"/>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Balance at December 31, 2021</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219.125</w:t>
            </w:r>
          </w:p>
        </w:tc>
        <w:tc>
          <w:tcPr>
            <w:tcW w:w="440" w:type="dxa"/>
            <w:vAlign w:val="bottom"/>
            <w:tcBorders>
              <w:top w:val="single" w:sz="8" w:color="auto"/>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$ 9,623</w:t>
            </w:r>
          </w:p>
        </w:tc>
        <w:tc>
          <w:tcPr>
            <w:tcW w:w="420" w:type="dxa"/>
            <w:vAlign w:val="bottom"/>
            <w:tcBorders>
              <w:top w:val="single" w:sz="8" w:color="auto"/>
              <w:bottom w:val="single" w:sz="8" w:color="auto"/>
            </w:tcBorders>
            <w:shd w:val="clear" w:color="auto" w:fill="CCEEFF"/>
          </w:tcPr>
          <w:p>
            <w:pPr>
              <w:ind w:left="60"/>
              <w:spacing w:after="0" w:line="103" w:lineRule="exact"/>
              <w:rPr>
                <w:sz w:val="20"/>
                <w:szCs w:val="20"/>
                <w:color w:val="auto"/>
              </w:rPr>
            </w:pPr>
            <w:r>
              <w:rPr>
                <w:rFonts w:ascii="Times New Roman" w:cs="Times New Roman" w:eastAsia="Times New Roman" w:hAnsi="Times New Roman"/>
                <w:sz w:val="10"/>
                <w:szCs w:val="10"/>
                <w:color w:val="auto"/>
              </w:rPr>
              <w:t>109.267</w:t>
            </w:r>
          </w:p>
        </w:tc>
        <w:tc>
          <w:tcPr>
            <w:tcW w:w="440" w:type="dxa"/>
            <w:vAlign w:val="bottom"/>
            <w:tcBorders>
              <w:top w:val="single" w:sz="8" w:color="auto"/>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$ 7,128</w:t>
            </w:r>
          </w:p>
        </w:tc>
        <w:tc>
          <w:tcPr>
            <w:tcW w:w="400" w:type="dxa"/>
            <w:vAlign w:val="bottom"/>
            <w:tcBorders>
              <w:top w:val="single" w:sz="8" w:color="auto"/>
              <w:bottom w:val="single" w:sz="8" w:color="auto"/>
            </w:tcBorders>
            <w:shd w:val="clear" w:color="auto" w:fill="CCEEFF"/>
          </w:tcPr>
          <w:p>
            <w:pPr>
              <w:jc w:val="right"/>
              <w:ind w:right="11"/>
              <w:spacing w:after="0" w:line="103" w:lineRule="exact"/>
              <w:rPr>
                <w:sz w:val="20"/>
                <w:szCs w:val="20"/>
                <w:color w:val="auto"/>
              </w:rPr>
            </w:pPr>
            <w:r>
              <w:rPr>
                <w:rFonts w:ascii="Times New Roman" w:cs="Times New Roman" w:eastAsia="Times New Roman" w:hAnsi="Times New Roman"/>
                <w:sz w:val="10"/>
                <w:szCs w:val="10"/>
                <w:color w:val="auto"/>
              </w:rPr>
              <w:t>65.017</w:t>
            </w:r>
          </w:p>
        </w:tc>
        <w:tc>
          <w:tcPr>
            <w:tcW w:w="440" w:type="dxa"/>
            <w:vAlign w:val="bottom"/>
            <w:tcBorders>
              <w:top w:val="single" w:sz="8" w:color="auto"/>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$ 3,162</w:t>
            </w:r>
          </w:p>
        </w:tc>
        <w:tc>
          <w:tcPr>
            <w:tcW w:w="420" w:type="dxa"/>
            <w:vAlign w:val="bottom"/>
            <w:tcBorders>
              <w:top w:val="single" w:sz="8" w:color="auto"/>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top w:val="single" w:sz="8" w:color="auto"/>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Borders>
              <w:top w:val="single" w:sz="8" w:color="auto"/>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right w:val="single" w:sz="8" w:color="auto"/>
            </w:tcBorders>
            <w:shd w:val="clear" w:color="auto" w:fill="CCEEFF"/>
          </w:tcPr>
          <w:p>
            <w:pPr>
              <w:jc w:val="right"/>
              <w:ind w:right="410"/>
              <w:spacing w:after="0" w:line="10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top w:val="single" w:sz="8" w:color="auto"/>
              <w:bottom w:val="single" w:sz="8" w:color="auto"/>
            </w:tcBorders>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top w:val="single" w:sz="8" w:color="auto"/>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top w:val="single" w:sz="8" w:color="auto"/>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auto"/>
              <w:bottom w:val="single" w:sz="8" w:color="auto"/>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shd w:val="clear" w:color="auto" w:fill="CCEEFF"/>
          </w:tcPr>
          <w:p>
            <w:pPr>
              <w:ind w:left="60"/>
              <w:spacing w:after="0" w:line="103" w:lineRule="exact"/>
              <w:rPr>
                <w:sz w:val="20"/>
                <w:szCs w:val="20"/>
                <w:color w:val="auto"/>
              </w:rPr>
            </w:pPr>
            <w:r>
              <w:rPr>
                <w:rFonts w:ascii="Times New Roman" w:cs="Times New Roman" w:eastAsia="Times New Roman" w:hAnsi="Times New Roman"/>
                <w:sz w:val="10"/>
                <w:szCs w:val="10"/>
                <w:color w:val="auto"/>
              </w:rPr>
              <w:t>1,237.625</w:t>
            </w:r>
          </w:p>
        </w:tc>
        <w:tc>
          <w:tcPr>
            <w:tcW w:w="460" w:type="dxa"/>
            <w:vAlign w:val="bottom"/>
            <w:tcBorders>
              <w:top w:val="single" w:sz="8" w:color="auto"/>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top w:val="single" w:sz="8" w:color="auto"/>
              <w:bottom w:val="single" w:sz="8" w:color="auto"/>
            </w:tcBorders>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$ 6,644</w:t>
            </w:r>
          </w:p>
        </w:tc>
        <w:tc>
          <w:tcPr>
            <w:tcW w:w="120" w:type="dxa"/>
            <w:vAlign w:val="bottom"/>
            <w:tcBorders>
              <w:top w:val="single" w:sz="8" w:color="auto"/>
              <w:bottom w:val="single" w:sz="8" w:color="auto"/>
            </w:tcBorders>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top w:val="single" w:sz="8" w:color="auto"/>
              <w:bottom w:val="single" w:sz="8" w:color="auto"/>
            </w:tcBorders>
            <w:shd w:val="clear" w:color="auto" w:fill="CCEEFF"/>
          </w:tcPr>
          <w:p>
            <w:pPr>
              <w:jc w:val="center"/>
              <w:ind w:right="11"/>
              <w:spacing w:after="0" w:line="103" w:lineRule="exact"/>
              <w:rPr>
                <w:sz w:val="20"/>
                <w:szCs w:val="20"/>
                <w:color w:val="auto"/>
              </w:rPr>
            </w:pPr>
            <w:r>
              <w:rPr>
                <w:rFonts w:ascii="Times New Roman" w:cs="Times New Roman" w:eastAsia="Times New Roman" w:hAnsi="Times New Roman"/>
                <w:sz w:val="10"/>
                <w:szCs w:val="10"/>
                <w:color w:val="auto"/>
                <w:w w:val="99"/>
              </w:rPr>
              <w:t>(19,609)</w:t>
            </w:r>
          </w:p>
        </w:tc>
        <w:tc>
          <w:tcPr>
            <w:tcW w:w="680" w:type="dxa"/>
            <w:vAlign w:val="bottom"/>
            <w:tcBorders>
              <w:top w:val="single" w:sz="8" w:color="auto"/>
              <w:bottom w:val="single" w:sz="8" w:color="auto"/>
            </w:tcBorders>
            <w:shd w:val="clear" w:color="auto" w:fill="CCEEFF"/>
          </w:tcPr>
          <w:p>
            <w:pPr>
              <w:ind w:left="80"/>
              <w:spacing w:after="0" w:line="103" w:lineRule="exact"/>
              <w:rPr>
                <w:sz w:val="20"/>
                <w:szCs w:val="20"/>
                <w:color w:val="auto"/>
              </w:rPr>
            </w:pPr>
            <w:r>
              <w:rPr>
                <w:rFonts w:ascii="Times New Roman" w:cs="Times New Roman" w:eastAsia="Times New Roman" w:hAnsi="Times New Roman"/>
                <w:sz w:val="10"/>
                <w:szCs w:val="10"/>
                <w:color w:val="auto"/>
              </w:rPr>
              <w:t>$ (12,965)</w:t>
            </w:r>
          </w:p>
        </w:tc>
        <w:tc>
          <w:tcPr>
            <w:tcW w:w="0" w:type="dxa"/>
            <w:vAlign w:val="bottom"/>
          </w:tcPr>
          <w:p>
            <w:pPr>
              <w:spacing w:after="0"/>
              <w:rPr>
                <w:sz w:val="1"/>
                <w:szCs w:val="1"/>
                <w:color w:val="auto"/>
              </w:rPr>
            </w:pPr>
          </w:p>
        </w:tc>
      </w:tr>
      <w:tr>
        <w:trPr>
          <w:trHeight w:val="82"/>
        </w:trPr>
        <w:tc>
          <w:tcPr>
            <w:tcW w:w="2700" w:type="dxa"/>
            <w:vAlign w:val="bottom"/>
          </w:tcPr>
          <w:p>
            <w:pPr>
              <w:jc w:val="right"/>
              <w:spacing w:after="0" w:line="82" w:lineRule="exact"/>
              <w:rPr>
                <w:sz w:val="20"/>
                <w:szCs w:val="20"/>
                <w:color w:val="auto"/>
              </w:rPr>
            </w:pPr>
            <w:r>
              <w:rPr>
                <w:rFonts w:ascii="Times New Roman" w:cs="Times New Roman" w:eastAsia="Times New Roman" w:hAnsi="Times New Roman"/>
                <w:sz w:val="9"/>
                <w:szCs w:val="9"/>
                <w:color w:val="auto"/>
              </w:rPr>
              <w:t>Issuance of Series B-2 Preferred Stock, net of $24 of issuance costs</w:t>
            </w:r>
          </w:p>
        </w:tc>
        <w:tc>
          <w:tcPr>
            <w:tcW w:w="20" w:type="dxa"/>
            <w:vAlign w:val="bottom"/>
          </w:tcPr>
          <w:p>
            <w:pPr>
              <w:spacing w:after="0"/>
              <w:rPr>
                <w:sz w:val="7"/>
                <w:szCs w:val="7"/>
                <w:color w:val="auto"/>
              </w:rPr>
            </w:pPr>
          </w:p>
        </w:tc>
        <w:tc>
          <w:tcPr>
            <w:tcW w:w="40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ind w:left="60"/>
              <w:spacing w:after="0" w:line="82"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291"/>
              <w:spacing w:after="0" w:line="82"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193.644</w:t>
            </w:r>
          </w:p>
        </w:tc>
        <w:tc>
          <w:tcPr>
            <w:tcW w:w="46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12,144</w:t>
            </w:r>
          </w:p>
        </w:tc>
        <w:tc>
          <w:tcPr>
            <w:tcW w:w="620" w:type="dxa"/>
            <w:vAlign w:val="bottom"/>
            <w:tcBorders>
              <w:right w:val="single" w:sz="8" w:color="auto"/>
            </w:tcBorders>
            <w:gridSpan w:val="2"/>
          </w:tcPr>
          <w:p>
            <w:pPr>
              <w:ind w:left="60"/>
              <w:spacing w:after="0" w:line="82" w:lineRule="exact"/>
              <w:rPr>
                <w:sz w:val="20"/>
                <w:szCs w:val="20"/>
                <w:color w:val="auto"/>
              </w:rPr>
            </w:pPr>
            <w:r>
              <w:rPr>
                <w:rFonts w:ascii="Times New Roman" w:cs="Times New Roman" w:eastAsia="Times New Roman" w:hAnsi="Times New Roman"/>
                <w:sz w:val="9"/>
                <w:szCs w:val="9"/>
                <w:color w:val="auto"/>
              </w:rPr>
              <w:t>(1,333)</w:t>
            </w:r>
          </w:p>
        </w:tc>
        <w:tc>
          <w:tcPr>
            <w:tcW w:w="460" w:type="dxa"/>
            <w:vAlign w:val="bottom"/>
          </w:tcPr>
          <w:p>
            <w:pPr>
              <w:ind w:left="20"/>
              <w:spacing w:after="0" w:line="82"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jc w:val="right"/>
              <w:spacing w:after="0" w:line="82"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7"/>
                <w:szCs w:val="7"/>
                <w:color w:val="auto"/>
              </w:rPr>
            </w:pPr>
          </w:p>
        </w:tc>
        <w:tc>
          <w:tcPr>
            <w:tcW w:w="500" w:type="dxa"/>
            <w:vAlign w:val="bottom"/>
          </w:tcPr>
          <w:p>
            <w:pPr>
              <w:ind w:left="20"/>
              <w:spacing w:after="0" w:line="82"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ind w:left="20"/>
              <w:spacing w:after="0" w:line="82"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spacing w:after="0"/>
              <w:rPr>
                <w:sz w:val="7"/>
                <w:szCs w:val="7"/>
                <w:color w:val="auto"/>
              </w:rPr>
            </w:pPr>
          </w:p>
        </w:tc>
        <w:tc>
          <w:tcPr>
            <w:tcW w:w="680" w:type="dxa"/>
            <w:vAlign w:val="bottom"/>
          </w:tcPr>
          <w:p>
            <w:pPr>
              <w:ind w:left="80"/>
              <w:spacing w:after="0" w:line="82"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3"/>
        </w:trPr>
        <w:tc>
          <w:tcPr>
            <w:tcW w:w="2720" w:type="dxa"/>
            <w:vAlign w:val="bottom"/>
            <w:gridSpan w:val="2"/>
            <w:shd w:val="clear" w:color="auto" w:fill="CCEEFF"/>
          </w:tcPr>
          <w:p>
            <w:pPr>
              <w:jc w:val="right"/>
              <w:ind w:right="20"/>
              <w:spacing w:after="0" w:line="104"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40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ind w:right="291"/>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right w:val="single" w:sz="8" w:color="auto"/>
            </w:tcBorders>
            <w:shd w:val="clear" w:color="auto" w:fill="CCEEFF"/>
          </w:tcPr>
          <w:p>
            <w:pPr>
              <w:spacing w:after="0"/>
              <w:rPr>
                <w:sz w:val="8"/>
                <w:szCs w:val="8"/>
                <w:color w:val="auto"/>
              </w:rPr>
            </w:pPr>
          </w:p>
        </w:tc>
        <w:tc>
          <w:tcPr>
            <w:tcW w:w="46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8"/>
                <w:szCs w:val="8"/>
                <w:color w:val="auto"/>
              </w:rPr>
            </w:pPr>
          </w:p>
        </w:tc>
        <w:tc>
          <w:tcPr>
            <w:tcW w:w="50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color w:val="auto"/>
              </w:rPr>
              <w:t>719</w:t>
            </w:r>
          </w:p>
        </w:tc>
        <w:tc>
          <w:tcPr>
            <w:tcW w:w="12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8"/>
                <w:szCs w:val="8"/>
                <w:color w:val="auto"/>
              </w:rPr>
            </w:pPr>
          </w:p>
        </w:tc>
        <w:tc>
          <w:tcPr>
            <w:tcW w:w="680" w:type="dxa"/>
            <w:vAlign w:val="bottom"/>
            <w:shd w:val="clear" w:color="auto" w:fill="CCEEFF"/>
          </w:tcPr>
          <w:p>
            <w:pPr>
              <w:ind w:left="80"/>
              <w:spacing w:after="0" w:line="104" w:lineRule="exact"/>
              <w:rPr>
                <w:sz w:val="20"/>
                <w:szCs w:val="20"/>
                <w:color w:val="auto"/>
              </w:rPr>
            </w:pPr>
            <w:r>
              <w:rPr>
                <w:rFonts w:ascii="Times New Roman" w:cs="Times New Roman" w:eastAsia="Times New Roman" w:hAnsi="Times New Roman"/>
                <w:sz w:val="10"/>
                <w:szCs w:val="10"/>
                <w:color w:val="auto"/>
              </w:rPr>
              <w:t>719</w:t>
            </w:r>
          </w:p>
        </w:tc>
        <w:tc>
          <w:tcPr>
            <w:tcW w:w="0" w:type="dxa"/>
            <w:vAlign w:val="bottom"/>
          </w:tcPr>
          <w:p>
            <w:pPr>
              <w:spacing w:after="0"/>
              <w:rPr>
                <w:sz w:val="1"/>
                <w:szCs w:val="1"/>
                <w:color w:val="auto"/>
              </w:rPr>
            </w:pPr>
          </w:p>
        </w:tc>
      </w:tr>
      <w:tr>
        <w:trPr>
          <w:trHeight w:val="103"/>
        </w:trPr>
        <w:tc>
          <w:tcPr>
            <w:tcW w:w="2720" w:type="dxa"/>
            <w:vAlign w:val="bottom"/>
            <w:gridSpan w:val="2"/>
          </w:tcPr>
          <w:p>
            <w:pPr>
              <w:jc w:val="right"/>
              <w:ind w:right="20"/>
              <w:spacing w:after="0" w:line="104" w:lineRule="exact"/>
              <w:rPr>
                <w:sz w:val="20"/>
                <w:szCs w:val="20"/>
                <w:color w:val="auto"/>
              </w:rPr>
            </w:pPr>
            <w:r>
              <w:rPr>
                <w:rFonts w:ascii="Times New Roman" w:cs="Times New Roman" w:eastAsia="Times New Roman" w:hAnsi="Times New Roman"/>
                <w:sz w:val="10"/>
                <w:szCs w:val="10"/>
                <w:color w:val="auto"/>
              </w:rPr>
              <w:t>Exercise of options to purchase common stock</w:t>
            </w:r>
          </w:p>
        </w:tc>
        <w:tc>
          <w:tcPr>
            <w:tcW w:w="40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291"/>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right w:val="single" w:sz="8" w:color="auto"/>
            </w:tcBorders>
          </w:tcPr>
          <w:p>
            <w:pPr>
              <w:spacing w:after="0"/>
              <w:rPr>
                <w:sz w:val="8"/>
                <w:szCs w:val="8"/>
                <w:color w:val="auto"/>
              </w:rPr>
            </w:pPr>
          </w:p>
        </w:tc>
        <w:tc>
          <w:tcPr>
            <w:tcW w:w="46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8"/>
                <w:szCs w:val="8"/>
                <w:color w:val="auto"/>
              </w:rPr>
            </w:pPr>
          </w:p>
        </w:tc>
        <w:tc>
          <w:tcPr>
            <w:tcW w:w="50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3.000</w:t>
            </w:r>
          </w:p>
        </w:tc>
        <w:tc>
          <w:tcPr>
            <w:tcW w:w="46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69</w:t>
            </w:r>
          </w:p>
        </w:tc>
        <w:tc>
          <w:tcPr>
            <w:tcW w:w="12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8"/>
                <w:szCs w:val="8"/>
                <w:color w:val="auto"/>
              </w:rPr>
            </w:pPr>
          </w:p>
        </w:tc>
        <w:tc>
          <w:tcPr>
            <w:tcW w:w="680" w:type="dxa"/>
            <w:vAlign w:val="bottom"/>
          </w:tcPr>
          <w:p>
            <w:pPr>
              <w:ind w:left="100"/>
              <w:spacing w:after="0" w:line="104" w:lineRule="exact"/>
              <w:rPr>
                <w:sz w:val="20"/>
                <w:szCs w:val="20"/>
                <w:color w:val="auto"/>
              </w:rPr>
            </w:pPr>
            <w:r>
              <w:rPr>
                <w:rFonts w:ascii="Times New Roman" w:cs="Times New Roman" w:eastAsia="Times New Roman" w:hAnsi="Times New Roman"/>
                <w:sz w:val="10"/>
                <w:szCs w:val="10"/>
                <w:color w:val="auto"/>
              </w:rPr>
              <w:t>69</w:t>
            </w:r>
          </w:p>
        </w:tc>
        <w:tc>
          <w:tcPr>
            <w:tcW w:w="0" w:type="dxa"/>
            <w:vAlign w:val="bottom"/>
          </w:tcPr>
          <w:p>
            <w:pPr>
              <w:spacing w:after="0"/>
              <w:rPr>
                <w:sz w:val="1"/>
                <w:szCs w:val="1"/>
                <w:color w:val="auto"/>
              </w:rPr>
            </w:pPr>
          </w:p>
        </w:tc>
      </w:tr>
      <w:tr>
        <w:trPr>
          <w:trHeight w:val="123"/>
        </w:trPr>
        <w:tc>
          <w:tcPr>
            <w:tcW w:w="2720" w:type="dxa"/>
            <w:vAlign w:val="bottom"/>
            <w:gridSpan w:val="2"/>
            <w:shd w:val="clear" w:color="auto" w:fill="CCEEFF"/>
          </w:tcPr>
          <w:p>
            <w:pPr>
              <w:jc w:val="right"/>
              <w:ind w:right="20"/>
              <w:spacing w:after="0" w:line="104"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ind w:right="291"/>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ind w:left="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right w:val="single" w:sz="8" w:color="auto"/>
            </w:tcBorders>
            <w:shd w:val="clear" w:color="auto" w:fill="CCEEFF"/>
          </w:tcPr>
          <w:p>
            <w:pPr>
              <w:spacing w:after="0"/>
              <w:rPr>
                <w:sz w:val="10"/>
                <w:szCs w:val="10"/>
                <w:color w:val="auto"/>
              </w:rPr>
            </w:pPr>
          </w:p>
        </w:tc>
        <w:tc>
          <w:tcPr>
            <w:tcW w:w="46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(6,455)</w:t>
            </w:r>
          </w:p>
        </w:tc>
        <w:tc>
          <w:tcPr>
            <w:tcW w:w="680" w:type="dxa"/>
            <w:vAlign w:val="bottom"/>
            <w:shd w:val="clear" w:color="auto" w:fill="CCEEFF"/>
          </w:tcPr>
          <w:p>
            <w:pPr>
              <w:ind w:left="100"/>
              <w:spacing w:after="0" w:line="104" w:lineRule="exact"/>
              <w:rPr>
                <w:sz w:val="20"/>
                <w:szCs w:val="20"/>
                <w:color w:val="auto"/>
              </w:rPr>
            </w:pPr>
            <w:r>
              <w:rPr>
                <w:rFonts w:ascii="Times New Roman" w:cs="Times New Roman" w:eastAsia="Times New Roman" w:hAnsi="Times New Roman"/>
                <w:sz w:val="10"/>
                <w:szCs w:val="10"/>
                <w:color w:val="auto"/>
              </w:rPr>
              <w:t>(6,455)</w:t>
            </w:r>
          </w:p>
        </w:tc>
        <w:tc>
          <w:tcPr>
            <w:tcW w:w="0" w:type="dxa"/>
            <w:vAlign w:val="bottom"/>
          </w:tcPr>
          <w:p>
            <w:pPr>
              <w:spacing w:after="0"/>
              <w:rPr>
                <w:sz w:val="1"/>
                <w:szCs w:val="1"/>
                <w:color w:val="auto"/>
              </w:rPr>
            </w:pPr>
          </w:p>
        </w:tc>
      </w:tr>
      <w:tr>
        <w:trPr>
          <w:trHeight w:val="82"/>
        </w:trPr>
        <w:tc>
          <w:tcPr>
            <w:tcW w:w="2700" w:type="dxa"/>
            <w:vAlign w:val="bottom"/>
            <w:tcBorders>
              <w:top w:val="single" w:sz="8" w:color="CCEEFF"/>
            </w:tcBorders>
          </w:tcPr>
          <w:p>
            <w:pPr>
              <w:jc w:val="right"/>
              <w:spacing w:after="0" w:line="82" w:lineRule="exact"/>
              <w:rPr>
                <w:sz w:val="20"/>
                <w:szCs w:val="20"/>
                <w:color w:val="auto"/>
              </w:rPr>
            </w:pPr>
            <w:r>
              <w:rPr>
                <w:rFonts w:ascii="Times New Roman" w:cs="Times New Roman" w:eastAsia="Times New Roman" w:hAnsi="Times New Roman"/>
                <w:sz w:val="9"/>
                <w:szCs w:val="9"/>
                <w:b w:val="1"/>
                <w:bCs w:val="1"/>
                <w:color w:val="auto"/>
              </w:rPr>
              <w:t>Balance at December 31, 2022</w:t>
            </w:r>
          </w:p>
        </w:tc>
        <w:tc>
          <w:tcPr>
            <w:tcW w:w="2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ind w:left="40"/>
              <w:spacing w:after="0" w:line="82" w:lineRule="exact"/>
              <w:rPr>
                <w:sz w:val="20"/>
                <w:szCs w:val="20"/>
                <w:color w:val="auto"/>
              </w:rPr>
            </w:pPr>
            <w:r>
              <w:rPr>
                <w:rFonts w:ascii="Times New Roman" w:cs="Times New Roman" w:eastAsia="Times New Roman" w:hAnsi="Times New Roman"/>
                <w:sz w:val="9"/>
                <w:szCs w:val="9"/>
                <w:color w:val="auto"/>
              </w:rPr>
              <w:t>219.125</w:t>
            </w:r>
          </w:p>
        </w:tc>
        <w:tc>
          <w:tcPr>
            <w:tcW w:w="440" w:type="dxa"/>
            <w:vAlign w:val="bottom"/>
            <w:tcBorders>
              <w:top w:val="single" w:sz="8" w:color="auto"/>
              <w:bottom w:val="single" w:sz="8" w:color="auto"/>
            </w:tcBorders>
          </w:tcPr>
          <w:p>
            <w:pPr>
              <w:ind w:left="40"/>
              <w:spacing w:after="0" w:line="82" w:lineRule="exact"/>
              <w:rPr>
                <w:sz w:val="20"/>
                <w:szCs w:val="20"/>
                <w:color w:val="auto"/>
              </w:rPr>
            </w:pPr>
            <w:r>
              <w:rPr>
                <w:rFonts w:ascii="Times New Roman" w:cs="Times New Roman" w:eastAsia="Times New Roman" w:hAnsi="Times New Roman"/>
                <w:sz w:val="9"/>
                <w:szCs w:val="9"/>
                <w:color w:val="auto"/>
              </w:rPr>
              <w:t>$ 9,623</w:t>
            </w:r>
          </w:p>
        </w:tc>
        <w:tc>
          <w:tcPr>
            <w:tcW w:w="420" w:type="dxa"/>
            <w:vAlign w:val="bottom"/>
            <w:tcBorders>
              <w:top w:val="single" w:sz="8" w:color="auto"/>
              <w:bottom w:val="single" w:sz="8" w:color="auto"/>
            </w:tcBorders>
          </w:tcPr>
          <w:p>
            <w:pPr>
              <w:ind w:left="60"/>
              <w:spacing w:after="0" w:line="82" w:lineRule="exact"/>
              <w:rPr>
                <w:sz w:val="20"/>
                <w:szCs w:val="20"/>
                <w:color w:val="auto"/>
              </w:rPr>
            </w:pPr>
            <w:r>
              <w:rPr>
                <w:rFonts w:ascii="Times New Roman" w:cs="Times New Roman" w:eastAsia="Times New Roman" w:hAnsi="Times New Roman"/>
                <w:sz w:val="9"/>
                <w:szCs w:val="9"/>
                <w:color w:val="auto"/>
              </w:rPr>
              <w:t>109.267</w:t>
            </w:r>
          </w:p>
        </w:tc>
        <w:tc>
          <w:tcPr>
            <w:tcW w:w="440" w:type="dxa"/>
            <w:vAlign w:val="bottom"/>
            <w:tcBorders>
              <w:top w:val="single" w:sz="8" w:color="auto"/>
              <w:bottom w:val="single" w:sz="8" w:color="auto"/>
            </w:tcBorders>
          </w:tcPr>
          <w:p>
            <w:pPr>
              <w:ind w:left="40"/>
              <w:spacing w:after="0" w:line="82" w:lineRule="exact"/>
              <w:rPr>
                <w:sz w:val="20"/>
                <w:szCs w:val="20"/>
                <w:color w:val="auto"/>
              </w:rPr>
            </w:pPr>
            <w:r>
              <w:rPr>
                <w:rFonts w:ascii="Times New Roman" w:cs="Times New Roman" w:eastAsia="Times New Roman" w:hAnsi="Times New Roman"/>
                <w:sz w:val="9"/>
                <w:szCs w:val="9"/>
                <w:color w:val="auto"/>
              </w:rPr>
              <w:t>$ 7,128</w:t>
            </w:r>
          </w:p>
        </w:tc>
        <w:tc>
          <w:tcPr>
            <w:tcW w:w="400" w:type="dxa"/>
            <w:vAlign w:val="bottom"/>
            <w:tcBorders>
              <w:top w:val="single" w:sz="8" w:color="auto"/>
              <w:bottom w:val="single" w:sz="8" w:color="auto"/>
            </w:tcBorders>
          </w:tcPr>
          <w:p>
            <w:pPr>
              <w:jc w:val="right"/>
              <w:ind w:right="11"/>
              <w:spacing w:after="0" w:line="82" w:lineRule="exact"/>
              <w:rPr>
                <w:sz w:val="20"/>
                <w:szCs w:val="20"/>
                <w:color w:val="auto"/>
              </w:rPr>
            </w:pPr>
            <w:r>
              <w:rPr>
                <w:rFonts w:ascii="Times New Roman" w:cs="Times New Roman" w:eastAsia="Times New Roman" w:hAnsi="Times New Roman"/>
                <w:sz w:val="9"/>
                <w:szCs w:val="9"/>
                <w:color w:val="auto"/>
              </w:rPr>
              <w:t>65.017</w:t>
            </w:r>
          </w:p>
        </w:tc>
        <w:tc>
          <w:tcPr>
            <w:tcW w:w="440" w:type="dxa"/>
            <w:vAlign w:val="bottom"/>
            <w:tcBorders>
              <w:top w:val="single" w:sz="8" w:color="auto"/>
              <w:bottom w:val="single" w:sz="8" w:color="auto"/>
            </w:tcBorders>
          </w:tcPr>
          <w:p>
            <w:pPr>
              <w:ind w:left="40"/>
              <w:spacing w:after="0" w:line="82" w:lineRule="exact"/>
              <w:rPr>
                <w:sz w:val="20"/>
                <w:szCs w:val="20"/>
                <w:color w:val="auto"/>
              </w:rPr>
            </w:pPr>
            <w:r>
              <w:rPr>
                <w:rFonts w:ascii="Times New Roman" w:cs="Times New Roman" w:eastAsia="Times New Roman" w:hAnsi="Times New Roman"/>
                <w:sz w:val="9"/>
                <w:szCs w:val="9"/>
                <w:color w:val="auto"/>
              </w:rPr>
              <w:t>$ 3,162</w:t>
            </w:r>
          </w:p>
        </w:tc>
        <w:tc>
          <w:tcPr>
            <w:tcW w:w="420" w:type="dxa"/>
            <w:vAlign w:val="bottom"/>
            <w:tcBorders>
              <w:top w:val="single" w:sz="8" w:color="auto"/>
              <w:bottom w:val="single" w:sz="8" w:color="auto"/>
            </w:tcBorders>
          </w:tcPr>
          <w:p>
            <w:pPr>
              <w:ind w:left="40"/>
              <w:spacing w:after="0" w:line="82" w:lineRule="exact"/>
              <w:rPr>
                <w:sz w:val="20"/>
                <w:szCs w:val="20"/>
                <w:color w:val="auto"/>
              </w:rPr>
            </w:pPr>
            <w:r>
              <w:rPr>
                <w:rFonts w:ascii="Times New Roman" w:cs="Times New Roman" w:eastAsia="Times New Roman" w:hAnsi="Times New Roman"/>
                <w:sz w:val="9"/>
                <w:szCs w:val="9"/>
                <w:color w:val="auto"/>
              </w:rPr>
              <w:t>193.644</w:t>
            </w:r>
          </w:p>
        </w:tc>
        <w:tc>
          <w:tcPr>
            <w:tcW w:w="460" w:type="dxa"/>
            <w:vAlign w:val="bottom"/>
            <w:tcBorders>
              <w:top w:val="single" w:sz="8" w:color="auto"/>
              <w:bottom w:val="single" w:sz="8" w:color="auto"/>
            </w:tcBorders>
          </w:tcPr>
          <w:p>
            <w:pPr>
              <w:ind w:left="40"/>
              <w:spacing w:after="0" w:line="82" w:lineRule="exact"/>
              <w:rPr>
                <w:sz w:val="20"/>
                <w:szCs w:val="20"/>
                <w:color w:val="auto"/>
              </w:rPr>
            </w:pPr>
            <w:r>
              <w:rPr>
                <w:rFonts w:ascii="Times New Roman" w:cs="Times New Roman" w:eastAsia="Times New Roman" w:hAnsi="Times New Roman"/>
                <w:sz w:val="9"/>
                <w:szCs w:val="9"/>
                <w:color w:val="auto"/>
              </w:rPr>
              <w:t>$ 12,144</w:t>
            </w:r>
          </w:p>
        </w:tc>
        <w:tc>
          <w:tcPr>
            <w:tcW w:w="620" w:type="dxa"/>
            <w:vAlign w:val="bottom"/>
            <w:tcBorders>
              <w:top w:val="single" w:sz="8" w:color="auto"/>
              <w:bottom w:val="single" w:sz="8" w:color="auto"/>
              <w:right w:val="single" w:sz="8" w:color="auto"/>
            </w:tcBorders>
            <w:gridSpan w:val="2"/>
          </w:tcPr>
          <w:p>
            <w:pPr>
              <w:ind w:left="40"/>
              <w:spacing w:after="0" w:line="82" w:lineRule="exact"/>
              <w:rPr>
                <w:sz w:val="20"/>
                <w:szCs w:val="20"/>
                <w:color w:val="auto"/>
              </w:rPr>
            </w:pPr>
            <w:r>
              <w:rPr>
                <w:rFonts w:ascii="Times New Roman" w:cs="Times New Roman" w:eastAsia="Times New Roman" w:hAnsi="Times New Roman"/>
                <w:sz w:val="9"/>
                <w:szCs w:val="9"/>
                <w:color w:val="auto"/>
              </w:rPr>
              <w:t>$ (1,333)</w:t>
            </w:r>
          </w:p>
        </w:tc>
        <w:tc>
          <w:tcPr>
            <w:tcW w:w="460" w:type="dxa"/>
            <w:vAlign w:val="bottom"/>
            <w:tcBorders>
              <w:top w:val="single" w:sz="8" w:color="auto"/>
              <w:bottom w:val="single" w:sz="8" w:color="auto"/>
            </w:tcBorders>
          </w:tcPr>
          <w:p>
            <w:pPr>
              <w:ind w:left="20"/>
              <w:spacing w:after="0" w:line="82"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Borders>
              <w:top w:val="single" w:sz="8" w:color="auto"/>
              <w:bottom w:val="single" w:sz="8" w:color="auto"/>
            </w:tcBorders>
          </w:tcPr>
          <w:p>
            <w:pPr>
              <w:ind w:left="40"/>
              <w:spacing w:after="0" w:line="82" w:lineRule="exact"/>
              <w:rPr>
                <w:sz w:val="20"/>
                <w:szCs w:val="20"/>
                <w:color w:val="auto"/>
              </w:rPr>
            </w:pPr>
            <w:r>
              <w:rPr>
                <w:rFonts w:ascii="Times New Roman" w:cs="Times New Roman" w:eastAsia="Times New Roman" w:hAnsi="Times New Roman"/>
                <w:sz w:val="9"/>
                <w:szCs w:val="9"/>
                <w:color w:val="auto"/>
              </w:rPr>
              <w:t>$ -</w:t>
            </w:r>
          </w:p>
        </w:tc>
        <w:tc>
          <w:tcPr>
            <w:tcW w:w="500" w:type="dxa"/>
            <w:vAlign w:val="bottom"/>
            <w:tcBorders>
              <w:top w:val="single" w:sz="8" w:color="auto"/>
              <w:bottom w:val="single" w:sz="8" w:color="auto"/>
            </w:tcBorders>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top w:val="single" w:sz="8" w:color="auto"/>
              <w:bottom w:val="single" w:sz="8" w:color="auto"/>
            </w:tcBorders>
          </w:tcPr>
          <w:p>
            <w:pPr>
              <w:jc w:val="right"/>
              <w:spacing w:after="0" w:line="82"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tcBorders>
              <w:top w:val="single" w:sz="8" w:color="auto"/>
              <w:bottom w:val="single" w:sz="8" w:color="auto"/>
            </w:tcBorders>
          </w:tcPr>
          <w:p>
            <w:pPr>
              <w:jc w:val="right"/>
              <w:ind w:right="240"/>
              <w:spacing w:after="0" w:line="83" w:lineRule="exact"/>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tcPr>
          <w:p>
            <w:pPr>
              <w:ind w:left="60"/>
              <w:spacing w:after="0" w:line="82" w:lineRule="exact"/>
              <w:rPr>
                <w:sz w:val="20"/>
                <w:szCs w:val="20"/>
                <w:color w:val="auto"/>
              </w:rPr>
            </w:pPr>
            <w:r>
              <w:rPr>
                <w:rFonts w:ascii="Times New Roman" w:cs="Times New Roman" w:eastAsia="Times New Roman" w:hAnsi="Times New Roman"/>
                <w:sz w:val="9"/>
                <w:szCs w:val="9"/>
                <w:color w:val="auto"/>
              </w:rPr>
              <w:t>1,240.625</w:t>
            </w:r>
          </w:p>
        </w:tc>
        <w:tc>
          <w:tcPr>
            <w:tcW w:w="460" w:type="dxa"/>
            <w:vAlign w:val="bottom"/>
            <w:tcBorders>
              <w:top w:val="single" w:sz="8" w:color="auto"/>
              <w:bottom w:val="single" w:sz="8" w:color="auto"/>
            </w:tcBorders>
          </w:tcPr>
          <w:p>
            <w:pPr>
              <w:ind w:left="40"/>
              <w:spacing w:after="0" w:line="82" w:lineRule="exact"/>
              <w:rPr>
                <w:sz w:val="20"/>
                <w:szCs w:val="20"/>
                <w:color w:val="auto"/>
              </w:rPr>
            </w:pPr>
            <w:r>
              <w:rPr>
                <w:rFonts w:ascii="Times New Roman" w:cs="Times New Roman" w:eastAsia="Times New Roman" w:hAnsi="Times New Roman"/>
                <w:sz w:val="9"/>
                <w:szCs w:val="9"/>
                <w:color w:val="auto"/>
              </w:rPr>
              <w:t>$ -</w:t>
            </w:r>
          </w:p>
        </w:tc>
        <w:tc>
          <w:tcPr>
            <w:tcW w:w="500" w:type="dxa"/>
            <w:vAlign w:val="bottom"/>
            <w:tcBorders>
              <w:top w:val="single" w:sz="8" w:color="auto"/>
              <w:bottom w:val="single" w:sz="8" w:color="auto"/>
            </w:tcBorders>
          </w:tcPr>
          <w:p>
            <w:pPr>
              <w:ind w:left="20"/>
              <w:spacing w:after="0" w:line="82" w:lineRule="exact"/>
              <w:rPr>
                <w:sz w:val="20"/>
                <w:szCs w:val="20"/>
                <w:color w:val="auto"/>
              </w:rPr>
            </w:pPr>
            <w:r>
              <w:rPr>
                <w:rFonts w:ascii="Times New Roman" w:cs="Times New Roman" w:eastAsia="Times New Roman" w:hAnsi="Times New Roman"/>
                <w:sz w:val="9"/>
                <w:szCs w:val="9"/>
                <w:color w:val="auto"/>
              </w:rPr>
              <w:t>$ 7,432</w:t>
            </w:r>
          </w:p>
        </w:tc>
        <w:tc>
          <w:tcPr>
            <w:tcW w:w="120" w:type="dxa"/>
            <w:vAlign w:val="bottom"/>
            <w:tcBorders>
              <w:top w:val="single" w:sz="8" w:color="auto"/>
              <w:bottom w:val="single" w:sz="8" w:color="auto"/>
            </w:tcBorders>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Borders>
              <w:top w:val="single" w:sz="8" w:color="auto"/>
              <w:bottom w:val="single" w:sz="8" w:color="auto"/>
            </w:tcBorders>
          </w:tcPr>
          <w:p>
            <w:pPr>
              <w:jc w:val="center"/>
              <w:ind w:right="11"/>
              <w:spacing w:after="0" w:line="82" w:lineRule="exact"/>
              <w:rPr>
                <w:sz w:val="20"/>
                <w:szCs w:val="20"/>
                <w:color w:val="auto"/>
              </w:rPr>
            </w:pPr>
            <w:r>
              <w:rPr>
                <w:rFonts w:ascii="Times New Roman" w:cs="Times New Roman" w:eastAsia="Times New Roman" w:hAnsi="Times New Roman"/>
                <w:sz w:val="9"/>
                <w:szCs w:val="9"/>
                <w:color w:val="auto"/>
              </w:rPr>
              <w:t>(26,064)</w:t>
            </w:r>
          </w:p>
        </w:tc>
        <w:tc>
          <w:tcPr>
            <w:tcW w:w="680" w:type="dxa"/>
            <w:vAlign w:val="bottom"/>
            <w:tcBorders>
              <w:top w:val="single" w:sz="8" w:color="auto"/>
              <w:bottom w:val="single" w:sz="8" w:color="auto"/>
            </w:tcBorders>
          </w:tcPr>
          <w:p>
            <w:pPr>
              <w:ind w:left="80"/>
              <w:spacing w:after="0" w:line="82" w:lineRule="exact"/>
              <w:rPr>
                <w:sz w:val="20"/>
                <w:szCs w:val="20"/>
                <w:color w:val="auto"/>
              </w:rPr>
            </w:pPr>
            <w:r>
              <w:rPr>
                <w:rFonts w:ascii="Times New Roman" w:cs="Times New Roman" w:eastAsia="Times New Roman" w:hAnsi="Times New Roman"/>
                <w:sz w:val="9"/>
                <w:szCs w:val="9"/>
                <w:color w:val="auto"/>
              </w:rPr>
              <w:t>$ (18,632)</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173595"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680"/>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Cash flows from operating activities </w:t>
      </w:r>
      <w:r>
        <w:rPr>
          <w:rFonts w:ascii="Times New Roman" w:cs="Times New Roman" w:eastAsia="Times New Roman" w:hAnsi="Times New Roman"/>
          <w:sz w:val="13"/>
          <w:szCs w:val="13"/>
          <w:color w:val="auto"/>
        </w:rPr>
        <w:t>Net loss</w:t>
      </w:r>
    </w:p>
    <w:p>
      <w:pPr>
        <w:spacing w:after="0" w:line="1" w:lineRule="exact"/>
        <w:rPr>
          <w:sz w:val="20"/>
          <w:szCs w:val="20"/>
          <w:color w:val="auto"/>
        </w:rPr>
      </w:pPr>
    </w:p>
    <w:p>
      <w:pPr>
        <w:ind w:left="120" w:hanging="124"/>
        <w:spacing w:after="0" w:line="241" w:lineRule="auto"/>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 Depreciation expense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Non-cash lease expense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Payroll tax credit receivable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Prepaid expenses and other current assets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Operating lease liability</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Deferred revenue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NIH liability</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Net cash used in operating activites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Purchases of property and equipment</w:t>
      </w:r>
    </w:p>
    <w:p>
      <w:pPr>
        <w:spacing w:after="0" w:line="16" w:lineRule="exact"/>
        <w:rPr>
          <w:sz w:val="20"/>
          <w:szCs w:val="20"/>
          <w:color w:val="auto"/>
        </w:rPr>
      </w:pPr>
    </w:p>
    <w:p>
      <w:pPr>
        <w:ind w:right="1420" w:firstLine="376"/>
        <w:spacing w:after="0" w:line="315" w:lineRule="auto"/>
        <w:rPr>
          <w:sz w:val="20"/>
          <w:szCs w:val="20"/>
          <w:color w:val="auto"/>
        </w:rPr>
      </w:pPr>
      <w:r>
        <w:rPr>
          <w:rFonts w:ascii="Times New Roman" w:cs="Times New Roman" w:eastAsia="Times New Roman" w:hAnsi="Times New Roman"/>
          <w:sz w:val="11"/>
          <w:szCs w:val="11"/>
          <w:color w:val="auto"/>
        </w:rPr>
        <w:t xml:space="preserve">Net cash used in investing activities </w:t>
      </w:r>
      <w:r>
        <w:rPr>
          <w:rFonts w:ascii="Times New Roman" w:cs="Times New Roman" w:eastAsia="Times New Roman" w:hAnsi="Times New Roman"/>
          <w:sz w:val="11"/>
          <w:szCs w:val="11"/>
          <w:b w:val="1"/>
          <w:bCs w:val="1"/>
          <w:color w:val="auto"/>
        </w:rPr>
        <w:t>Cash flows from financing activities</w:t>
      </w:r>
    </w:p>
    <w:p>
      <w:pPr>
        <w:spacing w:after="0" w:line="1" w:lineRule="exact"/>
        <w:rPr>
          <w:sz w:val="20"/>
          <w:szCs w:val="20"/>
          <w:color w:val="auto"/>
        </w:rPr>
      </w:pPr>
    </w:p>
    <w:p>
      <w:pPr>
        <w:jc w:val="both"/>
        <w:ind w:right="700"/>
        <w:spacing w:after="0" w:line="301" w:lineRule="auto"/>
        <w:rPr>
          <w:sz w:val="20"/>
          <w:szCs w:val="20"/>
          <w:color w:val="auto"/>
        </w:rPr>
      </w:pPr>
      <w:r>
        <w:rPr>
          <w:rFonts w:ascii="Times New Roman" w:cs="Times New Roman" w:eastAsia="Times New Roman" w:hAnsi="Times New Roman"/>
          <w:sz w:val="11"/>
          <w:szCs w:val="11"/>
          <w:color w:val="auto"/>
        </w:rPr>
        <w:t>Net proceeds from issuance of Series B-1 Preferred Stock Net proceeds from issuance of Series B-2 Preferred Stock Proceeds from exercise of stock options</w:t>
      </w:r>
    </w:p>
    <w:p>
      <w:pPr>
        <w:ind w:left="380"/>
        <w:spacing w:after="0"/>
        <w:rPr>
          <w:sz w:val="20"/>
          <w:szCs w:val="20"/>
          <w:color w:val="auto"/>
        </w:rPr>
      </w:pPr>
      <w:r>
        <w:rPr>
          <w:rFonts w:ascii="Times New Roman" w:cs="Times New Roman" w:eastAsia="Times New Roman" w:hAnsi="Times New Roman"/>
          <w:sz w:val="13"/>
          <w:szCs w:val="13"/>
          <w:color w:val="auto"/>
        </w:rPr>
        <w:t>Net cash provided by financing activities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change in cash and cash equivalents</w:t>
      </w:r>
    </w:p>
    <w:p>
      <w:pPr>
        <w:spacing w:after="0" w:line="14" w:lineRule="exact"/>
        <w:rPr>
          <w:sz w:val="20"/>
          <w:szCs w:val="20"/>
          <w:color w:val="auto"/>
        </w:rPr>
      </w:pPr>
    </w:p>
    <w:p>
      <w:pPr>
        <w:ind w:right="1140"/>
        <w:spacing w:after="0" w:line="402" w:lineRule="auto"/>
        <w:rPr>
          <w:sz w:val="20"/>
          <w:szCs w:val="20"/>
          <w:color w:val="auto"/>
        </w:rPr>
      </w:pPr>
      <w:r>
        <w:rPr>
          <w:rFonts w:ascii="Times New Roman" w:cs="Times New Roman" w:eastAsia="Times New Roman" w:hAnsi="Times New Roman"/>
          <w:sz w:val="11"/>
          <w:szCs w:val="11"/>
          <w:color w:val="auto"/>
        </w:rPr>
        <w:t>Cash and cash equivalents at beginning of period Cash and cash equivalents at end of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Issuance of Series B-2 Preferred Stock subscription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Purchase of equipment not yet paid</w:t>
      </w:r>
    </w:p>
    <w:p>
      <w:pPr>
        <w:spacing w:after="0" w:line="1" w:lineRule="exact"/>
        <w:rPr>
          <w:sz w:val="20"/>
          <w:szCs w:val="20"/>
          <w:color w:val="auto"/>
        </w:rPr>
      </w:pPr>
    </w:p>
    <w:p>
      <w:pPr>
        <w:ind w:right="860"/>
        <w:spacing w:after="0" w:line="331" w:lineRule="auto"/>
        <w:rPr>
          <w:sz w:val="20"/>
          <w:szCs w:val="20"/>
          <w:color w:val="auto"/>
        </w:rPr>
      </w:pPr>
      <w:r>
        <w:rPr>
          <w:rFonts w:ascii="Times New Roman" w:cs="Times New Roman" w:eastAsia="Times New Roman" w:hAnsi="Times New Roman"/>
          <w:sz w:val="11"/>
          <w:szCs w:val="11"/>
          <w:color w:val="auto"/>
        </w:rPr>
        <w:t>Increase in right-of-use asset due to lease modification Increase in lease liability due to lease modification</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p>
      <w:pPr>
        <w:spacing w:after="0" w:line="16"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3"/>
          <w:szCs w:val="13"/>
          <w:b w:val="1"/>
          <w:bCs w:val="1"/>
          <w:color w:val="auto"/>
        </w:rPr>
        <w:t>Statements of Cash Flows</w:t>
      </w:r>
    </w:p>
    <w:p>
      <w:pPr>
        <w:spacing w:after="0" w:line="1"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3"/>
          <w:szCs w:val="13"/>
          <w:b w:val="1"/>
          <w:bCs w:val="1"/>
          <w:color w:val="auto"/>
        </w:rPr>
        <w:t>(Amounts in thousands)</w:t>
      </w:r>
    </w:p>
    <w:p>
      <w:pPr>
        <w:spacing w:after="0" w:line="1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6" w:lineRule="exact"/>
        <w:rPr>
          <w:sz w:val="20"/>
          <w:szCs w:val="20"/>
          <w:color w:val="auto"/>
        </w:rPr>
      </w:pPr>
    </w:p>
    <w:tbl>
      <w:tblPr>
        <w:tblLayout w:type="fixed"/>
        <w:tblInd w:w="3440" w:type="dxa"/>
        <w:tblCellMar>
          <w:top w:w="0" w:type="dxa"/>
          <w:left w:w="0" w:type="dxa"/>
          <w:bottom w:w="0" w:type="dxa"/>
          <w:right w:w="0" w:type="dxa"/>
        </w:tblCellMar>
      </w:tblPr>
      <w:tr>
        <w:trPr>
          <w:trHeight w:val="159"/>
        </w:trPr>
        <w:tc>
          <w:tcPr>
            <w:tcW w:w="5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300"/>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(6,455)</w:t>
            </w:r>
          </w:p>
        </w:tc>
        <w:tc>
          <w:tcPr>
            <w:tcW w:w="240" w:type="dxa"/>
            <w:vAlign w:val="bottom"/>
          </w:tcPr>
          <w:p>
            <w:pPr>
              <w:spacing w:after="0"/>
              <w:rPr>
                <w:sz w:val="24"/>
                <w:szCs w:val="24"/>
                <w:color w:val="auto"/>
              </w:rPr>
            </w:pP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(3,640)</w:t>
            </w:r>
          </w:p>
        </w:tc>
      </w:tr>
      <w:tr>
        <w:trPr>
          <w:trHeight w:val="288"/>
        </w:trPr>
        <w:tc>
          <w:tcPr>
            <w:tcW w:w="5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51"/>
        </w:trPr>
        <w:tc>
          <w:tcPr>
            <w:tcW w:w="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r>
      <w:tr>
        <w:trPr>
          <w:trHeight w:val="164"/>
        </w:trPr>
        <w:tc>
          <w:tcPr>
            <w:tcW w:w="5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r>
      <w:tr>
        <w:trPr>
          <w:trHeight w:val="288"/>
        </w:trPr>
        <w:tc>
          <w:tcPr>
            <w:tcW w:w="500" w:type="dxa"/>
            <w:vAlign w:val="bottom"/>
          </w:tcPr>
          <w:p>
            <w:pPr>
              <w:spacing w:after="0"/>
              <w:rPr>
                <w:sz w:val="24"/>
                <w:szCs w:val="24"/>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2,135</w:t>
            </w:r>
          </w:p>
        </w:tc>
        <w:tc>
          <w:tcPr>
            <w:tcW w:w="4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w:t>
            </w:r>
          </w:p>
        </w:tc>
      </w:tr>
      <w:tr>
        <w:trPr>
          <w:trHeight w:val="151"/>
        </w:trPr>
        <w:tc>
          <w:tcPr>
            <w:tcW w:w="500" w:type="dxa"/>
            <w:vAlign w:val="bottom"/>
          </w:tcPr>
          <w:p>
            <w:pPr>
              <w:spacing w:after="0"/>
              <w:rPr>
                <w:sz w:val="13"/>
                <w:szCs w:val="13"/>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(126)</w:t>
            </w:r>
          </w:p>
        </w:tc>
        <w:tc>
          <w:tcPr>
            <w:tcW w:w="4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1"/>
        </w:trPr>
        <w:tc>
          <w:tcPr>
            <w:tcW w:w="500" w:type="dxa"/>
            <w:vAlign w:val="bottom"/>
          </w:tcPr>
          <w:p>
            <w:pPr>
              <w:spacing w:after="0"/>
              <w:rPr>
                <w:sz w:val="13"/>
                <w:szCs w:val="13"/>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w:t>
            </w:r>
          </w:p>
        </w:tc>
        <w:tc>
          <w:tcPr>
            <w:tcW w:w="4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1"/>
        </w:trPr>
        <w:tc>
          <w:tcPr>
            <w:tcW w:w="500" w:type="dxa"/>
            <w:vAlign w:val="bottom"/>
          </w:tcPr>
          <w:p>
            <w:pPr>
              <w:spacing w:after="0"/>
              <w:rPr>
                <w:sz w:val="13"/>
                <w:szCs w:val="13"/>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(172)</w:t>
            </w:r>
          </w:p>
        </w:tc>
        <w:tc>
          <w:tcPr>
            <w:tcW w:w="4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51"/>
        </w:trPr>
        <w:tc>
          <w:tcPr>
            <w:tcW w:w="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r>
      <w:tr>
        <w:trPr>
          <w:trHeight w:val="151"/>
        </w:trPr>
        <w:tc>
          <w:tcPr>
            <w:tcW w:w="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81"/>
        </w:trPr>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1"/>
        </w:trPr>
        <w:tc>
          <w:tcPr>
            <w:tcW w:w="5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(3,463)</w:t>
            </w:r>
          </w:p>
        </w:tc>
        <w:tc>
          <w:tcPr>
            <w:tcW w:w="2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(4,801)</w:t>
            </w:r>
          </w:p>
        </w:tc>
      </w:tr>
      <w:tr>
        <w:trPr>
          <w:trHeight w:val="308"/>
        </w:trPr>
        <w:tc>
          <w:tcPr>
            <w:tcW w:w="500" w:type="dxa"/>
            <w:vAlign w:val="bottom"/>
          </w:tcPr>
          <w:p>
            <w:pPr>
              <w:spacing w:after="0"/>
              <w:rPr>
                <w:sz w:val="24"/>
                <w:szCs w:val="24"/>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(151)</w:t>
            </w:r>
          </w:p>
        </w:tc>
        <w:tc>
          <w:tcPr>
            <w:tcW w:w="4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5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4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87"/>
        </w:trPr>
        <w:tc>
          <w:tcPr>
            <w:tcW w:w="5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4,207</w:t>
            </w:r>
          </w:p>
        </w:tc>
      </w:tr>
      <w:tr>
        <w:trPr>
          <w:trHeight w:val="151"/>
        </w:trPr>
        <w:tc>
          <w:tcPr>
            <w:tcW w:w="500" w:type="dxa"/>
            <w:vAlign w:val="bottom"/>
          </w:tcPr>
          <w:p>
            <w:pPr>
              <w:spacing w:after="0"/>
              <w:rPr>
                <w:sz w:val="13"/>
                <w:szCs w:val="13"/>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10,811</w:t>
            </w:r>
          </w:p>
        </w:tc>
        <w:tc>
          <w:tcPr>
            <w:tcW w:w="4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5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10,880</w:t>
            </w:r>
          </w:p>
        </w:tc>
        <w:tc>
          <w:tcPr>
            <w:tcW w:w="2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4,207</w:t>
            </w:r>
          </w:p>
        </w:tc>
      </w:tr>
      <w:tr>
        <w:trPr>
          <w:trHeight w:val="136"/>
        </w:trPr>
        <w:tc>
          <w:tcPr>
            <w:tcW w:w="500" w:type="dxa"/>
            <w:vAlign w:val="bottom"/>
          </w:tcPr>
          <w:p>
            <w:pPr>
              <w:spacing w:after="0"/>
              <w:rPr>
                <w:sz w:val="11"/>
                <w:szCs w:val="11"/>
                <w:color w:val="auto"/>
              </w:rPr>
            </w:pPr>
          </w:p>
        </w:tc>
        <w:tc>
          <w:tcPr>
            <w:tcW w:w="14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7,266</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(594)</w:t>
            </w:r>
          </w:p>
        </w:tc>
      </w:tr>
      <w:tr>
        <w:trPr>
          <w:trHeight w:val="181"/>
        </w:trPr>
        <w:tc>
          <w:tcPr>
            <w:tcW w:w="500" w:type="dxa"/>
            <w:vAlign w:val="bottom"/>
          </w:tcPr>
          <w:p>
            <w:pPr>
              <w:spacing w:after="0"/>
              <w:rPr>
                <w:sz w:val="15"/>
                <w:szCs w:val="15"/>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4,735</w:t>
            </w:r>
          </w:p>
        </w:tc>
        <w:tc>
          <w:tcPr>
            <w:tcW w:w="4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5,329</w:t>
            </w:r>
          </w:p>
        </w:tc>
      </w:tr>
      <w:tr>
        <w:trPr>
          <w:trHeight w:val="160"/>
        </w:trPr>
        <w:tc>
          <w:tcPr>
            <w:tcW w:w="50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12,001</w:t>
            </w:r>
          </w:p>
        </w:tc>
        <w:tc>
          <w:tcPr>
            <w:tcW w:w="24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4,735</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16"/>
        </w:trPr>
        <w:tc>
          <w:tcPr>
            <w:tcW w:w="50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240" w:type="dxa"/>
            <w:vAlign w:val="bottom"/>
          </w:tcPr>
          <w:p>
            <w:pPr>
              <w:spacing w:after="0"/>
              <w:rPr>
                <w:sz w:val="24"/>
                <w:szCs w:val="24"/>
                <w:color w:val="auto"/>
              </w:rPr>
            </w:pP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r>
      <w:tr>
        <w:trPr>
          <w:trHeight w:val="151"/>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w:t>
            </w:r>
          </w:p>
        </w:tc>
      </w:tr>
      <w:tr>
        <w:trPr>
          <w:trHeight w:val="164"/>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-3219450</wp:posOffset>
            </wp:positionV>
            <wp:extent cx="7173595" cy="101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3595" cy="10160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-3021965</wp:posOffset>
            </wp:positionV>
            <wp:extent cx="7173595" cy="95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3595" cy="9588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-2830830</wp:posOffset>
            </wp:positionV>
            <wp:extent cx="7173595" cy="95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3595" cy="9588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-2639695</wp:posOffset>
            </wp:positionV>
            <wp:extent cx="7173595" cy="95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3595" cy="9588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-2448560</wp:posOffset>
            </wp:positionV>
            <wp:extent cx="7173595" cy="95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3595" cy="9588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-2257425</wp:posOffset>
            </wp:positionV>
            <wp:extent cx="7173595" cy="95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3595" cy="9588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-2066290</wp:posOffset>
            </wp:positionV>
            <wp:extent cx="7173595" cy="95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3595" cy="9588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-1857375</wp:posOffset>
            </wp:positionV>
            <wp:extent cx="7173595" cy="107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3595" cy="1073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-1648460</wp:posOffset>
            </wp:positionV>
            <wp:extent cx="7173595" cy="107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3595" cy="1073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-1433195</wp:posOffset>
            </wp:positionV>
            <wp:extent cx="7173595" cy="101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3595" cy="10160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-1236345</wp:posOffset>
            </wp:positionV>
            <wp:extent cx="7173595" cy="95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3595" cy="9588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-1026795</wp:posOffset>
            </wp:positionV>
            <wp:extent cx="7173595" cy="1073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3595" cy="1073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-817880</wp:posOffset>
            </wp:positionV>
            <wp:extent cx="7173595" cy="1136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3595" cy="11366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-584835</wp:posOffset>
            </wp:positionV>
            <wp:extent cx="7173595" cy="1073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3595" cy="1073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-381635</wp:posOffset>
            </wp:positionV>
            <wp:extent cx="7173595" cy="95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3595" cy="9588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-190500</wp:posOffset>
            </wp:positionV>
            <wp:extent cx="7173595" cy="95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3595" cy="9588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financial statements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87630</wp:posOffset>
            </wp:positionV>
            <wp:extent cx="7173595"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2">
            <w:col w:w="3600" w:space="180"/>
            <w:col w:w="7520"/>
          </w:cols>
          <w:pgMar w:left="300" w:top="275" w:right="2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the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Description of the Business</w:t>
      </w:r>
    </w:p>
    <w:p>
      <w:pPr>
        <w:spacing w:after="0" w:line="154" w:lineRule="exact"/>
        <w:rPr>
          <w:sz w:val="20"/>
          <w:szCs w:val="20"/>
          <w:color w:val="auto"/>
        </w:rPr>
      </w:pPr>
    </w:p>
    <w:p>
      <w:pPr>
        <w:ind w:right="460" w:firstLine="203"/>
        <w:spacing w:after="0" w:line="264" w:lineRule="auto"/>
        <w:rPr>
          <w:sz w:val="20"/>
          <w:szCs w:val="20"/>
          <w:color w:val="auto"/>
        </w:rPr>
      </w:pPr>
      <w:r>
        <w:rPr>
          <w:rFonts w:ascii="Times New Roman" w:cs="Times New Roman" w:eastAsia="Times New Roman" w:hAnsi="Times New Roman"/>
          <w:sz w:val="13"/>
          <w:szCs w:val="13"/>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123" w:lineRule="exact"/>
        <w:rPr>
          <w:sz w:val="20"/>
          <w:szCs w:val="20"/>
          <w:color w:val="auto"/>
        </w:rPr>
      </w:pPr>
    </w:p>
    <w:p>
      <w:pPr>
        <w:jc w:val="both"/>
        <w:ind w:right="120" w:firstLine="203"/>
        <w:spacing w:after="0" w:line="249" w:lineRule="auto"/>
        <w:rPr>
          <w:sz w:val="20"/>
          <w:szCs w:val="20"/>
          <w:color w:val="auto"/>
        </w:rPr>
      </w:pPr>
      <w:r>
        <w:rPr>
          <w:rFonts w:ascii="Times New Roman" w:cs="Times New Roman" w:eastAsia="Times New Roman" w:hAnsi="Times New Roman"/>
          <w:sz w:val="13"/>
          <w:szCs w:val="13"/>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32" w:lineRule="exact"/>
        <w:rPr>
          <w:sz w:val="20"/>
          <w:szCs w:val="20"/>
          <w:color w:val="auto"/>
        </w:rPr>
      </w:pPr>
    </w:p>
    <w:p>
      <w:pPr>
        <w:jc w:val="both"/>
        <w:ind w:right="40" w:firstLine="203"/>
        <w:spacing w:after="0" w:line="320" w:lineRule="auto"/>
        <w:rPr>
          <w:sz w:val="20"/>
          <w:szCs w:val="20"/>
          <w:color w:val="auto"/>
        </w:rPr>
      </w:pPr>
      <w:r>
        <w:rPr>
          <w:rFonts w:ascii="Times New Roman" w:cs="Times New Roman" w:eastAsia="Times New Roman" w:hAnsi="Times New Roman"/>
          <w:sz w:val="11"/>
          <w:szCs w:val="11"/>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Management’s Plan</w:t>
      </w:r>
    </w:p>
    <w:p>
      <w:pPr>
        <w:spacing w:after="0" w:line="154" w:lineRule="exact"/>
        <w:rPr>
          <w:sz w:val="20"/>
          <w:szCs w:val="20"/>
          <w:color w:val="auto"/>
        </w:rPr>
      </w:pPr>
    </w:p>
    <w:p>
      <w:pPr>
        <w:ind w:firstLine="203"/>
        <w:spacing w:after="0" w:line="264" w:lineRule="auto"/>
        <w:rPr>
          <w:sz w:val="20"/>
          <w:szCs w:val="20"/>
          <w:color w:val="auto"/>
        </w:rPr>
      </w:pPr>
      <w:r>
        <w:rPr>
          <w:rFonts w:ascii="Times New Roman" w:cs="Times New Roman" w:eastAsia="Times New Roman" w:hAnsi="Times New Roman"/>
          <w:sz w:val="13"/>
          <w:szCs w:val="13"/>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As of December 31, 2022, the Company’s cash and cash equivalents were $12.0 million. On November 13, 2023, the Company merged with Selecta Biosciences, Inc. (Selecta). See Note 14 for further details.</w:t>
      </w:r>
    </w:p>
    <w:p>
      <w:pPr>
        <w:spacing w:after="0" w:line="150" w:lineRule="exact"/>
        <w:rPr>
          <w:sz w:val="20"/>
          <w:szCs w:val="20"/>
          <w:color w:val="auto"/>
        </w:rPr>
      </w:pPr>
    </w:p>
    <w:p>
      <w:pPr>
        <w:ind w:right="8820"/>
        <w:spacing w:after="0" w:line="484" w:lineRule="auto"/>
        <w:tabs>
          <w:tab w:leader="none" w:pos="13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Basis of Presentation</w:t>
      </w:r>
    </w:p>
    <w:p>
      <w:pPr>
        <w:spacing w:after="0" w:line="1" w:lineRule="exact"/>
        <w:rPr>
          <w:sz w:val="20"/>
          <w:szCs w:val="20"/>
          <w:color w:val="auto"/>
        </w:rPr>
      </w:pPr>
    </w:p>
    <w:p>
      <w:pPr>
        <w:ind w:right="80" w:firstLine="203"/>
        <w:spacing w:after="0" w:line="253" w:lineRule="auto"/>
        <w:rPr>
          <w:sz w:val="20"/>
          <w:szCs w:val="20"/>
          <w:color w:val="auto"/>
        </w:rPr>
      </w:pPr>
      <w:r>
        <w:rPr>
          <w:rFonts w:ascii="Times New Roman" w:cs="Times New Roman" w:eastAsia="Times New Roman" w:hAnsi="Times New Roman"/>
          <w:sz w:val="13"/>
          <w:szCs w:val="13"/>
          <w:color w:val="auto"/>
        </w:rPr>
        <w:t>The financial statements are prepared in accordance with U.S. generally accepted accounting principles (GAAP) and pursuant to the applicable rules and regulations of the Securities and Exchange Commission (SEC).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Use of Estimates</w:t>
      </w:r>
    </w:p>
    <w:p>
      <w:pPr>
        <w:spacing w:after="0" w:line="154" w:lineRule="exact"/>
        <w:rPr>
          <w:sz w:val="20"/>
          <w:szCs w:val="20"/>
          <w:color w:val="auto"/>
        </w:rPr>
      </w:pPr>
    </w:p>
    <w:p>
      <w:pPr>
        <w:ind w:right="160" w:firstLine="203"/>
        <w:spacing w:after="0" w:line="247"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U.S. GAAP requires the Company’s management to make estimates and assumptions that affect the reported amounts of assets and liabilities, the disclosure of contingent assets and liabilities as of the date of the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financial statements, management used significant estimates in the following areas, among others: the valuation of the Company’s common stock and estimating accrued research and development expenses. The Company assesses the above estimates on an ongoing basis; however, actual results could materially differ from those estimates.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Equivalents</w:t>
      </w:r>
    </w:p>
    <w:p>
      <w:pPr>
        <w:spacing w:after="0" w:line="154" w:lineRule="exact"/>
        <w:rPr>
          <w:sz w:val="20"/>
          <w:szCs w:val="20"/>
          <w:color w:val="auto"/>
        </w:rPr>
      </w:pPr>
    </w:p>
    <w:p>
      <w:pPr>
        <w:ind w:right="140" w:firstLine="203"/>
        <w:spacing w:after="0" w:line="264" w:lineRule="auto"/>
        <w:rPr>
          <w:sz w:val="20"/>
          <w:szCs w:val="20"/>
          <w:color w:val="auto"/>
        </w:rPr>
      </w:pPr>
      <w:r>
        <w:rPr>
          <w:rFonts w:ascii="Times New Roman" w:cs="Times New Roman" w:eastAsia="Times New Roman" w:hAnsi="Times New Roman"/>
          <w:sz w:val="13"/>
          <w:szCs w:val="13"/>
          <w:color w:val="auto"/>
        </w:rPr>
        <w:t>Cash equivalents include all highly liquid investments maturing within 90 days from the date of purchase. As of December 31, 2022 and 2021, the Company’s cash held in money market funds and certificate of deposits were classified as cash and cash equivalents on the accompanying balance sheets.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Concentrations of Credit Risk and Off-Balance Sheet Risk</w:t>
      </w:r>
    </w:p>
    <w:p>
      <w:pPr>
        <w:spacing w:after="0" w:line="154" w:lineRule="exact"/>
        <w:rPr>
          <w:sz w:val="20"/>
          <w:szCs w:val="20"/>
          <w:color w:val="auto"/>
        </w:rPr>
      </w:pPr>
    </w:p>
    <w:p>
      <w:pPr>
        <w:jc w:val="both"/>
        <w:ind w:right="340" w:firstLine="266"/>
        <w:spacing w:after="0" w:line="253" w:lineRule="auto"/>
        <w:rPr>
          <w:sz w:val="20"/>
          <w:szCs w:val="20"/>
          <w:color w:val="auto"/>
        </w:rPr>
      </w:pPr>
      <w:r>
        <w:rPr>
          <w:rFonts w:ascii="Times New Roman" w:cs="Times New Roman" w:eastAsia="Times New Roman" w:hAnsi="Times New Roman"/>
          <w:sz w:val="13"/>
          <w:szCs w:val="13"/>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Fair Value of Financial Instruments</w:t>
      </w:r>
    </w:p>
    <w:p>
      <w:pPr>
        <w:spacing w:after="0" w:line="154" w:lineRule="exact"/>
        <w:rPr>
          <w:sz w:val="20"/>
          <w:szCs w:val="20"/>
          <w:color w:val="auto"/>
        </w:rPr>
      </w:pPr>
    </w:p>
    <w:p>
      <w:pPr>
        <w:ind w:right="140" w:firstLine="203"/>
        <w:spacing w:after="0" w:line="264" w:lineRule="auto"/>
        <w:rPr>
          <w:sz w:val="20"/>
          <w:szCs w:val="20"/>
          <w:color w:val="auto"/>
        </w:rPr>
      </w:pPr>
      <w:r>
        <w:rPr>
          <w:rFonts w:ascii="Times New Roman" w:cs="Times New Roman" w:eastAsia="Times New Roman" w:hAnsi="Times New Roman"/>
          <w:sz w:val="13"/>
          <w:szCs w:val="13"/>
          <w:color w:val="auto"/>
        </w:rPr>
        <w:t>The Company’s financial instruments consist mainly of cash and cash equivalents, accounts receivable, and accounts payable. The carrying amounts of cash and cash equivalents, prepaid assets, accounts receivable, and accounts payable approximate their estimated fair value due to their short-term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173595" cy="12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1" w:name="page12"/>
    <w:bookmarkEnd w:id="11"/>
    <w:p>
      <w:pPr>
        <w:jc w:val="both"/>
        <w:ind w:firstLine="203"/>
        <w:spacing w:after="0" w:line="253" w:lineRule="auto"/>
        <w:rPr>
          <w:sz w:val="20"/>
          <w:szCs w:val="20"/>
          <w:color w:val="auto"/>
        </w:rPr>
      </w:pPr>
      <w:r>
        <w:rPr>
          <w:rFonts w:ascii="Times New Roman" w:cs="Times New Roman" w:eastAsia="Times New Roman" w:hAnsi="Times New Roman"/>
          <w:sz w:val="13"/>
          <w:szCs w:val="13"/>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i w:val="1"/>
          <w:iCs w:val="1"/>
          <w:color w:val="auto"/>
        </w:rPr>
        <w:t>Level 1</w:t>
      </w:r>
      <w:r>
        <w:rPr>
          <w:rFonts w:ascii="Times New Roman" w:cs="Times New Roman" w:eastAsia="Times New Roman" w:hAnsi="Times New Roman"/>
          <w:sz w:val="13"/>
          <w:szCs w:val="13"/>
          <w:color w:val="auto"/>
        </w:rPr>
        <w:t>—Level 1 inputs are quoted prices in active markets for identical assets or liabilities that the reporting entity has the ability to access at the measurement date.</w:t>
      </w:r>
    </w:p>
    <w:p>
      <w:pPr>
        <w:spacing w:after="0" w:line="152" w:lineRule="exact"/>
        <w:rPr>
          <w:sz w:val="20"/>
          <w:szCs w:val="20"/>
          <w:color w:val="auto"/>
        </w:rPr>
      </w:pPr>
    </w:p>
    <w:p>
      <w:pPr>
        <w:ind w:left="440"/>
        <w:spacing w:after="0" w:line="267" w:lineRule="auto"/>
        <w:rPr>
          <w:sz w:val="20"/>
          <w:szCs w:val="20"/>
          <w:color w:val="auto"/>
        </w:rPr>
      </w:pPr>
      <w:r>
        <w:rPr>
          <w:rFonts w:ascii="Times New Roman" w:cs="Times New Roman" w:eastAsia="Times New Roman" w:hAnsi="Times New Roman"/>
          <w:sz w:val="13"/>
          <w:szCs w:val="13"/>
          <w:i w:val="1"/>
          <w:iCs w:val="1"/>
          <w:color w:val="auto"/>
        </w:rPr>
        <w:t>Level 2</w:t>
      </w:r>
      <w:r>
        <w:rPr>
          <w:rFonts w:ascii="Times New Roman" w:cs="Times New Roman" w:eastAsia="Times New Roman" w:hAnsi="Times New Roman"/>
          <w:sz w:val="13"/>
          <w:szCs w:val="13"/>
          <w:color w:val="auto"/>
        </w:rPr>
        <w:t>—Level 2 inputs are inputs other than quoted prices included within Level 1 that are observable for the asset or liability, either directly or indirectly. If the asset or liability has a specified (contractual) term,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Level 2 input must be observable for substantially the full term of the asset or liability.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i w:val="1"/>
          <w:iCs w:val="1"/>
          <w:color w:val="auto"/>
        </w:rPr>
        <w:t>Level 3</w:t>
      </w:r>
      <w:r>
        <w:rPr>
          <w:rFonts w:ascii="Times New Roman" w:cs="Times New Roman" w:eastAsia="Times New Roman" w:hAnsi="Times New Roman"/>
          <w:sz w:val="13"/>
          <w:szCs w:val="13"/>
          <w:color w:val="auto"/>
        </w:rPr>
        <w:t>—Level 3 inputs are unobservable inputs for the asset or liability in which there is little, if any, market activity for the asset or liability at the measurement date.</w:t>
      </w:r>
    </w:p>
    <w:p>
      <w:pPr>
        <w:spacing w:after="0" w:line="154" w:lineRule="exact"/>
        <w:rPr>
          <w:sz w:val="20"/>
          <w:szCs w:val="20"/>
          <w:color w:val="auto"/>
        </w:rPr>
      </w:pPr>
    </w:p>
    <w:p>
      <w:pPr>
        <w:jc w:val="both"/>
        <w:ind w:firstLine="203"/>
        <w:spacing w:after="0" w:line="253" w:lineRule="auto"/>
        <w:rPr>
          <w:sz w:val="20"/>
          <w:szCs w:val="20"/>
          <w:color w:val="auto"/>
        </w:rPr>
      </w:pPr>
      <w:r>
        <w:rPr>
          <w:rFonts w:ascii="Times New Roman" w:cs="Times New Roman" w:eastAsia="Times New Roman" w:hAnsi="Times New Roman"/>
          <w:sz w:val="13"/>
          <w:szCs w:val="13"/>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29" w:lineRule="exact"/>
        <w:rPr>
          <w:sz w:val="20"/>
          <w:szCs w:val="20"/>
          <w:color w:val="auto"/>
        </w:rPr>
      </w:pPr>
    </w:p>
    <w:p>
      <w:pPr>
        <w:jc w:val="both"/>
        <w:ind w:firstLine="203"/>
        <w:spacing w:after="0" w:line="249" w:lineRule="auto"/>
        <w:rPr>
          <w:sz w:val="20"/>
          <w:szCs w:val="20"/>
          <w:color w:val="auto"/>
        </w:rPr>
      </w:pPr>
      <w:r>
        <w:rPr>
          <w:rFonts w:ascii="Times New Roman" w:cs="Times New Roman" w:eastAsia="Times New Roman" w:hAnsi="Times New Roman"/>
          <w:sz w:val="13"/>
          <w:szCs w:val="13"/>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Accounts Receivable</w:t>
      </w:r>
    </w:p>
    <w:p>
      <w:pPr>
        <w:spacing w:after="0" w:line="154" w:lineRule="exact"/>
        <w:rPr>
          <w:sz w:val="20"/>
          <w:szCs w:val="20"/>
          <w:color w:val="auto"/>
        </w:rPr>
      </w:pPr>
    </w:p>
    <w:p>
      <w:pPr>
        <w:ind w:right="140" w:firstLine="203"/>
        <w:spacing w:after="0" w:line="264" w:lineRule="auto"/>
        <w:rPr>
          <w:sz w:val="20"/>
          <w:szCs w:val="20"/>
          <w:color w:val="auto"/>
        </w:rPr>
      </w:pPr>
      <w:r>
        <w:rPr>
          <w:rFonts w:ascii="Times New Roman" w:cs="Times New Roman" w:eastAsia="Times New Roman" w:hAnsi="Times New Roman"/>
          <w:sz w:val="13"/>
          <w:szCs w:val="13"/>
          <w:color w:val="auto"/>
        </w:rPr>
        <w:t>The Company has accounts receivable due from contracts from government sponsored organizations. Amounts payable to the Company are recorded in accounts receivable when the Company’s right to consideration is unconditional. There is no allowance for doubtful accounts at December 31, 2022 or 2021. No account receivable balances were written off during the years ended December 31, 2022 or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Property and Equipment</w:t>
      </w:r>
    </w:p>
    <w:p>
      <w:pPr>
        <w:spacing w:after="0" w:line="154" w:lineRule="exact"/>
        <w:rPr>
          <w:sz w:val="20"/>
          <w:szCs w:val="20"/>
          <w:color w:val="auto"/>
        </w:rPr>
      </w:pPr>
    </w:p>
    <w:p>
      <w:pPr>
        <w:ind w:right="60" w:firstLine="203"/>
        <w:spacing w:after="0" w:line="264" w:lineRule="auto"/>
        <w:rPr>
          <w:sz w:val="20"/>
          <w:szCs w:val="20"/>
          <w:color w:val="auto"/>
        </w:rPr>
      </w:pPr>
      <w:r>
        <w:rPr>
          <w:rFonts w:ascii="Times New Roman" w:cs="Times New Roman" w:eastAsia="Times New Roman" w:hAnsi="Times New Roman"/>
          <w:sz w:val="13"/>
          <w:szCs w:val="13"/>
          <w:color w:val="auto"/>
        </w:rPr>
        <w:t>Property and equipment are recorded at cost and depreciated using the straight-line method over the estimated useful lives of the respective assets, which is generally five years for laboratory equipment. Maintenance and repairs, which do not improve or extend the life of the respective assets, are charged to operations as incurred.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Impairment of Long-Lived Assets</w:t>
      </w:r>
    </w:p>
    <w:p>
      <w:pPr>
        <w:spacing w:after="0" w:line="154" w:lineRule="exact"/>
        <w:rPr>
          <w:sz w:val="20"/>
          <w:szCs w:val="20"/>
          <w:color w:val="auto"/>
        </w:rPr>
      </w:pPr>
    </w:p>
    <w:p>
      <w:pPr>
        <w:ind w:firstLine="203"/>
        <w:spacing w:after="0" w:line="249" w:lineRule="auto"/>
        <w:rPr>
          <w:sz w:val="20"/>
          <w:szCs w:val="20"/>
          <w:color w:val="auto"/>
        </w:rPr>
      </w:pPr>
      <w:r>
        <w:rPr>
          <w:rFonts w:ascii="Times New Roman" w:cs="Times New Roman" w:eastAsia="Times New Roman" w:hAnsi="Times New Roman"/>
          <w:sz w:val="13"/>
          <w:szCs w:val="13"/>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No impairment loss has been recorded during the years ended December 31, 2022 or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 Recognition</w:t>
      </w:r>
    </w:p>
    <w:p>
      <w:pPr>
        <w:spacing w:after="0" w:line="154" w:lineRule="exact"/>
        <w:rPr>
          <w:sz w:val="20"/>
          <w:szCs w:val="20"/>
          <w:color w:val="auto"/>
        </w:rPr>
      </w:pPr>
    </w:p>
    <w:p>
      <w:pPr>
        <w:ind w:right="20" w:firstLine="203"/>
        <w:spacing w:after="0" w:line="303" w:lineRule="auto"/>
        <w:rPr>
          <w:sz w:val="20"/>
          <w:szCs w:val="20"/>
          <w:color w:val="auto"/>
        </w:rPr>
      </w:pPr>
      <w:r>
        <w:rPr>
          <w:rFonts w:ascii="Times New Roman" w:cs="Times New Roman" w:eastAsia="Times New Roman" w:hAnsi="Times New Roman"/>
          <w:sz w:val="11"/>
          <w:szCs w:val="11"/>
          <w:color w:val="auto"/>
        </w:rPr>
        <w:t>The Company has contracts with the Department of Health and Human Services National Institute of Health (NIH) and other government-sponsored organizations for research and development related activities that provide for payments for reimbursed costs, which may include overhead and general and administrative costs as well as a related profit margin. The Company recognizes grant revenue from these contracts as it performs services under these arrangements when the funding is committed. Associated expenses are recognized when incurred as research and development expense. Grant revenue and related expenses are presented gross in the statements of operations as we have determined we are the primary obligor under the arrangements relative to the research and development services we perform as lead technical expert. Prefunded grant amounts are recorded as deferred revenue on the Company’s balance sheets. Amounts incurred that are subject to reimbursement from the sponsor are recorded as accounts receivable on the Company’s balance sheets.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Research and Development Costs</w:t>
      </w:r>
    </w:p>
    <w:p>
      <w:pPr>
        <w:spacing w:after="0" w:line="154" w:lineRule="exact"/>
        <w:rPr>
          <w:sz w:val="20"/>
          <w:szCs w:val="20"/>
          <w:color w:val="auto"/>
        </w:rPr>
      </w:pPr>
    </w:p>
    <w:p>
      <w:pPr>
        <w:ind w:right="40" w:firstLine="203"/>
        <w:spacing w:after="0" w:line="309" w:lineRule="auto"/>
        <w:rPr>
          <w:sz w:val="20"/>
          <w:szCs w:val="20"/>
          <w:color w:val="auto"/>
        </w:rPr>
      </w:pPr>
      <w:r>
        <w:rPr>
          <w:rFonts w:ascii="Times New Roman" w:cs="Times New Roman" w:eastAsia="Times New Roman" w:hAnsi="Times New Roman"/>
          <w:sz w:val="11"/>
          <w:szCs w:val="11"/>
          <w:color w:val="auto"/>
        </w:rPr>
        <w:t>Costs related to research, design and development of cellular therapies are charged to research and development expense as incurred unless there is an alternative future use in other research and development projects. Research and development costs include, but are not limited to, payroll and personnel expenses, including stock-based compensation, for personnel contributing to research and development activities, laboratory supplies, outside services, and licenses and patent costs acquired to be used in research and development. Payments made prior to the receipt of goods or services to be used in research and development are deferred and recognized as expense in the period in which the related goods are received or services are rendered. License costs are expensed as research and development upon execution of the license agreement unless there is an alternative future use.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Clinical Trial Costs</w:t>
      </w:r>
    </w:p>
    <w:p>
      <w:pPr>
        <w:spacing w:after="0" w:line="154" w:lineRule="exact"/>
        <w:rPr>
          <w:sz w:val="20"/>
          <w:szCs w:val="20"/>
          <w:color w:val="auto"/>
        </w:rPr>
      </w:pPr>
    </w:p>
    <w:p>
      <w:pPr>
        <w:ind w:right="20" w:firstLine="203"/>
        <w:spacing w:after="0" w:line="244" w:lineRule="auto"/>
        <w:rPr>
          <w:sz w:val="20"/>
          <w:szCs w:val="20"/>
          <w:color w:val="auto"/>
        </w:rPr>
      </w:pPr>
      <w:r>
        <w:rPr>
          <w:rFonts w:ascii="Times New Roman" w:cs="Times New Roman" w:eastAsia="Times New Roman" w:hAnsi="Times New Roman"/>
          <w:sz w:val="13"/>
          <w:szCs w:val="13"/>
          <w:color w:val="auto"/>
        </w:rPr>
        <w:t>Clinical trial expenses are a significant component of research and development expenses, and the Company outsources a significant portion of these costs to third parties. Third party clinical trial expenses include patient costs and costs for management of the trial.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accrued liabilities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7173595"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color w:val="auto"/>
        </w:rPr>
        <w:t>Payroll Tax Credits</w:t>
      </w:r>
    </w:p>
    <w:p>
      <w:pPr>
        <w:spacing w:after="0" w:line="154" w:lineRule="exact"/>
        <w:rPr>
          <w:sz w:val="20"/>
          <w:szCs w:val="20"/>
          <w:color w:val="auto"/>
        </w:rPr>
      </w:pPr>
    </w:p>
    <w:p>
      <w:pPr>
        <w:ind w:right="20" w:firstLine="203"/>
        <w:spacing w:after="0" w:line="249" w:lineRule="auto"/>
        <w:rPr>
          <w:sz w:val="20"/>
          <w:szCs w:val="20"/>
          <w:color w:val="auto"/>
        </w:rPr>
      </w:pPr>
      <w:r>
        <w:rPr>
          <w:rFonts w:ascii="Times New Roman" w:cs="Times New Roman" w:eastAsia="Times New Roman" w:hAnsi="Times New Roman"/>
          <w:sz w:val="13"/>
          <w:szCs w:val="13"/>
          <w:color w:val="auto"/>
        </w:rPr>
        <w:t>The Company has generated research and development payroll tax credits under the provisions of the Internal Revenue Code. The Company adopted a policy to account for such government assistance as income when all conditions imposed by the government to be entitled to receive the funding have been substantially met. Therefore, the Company recognizes, as income, payroll tax credits in the period it incurs payroll taxes for which the credit is earned. Amounts recognized that have not been collected from the government are recorded as a receivable on the Company’s balance sheets. The Company recognized income of $126,160 and $114,797 during the years ended December 31, 2022 and 2021, respectively. As of December 31, 2022 and 2021, the Company has a receivable balance of $351,116 and $224,956,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Taxes</w:t>
      </w:r>
    </w:p>
    <w:p>
      <w:pPr>
        <w:spacing w:after="0" w:line="154" w:lineRule="exact"/>
        <w:rPr>
          <w:sz w:val="20"/>
          <w:szCs w:val="20"/>
          <w:color w:val="auto"/>
        </w:rPr>
      </w:pPr>
    </w:p>
    <w:p>
      <w:pPr>
        <w:jc w:val="both"/>
        <w:ind w:right="180" w:firstLine="203"/>
        <w:spacing w:after="0" w:line="253" w:lineRule="auto"/>
        <w:rPr>
          <w:sz w:val="20"/>
          <w:szCs w:val="20"/>
          <w:color w:val="auto"/>
        </w:rPr>
      </w:pPr>
      <w:r>
        <w:rPr>
          <w:rFonts w:ascii="Times New Roman" w:cs="Times New Roman" w:eastAsia="Times New Roman" w:hAnsi="Times New Roman"/>
          <w:sz w:val="13"/>
          <w:szCs w:val="13"/>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29" w:lineRule="exact"/>
        <w:rPr>
          <w:sz w:val="20"/>
          <w:szCs w:val="20"/>
          <w:color w:val="auto"/>
        </w:rPr>
      </w:pPr>
    </w:p>
    <w:p>
      <w:pPr>
        <w:ind w:right="20" w:firstLine="203"/>
        <w:spacing w:after="0" w:line="249" w:lineRule="auto"/>
        <w:rPr>
          <w:sz w:val="20"/>
          <w:szCs w:val="20"/>
          <w:color w:val="auto"/>
        </w:rPr>
      </w:pPr>
      <w:r>
        <w:rPr>
          <w:rFonts w:ascii="Times New Roman" w:cs="Times New Roman" w:eastAsia="Times New Roman" w:hAnsi="Times New Roman"/>
          <w:sz w:val="13"/>
          <w:szCs w:val="13"/>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154" w:lineRule="exact"/>
        <w:rPr>
          <w:sz w:val="20"/>
          <w:szCs w:val="20"/>
          <w:color w:val="auto"/>
        </w:rPr>
      </w:pPr>
    </w:p>
    <w:p>
      <w:pPr>
        <w:ind w:right="80" w:firstLine="203"/>
        <w:spacing w:after="0" w:line="253" w:lineRule="auto"/>
        <w:rPr>
          <w:sz w:val="20"/>
          <w:szCs w:val="20"/>
          <w:color w:val="auto"/>
        </w:rPr>
      </w:pPr>
      <w:r>
        <w:rPr>
          <w:rFonts w:ascii="Times New Roman" w:cs="Times New Roman" w:eastAsia="Times New Roman" w:hAnsi="Times New Roman"/>
          <w:sz w:val="13"/>
          <w:szCs w:val="13"/>
          <w:color w:val="auto"/>
        </w:rPr>
        <w:t>The Company records all preferred stock at their respective fair values on the dates of issuance less issuance costs. The Company classifies its preferred stock outside of stockholders’ deficit when the redemption of such shares is outside the Company’s control. The Company does not adjust the carrying values of the preferred stock to the liquidation preferences of such stock until such time as a deemed liquidation event is probable of occurring.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Stock Issuance Costs</w:t>
      </w:r>
    </w:p>
    <w:p>
      <w:pPr>
        <w:spacing w:after="0" w:line="154" w:lineRule="exact"/>
        <w:rPr>
          <w:sz w:val="20"/>
          <w:szCs w:val="20"/>
          <w:color w:val="auto"/>
        </w:rPr>
      </w:pPr>
    </w:p>
    <w:p>
      <w:pPr>
        <w:ind w:right="60" w:firstLine="203"/>
        <w:spacing w:after="0" w:line="264" w:lineRule="auto"/>
        <w:rPr>
          <w:sz w:val="20"/>
          <w:szCs w:val="20"/>
          <w:color w:val="auto"/>
        </w:rPr>
      </w:pPr>
      <w:r>
        <w:rPr>
          <w:rFonts w:ascii="Times New Roman" w:cs="Times New Roman" w:eastAsia="Times New Roman" w:hAnsi="Times New Roman"/>
          <w:sz w:val="13"/>
          <w:szCs w:val="13"/>
          <w:color w:val="auto"/>
        </w:rPr>
        <w:t>Stock issuance costs, consisting primarily of legal expenses, are capitalized until stock is issued, at which time the costs are recorded in stockholders' equity as a reduction of additional paid-in-capital generated as a result of the issuance.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Stock-Based Compensation</w:t>
      </w:r>
    </w:p>
    <w:p>
      <w:pPr>
        <w:spacing w:after="0" w:line="154" w:lineRule="exact"/>
        <w:rPr>
          <w:sz w:val="20"/>
          <w:szCs w:val="20"/>
          <w:color w:val="auto"/>
        </w:rPr>
      </w:pPr>
    </w:p>
    <w:p>
      <w:pPr>
        <w:ind w:right="80" w:firstLine="203"/>
        <w:spacing w:after="0" w:line="253" w:lineRule="auto"/>
        <w:rPr>
          <w:sz w:val="20"/>
          <w:szCs w:val="20"/>
          <w:color w:val="auto"/>
        </w:rPr>
      </w:pPr>
      <w:r>
        <w:rPr>
          <w:rFonts w:ascii="Times New Roman" w:cs="Times New Roman" w:eastAsia="Times New Roman" w:hAnsi="Times New Roman"/>
          <w:sz w:val="13"/>
          <w:szCs w:val="13"/>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The Company has elected to account for forfeitures as they occur. Stock-based compensation expense recognized in the financial statements is based on awards that ultimately vest.</w:t>
      </w:r>
    </w:p>
    <w:p>
      <w:pPr>
        <w:spacing w:after="0" w:line="129" w:lineRule="exact"/>
        <w:rPr>
          <w:sz w:val="20"/>
          <w:szCs w:val="20"/>
          <w:color w:val="auto"/>
        </w:rPr>
      </w:pPr>
    </w:p>
    <w:p>
      <w:pPr>
        <w:ind w:right="100" w:firstLine="203"/>
        <w:spacing w:after="0" w:line="249" w:lineRule="auto"/>
        <w:rPr>
          <w:sz w:val="20"/>
          <w:szCs w:val="20"/>
          <w:color w:val="auto"/>
        </w:rPr>
      </w:pPr>
      <w:r>
        <w:rPr>
          <w:rFonts w:ascii="Times New Roman" w:cs="Times New Roman" w:eastAsia="Times New Roman" w:hAnsi="Times New Roman"/>
          <w:sz w:val="13"/>
          <w:szCs w:val="13"/>
          <w:color w:val="auto"/>
        </w:rPr>
        <w:t>The Company calculates the fair value of its common stock by considering independent valuations by a third-party valuation specialist and considers factors it believes are material to the valuation process, including but not limited to, the price at which recent equity was issued by the Company to independent third parties or transacted between third parties, actual and projected financial results, risks, prospects, economic and market conditions, and estimates of weighted average cost of capital. The Company believes the combination of these factors provides an appropriate estimate of the expected fair value of the Company and reflects the best estimate of the fair value of the Company’s common stock at each grant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Leases</w:t>
      </w:r>
    </w:p>
    <w:p>
      <w:pPr>
        <w:spacing w:after="0" w:line="154" w:lineRule="exact"/>
        <w:rPr>
          <w:sz w:val="20"/>
          <w:szCs w:val="20"/>
          <w:color w:val="auto"/>
        </w:rPr>
      </w:pPr>
    </w:p>
    <w:p>
      <w:pPr>
        <w:ind w:firstLine="203"/>
        <w:spacing w:after="0" w:line="247" w:lineRule="auto"/>
        <w:rPr>
          <w:sz w:val="20"/>
          <w:szCs w:val="20"/>
          <w:color w:val="auto"/>
        </w:rPr>
      </w:pPr>
      <w:r>
        <w:rPr>
          <w:rFonts w:ascii="Times New Roman" w:cs="Times New Roman" w:eastAsia="Times New Roman" w:hAnsi="Times New Roman"/>
          <w:sz w:val="13"/>
          <w:szCs w:val="13"/>
          <w:color w:val="auto"/>
        </w:rPr>
        <w:t>The Company accounts for its leases in accordance with ASC Topic 842, Leases (ASC 842), and determines whether the arrangement is or contains a lease based on the unique facts and circumstances present.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(ROU)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134" w:lineRule="exact"/>
        <w:rPr>
          <w:sz w:val="20"/>
          <w:szCs w:val="20"/>
          <w:color w:val="auto"/>
        </w:rPr>
      </w:pPr>
    </w:p>
    <w:p>
      <w:pPr>
        <w:ind w:right="60" w:firstLine="203"/>
        <w:spacing w:after="0" w:line="247" w:lineRule="auto"/>
        <w:rPr>
          <w:sz w:val="20"/>
          <w:szCs w:val="20"/>
          <w:color w:val="auto"/>
        </w:rPr>
      </w:pPr>
      <w:r>
        <w:rPr>
          <w:rFonts w:ascii="Times New Roman" w:cs="Times New Roman" w:eastAsia="Times New Roman" w:hAnsi="Times New Roman"/>
          <w:sz w:val="13"/>
          <w:szCs w:val="13"/>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7173595"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Recently Adopted</w:t>
      </w:r>
    </w:p>
    <w:p>
      <w:pPr>
        <w:spacing w:after="0" w:line="152" w:lineRule="exact"/>
        <w:rPr>
          <w:sz w:val="20"/>
          <w:szCs w:val="20"/>
          <w:color w:val="auto"/>
        </w:rPr>
      </w:pPr>
    </w:p>
    <w:p>
      <w:pPr>
        <w:ind w:right="80" w:firstLine="226"/>
        <w:spacing w:after="0" w:line="254" w:lineRule="auto"/>
        <w:rPr>
          <w:sz w:val="20"/>
          <w:szCs w:val="20"/>
          <w:color w:val="auto"/>
        </w:rPr>
      </w:pPr>
      <w:r>
        <w:rPr>
          <w:rFonts w:ascii="Times New Roman" w:cs="Times New Roman" w:eastAsia="Times New Roman" w:hAnsi="Times New Roman"/>
          <w:sz w:val="13"/>
          <w:szCs w:val="13"/>
          <w:color w:val="auto"/>
        </w:rPr>
        <w:t xml:space="preserve">In August 2020, the FASB issued ASU 2020-06, </w:t>
      </w:r>
      <w:r>
        <w:rPr>
          <w:rFonts w:ascii="Times New Roman" w:cs="Times New Roman" w:eastAsia="Times New Roman" w:hAnsi="Times New Roman"/>
          <w:sz w:val="13"/>
          <w:szCs w:val="13"/>
          <w:i w:val="1"/>
          <w:iCs w:val="1"/>
          <w:color w:val="auto"/>
        </w:rPr>
        <w:t>Debt – Debt with Conversion and Other Options (Subtopic 470-20) and Derivatives and Hedging – Contracts in Entity’s Own Equity (Subtopic 815-40)</w:t>
      </w:r>
      <w:r>
        <w:rPr>
          <w:rFonts w:ascii="Times New Roman" w:cs="Times New Roman" w:eastAsia="Times New Roman" w:hAnsi="Times New Roman"/>
          <w:sz w:val="13"/>
          <w:szCs w:val="13"/>
          <w:color w:val="auto"/>
        </w:rPr>
        <w:t>. ASU 2020-06 simplifies the accounting for certain financial instruments with characteristics of liabilities and equity, including convertible instruments and contracts on an entity’s own equity. The Company has adopted ASU 2020-06 as of January 1, 2021 using the full retrospective method. The adoption of ASU 2020-06 had no impact on the Company's financial statements and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Not Yet Adopted</w:t>
      </w:r>
    </w:p>
    <w:p>
      <w:pPr>
        <w:spacing w:after="0" w:line="152" w:lineRule="exact"/>
        <w:rPr>
          <w:sz w:val="20"/>
          <w:szCs w:val="20"/>
          <w:color w:val="auto"/>
        </w:rPr>
      </w:pPr>
    </w:p>
    <w:p>
      <w:pPr>
        <w:ind w:right="20" w:firstLine="226"/>
        <w:spacing w:after="0" w:line="248" w:lineRule="auto"/>
        <w:rPr>
          <w:sz w:val="20"/>
          <w:szCs w:val="20"/>
          <w:color w:val="auto"/>
        </w:rPr>
      </w:pPr>
      <w:r>
        <w:rPr>
          <w:rFonts w:ascii="Times New Roman" w:cs="Times New Roman" w:eastAsia="Times New Roman" w:hAnsi="Times New Roman"/>
          <w:sz w:val="13"/>
          <w:szCs w:val="13"/>
          <w:color w:val="auto"/>
        </w:rPr>
        <w:t xml:space="preserve">In June 2016, the FASB issued ASU 2016-13, </w:t>
      </w:r>
      <w:r>
        <w:rPr>
          <w:rFonts w:ascii="Times New Roman" w:cs="Times New Roman" w:eastAsia="Times New Roman" w:hAnsi="Times New Roman"/>
          <w:sz w:val="13"/>
          <w:szCs w:val="13"/>
          <w:i w:val="1"/>
          <w:iCs w:val="1"/>
          <w:color w:val="auto"/>
        </w:rPr>
        <w:t>Financial Instruments-Credit Losses (Topic 326), Measurement of Credit Losses on Financial Instruments</w:t>
      </w:r>
      <w:r>
        <w:rPr>
          <w:rFonts w:ascii="Times New Roman" w:cs="Times New Roman" w:eastAsia="Times New Roman" w:hAnsi="Times New Roman"/>
          <w:sz w:val="13"/>
          <w:szCs w:val="13"/>
          <w:color w:val="auto"/>
        </w:rPr>
        <w:t xml:space="preserve">. Subsequently, in November 2018, the FASB issued ASU 2018-19, </w:t>
      </w:r>
      <w:r>
        <w:rPr>
          <w:rFonts w:ascii="Times New Roman" w:cs="Times New Roman" w:eastAsia="Times New Roman" w:hAnsi="Times New Roman"/>
          <w:sz w:val="13"/>
          <w:szCs w:val="13"/>
          <w:i w:val="1"/>
          <w:iCs w:val="1"/>
          <w:color w:val="auto"/>
        </w:rPr>
        <w:t>Codification Improvements to Topic 326, Financial Instruments-Credit Losses</w:t>
      </w:r>
      <w:r>
        <w:rPr>
          <w:rFonts w:ascii="Times New Roman" w:cs="Times New Roman" w:eastAsia="Times New Roman" w:hAnsi="Times New Roman"/>
          <w:sz w:val="13"/>
          <w:szCs w:val="13"/>
          <w:color w:val="auto"/>
        </w:rPr>
        <w:t>. ASU 2016-13 requires entities to measure all expected credit losses for most financial assets held at the reporting date based on an expected loss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adoption of ASU 2016-13 is not expected to have an impact on the Company’s financial position or results of operations upon adoption.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Fair Value Measurements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The following tables present the Company’s assets and liabilities that are measured at fair value on a recurring basis as of December 31, 2022 and 2021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0" w:type="dxa"/>
            <w:vAlign w:val="bottom"/>
            <w:gridSpan w:val="6"/>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w:t>
            </w:r>
          </w:p>
        </w:tc>
        <w:tc>
          <w:tcPr>
            <w:tcW w:w="8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Money market funds (included in cash equivalents)</w:t>
            </w:r>
          </w:p>
        </w:tc>
        <w:tc>
          <w:tcPr>
            <w:tcW w:w="88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6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1,004</w:t>
            </w:r>
          </w:p>
        </w:tc>
        <w:tc>
          <w:tcPr>
            <w:tcW w:w="40" w:type="dxa"/>
            <w:vAlign w:val="bottom"/>
          </w:tcPr>
          <w:p>
            <w:pPr>
              <w:spacing w:after="0"/>
              <w:rPr>
                <w:sz w:val="13"/>
                <w:szCs w:val="13"/>
                <w:color w:val="auto"/>
              </w:rPr>
            </w:pPr>
          </w:p>
        </w:tc>
        <w:tc>
          <w:tcPr>
            <w:tcW w:w="1080" w:type="dxa"/>
            <w:vAlign w:val="bottom"/>
            <w:gridSpan w:val="2"/>
          </w:tcPr>
          <w:p>
            <w:pPr>
              <w:jc w:val="right"/>
              <w:ind w:right="79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 (included in cash equivalents)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Borders>
              <w:top w:val="single" w:sz="8" w:color="CCEEFF"/>
              <w:bottom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Total assets</w:t>
            </w:r>
          </w:p>
        </w:tc>
        <w:tc>
          <w:tcPr>
            <w:tcW w:w="880" w:type="dxa"/>
            <w:vAlign w:val="bottom"/>
            <w:tcBorders>
              <w:top w:val="single" w:sz="8" w:color="auto"/>
              <w:bottom w:val="single" w:sz="8" w:color="auto"/>
            </w:tcBorders>
          </w:tcPr>
          <w:p>
            <w:pPr>
              <w:jc w:val="right"/>
              <w:ind w:right="57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1,029</w:t>
            </w:r>
          </w:p>
        </w:tc>
        <w:tc>
          <w:tcPr>
            <w:tcW w:w="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61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1,029</w:t>
            </w:r>
          </w:p>
        </w:tc>
        <w:tc>
          <w:tcPr>
            <w:tcW w:w="80" w:type="dxa"/>
            <w:vAlign w:val="bottom"/>
            <w:tcBorders>
              <w:top w:val="single" w:sz="8" w:color="CCEEFF"/>
              <w:bottom w:val="single" w:sz="8" w:color="CCEEFF"/>
            </w:tcBorders>
          </w:tcPr>
          <w:p>
            <w:pPr>
              <w:spacing w:after="0"/>
              <w:rPr>
                <w:sz w:val="13"/>
                <w:szCs w:val="13"/>
                <w:color w:val="auto"/>
              </w:rPr>
            </w:pPr>
          </w:p>
        </w:tc>
        <w:tc>
          <w:tcPr>
            <w:tcW w:w="40" w:type="dxa"/>
            <w:vAlign w:val="bottom"/>
            <w:tcBorders>
              <w:top w:val="single" w:sz="8" w:color="CCEEFF"/>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gridSpan w:val="2"/>
          </w:tcPr>
          <w:p>
            <w:pPr>
              <w:jc w:val="right"/>
              <w:ind w:right="79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auto"/>
            </w:tcBorders>
          </w:tcPr>
          <w:p>
            <w:pPr>
              <w:ind w:left="40"/>
              <w:spacing w:after="0" w:line="139" w:lineRule="exact"/>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Borders>
              <w:top w:val="single" w:sz="8" w:color="CCEEFF"/>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17"/>
              <w:spacing w:after="0" w:line="13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Liabilities:</w:t>
            </w: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Contingent payment to NIH</w:t>
            </w:r>
          </w:p>
        </w:tc>
        <w:tc>
          <w:tcPr>
            <w:tcW w:w="88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1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60" w:type="dxa"/>
            <w:vAlign w:val="bottom"/>
            <w:tcBorders>
              <w:top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Total liabilities</w:t>
            </w:r>
          </w:p>
        </w:tc>
        <w:tc>
          <w:tcPr>
            <w:tcW w:w="880" w:type="dxa"/>
            <w:vAlign w:val="bottom"/>
            <w:tcBorders>
              <w:top w:val="single" w:sz="8" w:color="auto"/>
              <w:bottom w:val="single" w:sz="8" w:color="auto"/>
            </w:tcBorders>
          </w:tcPr>
          <w:p>
            <w:pPr>
              <w:jc w:val="right"/>
              <w:ind w:right="57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461</w:t>
            </w: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61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79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auto"/>
            </w:tcBorders>
          </w:tcPr>
          <w:p>
            <w:pPr>
              <w:ind w:left="40"/>
              <w:spacing w:after="0" w:line="139" w:lineRule="exact"/>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Borders>
              <w:top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17"/>
              <w:spacing w:after="0" w:line="13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gridSpan w:val="6"/>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4"/>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w:t>
            </w:r>
          </w:p>
        </w:tc>
        <w:tc>
          <w:tcPr>
            <w:tcW w:w="8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Money market funds (included in cash equivalents)</w:t>
            </w:r>
          </w:p>
        </w:tc>
        <w:tc>
          <w:tcPr>
            <w:tcW w:w="88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4,502</w:t>
            </w:r>
          </w:p>
        </w:tc>
        <w:tc>
          <w:tcPr>
            <w:tcW w:w="80" w:type="dxa"/>
            <w:vAlign w:val="bottom"/>
          </w:tcPr>
          <w:p>
            <w:pPr>
              <w:spacing w:after="0"/>
              <w:rPr>
                <w:sz w:val="13"/>
                <w:szCs w:val="13"/>
                <w:color w:val="auto"/>
              </w:rPr>
            </w:pPr>
          </w:p>
        </w:tc>
        <w:tc>
          <w:tcPr>
            <w:tcW w:w="900" w:type="dxa"/>
            <w:vAlign w:val="bottom"/>
            <w:gridSpan w:val="2"/>
          </w:tcPr>
          <w:p>
            <w:pPr>
              <w:jc w:val="right"/>
              <w:ind w:right="53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4,502</w:t>
            </w:r>
          </w:p>
        </w:tc>
        <w:tc>
          <w:tcPr>
            <w:tcW w:w="40" w:type="dxa"/>
            <w:vAlign w:val="bottom"/>
          </w:tcPr>
          <w:p>
            <w:pPr>
              <w:spacing w:after="0"/>
              <w:rPr>
                <w:sz w:val="13"/>
                <w:szCs w:val="13"/>
                <w:color w:val="auto"/>
              </w:rPr>
            </w:pPr>
          </w:p>
        </w:tc>
        <w:tc>
          <w:tcPr>
            <w:tcW w:w="1080" w:type="dxa"/>
            <w:vAlign w:val="bottom"/>
            <w:gridSpan w:val="2"/>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deposits (included in cash equivalents)</w:t>
            </w:r>
          </w:p>
        </w:tc>
        <w:tc>
          <w:tcPr>
            <w:tcW w:w="8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Borders>
              <w:top w:val="single" w:sz="8" w:color="CCEEFF"/>
              <w:bottom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Total assets</w:t>
            </w:r>
          </w:p>
        </w:tc>
        <w:tc>
          <w:tcPr>
            <w:tcW w:w="880" w:type="dxa"/>
            <w:vAlign w:val="bottom"/>
            <w:tcBorders>
              <w:top w:val="single" w:sz="8" w:color="auto"/>
              <w:bottom w:val="single" w:sz="8" w:color="auto"/>
            </w:tcBorders>
          </w:tcPr>
          <w:p>
            <w:pPr>
              <w:jc w:val="right"/>
              <w:ind w:right="57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4,527</w:t>
            </w:r>
          </w:p>
        </w:tc>
        <w:tc>
          <w:tcPr>
            <w:tcW w:w="80" w:type="dxa"/>
            <w:vAlign w:val="bottom"/>
            <w:tcBorders>
              <w:top w:val="single" w:sz="8" w:color="CCEEFF"/>
              <w:bottom w:val="single" w:sz="8" w:color="CCEEFF"/>
            </w:tcBorders>
          </w:tcPr>
          <w:p>
            <w:pPr>
              <w:spacing w:after="0"/>
              <w:rPr>
                <w:sz w:val="13"/>
                <w:szCs w:val="13"/>
                <w:color w:val="auto"/>
              </w:rPr>
            </w:pPr>
          </w:p>
        </w:tc>
        <w:tc>
          <w:tcPr>
            <w:tcW w:w="40" w:type="dxa"/>
            <w:vAlign w:val="bottom"/>
            <w:tcBorders>
              <w:top w:val="single" w:sz="8" w:color="CCEEFF"/>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537"/>
              <w:spacing w:after="0" w:line="13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4,527</w:t>
            </w:r>
          </w:p>
        </w:tc>
        <w:tc>
          <w:tcPr>
            <w:tcW w:w="4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67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gridSpan w:val="3"/>
          </w:tcPr>
          <w:p>
            <w:pPr>
              <w:ind w:left="160"/>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CCEEFF"/>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Liabilities:</w:t>
            </w: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Contingent payment to NIH</w:t>
            </w:r>
          </w:p>
        </w:tc>
        <w:tc>
          <w:tcPr>
            <w:tcW w:w="88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345</w:t>
            </w:r>
          </w:p>
        </w:tc>
        <w:tc>
          <w:tcPr>
            <w:tcW w:w="900" w:type="dxa"/>
            <w:vAlign w:val="bottom"/>
            <w:gridSpan w:val="2"/>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60" w:type="dxa"/>
            <w:vAlign w:val="bottom"/>
            <w:tcBorders>
              <w:top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Total liabilities</w:t>
            </w:r>
          </w:p>
        </w:tc>
        <w:tc>
          <w:tcPr>
            <w:tcW w:w="880" w:type="dxa"/>
            <w:vAlign w:val="bottom"/>
            <w:tcBorders>
              <w:top w:val="single" w:sz="8" w:color="auto"/>
              <w:bottom w:val="single" w:sz="8" w:color="auto"/>
            </w:tcBorders>
          </w:tcPr>
          <w:p>
            <w:pPr>
              <w:jc w:val="right"/>
              <w:ind w:right="57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345</w:t>
            </w: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537"/>
              <w:spacing w:after="0" w:line="13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67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gridSpan w:val="3"/>
          </w:tcPr>
          <w:p>
            <w:pPr>
              <w:ind w:left="160"/>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345</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13"/>
          <w:szCs w:val="13"/>
          <w:color w:val="auto"/>
        </w:rPr>
        <w:t>The fair value of the payment to NIH that is contingent upon certain liquidity or financing events (See Note 13) was based on significant inputs not observable in the market, including estimates regarding the probability of certain future events and outcomes and estimates regarding timing of those events and outcomes, with an applied discount representative of time value, that represents a Level 3 measurement within the fair value hierarchy. The following table summarizes the change in the fair value of the Company’s contingent payment to NIH, which is classified within the Level 3 fair value hierarchy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7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9"/>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2020</w:t>
            </w:r>
          </w:p>
        </w:tc>
        <w:tc>
          <w:tcPr>
            <w:tcW w:w="4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r>
      <w:tr>
        <w:trPr>
          <w:trHeight w:val="151"/>
        </w:trPr>
        <w:tc>
          <w:tcPr>
            <w:tcW w:w="9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Change in fair value of contingent payment to NIH</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49"/>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4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r>
      <w:tr>
        <w:trPr>
          <w:trHeight w:val="160"/>
        </w:trPr>
        <w:tc>
          <w:tcPr>
            <w:tcW w:w="9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Change in fair value of contingent payment to NIH</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49"/>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4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transfers within the fair value hierarchy during the years ended December 31, 2022 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7173595"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6"/>
        </w:trPr>
        <w:tc>
          <w:tcPr>
            <w:tcW w:w="8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4. Property and Equipment</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01"/>
        </w:trPr>
        <w:tc>
          <w:tcPr>
            <w:tcW w:w="8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Property and equipment consist of the following (in thousands):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9"/>
        </w:trPr>
        <w:tc>
          <w:tcPr>
            <w:tcW w:w="80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Laboratory equipment</w:t>
            </w:r>
          </w:p>
        </w:tc>
        <w:tc>
          <w:tcPr>
            <w:tcW w:w="11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w:t>
            </w: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1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(582)</w:t>
            </w:r>
          </w:p>
        </w:tc>
        <w:tc>
          <w:tcPr>
            <w:tcW w:w="4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r>
      <w:tr>
        <w:trPr>
          <w:trHeight w:val="169"/>
        </w:trPr>
        <w:tc>
          <w:tcPr>
            <w:tcW w:w="80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10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r>
      <w:tr>
        <w:trPr>
          <w:trHeight w:val="299"/>
        </w:trPr>
        <w:tc>
          <w:tcPr>
            <w:tcW w:w="8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expense was approximately $112,000 and $123,000 for the years ended December 31, 2022 and 2021, respectively.</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1"/>
        </w:trPr>
        <w:tc>
          <w:tcPr>
            <w:tcW w:w="8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5. Accrued Expenses and Other Current Liabilities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1"/>
        </w:trPr>
        <w:tc>
          <w:tcPr>
            <w:tcW w:w="8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Accrued expenses and other current liabilities consist of the following (in thousands):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9"/>
        </w:trPr>
        <w:tc>
          <w:tcPr>
            <w:tcW w:w="80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external research and development costs</w:t>
            </w:r>
          </w:p>
        </w:tc>
        <w:tc>
          <w:tcPr>
            <w:tcW w:w="11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Accrued professional and consulting services</w:t>
            </w:r>
          </w:p>
        </w:tc>
        <w:tc>
          <w:tcPr>
            <w:tcW w:w="1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w:t>
            </w:r>
          </w:p>
        </w:tc>
        <w:tc>
          <w:tcPr>
            <w:tcW w:w="4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payroll</w:t>
            </w:r>
          </w:p>
        </w:tc>
        <w:tc>
          <w:tcPr>
            <w:tcW w:w="1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98</w:t>
            </w: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Accrued equipment</w:t>
            </w:r>
          </w:p>
        </w:tc>
        <w:tc>
          <w:tcPr>
            <w:tcW w:w="1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r>
      <w:tr>
        <w:trPr>
          <w:trHeight w:val="17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w:t>
            </w: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29"/>
        </w:trPr>
        <w:tc>
          <w:tcPr>
            <w:tcW w:w="8020" w:type="dxa"/>
            <w:vAlign w:val="bottom"/>
            <w:tcBorders>
              <w:top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100" w:type="dxa"/>
            <w:vAlign w:val="bottom"/>
            <w:tcBorders>
              <w:top w:val="single" w:sz="8" w:color="auto"/>
              <w:bottom w:val="single" w:sz="8" w:color="auto"/>
            </w:tcBorders>
          </w:tcPr>
          <w:p>
            <w:pPr>
              <w:jc w:val="right"/>
              <w:ind w:right="8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949</w:t>
            </w:r>
          </w:p>
        </w:tc>
        <w:tc>
          <w:tcPr>
            <w:tcW w:w="120" w:type="dxa"/>
            <w:vAlign w:val="bottom"/>
            <w:tcBorders>
              <w:top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978</w:t>
            </w:r>
          </w:p>
        </w:tc>
      </w:tr>
      <w:tr>
        <w:trPr>
          <w:trHeight w:val="20"/>
        </w:trPr>
        <w:tc>
          <w:tcPr>
            <w:tcW w:w="8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Leases</w:t>
      </w:r>
    </w:p>
    <w:p>
      <w:pPr>
        <w:spacing w:after="0" w:line="154" w:lineRule="exact"/>
        <w:rPr>
          <w:sz w:val="20"/>
          <w:szCs w:val="20"/>
          <w:color w:val="auto"/>
        </w:rPr>
      </w:pPr>
    </w:p>
    <w:p>
      <w:pPr>
        <w:jc w:val="both"/>
        <w:ind w:right="60" w:firstLine="203"/>
        <w:spacing w:after="0" w:line="253" w:lineRule="auto"/>
        <w:rPr>
          <w:sz w:val="20"/>
          <w:szCs w:val="20"/>
          <w:color w:val="auto"/>
        </w:rPr>
      </w:pPr>
      <w:r>
        <w:rPr>
          <w:rFonts w:ascii="Times New Roman" w:cs="Times New Roman" w:eastAsia="Times New Roman" w:hAnsi="Times New Roman"/>
          <w:sz w:val="13"/>
          <w:szCs w:val="13"/>
          <w:color w:val="auto"/>
        </w:rPr>
        <w:t>The Company entered into an office lease in May 2018 for 4,762 square feet of space in an office building in Gaithersburg, Maryland. In 2021, the Company amended its lease for an additional 3,147 square feet of space in the same building and to extend the lease term for its current leased space. The lease ends for both leased spaces in December 2027. The lease does not contain any renewal rights. The Company paid the landlord a security deposit of $25,000 which is included in long term assets on the Company’s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For the years ended December 31, 2022 and 2021, the components of lease costs were as follows (in thousands):</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86"/>
        </w:trPr>
        <w:tc>
          <w:tcPr>
            <w:tcW w:w="8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20" w:type="dxa"/>
            <w:vAlign w:val="bottom"/>
          </w:tcPr>
          <w:p>
            <w:pPr>
              <w:spacing w:after="0"/>
              <w:rPr>
                <w:sz w:val="24"/>
                <w:szCs w:val="24"/>
                <w:color w:val="auto"/>
              </w:rPr>
            </w:pPr>
          </w:p>
        </w:tc>
      </w:tr>
      <w:tr>
        <w:trPr>
          <w:trHeight w:val="165"/>
        </w:trPr>
        <w:tc>
          <w:tcPr>
            <w:tcW w:w="80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49"/>
        </w:trPr>
        <w:tc>
          <w:tcPr>
            <w:tcW w:w="80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cost</w:t>
            </w:r>
          </w:p>
        </w:tc>
        <w:tc>
          <w:tcPr>
            <w:tcW w:w="11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Variable lease cost</w:t>
            </w:r>
          </w:p>
        </w:tc>
        <w:tc>
          <w:tcPr>
            <w:tcW w:w="1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147</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69"/>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lease cost</w:t>
            </w:r>
          </w:p>
        </w:tc>
        <w:tc>
          <w:tcPr>
            <w:tcW w:w="110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r>
      <w:tr>
        <w:trPr>
          <w:trHeight w:val="299"/>
        </w:trPr>
        <w:tc>
          <w:tcPr>
            <w:tcW w:w="8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The maturity of the Company’s operating lease liabilities as of December 31, 2022 were as follows (in thousands):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6"/>
        </w:trPr>
        <w:tc>
          <w:tcPr>
            <w:tcW w:w="8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80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r>
      <w:tr>
        <w:trPr>
          <w:trHeight w:val="15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5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2027</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1"/>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11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future minimum lease payments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r>
      <w:tr>
        <w:trPr>
          <w:trHeight w:val="151"/>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imputed interest</w:t>
            </w:r>
          </w:p>
        </w:tc>
        <w:tc>
          <w:tcPr>
            <w:tcW w:w="11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79"/>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operating lease liabilities</w:t>
            </w:r>
          </w:p>
        </w:tc>
        <w:tc>
          <w:tcPr>
            <w:tcW w:w="1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r>
      <w:tr>
        <w:trPr>
          <w:trHeight w:val="299"/>
        </w:trPr>
        <w:tc>
          <w:tcPr>
            <w:tcW w:w="8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The supplemental disclosure for the statement of cash flows related to operating leases were as follows (in thousands):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9"/>
        </w:trPr>
        <w:tc>
          <w:tcPr>
            <w:tcW w:w="80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tcBorders>
              <w:bottom w:val="single" w:sz="8" w:color="auto"/>
            </w:tcBorders>
          </w:tcPr>
          <w:p>
            <w:pPr>
              <w:spacing w:after="0"/>
              <w:rPr>
                <w:sz w:val="24"/>
                <w:szCs w:val="24"/>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11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273"/>
        </w:trPr>
        <w:tc>
          <w:tcPr>
            <w:tcW w:w="80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275" w:right="299" w:bottom="1440" w:gutter="0" w:footer="0" w:header="0"/>
        </w:sectPr>
      </w:pPr>
    </w:p>
    <w:bookmarkStart w:id="15" w:name="page16"/>
    <w:bookmarkEnd w:id="15"/>
    <w:p>
      <w:pPr>
        <w:ind w:right="240" w:firstLine="203"/>
        <w:spacing w:after="0" w:line="264" w:lineRule="auto"/>
        <w:rPr>
          <w:sz w:val="20"/>
          <w:szCs w:val="20"/>
          <w:color w:val="auto"/>
        </w:rPr>
      </w:pPr>
      <w:r>
        <w:rPr>
          <w:rFonts w:ascii="Times New Roman" w:cs="Times New Roman" w:eastAsia="Times New Roman" w:hAnsi="Times New Roman"/>
          <w:sz w:val="13"/>
          <w:szCs w:val="13"/>
          <w:color w:val="auto"/>
        </w:rPr>
        <w:t>Other than the initial recording of the right-of-use asset and lease liability, which were non-cash, the changes in the Company’s right-of-use asset and lease liability for the years ended December 31, 2022 and 2021 are reflected in the non-cash lease expense and accrued expenses and other liabilities, respectively, in the statements of cash flows.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The following summarizes additional information related to operating leases:</w:t>
      </w:r>
    </w:p>
    <w:p>
      <w:pPr>
        <w:spacing w:after="0" w:line="150"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remaining lease term</w:t>
            </w: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89"/>
              </w:rPr>
              <w:t>4.1 years</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 years</w:t>
            </w:r>
          </w:p>
        </w:tc>
      </w:tr>
      <w:tr>
        <w:trPr>
          <w:trHeight w:val="164"/>
        </w:trPr>
        <w:tc>
          <w:tcPr>
            <w:tcW w:w="9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7.3 %</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7.3 %</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Preferred Stock</w:t>
      </w:r>
    </w:p>
    <w:p>
      <w:pPr>
        <w:spacing w:after="0" w:line="154" w:lineRule="exact"/>
        <w:rPr>
          <w:sz w:val="20"/>
          <w:szCs w:val="20"/>
          <w:color w:val="auto"/>
        </w:rPr>
      </w:pPr>
    </w:p>
    <w:p>
      <w:pPr>
        <w:jc w:val="both"/>
        <w:ind w:right="320" w:firstLine="169"/>
        <w:spacing w:after="0" w:line="249" w:lineRule="auto"/>
        <w:rPr>
          <w:sz w:val="20"/>
          <w:szCs w:val="20"/>
          <w:color w:val="auto"/>
        </w:rPr>
      </w:pPr>
      <w:r>
        <w:rPr>
          <w:rFonts w:ascii="Times New Roman" w:cs="Times New Roman" w:eastAsia="Times New Roman" w:hAnsi="Times New Roman"/>
          <w:sz w:val="13"/>
          <w:szCs w:val="13"/>
          <w:color w:val="auto"/>
        </w:rPr>
        <w:t>On January 26, 2021, the Company amended its Restated Certificate of Incorporation, to increase its authorized shares to 407 shares of preferred stock, $0.01 par value per share. In 2021, the Company issued 65.017 shares of Series B-1 preferred stock, with a par value of $0.01, at a price of $64,961.92 per share for consideration totaling $4,223,778. Upon the issuance of the Series B-1 Preferred Stock in January 2021, the Company reclassified its Series A and Series B Preferred Stock to temporary equity because such stock is redeemable upon the occurrence of certain events that are not solely within the control of the issuer. The reclassification to temporary equity of Series A and Series B Preferred Stock was recorded at the fair value.</w:t>
      </w:r>
    </w:p>
    <w:p>
      <w:pPr>
        <w:spacing w:after="0" w:line="132" w:lineRule="exact"/>
        <w:rPr>
          <w:sz w:val="20"/>
          <w:szCs w:val="20"/>
          <w:color w:val="auto"/>
        </w:rPr>
      </w:pPr>
    </w:p>
    <w:p>
      <w:pPr>
        <w:ind w:right="260" w:firstLine="226"/>
        <w:spacing w:after="0" w:line="253" w:lineRule="auto"/>
        <w:rPr>
          <w:sz w:val="20"/>
          <w:szCs w:val="20"/>
          <w:color w:val="auto"/>
        </w:rPr>
      </w:pPr>
      <w:r>
        <w:rPr>
          <w:rFonts w:ascii="Times New Roman" w:cs="Times New Roman" w:eastAsia="Times New Roman" w:hAnsi="Times New Roman"/>
          <w:sz w:val="13"/>
          <w:szCs w:val="13"/>
          <w:color w:val="auto"/>
        </w:rPr>
        <w:t>Contemporaneous with the Series B-1 Preferred Stock offering, one of the Company's investors converted 50 shares of common stock into 50 shares of Series A Preferred Stock. The Company recorded the Series A Preferred Stock at fair value. The difference between the fair value of the Series A Preferred Stock and the fair value of the common stock at the date of the exchange was recorded as a Series B-1 Preferred Stock issuance cost. The difference between the original issuance price and the fair value of the common stock at the date of the exchange was recorded as an adjustment to retained earnings.</w:t>
      </w:r>
    </w:p>
    <w:p>
      <w:pPr>
        <w:spacing w:after="0" w:line="129" w:lineRule="exact"/>
        <w:rPr>
          <w:sz w:val="20"/>
          <w:szCs w:val="20"/>
          <w:color w:val="auto"/>
        </w:rPr>
      </w:pPr>
    </w:p>
    <w:p>
      <w:pPr>
        <w:jc w:val="both"/>
        <w:ind w:right="20" w:firstLine="234"/>
        <w:spacing w:after="0" w:line="253" w:lineRule="auto"/>
        <w:rPr>
          <w:sz w:val="20"/>
          <w:szCs w:val="20"/>
          <w:color w:val="auto"/>
        </w:rPr>
      </w:pPr>
      <w:r>
        <w:rPr>
          <w:rFonts w:ascii="Times New Roman" w:cs="Times New Roman" w:eastAsia="Times New Roman" w:hAnsi="Times New Roman"/>
          <w:sz w:val="13"/>
          <w:szCs w:val="13"/>
          <w:color w:val="auto"/>
        </w:rPr>
        <w:t>On December 12, 2022, the Company amended its Restated Certificate of Incorporation to increase its authorized shares to 602 shares of Preferred Stock. In December 2022, the Company issued 193.644 shares of Series B-2 preferred stock, with a par value of $0.01, at a price of $62,833.19 per share for consideration totaling $12,167,170. Cash consideration received in December 2022 was $10,834,164. The remaining $1,333,006 is included in stock subscription receivable on the accompanying December 31, 2022 balance sheet. The stock subscription receivable was collected in January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preferred stock has the following characteristics: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i w:val="1"/>
          <w:iCs w:val="1"/>
          <w:color w:val="auto"/>
        </w:rPr>
        <w:t>Conversion Features</w:t>
      </w:r>
    </w:p>
    <w:p>
      <w:pPr>
        <w:spacing w:after="0" w:line="154" w:lineRule="exact"/>
        <w:rPr>
          <w:sz w:val="20"/>
          <w:szCs w:val="20"/>
          <w:color w:val="auto"/>
        </w:rPr>
      </w:pPr>
    </w:p>
    <w:p>
      <w:pPr>
        <w:jc w:val="both"/>
        <w:ind w:right="20" w:firstLine="213"/>
        <w:spacing w:after="0" w:line="253" w:lineRule="auto"/>
        <w:rPr>
          <w:sz w:val="20"/>
          <w:szCs w:val="20"/>
          <w:color w:val="auto"/>
        </w:rPr>
      </w:pPr>
      <w:r>
        <w:rPr>
          <w:rFonts w:ascii="Times New Roman" w:cs="Times New Roman" w:eastAsia="Times New Roman" w:hAnsi="Times New Roman"/>
          <w:sz w:val="13"/>
          <w:szCs w:val="13"/>
          <w:color w:val="auto"/>
        </w:rPr>
        <w:t>Preferred stockholders may voluntarily convert any or all of their preferred shares into common shares at any time at a price determined by dividing the original issue price by the conversion price for each series of preferred stock. There are provisions which require adjustment to this conversion price in the event of certain dilution events. However, In the event of a liquidation, dissolution or winding up of the Company or a deemed liquidation event, the conversion rights shall terminate.</w:t>
      </w:r>
    </w:p>
    <w:p>
      <w:pPr>
        <w:spacing w:after="0" w:line="129" w:lineRule="exact"/>
        <w:rPr>
          <w:sz w:val="20"/>
          <w:szCs w:val="20"/>
          <w:color w:val="auto"/>
        </w:rPr>
      </w:pPr>
    </w:p>
    <w:p>
      <w:pPr>
        <w:ind w:right="60" w:firstLine="203"/>
        <w:spacing w:after="0" w:line="247" w:lineRule="auto"/>
        <w:rPr>
          <w:sz w:val="20"/>
          <w:szCs w:val="20"/>
          <w:color w:val="auto"/>
        </w:rPr>
      </w:pPr>
      <w:r>
        <w:rPr>
          <w:rFonts w:ascii="Times New Roman" w:cs="Times New Roman" w:eastAsia="Times New Roman" w:hAnsi="Times New Roman"/>
          <w:sz w:val="13"/>
          <w:szCs w:val="13"/>
          <w:color w:val="auto"/>
        </w:rPr>
        <w:t>Upon either (a) the closing of the sale of shares of common stock to the public at a price of at least $62,833.19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(net of underwriting discount and commissions) to the Company or (b) the date and time, or the occurrence of an event, specified by vote or written consent of at least seventy- five percent (51%) of the outstanding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i w:val="1"/>
          <w:iCs w:val="1"/>
          <w:color w:val="auto"/>
        </w:rPr>
        <w:t>Voting Rights</w:t>
      </w:r>
    </w:p>
    <w:p>
      <w:pPr>
        <w:spacing w:after="0" w:line="154" w:lineRule="exact"/>
        <w:rPr>
          <w:sz w:val="20"/>
          <w:szCs w:val="20"/>
          <w:color w:val="auto"/>
        </w:rPr>
      </w:pPr>
    </w:p>
    <w:p>
      <w:pPr>
        <w:ind w:right="220" w:firstLine="203"/>
        <w:spacing w:after="0" w:line="253" w:lineRule="auto"/>
        <w:rPr>
          <w:sz w:val="20"/>
          <w:szCs w:val="20"/>
          <w:color w:val="auto"/>
        </w:rPr>
      </w:pPr>
      <w:r>
        <w:rPr>
          <w:rFonts w:ascii="Times New Roman" w:cs="Times New Roman" w:eastAsia="Times New Roman" w:hAnsi="Times New Roman"/>
          <w:sz w:val="13"/>
          <w:szCs w:val="13"/>
          <w:color w:val="auto"/>
        </w:rPr>
        <w:t>On any matter presented to the stockholders of the Company for their action or consideration at any meeting of stockholders of the Company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w:t>
      </w:r>
    </w:p>
    <w:p>
      <w:pPr>
        <w:spacing w:after="0" w:line="129" w:lineRule="exact"/>
        <w:rPr>
          <w:sz w:val="20"/>
          <w:szCs w:val="20"/>
          <w:color w:val="auto"/>
        </w:rPr>
      </w:pPr>
    </w:p>
    <w:p>
      <w:pPr>
        <w:ind w:right="140" w:firstLine="203"/>
        <w:spacing w:after="0" w:line="253" w:lineRule="auto"/>
        <w:rPr>
          <w:sz w:val="20"/>
          <w:szCs w:val="20"/>
          <w:color w:val="auto"/>
        </w:rPr>
      </w:pPr>
      <w:r>
        <w:rPr>
          <w:rFonts w:ascii="Times New Roman" w:cs="Times New Roman" w:eastAsia="Times New Roman" w:hAnsi="Times New Roman"/>
          <w:sz w:val="13"/>
          <w:szCs w:val="13"/>
          <w:color w:val="auto"/>
        </w:rPr>
        <w:t>The holders of record of the shares of preferred stock, exclusively and as a separate class, are entitled to elect one (1) director of the Company and the holders of record of common stock, exclusively and as a separate class, are entitled to elect one (1) director of the Company. The holders of record of common stock and preferred stock, exclusively and voting together as a single class, are entitled to elect the balance of the total number of directors of the Company.</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i w:val="1"/>
          <w:iCs w:val="1"/>
          <w:color w:val="auto"/>
        </w:rPr>
        <w:t>Dividends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Dividends may be paid at the Board of Directors' discretion. However, the preferred stockholders are entitled to receive dividends prior to payment of dividends to common stockholders.</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i w:val="1"/>
          <w:iCs w:val="1"/>
          <w:color w:val="auto"/>
        </w:rPr>
        <w:t>Liquidation Preference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Upon liquidation of the Company (whether voluntary or not), each preferred stockholder shall be entitled to be paid prior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7173595"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6" w:name="page17"/>
    <w:bookmarkEnd w:id="16"/>
    <w:p>
      <w:pPr>
        <w:ind w:left="100"/>
        <w:spacing w:after="0"/>
        <w:rPr>
          <w:sz w:val="20"/>
          <w:szCs w:val="20"/>
          <w:color w:val="auto"/>
        </w:rPr>
      </w:pPr>
      <w:r>
        <w:rPr>
          <w:rFonts w:ascii="Times New Roman" w:cs="Times New Roman" w:eastAsia="Times New Roman" w:hAnsi="Times New Roman"/>
          <w:sz w:val="13"/>
          <w:szCs w:val="13"/>
          <w:i w:val="1"/>
          <w:iCs w:val="1"/>
          <w:color w:val="auto"/>
        </w:rPr>
        <w:t>Redemption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The preferred stock is not redeemable at the option of the holder or the Company, except in accordance with a deemed liquidation event.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Common Stock</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On January 26, 2021, the Company amended its Restated Certificate of Incorporation, to increase its authorized shares to 3,200 shares of Common Stock, par value $0.01 per share.</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voting, dividend and liquidation rights of the common stockholders are subject to and qualified by the rights, powers and preferences of the preferred stock. The common stock has the following characteristics: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i w:val="1"/>
          <w:iCs w:val="1"/>
          <w:color w:val="auto"/>
        </w:rPr>
        <w:t>Voting</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The common stockholders are entitled to one vote for each share of common stock held with respect to all matters voted on by the stockholders of the Company.</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i w:val="1"/>
          <w:iCs w:val="1"/>
          <w:color w:val="auto"/>
        </w:rPr>
        <w:t>Dividends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The common stockholders are entitled to receive dividends, if and when declared by the Board of Directors. Through December 31, 2022, no dividends have been declared or paid on common stock.</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i w:val="1"/>
          <w:iCs w:val="1"/>
          <w:color w:val="auto"/>
        </w:rPr>
        <w:t>Liquidation</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Upon liquidation of the Company, the common stockholders are entitled to receive all assets of the Company available for distribution to such stockholders.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Stock-Based Compensation Expense</w:t>
      </w:r>
    </w:p>
    <w:p>
      <w:pPr>
        <w:spacing w:after="0" w:line="154" w:lineRule="exact"/>
        <w:rPr>
          <w:sz w:val="20"/>
          <w:szCs w:val="20"/>
          <w:color w:val="auto"/>
        </w:rPr>
      </w:pPr>
    </w:p>
    <w:p>
      <w:pPr>
        <w:ind w:right="100" w:firstLine="203"/>
        <w:spacing w:after="0" w:line="253" w:lineRule="auto"/>
        <w:rPr>
          <w:sz w:val="20"/>
          <w:szCs w:val="20"/>
          <w:color w:val="auto"/>
        </w:rPr>
      </w:pPr>
      <w:r>
        <w:rPr>
          <w:rFonts w:ascii="Times New Roman" w:cs="Times New Roman" w:eastAsia="Times New Roman" w:hAnsi="Times New Roman"/>
          <w:sz w:val="13"/>
          <w:szCs w:val="13"/>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129" w:lineRule="exact"/>
        <w:rPr>
          <w:sz w:val="20"/>
          <w:szCs w:val="20"/>
          <w:color w:val="auto"/>
        </w:rPr>
      </w:pPr>
    </w:p>
    <w:p>
      <w:pPr>
        <w:ind w:right="140" w:firstLine="203"/>
        <w:spacing w:after="0" w:line="303" w:lineRule="auto"/>
        <w:rPr>
          <w:sz w:val="20"/>
          <w:szCs w:val="20"/>
          <w:color w:val="auto"/>
        </w:rPr>
      </w:pPr>
      <w:r>
        <w:rPr>
          <w:rFonts w:ascii="Times New Roman" w:cs="Times New Roman" w:eastAsia="Times New Roman" w:hAnsi="Times New Roman"/>
          <w:sz w:val="11"/>
          <w:szCs w:val="11"/>
          <w:color w:val="auto"/>
        </w:rPr>
        <w:t>In April 2021, the Company repriced and reissued all its prior stock option awards with an exercise price above $23,005 per share to an exercise price of $23,005 per share (the 2021 Repricing). The Company accounted for the 2021 repricing as a modification for accounting purposes. For options vested at the modification date, the Company immediately recognized the difference between the fair value of the modification award and its original grant date value. For unvested awards at the modification date, the Company recognized the sum of the unrecognized compensation cost of the shares plus the incremental fair value of the modified award over the remaining service period. Additionally, in October 2022, the Company modified a stock option held by an option holder upon termination of their employment by the Company. The stock option was modified to accelerate vesting. The aggregate amount of expense recognized in connection with these modifications was approximately $8,000 and $305,000 for the years ended December 31, 2022 and 2021, respectively.</w:t>
      </w:r>
    </w:p>
    <w:p>
      <w:pPr>
        <w:spacing w:after="0" w:line="1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Stock-based compensation expense by classification included within the statements of operations and comprehensive income (loss)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940" w:type="dxa"/>
            <w:vAlign w:val="bottom"/>
            <w:tcBorders>
              <w:bottom w:val="single" w:sz="8" w:color="auto"/>
            </w:tcBorders>
          </w:tcPr>
          <w:p>
            <w:pPr>
              <w:spacing w:after="0"/>
              <w:rPr>
                <w:sz w:val="15"/>
                <w:szCs w:val="15"/>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w w:val="92"/>
              </w:rPr>
              <w:t>2021</w:t>
            </w: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9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r>
      <w:tr>
        <w:trPr>
          <w:trHeight w:val="160"/>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9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92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r>
    </w:tbl>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The estimated grant date fair values of employee stock option awards granted under the 2016 Plan were calculated using the Black-Scholes option pricing model, based on the following range of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r>
      <w:tr>
        <w:trPr>
          <w:trHeight w:val="159"/>
        </w:trPr>
        <w:tc>
          <w:tcPr>
            <w:tcW w:w="80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 - 1.96%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0.85% - 1.45%</w:t>
            </w: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Dividend yield</w:t>
            </w:r>
          </w:p>
        </w:tc>
        <w:tc>
          <w:tcPr>
            <w:tcW w:w="46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term</w:t>
            </w:r>
          </w:p>
        </w:tc>
        <w:tc>
          <w:tcPr>
            <w:tcW w:w="4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 – 7.0</w:t>
            </w: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5.0 - 7.0</w:t>
            </w: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46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95 %</w:t>
            </w: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r>
      <w:tr>
        <w:trPr>
          <w:trHeight w:val="15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of common stock</w:t>
            </w:r>
          </w:p>
        </w:tc>
        <w:tc>
          <w:tcPr>
            <w:tcW w:w="4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23,005</w:t>
            </w:r>
          </w:p>
        </w:tc>
        <w:tc>
          <w:tcPr>
            <w:tcW w:w="64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23,005 – 64,962</w:t>
            </w:r>
          </w:p>
        </w:tc>
      </w:tr>
    </w:tbl>
    <w:p>
      <w:pPr>
        <w:spacing w:after="0" w:line="138" w:lineRule="exact"/>
        <w:rPr>
          <w:sz w:val="20"/>
          <w:szCs w:val="20"/>
          <w:color w:val="auto"/>
        </w:rPr>
      </w:pPr>
    </w:p>
    <w:p>
      <w:pPr>
        <w:ind w:right="40" w:firstLine="203"/>
        <w:spacing w:after="0" w:line="356" w:lineRule="auto"/>
        <w:rPr>
          <w:sz w:val="20"/>
          <w:szCs w:val="20"/>
          <w:color w:val="auto"/>
        </w:rPr>
      </w:pPr>
      <w:r>
        <w:rPr>
          <w:rFonts w:ascii="Times New Roman" w:cs="Times New Roman" w:eastAsia="Times New Roman" w:hAnsi="Times New Roman"/>
          <w:sz w:val="11"/>
          <w:szCs w:val="11"/>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The weighted average grant date fair value of stock options granted to employees during the years ended December 31, 2022 and 2021 was $16,862 and $27,881,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7173595" cy="1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7" w:name="page18"/>
    <w:bookmarkEnd w:id="17"/>
    <w:p>
      <w:pPr>
        <w:ind w:right="160" w:firstLine="203"/>
        <w:spacing w:after="0" w:line="264" w:lineRule="auto"/>
        <w:rPr>
          <w:sz w:val="20"/>
          <w:szCs w:val="20"/>
          <w:color w:val="auto"/>
        </w:rPr>
      </w:pPr>
      <w:r>
        <w:rPr>
          <w:rFonts w:ascii="Times New Roman" w:cs="Times New Roman" w:eastAsia="Times New Roman" w:hAnsi="Times New Roman"/>
          <w:sz w:val="13"/>
          <w:szCs w:val="13"/>
          <w:color w:val="auto"/>
        </w:rPr>
        <w:t>As of December 31, 2022, total unrecognized compensation expense related to unvested employee stock options was approximately $969,000, which is expected to be recognized over a weighted average period of 2.13 years.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the stock option activity under the 2016 Plan and includes the effect to the 2021 Repricing: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Weighted-average</w:t>
            </w: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remaining</w:t>
            </w:r>
          </w:p>
        </w:tc>
        <w:tc>
          <w:tcPr>
            <w:tcW w:w="36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160" w:type="dxa"/>
            <w:vAlign w:val="bottom"/>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Weighted-average exercise</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36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60" w:type="dxa"/>
            <w:vAlign w:val="bottom"/>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7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3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Outstanding at December 31, 2021</w:t>
            </w:r>
          </w:p>
        </w:tc>
        <w:tc>
          <w:tcPr>
            <w:tcW w:w="1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Borders>
              <w:top w:val="single" w:sz="8" w:color="auto"/>
            </w:tcBorders>
          </w:tcPr>
          <w:p>
            <w:pPr>
              <w:jc w:val="right"/>
              <w:ind w:right="10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18,755</w:t>
            </w:r>
          </w:p>
        </w:tc>
        <w:tc>
          <w:tcPr>
            <w:tcW w:w="14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tcPr>
          <w:p>
            <w:pPr>
              <w:spacing w:after="0"/>
              <w:rPr>
                <w:sz w:val="12"/>
                <w:szCs w:val="12"/>
                <w:color w:val="auto"/>
              </w:rPr>
            </w:pPr>
          </w:p>
        </w:tc>
        <w:tc>
          <w:tcPr>
            <w:tcW w:w="3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Granted</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w:t>
            </w:r>
          </w:p>
        </w:tc>
        <w:tc>
          <w:tcPr>
            <w:tcW w:w="1260" w:type="dxa"/>
            <w:vAlign w:val="bottom"/>
            <w:gridSpan w:val="2"/>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23,005</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Exercised</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c>
          <w:tcPr>
            <w:tcW w:w="1260" w:type="dxa"/>
            <w:vAlign w:val="bottom"/>
            <w:gridSpan w:val="2"/>
          </w:tcPr>
          <w:p>
            <w:pPr>
              <w:jc w:val="right"/>
              <w:ind w:right="10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23,005</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1260" w:type="dxa"/>
            <w:vAlign w:val="bottom"/>
            <w:gridSpan w:val="2"/>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23,005</w:t>
            </w: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top w:val="single" w:sz="8" w:color="CCEEFF"/>
              <w:bottom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Outstanding at December 31, 2022</w:t>
            </w:r>
          </w:p>
        </w:tc>
        <w:tc>
          <w:tcPr>
            <w:tcW w:w="11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152</w:t>
            </w:r>
          </w:p>
        </w:tc>
        <w:tc>
          <w:tcPr>
            <w:tcW w:w="60" w:type="dxa"/>
            <w:vAlign w:val="bottom"/>
            <w:tcBorders>
              <w:top w:val="single" w:sz="8" w:color="CCEEFF"/>
              <w:bottom w:val="single" w:sz="8" w:color="CCEEFF"/>
            </w:tcBorders>
          </w:tcPr>
          <w:p>
            <w:pPr>
              <w:spacing w:after="0"/>
              <w:rPr>
                <w:sz w:val="13"/>
                <w:szCs w:val="13"/>
                <w:color w:val="auto"/>
              </w:rPr>
            </w:pPr>
          </w:p>
        </w:tc>
        <w:tc>
          <w:tcPr>
            <w:tcW w:w="1260" w:type="dxa"/>
            <w:vAlign w:val="bottom"/>
            <w:tcBorders>
              <w:top w:val="single" w:sz="8" w:color="CCEEFF"/>
              <w:bottom w:val="single" w:sz="8" w:color="CCEEFF"/>
            </w:tcBorders>
            <w:gridSpan w:val="2"/>
          </w:tcPr>
          <w:p>
            <w:pPr>
              <w:jc w:val="right"/>
              <w:ind w:right="1077"/>
              <w:spacing w:after="0" w:line="13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CCEEFF"/>
              <w:bottom w:val="single" w:sz="8" w:color="CCEEFF"/>
            </w:tcBorders>
          </w:tcPr>
          <w:p>
            <w:pPr>
              <w:jc w:val="right"/>
              <w:ind w:right="157"/>
              <w:spacing w:after="0" w:line="139" w:lineRule="exact"/>
              <w:rPr>
                <w:sz w:val="20"/>
                <w:szCs w:val="20"/>
                <w:color w:val="auto"/>
              </w:rPr>
            </w:pPr>
            <w:r>
              <w:rPr>
                <w:rFonts w:ascii="Times New Roman" w:cs="Times New Roman" w:eastAsia="Times New Roman" w:hAnsi="Times New Roman"/>
                <w:sz w:val="13"/>
                <w:szCs w:val="13"/>
                <w:color w:val="auto"/>
              </w:rPr>
              <w:t>18,727</w:t>
            </w:r>
          </w:p>
        </w:tc>
        <w:tc>
          <w:tcPr>
            <w:tcW w:w="1480" w:type="dxa"/>
            <w:vAlign w:val="bottom"/>
            <w:tcBorders>
              <w:top w:val="single" w:sz="8" w:color="CCEEFF"/>
              <w:bottom w:val="single" w:sz="8" w:color="CCEEFF"/>
            </w:tcBorders>
          </w:tcPr>
          <w:p>
            <w:pPr>
              <w:jc w:val="right"/>
              <w:ind w:right="57"/>
              <w:spacing w:after="0" w:line="139" w:lineRule="exact"/>
              <w:rPr>
                <w:sz w:val="20"/>
                <w:szCs w:val="20"/>
                <w:color w:val="auto"/>
              </w:rPr>
            </w:pPr>
            <w:r>
              <w:rPr>
                <w:rFonts w:ascii="Times New Roman" w:cs="Times New Roman" w:eastAsia="Times New Roman" w:hAnsi="Times New Roman"/>
                <w:sz w:val="13"/>
                <w:szCs w:val="13"/>
                <w:color w:val="auto"/>
              </w:rPr>
              <w:t>6.90</w:t>
            </w:r>
          </w:p>
        </w:tc>
        <w:tc>
          <w:tcPr>
            <w:tcW w:w="100" w:type="dxa"/>
            <w:vAlign w:val="bottom"/>
            <w:tcBorders>
              <w:top w:val="single" w:sz="8" w:color="CCEEFF"/>
              <w:bottom w:val="single" w:sz="8" w:color="CCEEFF"/>
            </w:tcBorders>
          </w:tcPr>
          <w:p>
            <w:pPr>
              <w:spacing w:after="0"/>
              <w:rPr>
                <w:sz w:val="13"/>
                <w:szCs w:val="13"/>
                <w:color w:val="auto"/>
              </w:rPr>
            </w:pPr>
          </w:p>
        </w:tc>
        <w:tc>
          <w:tcPr>
            <w:tcW w:w="360" w:type="dxa"/>
            <w:vAlign w:val="bottom"/>
            <w:tcBorders>
              <w:top w:val="single" w:sz="8" w:color="CCEEFF"/>
              <w:bottom w:val="single" w:sz="8" w:color="CCEEFF"/>
            </w:tcBorders>
          </w:tcPr>
          <w:p>
            <w:pPr>
              <w:jc w:val="right"/>
              <w:ind w:right="5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top w:val="single" w:sz="8" w:color="CCEEFF"/>
              <w:bottom w:val="single" w:sz="8" w:color="CCEEFF"/>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Vested at December 31, 2022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110</w:t>
            </w:r>
          </w:p>
        </w:tc>
        <w:tc>
          <w:tcPr>
            <w:tcW w:w="1260" w:type="dxa"/>
            <w:vAlign w:val="bottom"/>
            <w:gridSpan w:val="2"/>
          </w:tcPr>
          <w:p>
            <w:pPr>
              <w:jc w:val="right"/>
              <w:ind w:right="10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17,094</w:t>
            </w:r>
          </w:p>
        </w:tc>
        <w:tc>
          <w:tcPr>
            <w:tcW w:w="1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6.25</w:t>
            </w:r>
          </w:p>
        </w:tc>
        <w:tc>
          <w:tcPr>
            <w:tcW w:w="100" w:type="dxa"/>
            <w:vAlign w:val="bottom"/>
          </w:tcPr>
          <w:p>
            <w:pPr>
              <w:spacing w:after="0"/>
              <w:rPr>
                <w:sz w:val="13"/>
                <w:szCs w:val="13"/>
                <w:color w:val="auto"/>
              </w:rPr>
            </w:pP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 and expected to vest at December 31, 2022</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152</w:t>
            </w:r>
          </w:p>
        </w:tc>
        <w:tc>
          <w:tcPr>
            <w:tcW w:w="1260" w:type="dxa"/>
            <w:vAlign w:val="bottom"/>
            <w:gridSpan w:val="2"/>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18,727</w:t>
            </w:r>
          </w:p>
        </w:tc>
        <w:tc>
          <w:tcPr>
            <w:tcW w:w="14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Income Taxes</w:t>
      </w:r>
    </w:p>
    <w:p>
      <w:pPr>
        <w:spacing w:after="0" w:line="154" w:lineRule="exact"/>
        <w:rPr>
          <w:sz w:val="20"/>
          <w:szCs w:val="20"/>
          <w:color w:val="auto"/>
        </w:rPr>
      </w:pPr>
    </w:p>
    <w:p>
      <w:pPr>
        <w:jc w:val="both"/>
        <w:ind w:right="20" w:firstLine="339"/>
        <w:spacing w:after="0" w:line="264" w:lineRule="auto"/>
        <w:rPr>
          <w:sz w:val="20"/>
          <w:szCs w:val="20"/>
          <w:color w:val="auto"/>
        </w:rPr>
      </w:pPr>
      <w:r>
        <w:rPr>
          <w:rFonts w:ascii="Times New Roman" w:cs="Times New Roman" w:eastAsia="Times New Roman" w:hAnsi="Times New Roman"/>
          <w:sz w:val="13"/>
          <w:szCs w:val="13"/>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94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97"/>
              </w:rPr>
              <w:t>The income tax provision shown on the statements of income for the years ended December 31, 2022 and 2021 consists of the following (in thousands):</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09"/>
        </w:trPr>
        <w:tc>
          <w:tcPr>
            <w:tcW w:w="7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940" w:type="dxa"/>
            <w:vAlign w:val="bottom"/>
            <w:tcBorders>
              <w:bottom w:val="single" w:sz="8" w:color="auto"/>
            </w:tcBorders>
          </w:tcPr>
          <w:p>
            <w:pPr>
              <w:spacing w:after="0"/>
              <w:rPr>
                <w:sz w:val="24"/>
                <w:szCs w:val="24"/>
                <w:color w:val="auto"/>
              </w:rPr>
            </w:pPr>
          </w:p>
        </w:tc>
      </w:tr>
      <w:tr>
        <w:trPr>
          <w:trHeight w:val="160"/>
        </w:trPr>
        <w:tc>
          <w:tcPr>
            <w:tcW w:w="79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w w:val="92"/>
              </w:rPr>
              <w:t>2021</w:t>
            </w:r>
          </w:p>
        </w:tc>
      </w:tr>
      <w:tr>
        <w:trPr>
          <w:trHeight w:val="14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Federal</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7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State</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Federal</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State</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provides a summary of difference between income tax benefit for the year ended December 31, 2022 and 2021, computed by applying the statutory federal income tax rate to earnings before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62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940" w:type="dxa"/>
            <w:vAlign w:val="bottom"/>
            <w:vMerge w:val="restart"/>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6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w:t>
            </w:r>
          </w:p>
        </w:tc>
        <w:tc>
          <w:tcPr>
            <w:tcW w:w="4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(6,455)</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tcPr>
          <w:p>
            <w:pPr>
              <w:spacing w:after="0"/>
              <w:rPr>
                <w:sz w:val="20"/>
                <w:szCs w:val="20"/>
                <w:color w:val="auto"/>
              </w:rPr>
            </w:pPr>
            <w:r>
              <w:rPr>
                <w:rFonts w:ascii="Times New Roman" w:cs="Times New Roman" w:eastAsia="Times New Roman" w:hAnsi="Times New Roman"/>
                <w:sz w:val="13"/>
                <w:szCs w:val="13"/>
                <w:color w:val="auto"/>
              </w:rPr>
              <w:t>Tax provision (benefit) at federal statutory rate</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(1,356)</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 tax (net of federal benefit)</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(421)</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197</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Non-deductible items and other permanent differences</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tcPr>
          <w:p>
            <w:pPr>
              <w:spacing w:after="0"/>
              <w:rPr>
                <w:sz w:val="20"/>
                <w:szCs w:val="20"/>
                <w:color w:val="auto"/>
              </w:rPr>
            </w:pPr>
            <w:r>
              <w:rPr>
                <w:rFonts w:ascii="Times New Roman" w:cs="Times New Roman" w:eastAsia="Times New Roman" w:hAnsi="Times New Roman"/>
                <w:sz w:val="13"/>
                <w:szCs w:val="13"/>
                <w:color w:val="auto"/>
              </w:rPr>
              <w:t>Deferred Adjustments</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Valuation Allowance</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2,096</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credit</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(516)</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Income Tax Provision</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76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The Company’s effective tax rate for the years ended December 31, 2022 and 2021 was 0.0%, primarily due to the full valuation allowance.</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6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The tax effects of temporary differences that give rise to the Company’s net deferred tax assets are as follows (in thousands):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6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620" w:type="dxa"/>
            <w:vAlign w:val="bottom"/>
          </w:tcPr>
          <w:p>
            <w:pPr>
              <w:spacing w:after="0"/>
              <w:rPr>
                <w:sz w:val="20"/>
                <w:szCs w:val="20"/>
                <w:color w:val="auto"/>
              </w:rPr>
            </w:pPr>
            <w:r>
              <w:rPr>
                <w:rFonts w:ascii="Times New Roman" w:cs="Times New Roman" w:eastAsia="Times New Roman" w:hAnsi="Times New Roman"/>
                <w:sz w:val="13"/>
                <w:szCs w:val="13"/>
                <w:color w:val="auto"/>
              </w:rPr>
              <w:t>Net operating loss carryforwards</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4,711</w:t>
            </w:r>
          </w:p>
        </w:tc>
        <w:tc>
          <w:tcPr>
            <w:tcW w:w="700" w:type="dxa"/>
            <w:vAlign w:val="bottom"/>
            <w:gridSpan w:val="2"/>
          </w:tcPr>
          <w:p>
            <w:pPr>
              <w:jc w:val="right"/>
              <w:ind w:right="361"/>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Intangibles</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right-of-use liabilities</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305</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based compensation</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1,293</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Charitable contribution carryforward</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20" w:type="dxa"/>
            <w:vAlign w:val="bottom"/>
          </w:tcPr>
          <w:p>
            <w:pPr>
              <w:spacing w:after="0"/>
              <w:rPr>
                <w:sz w:val="20"/>
                <w:szCs w:val="20"/>
                <w:color w:val="auto"/>
              </w:rPr>
            </w:pPr>
            <w:r>
              <w:rPr>
                <w:rFonts w:ascii="Times New Roman" w:cs="Times New Roman" w:eastAsia="Times New Roman" w:hAnsi="Times New Roman"/>
                <w:sz w:val="13"/>
                <w:szCs w:val="13"/>
                <w:color w:val="auto"/>
              </w:rPr>
              <w:t>Accrual to cash</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63</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 credit carryforward</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784</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620" w:type="dxa"/>
            <w:vAlign w:val="bottom"/>
            <w:tcBorders>
              <w:top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Gross deferred tax assets</w:t>
            </w:r>
          </w:p>
        </w:tc>
        <w:tc>
          <w:tcPr>
            <w:tcW w:w="400" w:type="dxa"/>
            <w:vAlign w:val="bottom"/>
            <w:tcBorders>
              <w:top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640"/>
              <w:spacing w:after="0" w:line="13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7,218</w:t>
            </w: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61"/>
              <w:spacing w:after="0" w:line="13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5,724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7" w:right="2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7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Fixed Assets</w:t>
            </w:r>
          </w:p>
        </w:tc>
        <w:tc>
          <w:tcPr>
            <w:tcW w:w="720" w:type="dxa"/>
            <w:vAlign w:val="bottom"/>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w:t>
            </w:r>
          </w:p>
        </w:tc>
        <w:tc>
          <w:tcPr>
            <w:tcW w:w="720" w:type="dxa"/>
            <w:vAlign w:val="bottom"/>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0" w:type="dxa"/>
            <w:vAlign w:val="bottom"/>
          </w:tcPr>
          <w:p>
            <w:pPr>
              <w:spacing w:after="0"/>
              <w:rPr>
                <w:sz w:val="13"/>
                <w:szCs w:val="13"/>
                <w:color w:val="auto"/>
              </w:rPr>
            </w:pPr>
          </w:p>
        </w:tc>
      </w:tr>
      <w:tr>
        <w:trPr>
          <w:trHeight w:val="18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Accrual to cash</w:t>
            </w:r>
          </w:p>
        </w:tc>
        <w:tc>
          <w:tcPr>
            <w:tcW w:w="7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20" w:type="dxa"/>
            <w:vAlign w:val="bottom"/>
          </w:tcPr>
          <w:p>
            <w:pPr>
              <w:spacing w:after="0"/>
              <w:rPr>
                <w:sz w:val="15"/>
                <w:szCs w:val="15"/>
                <w:color w:val="auto"/>
              </w:rPr>
            </w:pPr>
          </w:p>
        </w:tc>
      </w:tr>
      <w:tr>
        <w:trPr>
          <w:trHeight w:val="129"/>
        </w:trPr>
        <w:tc>
          <w:tcPr>
            <w:tcW w:w="8020" w:type="dxa"/>
            <w:vAlign w:val="bottom"/>
            <w:tcBorders>
              <w:top w:val="single" w:sz="8" w:color="CCEEFF"/>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Operating lease right-of-use assets</w:t>
            </w:r>
          </w:p>
        </w:tc>
        <w:tc>
          <w:tcPr>
            <w:tcW w:w="7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(271)</w:t>
            </w:r>
          </w:p>
        </w:tc>
        <w:tc>
          <w:tcPr>
            <w:tcW w:w="120" w:type="dxa"/>
            <w:vAlign w:val="bottom"/>
            <w:tcBorders>
              <w:top w:val="single" w:sz="8" w:color="CCEEFF"/>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(329)</w:t>
            </w:r>
          </w:p>
        </w:tc>
        <w:tc>
          <w:tcPr>
            <w:tcW w:w="20" w:type="dxa"/>
            <w:vAlign w:val="bottom"/>
          </w:tcPr>
          <w:p>
            <w:pPr>
              <w:spacing w:after="0"/>
              <w:rPr>
                <w:sz w:val="11"/>
                <w:szCs w:val="11"/>
                <w:color w:val="auto"/>
              </w:rPr>
            </w:pPr>
          </w:p>
        </w:tc>
      </w:tr>
      <w:tr>
        <w:trPr>
          <w:trHeight w:val="16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deferred tax liabilities</w:t>
            </w:r>
          </w:p>
        </w:tc>
        <w:tc>
          <w:tcPr>
            <w:tcW w:w="7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w:t>
            </w:r>
          </w:p>
        </w:tc>
        <w:tc>
          <w:tcPr>
            <w:tcW w:w="20" w:type="dxa"/>
            <w:vAlign w:val="bottom"/>
          </w:tcPr>
          <w:p>
            <w:pPr>
              <w:spacing w:after="0"/>
              <w:rPr>
                <w:sz w:val="14"/>
                <w:szCs w:val="14"/>
                <w:color w:val="auto"/>
              </w:rPr>
            </w:pPr>
          </w:p>
        </w:tc>
      </w:tr>
      <w:tr>
        <w:trPr>
          <w:trHeight w:val="129"/>
        </w:trPr>
        <w:tc>
          <w:tcPr>
            <w:tcW w:w="80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deferred tax assets before valuation allowance</w:t>
            </w:r>
          </w:p>
        </w:tc>
        <w:tc>
          <w:tcPr>
            <w:tcW w:w="72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6,894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4,798</w:t>
            </w:r>
          </w:p>
        </w:tc>
        <w:tc>
          <w:tcPr>
            <w:tcW w:w="20" w:type="dxa"/>
            <w:vAlign w:val="bottom"/>
          </w:tcPr>
          <w:p>
            <w:pPr>
              <w:spacing w:after="0"/>
              <w:rPr>
                <w:sz w:val="11"/>
                <w:szCs w:val="11"/>
                <w:color w:val="auto"/>
              </w:rPr>
            </w:pPr>
          </w:p>
        </w:tc>
      </w:tr>
      <w:tr>
        <w:trPr>
          <w:trHeight w:val="17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Valuation allowance</w:t>
            </w:r>
          </w:p>
        </w:tc>
        <w:tc>
          <w:tcPr>
            <w:tcW w:w="7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(6,894)</w:t>
            </w:r>
          </w:p>
        </w:tc>
        <w:tc>
          <w:tcPr>
            <w:tcW w:w="7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(4,798)</w:t>
            </w:r>
          </w:p>
        </w:tc>
        <w:tc>
          <w:tcPr>
            <w:tcW w:w="20" w:type="dxa"/>
            <w:vAlign w:val="bottom"/>
          </w:tcPr>
          <w:p>
            <w:pPr>
              <w:spacing w:after="0"/>
              <w:rPr>
                <w:sz w:val="14"/>
                <w:szCs w:val="14"/>
                <w:color w:val="auto"/>
              </w:rPr>
            </w:pPr>
          </w:p>
        </w:tc>
      </w:tr>
      <w:tr>
        <w:trPr>
          <w:trHeight w:val="139"/>
        </w:trPr>
        <w:tc>
          <w:tcPr>
            <w:tcW w:w="8020" w:type="dxa"/>
            <w:vAlign w:val="bottom"/>
            <w:tcBorders>
              <w:top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Net deferred tax assets</w:t>
            </w:r>
          </w:p>
        </w:tc>
        <w:tc>
          <w:tcPr>
            <w:tcW w:w="720" w:type="dxa"/>
            <w:vAlign w:val="bottom"/>
            <w:tcBorders>
              <w:top w:val="single" w:sz="8" w:color="auto"/>
              <w:bottom w:val="single" w:sz="8" w:color="auto"/>
            </w:tcBorders>
          </w:tcPr>
          <w:p>
            <w:pPr>
              <w:jc w:val="right"/>
              <w:ind w:right="437"/>
              <w:spacing w:after="0" w:line="13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437"/>
              <w:spacing w:after="0" w:line="13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2"/>
                <w:szCs w:val="12"/>
                <w:color w:val="auto"/>
              </w:rPr>
            </w:pPr>
          </w:p>
        </w:tc>
      </w:tr>
      <w:tr>
        <w:trPr>
          <w:trHeight w:val="20"/>
        </w:trPr>
        <w:tc>
          <w:tcPr>
            <w:tcW w:w="8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Company has provided a full valuation allowance against its net deferred tax assets, as the Company believes that it is more likely than not that the deferred tax assets will not be realized. As of December 31, 2022, the Company has a net operating loss carryforward totaling $17.2 million (gross) that may be offset against future taxable income, of which $17.0 million can be carried forward indefinitely but will be subject to an 80% limitation. The Company has $0.5 million and $0.0 million, respectively, of federal and state research and development tax credit carryforwards, which will expire at various times through 2038. Utilization of the NOL carryforwards and research credit carryforwards may be subject to a substantial annual limitation under Section 382 of the Internal Revenue Code of 1986, as amended (the Code), and similar state law due to ownership changes that could occur in the future.</w:t>
      </w:r>
    </w:p>
    <w:p>
      <w:pPr>
        <w:spacing w:after="0" w:line="132" w:lineRule="exact"/>
        <w:rPr>
          <w:sz w:val="20"/>
          <w:szCs w:val="20"/>
          <w:color w:val="auto"/>
        </w:rPr>
      </w:pPr>
    </w:p>
    <w:p>
      <w:pPr>
        <w:jc w:val="both"/>
        <w:ind w:firstLine="203"/>
        <w:spacing w:after="0" w:line="254" w:lineRule="auto"/>
        <w:rPr>
          <w:sz w:val="20"/>
          <w:szCs w:val="20"/>
          <w:color w:val="auto"/>
        </w:rPr>
      </w:pPr>
      <w:r>
        <w:rPr>
          <w:rFonts w:ascii="Times New Roman" w:cs="Times New Roman" w:eastAsia="Times New Roman" w:hAnsi="Times New Roman"/>
          <w:sz w:val="13"/>
          <w:szCs w:val="13"/>
          <w:color w:val="auto"/>
        </w:rPr>
        <w:t xml:space="preserve">The Company applies ASC 740, </w:t>
      </w:r>
      <w:r>
        <w:rPr>
          <w:rFonts w:ascii="Times New Roman" w:cs="Times New Roman" w:eastAsia="Times New Roman" w:hAnsi="Times New Roman"/>
          <w:sz w:val="13"/>
          <w:szCs w:val="13"/>
          <w:i w:val="1"/>
          <w:iCs w:val="1"/>
          <w:color w:val="auto"/>
        </w:rPr>
        <w:t>Income Taxe</w:t>
      </w:r>
      <w:r>
        <w:rPr>
          <w:rFonts w:ascii="Times New Roman" w:cs="Times New Roman" w:eastAsia="Times New Roman" w:hAnsi="Times New Roman"/>
          <w:sz w:val="13"/>
          <w:szCs w:val="13"/>
          <w:color w:val="auto"/>
        </w:rPr>
        <w:t>s to uncertain tax positions. As of the adoption date and through December 31, 2022, the Company had no unrecognized tax benefits or related interest and penalties accrued. The Company files income tax returns in the U.S. federal and Maryland jurisdictions. The Company is no longer subject to U.S. federal and Maryland income tax examinations by tax authorities for years before 2019. There are currently no federal, state or foreign audits in progress.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Commitments and Contingencies</w:t>
      </w:r>
    </w:p>
    <w:p>
      <w:pPr>
        <w:spacing w:after="0" w:line="154" w:lineRule="exact"/>
        <w:rPr>
          <w:sz w:val="20"/>
          <w:szCs w:val="20"/>
          <w:color w:val="auto"/>
        </w:rPr>
      </w:pPr>
    </w:p>
    <w:p>
      <w:pPr>
        <w:jc w:val="both"/>
        <w:ind w:right="260" w:firstLine="203"/>
        <w:spacing w:after="0" w:line="253" w:lineRule="auto"/>
        <w:rPr>
          <w:sz w:val="20"/>
          <w:szCs w:val="20"/>
          <w:color w:val="auto"/>
        </w:rPr>
      </w:pPr>
      <w:r>
        <w:rPr>
          <w:rFonts w:ascii="Times New Roman" w:cs="Times New Roman" w:eastAsia="Times New Roman" w:hAnsi="Times New Roman"/>
          <w:sz w:val="13"/>
          <w:szCs w:val="13"/>
          <w:color w:val="auto"/>
        </w:rPr>
        <w:t>As of December 31, 2022, the Company was not a party to any litigation that could have a material effect on the Company’s business, financial position, results of operations or cash flows. The Company is a party in various other contractual disputes and potential claims arising from the ordinary course of business. The Company does not believe that the resolution of these matters will have a material adverse effect on the Company’s business, financial position, results of operations or cash flows.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Defined Contribution Plan</w:t>
      </w:r>
    </w:p>
    <w:p>
      <w:pPr>
        <w:spacing w:after="0" w:line="154" w:lineRule="exact"/>
        <w:rPr>
          <w:sz w:val="20"/>
          <w:szCs w:val="20"/>
          <w:color w:val="auto"/>
        </w:rPr>
      </w:pPr>
    </w:p>
    <w:p>
      <w:pPr>
        <w:ind w:right="320" w:firstLine="203"/>
        <w:spacing w:after="0" w:line="253" w:lineRule="auto"/>
        <w:rPr>
          <w:sz w:val="20"/>
          <w:szCs w:val="20"/>
          <w:color w:val="auto"/>
        </w:rPr>
      </w:pPr>
      <w:r>
        <w:rPr>
          <w:rFonts w:ascii="Times New Roman" w:cs="Times New Roman" w:eastAsia="Times New Roman" w:hAnsi="Times New Roman"/>
          <w:sz w:val="13"/>
          <w:szCs w:val="13"/>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each of the years ended December 31, 2022 and 2021,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License Agreements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National Institutes of Health – multiple myeloma</w:t>
      </w:r>
    </w:p>
    <w:p>
      <w:pPr>
        <w:spacing w:after="0" w:line="154" w:lineRule="exact"/>
        <w:rPr>
          <w:sz w:val="20"/>
          <w:szCs w:val="20"/>
          <w:color w:val="auto"/>
        </w:rPr>
      </w:pPr>
    </w:p>
    <w:p>
      <w:pPr>
        <w:ind w:right="80" w:firstLine="203"/>
        <w:spacing w:after="0" w:line="249" w:lineRule="auto"/>
        <w:rPr>
          <w:sz w:val="20"/>
          <w:szCs w:val="20"/>
          <w:color w:val="auto"/>
        </w:rPr>
      </w:pPr>
      <w:r>
        <w:rPr>
          <w:rFonts w:ascii="Times New Roman" w:cs="Times New Roman" w:eastAsia="Times New Roman" w:hAnsi="Times New Roman"/>
          <w:sz w:val="13"/>
          <w:szCs w:val="13"/>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132" w:lineRule="exact"/>
        <w:rPr>
          <w:sz w:val="20"/>
          <w:szCs w:val="20"/>
          <w:color w:val="auto"/>
        </w:rPr>
      </w:pPr>
    </w:p>
    <w:p>
      <w:pPr>
        <w:ind w:right="120" w:firstLine="203"/>
        <w:spacing w:after="0" w:line="247" w:lineRule="auto"/>
        <w:rPr>
          <w:sz w:val="20"/>
          <w:szCs w:val="20"/>
          <w:color w:val="auto"/>
        </w:rPr>
      </w:pPr>
      <w:r>
        <w:rPr>
          <w:rFonts w:ascii="Times New Roman" w:cs="Times New Roman" w:eastAsia="Times New Roman" w:hAnsi="Times New Roman"/>
          <w:sz w:val="13"/>
          <w:szCs w:val="13"/>
          <w:color w:val="auto"/>
        </w:rPr>
        <w:t>Additionally, the Company agreed to a non-refundable license royalty of either i) three-quarters of one percent (0.75%) of the Company’s fair market value at the time of its first Liquidity Event; or ii) $579,000 upon reaching forty million dollars ($40,000,000) in cumulative investor financing. The Company concluded the contingent payment met the definition of a derivative liability under ASC 815. As such, the Company recorded a liability on its balance sheet of $460,758 and $345,322 as of December 31, 2022 and 2021, respectively. The associated expense was recorded as research and development expense in the respective periods. The Company estimated the liability at each balance sheet date as the present value of the probability weighted contingent payment amounts. In November 2023, the Company entered into a merger agreement with Selecta (see Subsequent Events note below), whereby the Company elected to pay $579,000 to the NIH in full satisfaction of the royalty provision. Payment was made in December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National Institutes of Health - autoimmune diseases</w:t>
      </w:r>
    </w:p>
    <w:p>
      <w:pPr>
        <w:spacing w:after="0" w:line="154" w:lineRule="exact"/>
        <w:rPr>
          <w:sz w:val="20"/>
          <w:szCs w:val="20"/>
          <w:color w:val="auto"/>
        </w:rPr>
      </w:pPr>
    </w:p>
    <w:p>
      <w:pPr>
        <w:ind w:right="100" w:firstLine="31"/>
        <w:spacing w:after="0" w:line="264" w:lineRule="auto"/>
        <w:rPr>
          <w:sz w:val="20"/>
          <w:szCs w:val="20"/>
          <w:color w:val="auto"/>
        </w:rPr>
      </w:pPr>
      <w:r>
        <w:rPr>
          <w:rFonts w:ascii="Times New Roman" w:cs="Times New Roman" w:eastAsia="Times New Roman" w:hAnsi="Times New Roman"/>
          <w:sz w:val="13"/>
          <w:szCs w:val="13"/>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123" w:lineRule="exact"/>
        <w:rPr>
          <w:sz w:val="20"/>
          <w:szCs w:val="20"/>
          <w:color w:val="auto"/>
        </w:rPr>
      </w:pPr>
    </w:p>
    <w:p>
      <w:pPr>
        <w:ind w:right="260" w:firstLine="203"/>
        <w:spacing w:after="0" w:line="264" w:lineRule="auto"/>
        <w:rPr>
          <w:sz w:val="20"/>
          <w:szCs w:val="20"/>
          <w:color w:val="auto"/>
        </w:rPr>
      </w:pPr>
      <w:r>
        <w:rPr>
          <w:rFonts w:ascii="Times New Roman" w:cs="Times New Roman" w:eastAsia="Times New Roman" w:hAnsi="Times New Roman"/>
          <w:sz w:val="13"/>
          <w:szCs w:val="13"/>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173595" cy="12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90"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color w:val="auto"/>
        </w:rPr>
        <w:t>14. Subsequent Events</w:t>
      </w:r>
    </w:p>
    <w:p>
      <w:pPr>
        <w:spacing w:after="0" w:line="154" w:lineRule="exact"/>
        <w:rPr>
          <w:sz w:val="20"/>
          <w:szCs w:val="20"/>
          <w:color w:val="auto"/>
        </w:rPr>
      </w:pPr>
    </w:p>
    <w:p>
      <w:pPr>
        <w:ind w:right="100" w:firstLine="203"/>
        <w:spacing w:after="0" w:line="253" w:lineRule="auto"/>
        <w:rPr>
          <w:sz w:val="20"/>
          <w:szCs w:val="20"/>
          <w:color w:val="auto"/>
        </w:rPr>
      </w:pPr>
      <w:r>
        <w:rPr>
          <w:rFonts w:ascii="Times New Roman" w:cs="Times New Roman" w:eastAsia="Times New Roman" w:hAnsi="Times New Roman"/>
          <w:sz w:val="13"/>
          <w:szCs w:val="13"/>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129" w:lineRule="exact"/>
        <w:rPr>
          <w:sz w:val="20"/>
          <w:szCs w:val="20"/>
          <w:color w:val="auto"/>
        </w:rPr>
      </w:pPr>
    </w:p>
    <w:p>
      <w:pPr>
        <w:ind w:firstLine="203"/>
        <w:spacing w:after="0" w:line="253" w:lineRule="auto"/>
        <w:rPr>
          <w:sz w:val="20"/>
          <w:szCs w:val="20"/>
          <w:color w:val="auto"/>
        </w:rPr>
      </w:pPr>
      <w:r>
        <w:rPr>
          <w:rFonts w:ascii="Times New Roman" w:cs="Times New Roman" w:eastAsia="Times New Roman" w:hAnsi="Times New Roman"/>
          <w:sz w:val="13"/>
          <w:szCs w:val="13"/>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173595" cy="12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220"/>
          </w:cols>
          <w:pgMar w:left="300" w:top="275"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6"/>
        </w:trPr>
        <w:tc>
          <w:tcPr>
            <w:tcW w:w="7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99.2</w:t>
            </w:r>
          </w:p>
        </w:tc>
      </w:tr>
      <w:tr>
        <w:trPr>
          <w:trHeight w:val="286"/>
        </w:trPr>
        <w:tc>
          <w:tcPr>
            <w:tcW w:w="7200" w:type="dxa"/>
            <w:vAlign w:val="bottom"/>
          </w:tcPr>
          <w:p>
            <w:pPr>
              <w:jc w:val="center"/>
              <w:ind w:left="4017"/>
              <w:spacing w:after="0"/>
              <w:rPr>
                <w:sz w:val="20"/>
                <w:szCs w:val="20"/>
                <w:color w:val="auto"/>
              </w:rPr>
            </w:pPr>
            <w:r>
              <w:rPr>
                <w:rFonts w:ascii="Times New Roman" w:cs="Times New Roman" w:eastAsia="Times New Roman" w:hAnsi="Times New Roman"/>
                <w:sz w:val="13"/>
                <w:szCs w:val="13"/>
                <w:b w:val="1"/>
                <w:bCs w:val="1"/>
                <w:color w:val="auto"/>
                <w:w w:val="96"/>
              </w:rPr>
              <w:t>Cartesian Therapeutics, Inc.</w:t>
            </w: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51"/>
        </w:trPr>
        <w:tc>
          <w:tcPr>
            <w:tcW w:w="7200" w:type="dxa"/>
            <w:vAlign w:val="bottom"/>
          </w:tcPr>
          <w:p>
            <w:pPr>
              <w:jc w:val="center"/>
              <w:ind w:left="4017"/>
              <w:spacing w:after="0"/>
              <w:rPr>
                <w:sz w:val="20"/>
                <w:szCs w:val="20"/>
                <w:color w:val="auto"/>
              </w:rPr>
            </w:pPr>
            <w:r>
              <w:rPr>
                <w:rFonts w:ascii="Times New Roman" w:cs="Times New Roman" w:eastAsia="Times New Roman" w:hAnsi="Times New Roman"/>
                <w:sz w:val="13"/>
                <w:szCs w:val="13"/>
                <w:b w:val="1"/>
                <w:bCs w:val="1"/>
                <w:color w:val="auto"/>
                <w:w w:val="96"/>
              </w:rPr>
              <w:t>Balance Sheets</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1"/>
        </w:trPr>
        <w:tc>
          <w:tcPr>
            <w:tcW w:w="7200" w:type="dxa"/>
            <w:vAlign w:val="bottom"/>
          </w:tcPr>
          <w:p>
            <w:pPr>
              <w:jc w:val="center"/>
              <w:ind w:left="4017"/>
              <w:spacing w:after="0"/>
              <w:rPr>
                <w:sz w:val="20"/>
                <w:szCs w:val="20"/>
                <w:color w:val="auto"/>
              </w:rPr>
            </w:pPr>
            <w:r>
              <w:rPr>
                <w:rFonts w:ascii="Times New Roman" w:cs="Times New Roman" w:eastAsia="Times New Roman" w:hAnsi="Times New Roman"/>
                <w:sz w:val="13"/>
                <w:szCs w:val="13"/>
                <w:b w:val="1"/>
                <w:bCs w:val="1"/>
                <w:color w:val="auto"/>
                <w:w w:val="96"/>
              </w:rPr>
              <w:t>(Amounts in thousands, except share data)</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66"/>
        </w:trPr>
        <w:tc>
          <w:tcPr>
            <w:tcW w:w="7200" w:type="dxa"/>
            <w:vAlign w:val="bottom"/>
          </w:tcPr>
          <w:p>
            <w:pPr>
              <w:jc w:val="center"/>
              <w:ind w:left="4017"/>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09"/>
        </w:trPr>
        <w:tc>
          <w:tcPr>
            <w:tcW w:w="7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5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51"/>
        </w:trPr>
        <w:tc>
          <w:tcPr>
            <w:tcW w:w="7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520" w:type="dxa"/>
            <w:vAlign w:val="bottom"/>
            <w:gridSpan w:val="2"/>
            <w:shd w:val="clear" w:color="auto" w:fill="CCEEFF"/>
          </w:tcPr>
          <w:p>
            <w:pPr>
              <w:jc w:val="right"/>
              <w:ind w:right="1362"/>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6,875</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12,001</w:t>
            </w:r>
          </w:p>
        </w:tc>
      </w:tr>
      <w:tr>
        <w:trPr>
          <w:trHeight w:val="151"/>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r>
      <w:tr>
        <w:trPr>
          <w:trHeight w:val="15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Payroll tax credit receivable</w:t>
            </w:r>
          </w:p>
        </w:tc>
        <w:tc>
          <w:tcPr>
            <w:tcW w:w="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r>
      <w:tr>
        <w:trPr>
          <w:trHeight w:val="160"/>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69"/>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assets</w:t>
            </w:r>
          </w:p>
        </w:tc>
        <w:tc>
          <w:tcPr>
            <w:tcW w:w="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136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8,168</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13,405</w:t>
            </w:r>
          </w:p>
        </w:tc>
      </w:tr>
      <w:tr>
        <w:trPr>
          <w:trHeight w:val="129"/>
        </w:trPr>
        <w:tc>
          <w:tcPr>
            <w:tcW w:w="72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5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151"/>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Right-of-use asset, net</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w:t>
            </w:r>
          </w:p>
        </w:tc>
      </w:tr>
      <w:tr>
        <w:trPr>
          <w:trHeight w:val="180"/>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Security deposit</w:t>
            </w:r>
          </w:p>
        </w:tc>
        <w:tc>
          <w:tcPr>
            <w:tcW w:w="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6"/>
        </w:trPr>
        <w:tc>
          <w:tcPr>
            <w:tcW w:w="7200" w:type="dxa"/>
            <w:vAlign w:val="bottom"/>
            <w:tcBorders>
              <w:bottom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Total assets</w:t>
            </w:r>
          </w:p>
        </w:tc>
        <w:tc>
          <w:tcPr>
            <w:tcW w:w="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136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9,312</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14,610</w:t>
            </w:r>
          </w:p>
        </w:tc>
      </w:tr>
      <w:tr>
        <w:trPr>
          <w:trHeight w:val="151"/>
        </w:trPr>
        <w:tc>
          <w:tcPr>
            <w:tcW w:w="7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Liabilities, preferred stock and stockholders' deficit</w:t>
            </w:r>
          </w:p>
        </w:tc>
        <w:tc>
          <w:tcPr>
            <w:tcW w:w="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51"/>
        </w:trPr>
        <w:tc>
          <w:tcPr>
            <w:tcW w:w="7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liability</w:t>
            </w:r>
          </w:p>
        </w:tc>
        <w:tc>
          <w:tcPr>
            <w:tcW w:w="1520" w:type="dxa"/>
            <w:vAlign w:val="bottom"/>
            <w:gridSpan w:val="2"/>
            <w:shd w:val="clear" w:color="auto" w:fill="CCEEFF"/>
          </w:tcPr>
          <w:p>
            <w:pPr>
              <w:jc w:val="right"/>
              <w:ind w:right="1362"/>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151"/>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NIH liability</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r>
      <w:tr>
        <w:trPr>
          <w:trHeight w:val="180"/>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w:t>
            </w:r>
          </w:p>
        </w:tc>
      </w:tr>
      <w:tr>
        <w:trPr>
          <w:trHeight w:val="129"/>
        </w:trPr>
        <w:tc>
          <w:tcPr>
            <w:tcW w:w="72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Total current liabilities</w:t>
            </w:r>
          </w:p>
        </w:tc>
        <w:tc>
          <w:tcPr>
            <w:tcW w:w="4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136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2,355</w:t>
            </w: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1,638</w:t>
            </w:r>
          </w:p>
        </w:tc>
      </w:tr>
      <w:tr>
        <w:trPr>
          <w:trHeight w:val="14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60"/>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Lease liability, net of current</w:t>
            </w:r>
          </w:p>
        </w:tc>
        <w:tc>
          <w:tcPr>
            <w:tcW w:w="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880</w:t>
            </w:r>
          </w:p>
        </w:tc>
      </w:tr>
      <w:tr>
        <w:trPr>
          <w:trHeight w:val="169"/>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136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3,098</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2,518</w:t>
            </w:r>
          </w:p>
        </w:tc>
      </w:tr>
      <w:tr>
        <w:trPr>
          <w:trHeight w:val="129"/>
        </w:trPr>
        <w:tc>
          <w:tcPr>
            <w:tcW w:w="72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Commitments and contingencies (Note 10)</w:t>
            </w:r>
          </w:p>
        </w:tc>
        <w:tc>
          <w:tcPr>
            <w:tcW w:w="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5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Series A Preferred Stock; $0.01 par value, 220 authorized, 219.125 issued and outstanding as of September 30, 2023 and December 31, 2022</w:t>
            </w:r>
          </w:p>
        </w:tc>
        <w:tc>
          <w:tcPr>
            <w:tcW w:w="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9,623</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9,623</w:t>
            </w:r>
          </w:p>
        </w:tc>
      </w:tr>
      <w:tr>
        <w:trPr>
          <w:trHeight w:val="151"/>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w w:val="97"/>
              </w:rPr>
              <w:t>Series B Preferred Stock; $0.01 par value, 110 authorized, 109.267 issued and outstanding as of September 30, 2023 and December 31, 2022</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7,128</w:t>
            </w:r>
          </w:p>
        </w:tc>
      </w:tr>
      <w:tr>
        <w:trPr>
          <w:trHeight w:val="15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8"/>
              </w:rPr>
              <w:t>Series B-1 Preferred Stock; $0.01 par value, 77 authorized, 65.017 issued and outstanding as of September 30, 2023 and December 31, 2022</w:t>
            </w:r>
          </w:p>
        </w:tc>
        <w:tc>
          <w:tcPr>
            <w:tcW w:w="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3,162</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3,162</w:t>
            </w:r>
          </w:p>
        </w:tc>
      </w:tr>
      <w:tr>
        <w:trPr>
          <w:trHeight w:val="151"/>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w w:val="96"/>
              </w:rPr>
              <w:t>Series B-2 Preferred Stock; $0.01 par value, 195 authorized, 193.644 issued and outstanding as of September 30, 2023 and December 31, 2022</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12,144</w:t>
            </w:r>
          </w:p>
        </w:tc>
        <w:tc>
          <w:tcPr>
            <w:tcW w:w="2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12,144</w:t>
            </w:r>
          </w:p>
        </w:tc>
      </w:tr>
      <w:tr>
        <w:trPr>
          <w:trHeight w:val="15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B-2 Preferred Stock Subscription Receivable</w:t>
            </w:r>
          </w:p>
        </w:tc>
        <w:tc>
          <w:tcPr>
            <w:tcW w:w="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w:t>
            </w:r>
          </w:p>
        </w:tc>
      </w:tr>
      <w:tr>
        <w:trPr>
          <w:trHeight w:val="151"/>
        </w:trPr>
        <w:tc>
          <w:tcPr>
            <w:tcW w:w="7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Stockholders' deficit:</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38"/>
        </w:trPr>
        <w:tc>
          <w:tcPr>
            <w:tcW w:w="72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Common stock, $0.01 par value, 3,200 authorized, 1,244.625 issued and outstanding as of September 30, 2023 and 1,240.625 issued and</w:t>
            </w:r>
          </w:p>
        </w:tc>
        <w:tc>
          <w:tcPr>
            <w:tcW w:w="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6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 as of December 31, 2022</w:t>
            </w:r>
          </w:p>
        </w:tc>
        <w:tc>
          <w:tcPr>
            <w:tcW w:w="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51"/>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7,432</w:t>
            </w:r>
          </w:p>
        </w:tc>
      </w:tr>
      <w:tr>
        <w:trPr>
          <w:trHeight w:val="18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4"/>
              </w:rPr>
              <w:t>(33,828)</w:t>
            </w: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(26,064)</w:t>
            </w:r>
          </w:p>
        </w:tc>
      </w:tr>
      <w:tr>
        <w:trPr>
          <w:trHeight w:val="129"/>
        </w:trPr>
        <w:tc>
          <w:tcPr>
            <w:tcW w:w="7200" w:type="dxa"/>
            <w:vAlign w:val="bottom"/>
            <w:tcBorders>
              <w:top w:val="single" w:sz="8" w:color="CCEEFF"/>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Total stockholders’ deficit</w:t>
            </w:r>
          </w:p>
        </w:tc>
        <w:tc>
          <w:tcPr>
            <w:tcW w:w="40" w:type="dxa"/>
            <w:vAlign w:val="bottom"/>
            <w:tcBorders>
              <w:top w:val="single" w:sz="8" w:color="CCEEFF"/>
              <w:bottom w:val="single" w:sz="8" w:color="CCEEFF"/>
            </w:tcBorders>
          </w:tcPr>
          <w:p>
            <w:pPr>
              <w:spacing w:after="0"/>
              <w:rPr>
                <w:sz w:val="11"/>
                <w:szCs w:val="11"/>
                <w:color w:val="auto"/>
              </w:rPr>
            </w:pPr>
          </w:p>
        </w:tc>
        <w:tc>
          <w:tcPr>
            <w:tcW w:w="1480" w:type="dxa"/>
            <w:vAlign w:val="bottom"/>
            <w:tcBorders>
              <w:top w:val="single" w:sz="8" w:color="auto"/>
              <w:bottom w:val="single" w:sz="8" w:color="auto"/>
            </w:tcBorders>
          </w:tcPr>
          <w:p>
            <w:pPr>
              <w:jc w:val="right"/>
              <w:ind w:right="136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(25,843)</w:t>
            </w:r>
          </w:p>
        </w:tc>
        <w:tc>
          <w:tcPr>
            <w:tcW w:w="220" w:type="dxa"/>
            <w:vAlign w:val="bottom"/>
            <w:tcBorders>
              <w:top w:val="single" w:sz="8" w:color="CCEEFF"/>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(18,632)</w:t>
            </w:r>
          </w:p>
        </w:tc>
      </w:tr>
      <w:tr>
        <w:trPr>
          <w:trHeight w:val="176"/>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preferred stock and stockholders' deficit</w:t>
            </w:r>
          </w:p>
        </w:tc>
        <w:tc>
          <w:tcPr>
            <w:tcW w:w="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136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9,312</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14,610</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7359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3595" cy="2413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7173595" cy="1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28" w:right="29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Grant revenue: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Operating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Research and development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General and administrative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operating expenses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Loss from operations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income, net: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income, net</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p>
      <w:pPr>
        <w:spacing w:after="0" w:line="16"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1"/>
          <w:szCs w:val="11"/>
          <w:b w:val="1"/>
          <w:bCs w:val="1"/>
          <w:color w:val="auto"/>
        </w:rPr>
        <w:t>Statements of Operations and Comprehensive Loss</w:t>
      </w:r>
    </w:p>
    <w:p>
      <w:pPr>
        <w:spacing w:after="0" w:line="24"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3"/>
          <w:szCs w:val="13"/>
          <w:b w:val="1"/>
          <w:bCs w:val="1"/>
          <w:color w:val="auto"/>
        </w:rPr>
        <w:t>(Amounts in thousands)</w:t>
      </w:r>
    </w:p>
    <w:p>
      <w:pPr>
        <w:spacing w:after="0" w:line="1"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3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p>
      <w:pPr>
        <w:spacing w:after="0" w:line="16" w:lineRule="exact"/>
        <w:rPr>
          <w:sz w:val="20"/>
          <w:szCs w:val="20"/>
          <w:color w:val="auto"/>
        </w:rPr>
      </w:pPr>
    </w:p>
    <w:tbl>
      <w:tblPr>
        <w:tblLayout w:type="fixed"/>
        <w:tblInd w:w="29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20" w:type="dxa"/>
            <w:vAlign w:val="bottom"/>
          </w:tcPr>
          <w:p>
            <w:pPr>
              <w:spacing w:after="0"/>
              <w:rPr>
                <w:sz w:val="14"/>
                <w:szCs w:val="14"/>
                <w:color w:val="auto"/>
              </w:rPr>
            </w:pPr>
          </w:p>
        </w:tc>
      </w:tr>
      <w:tr>
        <w:trPr>
          <w:trHeight w:val="42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6,965</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5,273</w:t>
            </w:r>
          </w:p>
        </w:tc>
      </w:tr>
      <w:tr>
        <w:trPr>
          <w:trHeight w:val="172"/>
        </w:trPr>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1,069</w:t>
            </w:r>
          </w:p>
        </w:tc>
      </w:tr>
      <w:tr>
        <w:trPr>
          <w:trHeight w:val="151"/>
        </w:trPr>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8,251</w:t>
            </w:r>
          </w:p>
        </w:tc>
        <w:tc>
          <w:tcPr>
            <w:tcW w:w="2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6,342</w:t>
            </w:r>
          </w:p>
        </w:tc>
      </w:tr>
      <w:tr>
        <w:trPr>
          <w:trHeight w:val="163"/>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(8,251)</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(5,307)</w:t>
            </w:r>
          </w:p>
        </w:tc>
      </w:tr>
      <w:tr>
        <w:trPr>
          <w:trHeight w:val="275"/>
        </w:trPr>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311</w:t>
            </w:r>
          </w:p>
        </w:tc>
        <w:tc>
          <w:tcPr>
            <w:tcW w:w="440" w:type="dxa"/>
            <w:vAlign w:val="bottom"/>
          </w:tcPr>
          <w:p>
            <w:pPr>
              <w:spacing w:after="0"/>
              <w:rPr>
                <w:sz w:val="23"/>
                <w:szCs w:val="23"/>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w:t>
            </w:r>
          </w:p>
        </w:tc>
      </w:tr>
      <w:tr>
        <w:trPr>
          <w:trHeight w:val="164"/>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-991235</wp:posOffset>
            </wp:positionV>
            <wp:extent cx="7173595" cy="101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3595" cy="10160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-793750</wp:posOffset>
            </wp:positionV>
            <wp:extent cx="7173595" cy="95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3595" cy="9588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-602615</wp:posOffset>
            </wp:positionV>
            <wp:extent cx="7173595" cy="1073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3595" cy="10731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-387985</wp:posOffset>
            </wp:positionV>
            <wp:extent cx="7173595" cy="101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3595" cy="10160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-190500</wp:posOffset>
            </wp:positionV>
            <wp:extent cx="7173595" cy="95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3595" cy="958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60" w:space="720"/>
            <w:col w:w="7020"/>
          </w:cols>
          <w:pgMar w:left="300" w:top="275" w:right="299" w:bottom="1440" w:gutter="0" w:footer="0" w:header="0"/>
        </w:sectPr>
      </w:pPr>
    </w:p>
    <w:tbl>
      <w:tblPr>
        <w:tblLayout w:type="fixed"/>
        <w:tblInd w:w="0" w:type="dxa"/>
        <w:tblCellMar>
          <w:top w:w="0" w:type="dxa"/>
          <w:left w:w="0" w:type="dxa"/>
          <w:bottom w:w="0" w:type="dxa"/>
          <w:right w:w="0" w:type="dxa"/>
        </w:tblCellMar>
      </w:tblPr>
      <w:tr>
        <w:trPr>
          <w:trHeight w:val="178"/>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other income</w:t>
            </w:r>
          </w:p>
        </w:tc>
        <w:tc>
          <w:tcPr>
            <w:tcW w:w="31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39"/>
        </w:trPr>
        <w:tc>
          <w:tcPr>
            <w:tcW w:w="40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Net loss</w:t>
            </w:r>
          </w:p>
        </w:tc>
        <w:tc>
          <w:tcPr>
            <w:tcW w:w="3140" w:type="dxa"/>
            <w:vAlign w:val="bottom"/>
          </w:tcPr>
          <w:p>
            <w:pPr>
              <w:spacing w:after="0"/>
              <w:rPr>
                <w:sz w:val="12"/>
                <w:szCs w:val="12"/>
                <w:color w:val="auto"/>
              </w:rPr>
            </w:pPr>
          </w:p>
        </w:tc>
        <w:tc>
          <w:tcPr>
            <w:tcW w:w="820" w:type="dxa"/>
            <w:vAlign w:val="bottom"/>
            <w:tcBorders>
              <w:bottom w:val="single" w:sz="8" w:color="auto"/>
            </w:tcBorders>
          </w:tcPr>
          <w:p>
            <w:pPr>
              <w:jc w:val="right"/>
              <w:ind w:right="677"/>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(7,764)</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(5,186)</w:t>
            </w:r>
          </w:p>
        </w:tc>
      </w:tr>
      <w:tr>
        <w:trPr>
          <w:trHeight w:val="20"/>
        </w:trPr>
        <w:tc>
          <w:tcPr>
            <w:tcW w:w="4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7173595"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type w:val="continuous"/>
        </w:sectPr>
      </w:pPr>
    </w:p>
    <w:bookmarkStart w:id="22" w:name="page23"/>
    <w:bookmarkEnd w:id="22"/>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Statements of Preferred Stock and Stockholders’ Deficit</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(Amounts in thousands, except share amounts)</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860" w:type="dxa"/>
            <w:vAlign w:val="bottom"/>
            <w:gridSpan w:val="2"/>
            <w:vMerge w:val="restart"/>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800" w:type="dxa"/>
            <w:vAlign w:val="bottom"/>
            <w:gridSpan w:val="2"/>
            <w:vMerge w:val="restart"/>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Series B-1</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Series B-2</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Series B-2</w:t>
            </w:r>
          </w:p>
        </w:tc>
        <w:tc>
          <w:tcPr>
            <w:tcW w:w="140" w:type="dxa"/>
            <w:vAlign w:val="bottom"/>
          </w:tcPr>
          <w:p>
            <w:pPr>
              <w:spacing w:after="0"/>
              <w:rPr>
                <w:sz w:val="12"/>
                <w:szCs w:val="12"/>
                <w:color w:val="auto"/>
              </w:rPr>
            </w:pPr>
          </w:p>
        </w:tc>
        <w:tc>
          <w:tcPr>
            <w:tcW w:w="6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160" w:type="dxa"/>
            <w:vAlign w:val="bottom"/>
          </w:tcPr>
          <w:p>
            <w:pPr>
              <w:spacing w:after="0"/>
              <w:rPr>
                <w:sz w:val="12"/>
                <w:szCs w:val="12"/>
                <w:color w:val="auto"/>
              </w:rPr>
            </w:pPr>
          </w:p>
        </w:tc>
        <w:tc>
          <w:tcPr>
            <w:tcW w:w="70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6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660" w:type="dxa"/>
            <w:vAlign w:val="bottom"/>
          </w:tcPr>
          <w:p>
            <w:pPr>
              <w:spacing w:after="0"/>
              <w:rPr>
                <w:sz w:val="4"/>
                <w:szCs w:val="4"/>
                <w:color w:val="auto"/>
              </w:rPr>
            </w:pPr>
          </w:p>
        </w:tc>
        <w:tc>
          <w:tcPr>
            <w:tcW w:w="800" w:type="dxa"/>
            <w:vAlign w:val="bottom"/>
            <w:gridSpan w:val="2"/>
            <w:vMerge w:val="restart"/>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860" w:type="dxa"/>
            <w:vAlign w:val="bottom"/>
            <w:gridSpan w:val="2"/>
            <w:vMerge w:val="restart"/>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800" w:type="dxa"/>
            <w:vAlign w:val="bottom"/>
            <w:gridSpan w:val="2"/>
            <w:vMerge w:val="restart"/>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2"/>
              </w:rPr>
              <w:t>Preferred</w:t>
            </w:r>
          </w:p>
        </w:tc>
        <w:tc>
          <w:tcPr>
            <w:tcW w:w="920" w:type="dxa"/>
            <w:vAlign w:val="bottom"/>
            <w:gridSpan w:val="2"/>
            <w:vMerge w:val="restart"/>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700" w:type="dxa"/>
            <w:vAlign w:val="bottom"/>
            <w:tcBorders>
              <w:right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160" w:type="dxa"/>
            <w:vAlign w:val="bottom"/>
          </w:tcPr>
          <w:p>
            <w:pPr>
              <w:spacing w:after="0"/>
              <w:rPr>
                <w:sz w:val="4"/>
                <w:szCs w:val="4"/>
                <w:color w:val="auto"/>
              </w:rPr>
            </w:pPr>
          </w:p>
        </w:tc>
        <w:tc>
          <w:tcPr>
            <w:tcW w:w="70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Preferred</w:t>
            </w: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6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1"/>
              </w:rPr>
              <w:t>Additional</w:t>
            </w:r>
          </w:p>
        </w:tc>
        <w:tc>
          <w:tcPr>
            <w:tcW w:w="640" w:type="dxa"/>
            <w:vAlign w:val="bottom"/>
          </w:tcPr>
          <w:p>
            <w:pPr>
              <w:spacing w:after="0"/>
              <w:rPr>
                <w:sz w:val="8"/>
                <w:szCs w:val="8"/>
                <w:color w:val="auto"/>
              </w:rPr>
            </w:pPr>
          </w:p>
        </w:tc>
        <w:tc>
          <w:tcPr>
            <w:tcW w:w="820" w:type="dxa"/>
            <w:vAlign w:val="bottom"/>
            <w:vMerge w:val="restart"/>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8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60" w:type="dxa"/>
            <w:vAlign w:val="bottom"/>
            <w:gridSpan w:val="2"/>
          </w:tcPr>
          <w:p>
            <w:pPr>
              <w:jc w:val="center"/>
              <w:ind w:left="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0" w:type="dxa"/>
            <w:vAlign w:val="bottom"/>
            <w:gridSpan w:val="2"/>
          </w:tcPr>
          <w:p>
            <w:pPr>
              <w:jc w:val="center"/>
              <w:ind w:left="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0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1"/>
                <w:szCs w:val="11"/>
                <w:color w:val="auto"/>
              </w:rPr>
            </w:pPr>
          </w:p>
        </w:tc>
        <w:tc>
          <w:tcPr>
            <w:tcW w:w="700" w:type="dxa"/>
            <w:vAlign w:val="bottom"/>
          </w:tcPr>
          <w:p>
            <w:pPr>
              <w:jc w:val="center"/>
              <w:ind w:right="9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6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5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6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right w:val="single" w:sz="8" w:color="auto"/>
            </w:tcBorders>
          </w:tcPr>
          <w:p>
            <w:pPr>
              <w:jc w:val="center"/>
              <w:spacing w:after="0" w:line="37" w:lineRule="exact"/>
              <w:rPr>
                <w:sz w:val="20"/>
                <w:szCs w:val="20"/>
                <w:color w:val="auto"/>
              </w:rPr>
            </w:pPr>
            <w:r>
              <w:rPr>
                <w:rFonts w:ascii="Times New Roman" w:cs="Times New Roman" w:eastAsia="Times New Roman" w:hAnsi="Times New Roman"/>
                <w:sz w:val="4"/>
                <w:szCs w:val="4"/>
                <w:b w:val="1"/>
                <w:bCs w:val="1"/>
                <w:color w:val="auto"/>
              </w:rPr>
              <w:t>Subscription</w:t>
            </w: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Pr>
          <w:p>
            <w:pPr>
              <w:ind w:left="80"/>
              <w:spacing w:after="0" w:line="37" w:lineRule="exact"/>
              <w:rPr>
                <w:sz w:val="20"/>
                <w:szCs w:val="20"/>
                <w:color w:val="auto"/>
              </w:rPr>
            </w:pPr>
            <w:r>
              <w:rPr>
                <w:rFonts w:ascii="Times New Roman" w:cs="Times New Roman" w:eastAsia="Times New Roman" w:hAnsi="Times New Roman"/>
                <w:sz w:val="4"/>
                <w:szCs w:val="4"/>
                <w:b w:val="1"/>
                <w:bCs w:val="1"/>
                <w:color w:val="auto"/>
              </w:rPr>
              <w:t>Paid-In</w:t>
            </w:r>
          </w:p>
        </w:tc>
        <w:tc>
          <w:tcPr>
            <w:tcW w:w="1460" w:type="dxa"/>
            <w:vAlign w:val="bottom"/>
            <w:gridSpan w:val="2"/>
          </w:tcPr>
          <w:p>
            <w:pPr>
              <w:ind w:left="20"/>
              <w:spacing w:after="0" w:line="37" w:lineRule="exact"/>
              <w:rPr>
                <w:sz w:val="20"/>
                <w:szCs w:val="20"/>
                <w:color w:val="auto"/>
              </w:rPr>
            </w:pPr>
            <w:r>
              <w:rPr>
                <w:rFonts w:ascii="Times New Roman" w:cs="Times New Roman" w:eastAsia="Times New Roman" w:hAnsi="Times New Roman"/>
                <w:sz w:val="4"/>
                <w:szCs w:val="4"/>
                <w:b w:val="1"/>
                <w:bCs w:val="1"/>
                <w:color w:val="auto"/>
              </w:rPr>
              <w:t>AccumulatedStockholders'</w:t>
            </w:r>
          </w:p>
        </w:tc>
        <w:tc>
          <w:tcPr>
            <w:tcW w:w="0" w:type="dxa"/>
            <w:vAlign w:val="bottom"/>
          </w:tcPr>
          <w:p>
            <w:pPr>
              <w:spacing w:after="0"/>
              <w:rPr>
                <w:sz w:val="1"/>
                <w:szCs w:val="1"/>
                <w:color w:val="auto"/>
              </w:rPr>
            </w:pPr>
          </w:p>
        </w:tc>
      </w:tr>
      <w:tr>
        <w:trPr>
          <w:trHeight w:val="187"/>
        </w:trPr>
        <w:tc>
          <w:tcPr>
            <w:tcW w:w="2660" w:type="dxa"/>
            <w:vAlign w:val="bottom"/>
            <w:tcBorders>
              <w:bottom w:val="single" w:sz="8" w:color="CCEEFF"/>
            </w:tcBorders>
          </w:tcPr>
          <w:p>
            <w:pPr>
              <w:spacing w:after="0"/>
              <w:rPr>
                <w:sz w:val="16"/>
                <w:szCs w:val="16"/>
                <w:color w:val="auto"/>
              </w:rPr>
            </w:pPr>
          </w:p>
        </w:tc>
        <w:tc>
          <w:tcPr>
            <w:tcW w:w="4080" w:type="dxa"/>
            <w:vAlign w:val="bottom"/>
            <w:tcBorders>
              <w:bottom w:val="single" w:sz="8" w:color="auto"/>
              <w:right w:val="single" w:sz="8" w:color="auto"/>
            </w:tcBorders>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Shares Amount Shares AmountSharesAmount Shares Amount Receivable</w:t>
            </w: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7"/>
              </w:rPr>
              <w:t>SharesAmountSharesAmount</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2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69"/>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219.125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$9,623</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109.267</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$7,128</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65.017</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$3,162</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193.644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$12,144</w:t>
            </w:r>
          </w:p>
        </w:tc>
        <w:tc>
          <w:tcPr>
            <w:tcW w:w="700" w:type="dxa"/>
            <w:vAlign w:val="bottom"/>
            <w:tcBorders>
              <w:bottom w:val="single" w:sz="8" w:color="auto"/>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$(1,333)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rPr>
              <w:t>1,240.625</w:t>
            </w:r>
          </w:p>
        </w:tc>
        <w:tc>
          <w:tcPr>
            <w:tcW w:w="440" w:type="dxa"/>
            <w:vAlign w:val="bottom"/>
            <w:tcBorders>
              <w:bottom w:val="single" w:sz="8" w:color="auto"/>
            </w:tcBorders>
            <w:shd w:val="clear" w:color="auto" w:fill="CCEEFF"/>
          </w:tcPr>
          <w:p>
            <w:pPr>
              <w:jc w:val="center"/>
              <w:ind w:right="23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$7,432</w:t>
            </w: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$(26,064)</w:t>
            </w:r>
          </w:p>
        </w:tc>
        <w:tc>
          <w:tcPr>
            <w:tcW w:w="820" w:type="dxa"/>
            <w:vAlign w:val="bottom"/>
            <w:tcBorders>
              <w:bottom w:val="single" w:sz="8" w:color="auto"/>
            </w:tcBorders>
            <w:shd w:val="clear" w:color="auto" w:fill="CCEEFF"/>
          </w:tcPr>
          <w:p>
            <w:pPr>
              <w:jc w:val="center"/>
              <w:ind w:right="97"/>
              <w:spacing w:after="0"/>
              <w:rPr>
                <w:sz w:val="20"/>
                <w:szCs w:val="20"/>
                <w:color w:val="auto"/>
              </w:rPr>
            </w:pPr>
            <w:r>
              <w:rPr>
                <w:rFonts w:ascii="Times New Roman" w:cs="Times New Roman" w:eastAsia="Times New Roman" w:hAnsi="Times New Roman"/>
                <w:sz w:val="13"/>
                <w:szCs w:val="13"/>
                <w:color w:val="auto"/>
                <w:w w:val="98"/>
              </w:rPr>
              <w:t>$(18,632)</w:t>
            </w: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w w:val="95"/>
              </w:rPr>
              <w:t>Subscription Receivable from preferred stockholders</w:t>
            </w:r>
          </w:p>
        </w:tc>
        <w:tc>
          <w:tcPr>
            <w:tcW w:w="40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center"/>
              <w:ind w:right="1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right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3"/>
                <w:szCs w:val="13"/>
                <w:color w:val="auto"/>
              </w:rPr>
              <w:t>1,333</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center"/>
              <w:ind w:right="2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center"/>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right w:val="single" w:sz="8" w:color="auto"/>
            </w:tcBorders>
            <w:shd w:val="clear" w:color="auto" w:fill="CCEEFF"/>
          </w:tcPr>
          <w:p>
            <w:pPr>
              <w:jc w:val="center"/>
              <w:ind w:right="42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center"/>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461</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461</w:t>
            </w:r>
          </w:p>
        </w:tc>
        <w:tc>
          <w:tcPr>
            <w:tcW w:w="0" w:type="dxa"/>
            <w:vAlign w:val="bottom"/>
          </w:tcPr>
          <w:p>
            <w:pPr>
              <w:spacing w:after="0"/>
              <w:rPr>
                <w:sz w:val="1"/>
                <w:szCs w:val="1"/>
                <w:color w:val="auto"/>
              </w:rPr>
            </w:pPr>
          </w:p>
        </w:tc>
      </w:tr>
      <w:tr>
        <w:trPr>
          <w:trHeight w:val="151"/>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options to purchase common stock</w:t>
            </w: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right w:val="single" w:sz="8" w:color="auto"/>
            </w:tcBorders>
          </w:tcPr>
          <w:p>
            <w:pPr>
              <w:jc w:val="center"/>
              <w:ind w:right="42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4.000</w:t>
            </w:r>
          </w:p>
        </w:tc>
        <w:tc>
          <w:tcPr>
            <w:tcW w:w="440" w:type="dxa"/>
            <w:vAlign w:val="bottom"/>
          </w:tcPr>
          <w:p>
            <w:pPr>
              <w:jc w:val="center"/>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92</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center"/>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right w:val="single" w:sz="8" w:color="auto"/>
            </w:tcBorders>
            <w:shd w:val="clear" w:color="auto" w:fill="CCEEFF"/>
          </w:tcPr>
          <w:p>
            <w:pPr>
              <w:jc w:val="center"/>
              <w:ind w:right="42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center"/>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(7,764)</w:t>
            </w:r>
          </w:p>
        </w:tc>
        <w:tc>
          <w:tcPr>
            <w:tcW w:w="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(7,764)</w:t>
            </w:r>
          </w:p>
        </w:tc>
        <w:tc>
          <w:tcPr>
            <w:tcW w:w="0" w:type="dxa"/>
            <w:vAlign w:val="bottom"/>
          </w:tcPr>
          <w:p>
            <w:pPr>
              <w:spacing w:after="0"/>
              <w:rPr>
                <w:sz w:val="1"/>
                <w:szCs w:val="1"/>
                <w:color w:val="auto"/>
              </w:rPr>
            </w:pPr>
          </w:p>
        </w:tc>
      </w:tr>
      <w:tr>
        <w:trPr>
          <w:trHeight w:val="129"/>
        </w:trPr>
        <w:tc>
          <w:tcPr>
            <w:tcW w:w="26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89"/>
              </w:rPr>
              <w:t>219.125</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$9,623</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109.267</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$7,128</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65.017</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$3,162</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193.644</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$12,144</w:t>
            </w:r>
          </w:p>
        </w:tc>
        <w:tc>
          <w:tcPr>
            <w:tcW w:w="700" w:type="dxa"/>
            <w:vAlign w:val="bottom"/>
            <w:tcBorders>
              <w:bottom w:val="single" w:sz="8" w:color="auto"/>
              <w:right w:val="single" w:sz="8" w:color="auto"/>
            </w:tcBorders>
          </w:tcPr>
          <w:p>
            <w:pPr>
              <w:jc w:val="center"/>
              <w:ind w:right="422"/>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6"/>
              </w:rPr>
              <w:t>1,244.625</w:t>
            </w:r>
          </w:p>
        </w:tc>
        <w:tc>
          <w:tcPr>
            <w:tcW w:w="440" w:type="dxa"/>
            <w:vAlign w:val="bottom"/>
            <w:tcBorders>
              <w:bottom w:val="single" w:sz="8" w:color="auto"/>
            </w:tcBorders>
          </w:tcPr>
          <w:p>
            <w:pPr>
              <w:jc w:val="center"/>
              <w:ind w:right="2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$7,985</w:t>
            </w:r>
          </w:p>
        </w:tc>
        <w:tc>
          <w:tcPr>
            <w:tcW w:w="64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$(33,828)</w:t>
            </w:r>
          </w:p>
        </w:tc>
        <w:tc>
          <w:tcPr>
            <w:tcW w:w="82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color w:val="auto"/>
                <w:w w:val="98"/>
              </w:rPr>
              <w:t>$(25,843)</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66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860" w:type="dxa"/>
            <w:vAlign w:val="bottom"/>
            <w:gridSpan w:val="2"/>
            <w:vMerge w:val="restart"/>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800" w:type="dxa"/>
            <w:vAlign w:val="bottom"/>
            <w:gridSpan w:val="2"/>
            <w:vMerge w:val="restart"/>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Series B-1</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Series B-2</w:t>
            </w:r>
          </w:p>
        </w:tc>
        <w:tc>
          <w:tcPr>
            <w:tcW w:w="7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6"/>
              </w:rPr>
              <w:t>Series B-2</w:t>
            </w:r>
          </w:p>
        </w:tc>
        <w:tc>
          <w:tcPr>
            <w:tcW w:w="140" w:type="dxa"/>
            <w:vAlign w:val="bottom"/>
          </w:tcPr>
          <w:p>
            <w:pPr>
              <w:spacing w:after="0"/>
              <w:rPr>
                <w:sz w:val="11"/>
                <w:szCs w:val="11"/>
                <w:color w:val="auto"/>
              </w:rPr>
            </w:pPr>
          </w:p>
        </w:tc>
        <w:tc>
          <w:tcPr>
            <w:tcW w:w="6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160" w:type="dxa"/>
            <w:vAlign w:val="bottom"/>
          </w:tcPr>
          <w:p>
            <w:pPr>
              <w:spacing w:after="0"/>
              <w:rPr>
                <w:sz w:val="11"/>
                <w:szCs w:val="11"/>
                <w:color w:val="auto"/>
              </w:rPr>
            </w:pPr>
          </w:p>
        </w:tc>
        <w:tc>
          <w:tcPr>
            <w:tcW w:w="70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6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660" w:type="dxa"/>
            <w:vAlign w:val="bottom"/>
          </w:tcPr>
          <w:p>
            <w:pPr>
              <w:spacing w:after="0"/>
              <w:rPr>
                <w:sz w:val="4"/>
                <w:szCs w:val="4"/>
                <w:color w:val="auto"/>
              </w:rPr>
            </w:pPr>
          </w:p>
        </w:tc>
        <w:tc>
          <w:tcPr>
            <w:tcW w:w="800" w:type="dxa"/>
            <w:vAlign w:val="bottom"/>
            <w:gridSpan w:val="2"/>
            <w:vMerge w:val="restart"/>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860" w:type="dxa"/>
            <w:vAlign w:val="bottom"/>
            <w:gridSpan w:val="2"/>
            <w:vMerge w:val="restart"/>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800" w:type="dxa"/>
            <w:vAlign w:val="bottom"/>
            <w:gridSpan w:val="2"/>
            <w:vMerge w:val="restart"/>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2"/>
              </w:rPr>
              <w:t>Preferred</w:t>
            </w:r>
          </w:p>
        </w:tc>
        <w:tc>
          <w:tcPr>
            <w:tcW w:w="920" w:type="dxa"/>
            <w:vAlign w:val="bottom"/>
            <w:gridSpan w:val="2"/>
            <w:vMerge w:val="restart"/>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700" w:type="dxa"/>
            <w:vAlign w:val="bottom"/>
            <w:tcBorders>
              <w:right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160" w:type="dxa"/>
            <w:vAlign w:val="bottom"/>
          </w:tcPr>
          <w:p>
            <w:pPr>
              <w:spacing w:after="0"/>
              <w:rPr>
                <w:sz w:val="4"/>
                <w:szCs w:val="4"/>
                <w:color w:val="auto"/>
              </w:rPr>
            </w:pPr>
          </w:p>
        </w:tc>
        <w:tc>
          <w:tcPr>
            <w:tcW w:w="70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Preferred</w:t>
            </w: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6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1"/>
              </w:rPr>
              <w:t>Additional</w:t>
            </w:r>
          </w:p>
        </w:tc>
        <w:tc>
          <w:tcPr>
            <w:tcW w:w="640" w:type="dxa"/>
            <w:vAlign w:val="bottom"/>
          </w:tcPr>
          <w:p>
            <w:pPr>
              <w:spacing w:after="0"/>
              <w:rPr>
                <w:sz w:val="8"/>
                <w:szCs w:val="8"/>
                <w:color w:val="auto"/>
              </w:rPr>
            </w:pPr>
          </w:p>
        </w:tc>
        <w:tc>
          <w:tcPr>
            <w:tcW w:w="820" w:type="dxa"/>
            <w:vAlign w:val="bottom"/>
            <w:vMerge w:val="restart"/>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8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60" w:type="dxa"/>
            <w:vAlign w:val="bottom"/>
            <w:gridSpan w:val="2"/>
          </w:tcPr>
          <w:p>
            <w:pPr>
              <w:jc w:val="center"/>
              <w:ind w:left="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0" w:type="dxa"/>
            <w:vAlign w:val="bottom"/>
            <w:gridSpan w:val="2"/>
          </w:tcPr>
          <w:p>
            <w:pPr>
              <w:jc w:val="center"/>
              <w:ind w:left="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0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1"/>
                <w:szCs w:val="11"/>
                <w:color w:val="auto"/>
              </w:rPr>
            </w:pPr>
          </w:p>
        </w:tc>
        <w:tc>
          <w:tcPr>
            <w:tcW w:w="700" w:type="dxa"/>
            <w:vAlign w:val="bottom"/>
          </w:tcPr>
          <w:p>
            <w:pPr>
              <w:jc w:val="center"/>
              <w:ind w:right="9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6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5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6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right w:val="single" w:sz="8" w:color="auto"/>
            </w:tcBorders>
          </w:tcPr>
          <w:p>
            <w:pPr>
              <w:jc w:val="center"/>
              <w:spacing w:after="0" w:line="37" w:lineRule="exact"/>
              <w:rPr>
                <w:sz w:val="20"/>
                <w:szCs w:val="20"/>
                <w:color w:val="auto"/>
              </w:rPr>
            </w:pPr>
            <w:r>
              <w:rPr>
                <w:rFonts w:ascii="Times New Roman" w:cs="Times New Roman" w:eastAsia="Times New Roman" w:hAnsi="Times New Roman"/>
                <w:sz w:val="4"/>
                <w:szCs w:val="4"/>
                <w:b w:val="1"/>
                <w:bCs w:val="1"/>
                <w:color w:val="auto"/>
              </w:rPr>
              <w:t>Subscription</w:t>
            </w: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Pr>
          <w:p>
            <w:pPr>
              <w:ind w:left="80"/>
              <w:spacing w:after="0" w:line="37" w:lineRule="exact"/>
              <w:rPr>
                <w:sz w:val="20"/>
                <w:szCs w:val="20"/>
                <w:color w:val="auto"/>
              </w:rPr>
            </w:pPr>
            <w:r>
              <w:rPr>
                <w:rFonts w:ascii="Times New Roman" w:cs="Times New Roman" w:eastAsia="Times New Roman" w:hAnsi="Times New Roman"/>
                <w:sz w:val="4"/>
                <w:szCs w:val="4"/>
                <w:b w:val="1"/>
                <w:bCs w:val="1"/>
                <w:color w:val="auto"/>
              </w:rPr>
              <w:t>Paid-In</w:t>
            </w:r>
          </w:p>
        </w:tc>
        <w:tc>
          <w:tcPr>
            <w:tcW w:w="1460" w:type="dxa"/>
            <w:vAlign w:val="bottom"/>
            <w:gridSpan w:val="2"/>
          </w:tcPr>
          <w:p>
            <w:pPr>
              <w:ind w:left="20"/>
              <w:spacing w:after="0" w:line="37" w:lineRule="exact"/>
              <w:rPr>
                <w:sz w:val="20"/>
                <w:szCs w:val="20"/>
                <w:color w:val="auto"/>
              </w:rPr>
            </w:pPr>
            <w:r>
              <w:rPr>
                <w:rFonts w:ascii="Times New Roman" w:cs="Times New Roman" w:eastAsia="Times New Roman" w:hAnsi="Times New Roman"/>
                <w:sz w:val="4"/>
                <w:szCs w:val="4"/>
                <w:b w:val="1"/>
                <w:bCs w:val="1"/>
                <w:color w:val="auto"/>
              </w:rPr>
              <w:t>AccumulatedShareholders'</w:t>
            </w:r>
          </w:p>
        </w:tc>
        <w:tc>
          <w:tcPr>
            <w:tcW w:w="0" w:type="dxa"/>
            <w:vAlign w:val="bottom"/>
          </w:tcPr>
          <w:p>
            <w:pPr>
              <w:spacing w:after="0"/>
              <w:rPr>
                <w:sz w:val="1"/>
                <w:szCs w:val="1"/>
                <w:color w:val="auto"/>
              </w:rPr>
            </w:pPr>
          </w:p>
        </w:tc>
      </w:tr>
      <w:tr>
        <w:trPr>
          <w:trHeight w:val="187"/>
        </w:trPr>
        <w:tc>
          <w:tcPr>
            <w:tcW w:w="2660" w:type="dxa"/>
            <w:vAlign w:val="bottom"/>
            <w:tcBorders>
              <w:bottom w:val="single" w:sz="8" w:color="CCEEFF"/>
            </w:tcBorders>
          </w:tcPr>
          <w:p>
            <w:pPr>
              <w:spacing w:after="0"/>
              <w:rPr>
                <w:sz w:val="16"/>
                <w:szCs w:val="16"/>
                <w:color w:val="auto"/>
              </w:rPr>
            </w:pPr>
          </w:p>
        </w:tc>
        <w:tc>
          <w:tcPr>
            <w:tcW w:w="4080" w:type="dxa"/>
            <w:vAlign w:val="bottom"/>
            <w:tcBorders>
              <w:bottom w:val="single" w:sz="8" w:color="auto"/>
              <w:right w:val="single" w:sz="8" w:color="auto"/>
            </w:tcBorders>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Shares Amount Shares AmountSharesAmount Shares Amount Receivable</w:t>
            </w: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7"/>
              </w:rPr>
              <w:t>SharesAmountSharesAmount</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2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69"/>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219.125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$9,623</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109.267</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$7,128</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65.017</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$3,162</w:t>
            </w:r>
          </w:p>
        </w:tc>
        <w:tc>
          <w:tcPr>
            <w:tcW w:w="46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center"/>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right w:val="single" w:sz="8" w:color="auto"/>
            </w:tcBorders>
            <w:shd w:val="clear" w:color="auto" w:fill="CCEEFF"/>
          </w:tcPr>
          <w:p>
            <w:pPr>
              <w:jc w:val="center"/>
              <w:ind w:right="422"/>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rPr>
              <w:t>1,237.625</w:t>
            </w:r>
          </w:p>
        </w:tc>
        <w:tc>
          <w:tcPr>
            <w:tcW w:w="440" w:type="dxa"/>
            <w:vAlign w:val="bottom"/>
            <w:tcBorders>
              <w:bottom w:val="single" w:sz="8" w:color="auto"/>
            </w:tcBorders>
            <w:shd w:val="clear" w:color="auto" w:fill="CCEEFF"/>
          </w:tcPr>
          <w:p>
            <w:pPr>
              <w:jc w:val="center"/>
              <w:ind w:right="23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$6,644</w:t>
            </w: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$(19,609)</w:t>
            </w:r>
          </w:p>
        </w:tc>
        <w:tc>
          <w:tcPr>
            <w:tcW w:w="820" w:type="dxa"/>
            <w:vAlign w:val="bottom"/>
            <w:tcBorders>
              <w:bottom w:val="single" w:sz="8" w:color="auto"/>
            </w:tcBorders>
            <w:shd w:val="clear" w:color="auto" w:fill="CCEEFF"/>
          </w:tcPr>
          <w:p>
            <w:pPr>
              <w:jc w:val="center"/>
              <w:ind w:right="97"/>
              <w:spacing w:after="0"/>
              <w:rPr>
                <w:sz w:val="20"/>
                <w:szCs w:val="20"/>
                <w:color w:val="auto"/>
              </w:rPr>
            </w:pPr>
            <w:r>
              <w:rPr>
                <w:rFonts w:ascii="Times New Roman" w:cs="Times New Roman" w:eastAsia="Times New Roman" w:hAnsi="Times New Roman"/>
                <w:sz w:val="13"/>
                <w:szCs w:val="13"/>
                <w:color w:val="auto"/>
                <w:w w:val="98"/>
              </w:rPr>
              <w:t>$(12,965)</w:t>
            </w: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40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center"/>
              <w:ind w:right="1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right w:val="single" w:sz="8" w:color="auto"/>
            </w:tcBorders>
          </w:tcPr>
          <w:p>
            <w:pPr>
              <w:jc w:val="center"/>
              <w:ind w:right="4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center"/>
              <w:ind w:right="2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579</w:t>
            </w: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97"/>
              <w:spacing w:after="0" w:line="129" w:lineRule="exact"/>
              <w:rPr>
                <w:sz w:val="20"/>
                <w:szCs w:val="20"/>
                <w:color w:val="auto"/>
              </w:rPr>
            </w:pPr>
            <w:r>
              <w:rPr>
                <w:rFonts w:ascii="Times New Roman" w:cs="Times New Roman" w:eastAsia="Times New Roman" w:hAnsi="Times New Roman"/>
                <w:sz w:val="13"/>
                <w:szCs w:val="13"/>
                <w:color w:val="auto"/>
              </w:rPr>
              <w:t>579</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center"/>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right w:val="single" w:sz="8" w:color="auto"/>
            </w:tcBorders>
            <w:shd w:val="clear" w:color="auto" w:fill="CCEEFF"/>
          </w:tcPr>
          <w:p>
            <w:pPr>
              <w:jc w:val="center"/>
              <w:ind w:right="42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center"/>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(5,186)</w:t>
            </w:r>
          </w:p>
        </w:tc>
        <w:tc>
          <w:tcPr>
            <w:tcW w:w="820" w:type="dxa"/>
            <w:vAlign w:val="bottom"/>
            <w:tcBorders>
              <w:bottom w:val="single" w:sz="8" w:color="auto"/>
            </w:tcBorders>
            <w:shd w:val="clear" w:color="auto" w:fill="CCEEFF"/>
          </w:tcPr>
          <w:p>
            <w:pPr>
              <w:jc w:val="center"/>
              <w:ind w:right="97"/>
              <w:spacing w:after="0"/>
              <w:rPr>
                <w:sz w:val="20"/>
                <w:szCs w:val="20"/>
                <w:color w:val="auto"/>
              </w:rPr>
            </w:pPr>
            <w:r>
              <w:rPr>
                <w:rFonts w:ascii="Times New Roman" w:cs="Times New Roman" w:eastAsia="Times New Roman" w:hAnsi="Times New Roman"/>
                <w:sz w:val="13"/>
                <w:szCs w:val="13"/>
                <w:color w:val="auto"/>
              </w:rPr>
              <w:t>(5,186)</w:t>
            </w: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2022</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89"/>
              </w:rPr>
              <w:t>219.125</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$9,623</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109.267</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$7,128</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65.017</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$3,162</w:t>
            </w:r>
          </w:p>
        </w:tc>
        <w:tc>
          <w:tcPr>
            <w:tcW w:w="4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right w:val="single" w:sz="8" w:color="auto"/>
            </w:tcBorders>
          </w:tcPr>
          <w:p>
            <w:pPr>
              <w:jc w:val="center"/>
              <w:ind w:right="422"/>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6"/>
              </w:rPr>
              <w:t>1,237.625</w:t>
            </w:r>
          </w:p>
        </w:tc>
        <w:tc>
          <w:tcPr>
            <w:tcW w:w="440" w:type="dxa"/>
            <w:vAlign w:val="bottom"/>
            <w:tcBorders>
              <w:bottom w:val="single" w:sz="8" w:color="auto"/>
            </w:tcBorders>
          </w:tcPr>
          <w:p>
            <w:pPr>
              <w:jc w:val="center"/>
              <w:ind w:right="2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$7,223</w:t>
            </w:r>
          </w:p>
        </w:tc>
        <w:tc>
          <w:tcPr>
            <w:tcW w:w="64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$(24,795)</w:t>
            </w:r>
          </w:p>
        </w:tc>
        <w:tc>
          <w:tcPr>
            <w:tcW w:w="82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color w:val="auto"/>
                <w:w w:val="98"/>
              </w:rPr>
              <w:t>$(17,572)</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7173595"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60"/>
          </w:cols>
          <w:pgMar w:left="300" w:top="275" w:right="23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Statements of Cash Flows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(Amounts in thousands)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Nine Months Ended September 30,</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00" w:type="dxa"/>
            <w:vAlign w:val="bottom"/>
            <w:tcBorders>
              <w:bottom w:val="single" w:sz="8" w:color="CCEEFF"/>
            </w:tcBorders>
          </w:tcPr>
          <w:p>
            <w:pPr>
              <w:spacing w:after="0"/>
              <w:rPr>
                <w:sz w:val="13"/>
                <w:szCs w:val="13"/>
                <w:color w:val="auto"/>
              </w:rPr>
            </w:pPr>
          </w:p>
        </w:tc>
        <w:tc>
          <w:tcPr>
            <w:tcW w:w="18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900" w:type="dxa"/>
            <w:vAlign w:val="bottom"/>
            <w:gridSpan w:val="2"/>
          </w:tcPr>
          <w:p>
            <w:pPr>
              <w:jc w:val="right"/>
              <w:ind w:right="9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(7,764)</w:t>
            </w:r>
          </w:p>
        </w:tc>
        <w:tc>
          <w:tcPr>
            <w:tcW w:w="940" w:type="dxa"/>
            <w:vAlign w:val="bottom"/>
            <w:gridSpan w:val="2"/>
          </w:tcPr>
          <w:p>
            <w:pPr>
              <w:jc w:val="right"/>
              <w:ind w:right="68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expense</w:t>
            </w:r>
          </w:p>
        </w:tc>
        <w:tc>
          <w:tcPr>
            <w:tcW w:w="1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Non-cash lease expense</w:t>
            </w:r>
          </w:p>
        </w:tc>
        <w:tc>
          <w:tcPr>
            <w:tcW w:w="1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1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Payroll tax credit receivable</w:t>
            </w:r>
          </w:p>
        </w:tc>
        <w:tc>
          <w:tcPr>
            <w:tcW w:w="1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1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(92)</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1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NIH liability</w:t>
            </w:r>
          </w:p>
        </w:tc>
        <w:tc>
          <w:tcPr>
            <w:tcW w:w="1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8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used in operating activites</w:t>
            </w:r>
          </w:p>
        </w:tc>
        <w:tc>
          <w:tcPr>
            <w:tcW w:w="18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(6,501)</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8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Borders>
              <w:top w:val="single" w:sz="8" w:color="CCEEFF"/>
              <w:bottom w:val="single" w:sz="8" w:color="CCEEFF"/>
            </w:tcBorders>
          </w:tcPr>
          <w:p>
            <w:pPr>
              <w:ind w:left="36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800" w:type="dxa"/>
            <w:vAlign w:val="bottom"/>
            <w:tcBorders>
              <w:top w:val="single" w:sz="8" w:color="CCEEFF"/>
              <w:bottom w:val="single" w:sz="8" w:color="CCEEFF"/>
            </w:tcBorders>
          </w:tcPr>
          <w:p>
            <w:pPr>
              <w:spacing w:after="0"/>
              <w:rPr>
                <w:sz w:val="11"/>
                <w:szCs w:val="11"/>
                <w:color w:val="auto"/>
              </w:rPr>
            </w:pPr>
          </w:p>
        </w:tc>
        <w:tc>
          <w:tcPr>
            <w:tcW w:w="1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14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CCEEFF"/>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Net proceeds from issuance of Series B-2 Preferred Stock</w:t>
            </w:r>
          </w:p>
        </w:tc>
        <w:tc>
          <w:tcPr>
            <w:tcW w:w="1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8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0" w:type="dxa"/>
            <w:vAlign w:val="bottom"/>
            <w:tcBorders>
              <w:bottom w:val="single" w:sz="8" w:color="CCEEFF"/>
            </w:tcBorders>
          </w:tcPr>
          <w:p>
            <w:pPr>
              <w:ind w:left="360"/>
              <w:spacing w:after="0" w:line="133"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180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1,425</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1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12,001</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18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4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equipment not yet paid</w:t>
            </w:r>
          </w:p>
        </w:tc>
        <w:tc>
          <w:tcPr>
            <w:tcW w:w="2900" w:type="dxa"/>
            <w:vAlign w:val="bottom"/>
            <w:gridSpan w:val="2"/>
          </w:tcPr>
          <w:p>
            <w:pPr>
              <w:jc w:val="right"/>
              <w:ind w:right="9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spacing w:after="0"/>
              <w:rPr>
                <w:sz w:val="14"/>
                <w:szCs w:val="14"/>
                <w:color w:val="auto"/>
              </w:rPr>
            </w:pPr>
          </w:p>
        </w:tc>
        <w:tc>
          <w:tcPr>
            <w:tcW w:w="940" w:type="dxa"/>
            <w:vAlign w:val="bottom"/>
            <w:gridSpan w:val="2"/>
          </w:tcPr>
          <w:p>
            <w:pPr>
              <w:jc w:val="right"/>
              <w:ind w:right="68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financial statements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7173595"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the Unaudited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Description of the Business</w:t>
      </w:r>
    </w:p>
    <w:p>
      <w:pPr>
        <w:spacing w:after="0" w:line="154" w:lineRule="exact"/>
        <w:rPr>
          <w:sz w:val="20"/>
          <w:szCs w:val="20"/>
          <w:color w:val="auto"/>
        </w:rPr>
      </w:pPr>
    </w:p>
    <w:p>
      <w:pPr>
        <w:ind w:right="460" w:firstLine="203"/>
        <w:spacing w:after="0" w:line="264" w:lineRule="auto"/>
        <w:rPr>
          <w:sz w:val="20"/>
          <w:szCs w:val="20"/>
          <w:color w:val="auto"/>
        </w:rPr>
      </w:pPr>
      <w:r>
        <w:rPr>
          <w:rFonts w:ascii="Times New Roman" w:cs="Times New Roman" w:eastAsia="Times New Roman" w:hAnsi="Times New Roman"/>
          <w:sz w:val="13"/>
          <w:szCs w:val="13"/>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123" w:lineRule="exact"/>
        <w:rPr>
          <w:sz w:val="20"/>
          <w:szCs w:val="20"/>
          <w:color w:val="auto"/>
        </w:rPr>
      </w:pPr>
    </w:p>
    <w:p>
      <w:pPr>
        <w:jc w:val="both"/>
        <w:ind w:right="120" w:firstLine="203"/>
        <w:spacing w:after="0" w:line="249" w:lineRule="auto"/>
        <w:rPr>
          <w:sz w:val="20"/>
          <w:szCs w:val="20"/>
          <w:color w:val="auto"/>
        </w:rPr>
      </w:pPr>
      <w:r>
        <w:rPr>
          <w:rFonts w:ascii="Times New Roman" w:cs="Times New Roman" w:eastAsia="Times New Roman" w:hAnsi="Times New Roman"/>
          <w:sz w:val="13"/>
          <w:szCs w:val="13"/>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32" w:lineRule="exact"/>
        <w:rPr>
          <w:sz w:val="20"/>
          <w:szCs w:val="20"/>
          <w:color w:val="auto"/>
        </w:rPr>
      </w:pPr>
    </w:p>
    <w:p>
      <w:pPr>
        <w:jc w:val="both"/>
        <w:ind w:right="40" w:firstLine="203"/>
        <w:spacing w:after="0" w:line="320" w:lineRule="auto"/>
        <w:rPr>
          <w:sz w:val="20"/>
          <w:szCs w:val="20"/>
          <w:color w:val="auto"/>
        </w:rPr>
      </w:pPr>
      <w:r>
        <w:rPr>
          <w:rFonts w:ascii="Times New Roman" w:cs="Times New Roman" w:eastAsia="Times New Roman" w:hAnsi="Times New Roman"/>
          <w:sz w:val="11"/>
          <w:szCs w:val="11"/>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Unaudited Interim Financial Information</w:t>
      </w:r>
    </w:p>
    <w:p>
      <w:pPr>
        <w:spacing w:after="0" w:line="154" w:lineRule="exact"/>
        <w:rPr>
          <w:sz w:val="20"/>
          <w:szCs w:val="20"/>
          <w:color w:val="auto"/>
        </w:rPr>
      </w:pPr>
    </w:p>
    <w:p>
      <w:pPr>
        <w:ind w:right="60" w:firstLine="203"/>
        <w:spacing w:after="0" w:line="298" w:lineRule="auto"/>
        <w:rPr>
          <w:sz w:val="20"/>
          <w:szCs w:val="20"/>
          <w:color w:val="auto"/>
        </w:rPr>
      </w:pPr>
      <w:r>
        <w:rPr>
          <w:rFonts w:ascii="Times New Roman" w:cs="Times New Roman" w:eastAsia="Times New Roman" w:hAnsi="Times New Roman"/>
          <w:sz w:val="11"/>
          <w:szCs w:val="11"/>
          <w:color w:val="auto"/>
        </w:rPr>
        <w:t>The accompanying unaudited financial statements for the nine months ended September 30, 2023 and 2022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financial statements should be read in conjunction with the Company’s audited financial statements and the notes thereto for the year ended December 31, 2022. The unaudited interim financial statements have been prepared on the same basis as the audited financial statements. In the opinion of management, the accompanying unaudited interim financial statements contain all adjustments that are necessary for a fair statement of the Company’s financial position as of September 30, 2023 and December 31, 2022, the results of operations for the nine months ended September 30, 2023 and 2022, and cash flows for the nine months ended September 30, 2023 and 2022. Such adjustments are of a normal and recurring nature. The results of operations for the nine months ended September 30, 2023 are not necessarily indicative of the results of operations that may be expected for the year ending December 31, 2023.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Management’s Plan</w:t>
      </w:r>
    </w:p>
    <w:p>
      <w:pPr>
        <w:spacing w:after="0" w:line="154" w:lineRule="exact"/>
        <w:rPr>
          <w:sz w:val="20"/>
          <w:szCs w:val="20"/>
          <w:color w:val="auto"/>
        </w:rPr>
      </w:pPr>
    </w:p>
    <w:p>
      <w:pPr>
        <w:ind w:firstLine="203"/>
        <w:spacing w:after="0" w:line="264" w:lineRule="auto"/>
        <w:rPr>
          <w:sz w:val="20"/>
          <w:szCs w:val="20"/>
          <w:color w:val="auto"/>
        </w:rPr>
      </w:pPr>
      <w:r>
        <w:rPr>
          <w:rFonts w:ascii="Times New Roman" w:cs="Times New Roman" w:eastAsia="Times New Roman" w:hAnsi="Times New Roman"/>
          <w:sz w:val="13"/>
          <w:szCs w:val="13"/>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As of September 30, 2023, the Company’s cash and cash equivalents were $6.9 million. On November 13, 2023, the Company merged with Selecta Biosciences, Inc. (Selecta). See Note 12 for further details.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Summary of Significant Accounting Policies</w:t>
      </w:r>
    </w:p>
    <w:p>
      <w:pPr>
        <w:spacing w:after="0" w:line="154"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3"/>
          <w:szCs w:val="13"/>
          <w:color w:val="auto"/>
        </w:rPr>
        <w:t>The Company disclosed its significant accounting policies in Note 2 – Summary of Significant Accounting Policies included in the Company’s annual financial statements for the year ended December 31, 2022 included elsewhere in this filing. There have been no material changes to the Company’s significant accounting policies during the nine months ended September 30, 2023, with the exception of the matters discussed in recent accounting pronouncements.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Recently Adopted</w:t>
      </w:r>
    </w:p>
    <w:p>
      <w:pPr>
        <w:spacing w:after="0" w:line="152" w:lineRule="exact"/>
        <w:rPr>
          <w:sz w:val="20"/>
          <w:szCs w:val="20"/>
          <w:color w:val="auto"/>
        </w:rPr>
      </w:pPr>
    </w:p>
    <w:p>
      <w:pPr>
        <w:ind w:right="80"/>
        <w:spacing w:after="0" w:line="304" w:lineRule="auto"/>
        <w:rPr>
          <w:sz w:val="20"/>
          <w:szCs w:val="20"/>
          <w:color w:val="auto"/>
        </w:rPr>
      </w:pPr>
      <w:r>
        <w:rPr>
          <w:rFonts w:ascii="Times New Roman" w:cs="Times New Roman" w:eastAsia="Times New Roman" w:hAnsi="Times New Roman"/>
          <w:sz w:val="11"/>
          <w:szCs w:val="11"/>
          <w:color w:val="auto"/>
        </w:rPr>
        <w:t xml:space="preserve">In June 2016, the FASB issued ASU 2016-13, </w:t>
      </w:r>
      <w:r>
        <w:rPr>
          <w:rFonts w:ascii="Times New Roman" w:cs="Times New Roman" w:eastAsia="Times New Roman" w:hAnsi="Times New Roman"/>
          <w:sz w:val="11"/>
          <w:szCs w:val="11"/>
          <w:i w:val="1"/>
          <w:iCs w:val="1"/>
          <w:color w:val="auto"/>
        </w:rPr>
        <w:t>Financial Instruments-Credit Losses (Topic 326), Measurement of Credit Losses on Financial Instruments</w:t>
      </w:r>
      <w:r>
        <w:rPr>
          <w:rFonts w:ascii="Times New Roman" w:cs="Times New Roman" w:eastAsia="Times New Roman" w:hAnsi="Times New Roman"/>
          <w:sz w:val="11"/>
          <w:szCs w:val="11"/>
          <w:color w:val="auto"/>
        </w:rPr>
        <w:t xml:space="preserve">. Subsequently, in November 2018, the FASB issued ASU 2018-19, </w:t>
      </w:r>
      <w:r>
        <w:rPr>
          <w:rFonts w:ascii="Times New Roman" w:cs="Times New Roman" w:eastAsia="Times New Roman" w:hAnsi="Times New Roman"/>
          <w:sz w:val="11"/>
          <w:szCs w:val="11"/>
          <w:i w:val="1"/>
          <w:iCs w:val="1"/>
          <w:color w:val="auto"/>
        </w:rPr>
        <w:t>Codification Improvements to Topic 326, Financial Instruments-Credit Losses</w:t>
      </w:r>
      <w:r>
        <w:rPr>
          <w:rFonts w:ascii="Times New Roman" w:cs="Times New Roman" w:eastAsia="Times New Roman" w:hAnsi="Times New Roman"/>
          <w:sz w:val="11"/>
          <w:szCs w:val="11"/>
          <w:color w:val="auto"/>
        </w:rPr>
        <w:t>. ASU 2016-13 requires entities to measure all expected credit losses for most financial assets held at the reporting date based on an expected loss</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73595"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6"/>
        </w:trPr>
        <w:tc>
          <w:tcPr>
            <w:tcW w:w="5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3. Fair Value Measurements</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1"/>
        </w:trPr>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96"/>
              </w:rPr>
              <w:t>The following tables present the Company’s assets and liabilities that are measured at fair value on a recurring basis (in thousands):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9"/>
        </w:trPr>
        <w:tc>
          <w:tcPr>
            <w:tcW w:w="5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59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 w:type="dxa"/>
            <w:vAlign w:val="bottom"/>
          </w:tcPr>
          <w:p>
            <w:pPr>
              <w:spacing w:after="0"/>
              <w:rPr>
                <w:sz w:val="13"/>
                <w:szCs w:val="13"/>
                <w:color w:val="auto"/>
              </w:rPr>
            </w:pPr>
          </w:p>
        </w:tc>
      </w:tr>
      <w:tr>
        <w:trPr>
          <w:trHeight w:val="1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w:t>
            </w: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Money market funds (included in cash equivalents)</w:t>
            </w:r>
          </w:p>
        </w:tc>
        <w:tc>
          <w:tcPr>
            <w:tcW w:w="88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6,531</w:t>
            </w:r>
          </w:p>
        </w:tc>
        <w:tc>
          <w:tcPr>
            <w:tcW w:w="100" w:type="dxa"/>
            <w:vAlign w:val="bottom"/>
          </w:tcPr>
          <w:p>
            <w:pPr>
              <w:spacing w:after="0"/>
              <w:rPr>
                <w:sz w:val="13"/>
                <w:szCs w:val="13"/>
                <w:color w:val="auto"/>
              </w:rPr>
            </w:pPr>
          </w:p>
        </w:tc>
        <w:tc>
          <w:tcPr>
            <w:tcW w:w="92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6,531</w:t>
            </w:r>
          </w:p>
        </w:tc>
        <w:tc>
          <w:tcPr>
            <w:tcW w:w="1000" w:type="dxa"/>
            <w:vAlign w:val="bottom"/>
          </w:tcPr>
          <w:p>
            <w:pPr>
              <w:jc w:val="right"/>
              <w:ind w:right="7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7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88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r>
      <w:tr>
        <w:trPr>
          <w:trHeight w:val="151"/>
        </w:trPr>
        <w:tc>
          <w:tcPr>
            <w:tcW w:w="5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w:t>
            </w: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Contingent payment to NIH</w:t>
            </w:r>
          </w:p>
        </w:tc>
        <w:tc>
          <w:tcPr>
            <w:tcW w:w="88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569</w:t>
            </w:r>
          </w:p>
        </w:tc>
        <w:tc>
          <w:tcPr>
            <w:tcW w:w="92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7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20" w:type="dxa"/>
            <w:vAlign w:val="bottom"/>
          </w:tcPr>
          <w:p>
            <w:pPr>
              <w:spacing w:after="0"/>
              <w:rPr>
                <w:sz w:val="13"/>
                <w:szCs w:val="13"/>
                <w:color w:val="auto"/>
              </w:rPr>
            </w:pPr>
          </w:p>
        </w:tc>
      </w:tr>
      <w:tr>
        <w:trPr>
          <w:trHeight w:val="167"/>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88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20" w:type="dxa"/>
            <w:vAlign w:val="bottom"/>
          </w:tcPr>
          <w:p>
            <w:pPr>
              <w:spacing w:after="0"/>
              <w:rPr>
                <w:sz w:val="14"/>
                <w:szCs w:val="14"/>
                <w:color w:val="auto"/>
              </w:rPr>
            </w:pPr>
          </w:p>
        </w:tc>
      </w:tr>
      <w:tr>
        <w:trPr>
          <w:trHeight w:val="20"/>
        </w:trPr>
        <w:tc>
          <w:tcPr>
            <w:tcW w:w="59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9"/>
        </w:trPr>
        <w:tc>
          <w:tcPr>
            <w:tcW w:w="5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59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 w:type="dxa"/>
            <w:vAlign w:val="bottom"/>
          </w:tcPr>
          <w:p>
            <w:pPr>
              <w:spacing w:after="0"/>
              <w:rPr>
                <w:sz w:val="13"/>
                <w:szCs w:val="13"/>
                <w:color w:val="auto"/>
              </w:rPr>
            </w:pPr>
          </w:p>
        </w:tc>
      </w:tr>
      <w:tr>
        <w:trPr>
          <w:trHeight w:val="1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w:t>
            </w: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Money market funds (included in cash equivalents)</w:t>
            </w:r>
          </w:p>
        </w:tc>
        <w:tc>
          <w:tcPr>
            <w:tcW w:w="88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w:t>
            </w:r>
          </w:p>
        </w:tc>
        <w:tc>
          <w:tcPr>
            <w:tcW w:w="100" w:type="dxa"/>
            <w:vAlign w:val="bottom"/>
          </w:tcPr>
          <w:p>
            <w:pPr>
              <w:spacing w:after="0"/>
              <w:rPr>
                <w:sz w:val="13"/>
                <w:szCs w:val="13"/>
                <w:color w:val="auto"/>
              </w:rPr>
            </w:pPr>
          </w:p>
        </w:tc>
        <w:tc>
          <w:tcPr>
            <w:tcW w:w="92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1,004</w:t>
            </w:r>
          </w:p>
        </w:tc>
        <w:tc>
          <w:tcPr>
            <w:tcW w:w="1000" w:type="dxa"/>
            <w:vAlign w:val="bottom"/>
          </w:tcPr>
          <w:p>
            <w:pPr>
              <w:jc w:val="right"/>
              <w:ind w:right="7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71"/>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Certificates of deposits (included in cash equivalents)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r>
      <w:tr>
        <w:trPr>
          <w:trHeight w:val="156"/>
        </w:trPr>
        <w:tc>
          <w:tcPr>
            <w:tcW w:w="5980" w:type="dxa"/>
            <w:vAlign w:val="bottom"/>
            <w:tcBorders>
              <w:top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Total assets</w:t>
            </w:r>
          </w:p>
        </w:tc>
        <w:tc>
          <w:tcPr>
            <w:tcW w:w="880" w:type="dxa"/>
            <w:vAlign w:val="bottom"/>
            <w:tcBorders>
              <w:top w:val="single" w:sz="8" w:color="auto"/>
            </w:tcBorders>
          </w:tcPr>
          <w:p>
            <w:pPr>
              <w:jc w:val="right"/>
              <w:ind w:right="57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1,029</w:t>
            </w:r>
          </w:p>
        </w:tc>
        <w:tc>
          <w:tcPr>
            <w:tcW w:w="1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jc w:val="right"/>
              <w:ind w:right="637"/>
              <w:spacing w:after="0" w:line="13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gridSpan w:val="2"/>
          </w:tcPr>
          <w:p>
            <w:pPr>
              <w:jc w:val="right"/>
              <w:ind w:right="120"/>
              <w:spacing w:after="0" w:line="139" w:lineRule="exact"/>
              <w:rPr>
                <w:sz w:val="20"/>
                <w:szCs w:val="20"/>
                <w:color w:val="auto"/>
              </w:rPr>
            </w:pPr>
            <w:r>
              <w:rPr>
                <w:rFonts w:ascii="Times New Roman" w:cs="Times New Roman" w:eastAsia="Times New Roman" w:hAnsi="Times New Roman"/>
                <w:sz w:val="13"/>
                <w:szCs w:val="13"/>
                <w:color w:val="auto"/>
              </w:rPr>
              <w:t>1,029</w:t>
            </w:r>
          </w:p>
        </w:tc>
        <w:tc>
          <w:tcPr>
            <w:tcW w:w="1000" w:type="dxa"/>
            <w:vAlign w:val="bottom"/>
            <w:tcBorders>
              <w:top w:val="single" w:sz="8" w:color="auto"/>
            </w:tcBorders>
          </w:tcPr>
          <w:p>
            <w:pPr>
              <w:jc w:val="right"/>
              <w:ind w:right="717"/>
              <w:spacing w:after="0" w:line="13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tcPr>
          <w:p>
            <w:pPr>
              <w:ind w:left="120"/>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ind w:right="57"/>
              <w:spacing w:after="0" w:line="13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51"/>
        </w:trPr>
        <w:tc>
          <w:tcPr>
            <w:tcW w:w="59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Liabilities:</w:t>
            </w: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Contingent payment to NIH</w:t>
            </w:r>
          </w:p>
        </w:tc>
        <w:tc>
          <w:tcPr>
            <w:tcW w:w="88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461</w:t>
            </w:r>
          </w:p>
        </w:tc>
        <w:tc>
          <w:tcPr>
            <w:tcW w:w="9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20" w:type="dxa"/>
            <w:vAlign w:val="bottom"/>
          </w:tcPr>
          <w:p>
            <w:pPr>
              <w:spacing w:after="0"/>
              <w:rPr>
                <w:sz w:val="14"/>
                <w:szCs w:val="14"/>
                <w:color w:val="auto"/>
              </w:rPr>
            </w:pPr>
          </w:p>
        </w:tc>
      </w:tr>
      <w:tr>
        <w:trPr>
          <w:trHeight w:val="139"/>
        </w:trPr>
        <w:tc>
          <w:tcPr>
            <w:tcW w:w="5980" w:type="dxa"/>
            <w:vAlign w:val="bottom"/>
            <w:tcBorders>
              <w:top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Total liabilities</w:t>
            </w:r>
          </w:p>
        </w:tc>
        <w:tc>
          <w:tcPr>
            <w:tcW w:w="880" w:type="dxa"/>
            <w:vAlign w:val="bottom"/>
            <w:tcBorders>
              <w:top w:val="single" w:sz="8" w:color="auto"/>
              <w:bottom w:val="single" w:sz="8" w:color="auto"/>
            </w:tcBorders>
          </w:tcPr>
          <w:p>
            <w:pPr>
              <w:jc w:val="right"/>
              <w:ind w:right="57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461</w:t>
            </w:r>
          </w:p>
        </w:tc>
        <w:tc>
          <w:tcPr>
            <w:tcW w:w="100" w:type="dxa"/>
            <w:vAlign w:val="bottom"/>
            <w:tcBorders>
              <w:top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63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17"/>
              <w:spacing w:after="0" w:line="13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tcPr>
          <w:p>
            <w:pPr>
              <w:ind w:left="120"/>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57"/>
              <w:spacing w:after="0" w:line="13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461</w:t>
            </w:r>
          </w:p>
        </w:tc>
        <w:tc>
          <w:tcPr>
            <w:tcW w:w="20" w:type="dxa"/>
            <w:vAlign w:val="bottom"/>
            <w:tcBorders>
              <w:bottom w:val="single" w:sz="8" w:color="auto"/>
            </w:tcBorders>
          </w:tcPr>
          <w:p>
            <w:pPr>
              <w:spacing w:after="0"/>
              <w:rPr>
                <w:sz w:val="12"/>
                <w:szCs w:val="12"/>
                <w:color w:val="auto"/>
              </w:rPr>
            </w:pPr>
          </w:p>
        </w:tc>
      </w:tr>
      <w:tr>
        <w:trPr>
          <w:trHeight w:val="20"/>
        </w:trPr>
        <w:tc>
          <w:tcPr>
            <w:tcW w:w="5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8" w:lineRule="exact"/>
        <w:rPr>
          <w:sz w:val="20"/>
          <w:szCs w:val="20"/>
          <w:color w:val="auto"/>
        </w:rPr>
      </w:pPr>
    </w:p>
    <w:p>
      <w:pPr>
        <w:ind w:left="200"/>
        <w:spacing w:after="0" w:line="264" w:lineRule="auto"/>
        <w:rPr>
          <w:sz w:val="20"/>
          <w:szCs w:val="20"/>
          <w:color w:val="auto"/>
        </w:rPr>
      </w:pPr>
      <w:r>
        <w:rPr>
          <w:rFonts w:ascii="Times New Roman" w:cs="Times New Roman" w:eastAsia="Times New Roman" w:hAnsi="Times New Roman"/>
          <w:sz w:val="13"/>
          <w:szCs w:val="13"/>
          <w:color w:val="auto"/>
        </w:rPr>
        <w:t>The following table provides a reconciliation of all assets and liabilities measured at fair value using Level 3 significant unobservable inputs which were settled during the period from December 31, 2022 to September 30, 2023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7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9"/>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4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r>
      <w:tr>
        <w:trPr>
          <w:trHeight w:val="151"/>
        </w:trPr>
        <w:tc>
          <w:tcPr>
            <w:tcW w:w="9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Change in fair value of contingent payment to NIH</w:t>
            </w: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69"/>
        </w:trPr>
        <w:tc>
          <w:tcPr>
            <w:tcW w:w="9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September 30, 2023</w:t>
            </w:r>
          </w:p>
        </w:tc>
        <w:tc>
          <w:tcPr>
            <w:tcW w:w="4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r>
      <w:tr>
        <w:trPr>
          <w:trHeight w:val="280"/>
        </w:trPr>
        <w:tc>
          <w:tcPr>
            <w:tcW w:w="9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There were no transfers within the fair value hierarchy during the nine months ended September 30, 2023 or the year ended December 31, 2022.</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1"/>
        </w:trPr>
        <w:tc>
          <w:tcPr>
            <w:tcW w:w="9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4. Property and Equipment</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1"/>
        </w:trPr>
        <w:tc>
          <w:tcPr>
            <w:tcW w:w="9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Property and equipment consist of the following (in thousands):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5"/>
        </w:trPr>
        <w:tc>
          <w:tcPr>
            <w:tcW w:w="80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4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Laboratory equipment</w:t>
            </w:r>
          </w:p>
        </w:tc>
        <w:tc>
          <w:tcPr>
            <w:tcW w:w="124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w:t>
            </w:r>
          </w:p>
        </w:tc>
      </w:tr>
      <w:tr>
        <w:trPr>
          <w:trHeight w:val="168"/>
        </w:trPr>
        <w:tc>
          <w:tcPr>
            <w:tcW w:w="8020" w:type="dxa"/>
            <w:vAlign w:val="bottom"/>
          </w:tcPr>
          <w:p>
            <w:pPr>
              <w:jc w:val="right"/>
              <w:ind w:right="6397"/>
              <w:spacing w:after="0"/>
              <w:rPr>
                <w:sz w:val="20"/>
                <w:szCs w:val="20"/>
                <w:color w:val="auto"/>
              </w:rPr>
            </w:pPr>
            <w:r>
              <w:rPr>
                <w:rFonts w:ascii="Times New Roman" w:cs="Times New Roman" w:eastAsia="Times New Roman" w:hAnsi="Times New Roman"/>
                <w:sz w:val="13"/>
                <w:szCs w:val="13"/>
                <w:color w:val="auto"/>
                <w:w w:val="96"/>
              </w:rPr>
              <w:t>Less accumulated depreciation</w:t>
            </w:r>
          </w:p>
        </w:tc>
        <w:tc>
          <w:tcPr>
            <w:tcW w:w="124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(651)</w:t>
            </w: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r>
      <w:tr>
        <w:trPr>
          <w:trHeight w:val="180"/>
        </w:trPr>
        <w:tc>
          <w:tcPr>
            <w:tcW w:w="8020" w:type="dxa"/>
            <w:vAlign w:val="bottom"/>
            <w:tcBorders>
              <w:top w:val="single" w:sz="8" w:color="CCEEFF"/>
              <w:bottom w:val="single" w:sz="8" w:color="CCEEFF"/>
            </w:tcBorders>
            <w:shd w:val="clear" w:color="auto" w:fill="CCEEFF"/>
          </w:tcPr>
          <w:p>
            <w:pPr>
              <w:jc w:val="right"/>
              <w:ind w:right="6397"/>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24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299"/>
        </w:trPr>
        <w:tc>
          <w:tcPr>
            <w:tcW w:w="8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expense was approximately $69,000 and $88,000 for the nine months ended September 30,2023 and 2022, respectively.</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1"/>
        </w:trPr>
        <w:tc>
          <w:tcPr>
            <w:tcW w:w="8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5. Accrued Expenses and Other Current Liabilities</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1"/>
        </w:trPr>
        <w:tc>
          <w:tcPr>
            <w:tcW w:w="8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Accrued expenses and other current liabilities consist of the following (in thousands):</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5"/>
        </w:trPr>
        <w:tc>
          <w:tcPr>
            <w:tcW w:w="80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external research and development costs</w:t>
            </w:r>
          </w:p>
        </w:tc>
        <w:tc>
          <w:tcPr>
            <w:tcW w:w="124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20" w:type="dxa"/>
            <w:vAlign w:val="bottom"/>
          </w:tcPr>
          <w:p>
            <w:pPr>
              <w:spacing w:after="0"/>
              <w:rPr>
                <w:sz w:val="12"/>
                <w:szCs w:val="12"/>
                <w:color w:val="auto"/>
              </w:rPr>
            </w:pP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Accrued professional and consulting services</w:t>
            </w:r>
          </w:p>
        </w:tc>
        <w:tc>
          <w:tcPr>
            <w:tcW w:w="124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w:t>
            </w:r>
          </w:p>
        </w:tc>
        <w:tc>
          <w:tcPr>
            <w:tcW w:w="3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3"/>
                <w:szCs w:val="13"/>
                <w:color w:val="auto"/>
              </w:rPr>
            </w:pPr>
          </w:p>
        </w:tc>
      </w:tr>
      <w:tr>
        <w:trPr>
          <w:trHeight w:val="15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payroll</w:t>
            </w:r>
          </w:p>
        </w:tc>
        <w:tc>
          <w:tcPr>
            <w:tcW w:w="1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w:t>
            </w: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0" w:type="dxa"/>
            <w:vAlign w:val="bottom"/>
          </w:tcPr>
          <w:p>
            <w:pPr>
              <w:spacing w:after="0"/>
              <w:rPr>
                <w:sz w:val="13"/>
                <w:szCs w:val="13"/>
                <w:color w:val="auto"/>
              </w:rPr>
            </w:pP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Accrued equipment</w:t>
            </w:r>
          </w:p>
        </w:tc>
        <w:tc>
          <w:tcPr>
            <w:tcW w:w="124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w:t>
            </w:r>
          </w:p>
        </w:tc>
        <w:tc>
          <w:tcPr>
            <w:tcW w:w="3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8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 w:type="dxa"/>
            <w:vAlign w:val="bottom"/>
          </w:tcPr>
          <w:p>
            <w:pPr>
              <w:spacing w:after="0"/>
              <w:rPr>
                <w:sz w:val="15"/>
                <w:szCs w:val="15"/>
                <w:color w:val="auto"/>
              </w:rPr>
            </w:pPr>
          </w:p>
        </w:tc>
      </w:tr>
      <w:tr>
        <w:trPr>
          <w:trHeight w:val="139"/>
        </w:trPr>
        <w:tc>
          <w:tcPr>
            <w:tcW w:w="8020" w:type="dxa"/>
            <w:vAlign w:val="bottom"/>
            <w:tcBorders>
              <w:top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240" w:type="dxa"/>
            <w:vAlign w:val="bottom"/>
            <w:tcBorders>
              <w:top w:val="single" w:sz="8" w:color="auto"/>
              <w:bottom w:val="single" w:sz="8" w:color="auto"/>
            </w:tcBorders>
          </w:tcPr>
          <w:p>
            <w:pPr>
              <w:jc w:val="right"/>
              <w:ind w:right="957"/>
              <w:spacing w:after="0" w:line="13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1,513</w:t>
            </w: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3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949</w:t>
            </w:r>
          </w:p>
        </w:tc>
        <w:tc>
          <w:tcPr>
            <w:tcW w:w="20" w:type="dxa"/>
            <w:vAlign w:val="bottom"/>
            <w:tcBorders>
              <w:bottom w:val="single" w:sz="8" w:color="auto"/>
            </w:tcBorders>
          </w:tcPr>
          <w:p>
            <w:pPr>
              <w:spacing w:after="0"/>
              <w:rPr>
                <w:sz w:val="12"/>
                <w:szCs w:val="12"/>
                <w:color w:val="auto"/>
              </w:rPr>
            </w:pPr>
          </w:p>
        </w:tc>
      </w:tr>
      <w:tr>
        <w:trPr>
          <w:trHeight w:val="20"/>
        </w:trPr>
        <w:tc>
          <w:tcPr>
            <w:tcW w:w="8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0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bl>
    <w:p>
      <w:pPr>
        <w:sectPr>
          <w:pgSz w:w="11900" w:h="16838" w:orient="portrait"/>
          <w:cols w:equalWidth="0" w:num="1">
            <w:col w:w="11300"/>
          </w:cols>
          <w:pgMar w:left="300" w:top="275"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color w:val="auto"/>
        </w:rPr>
        <w:t>6. Leases</w:t>
      </w:r>
    </w:p>
    <w:p>
      <w:pPr>
        <w:spacing w:after="0" w:line="154" w:lineRule="exact"/>
        <w:rPr>
          <w:sz w:val="20"/>
          <w:szCs w:val="20"/>
          <w:color w:val="auto"/>
        </w:rPr>
      </w:pPr>
    </w:p>
    <w:p>
      <w:pPr>
        <w:ind w:right="100" w:firstLine="226"/>
        <w:spacing w:after="0" w:line="264" w:lineRule="auto"/>
        <w:rPr>
          <w:sz w:val="20"/>
          <w:szCs w:val="20"/>
          <w:color w:val="auto"/>
        </w:rPr>
      </w:pPr>
      <w:r>
        <w:rPr>
          <w:rFonts w:ascii="Times New Roman" w:cs="Times New Roman" w:eastAsia="Times New Roman" w:hAnsi="Times New Roman"/>
          <w:sz w:val="13"/>
          <w:szCs w:val="13"/>
          <w:color w:val="auto"/>
        </w:rPr>
        <w:t>The Company entered into an office lease in May 2018 for 4,762 square feet of space in an office building in Gaithersburg, Maryland. In 2021, the Company amended its lease for an additional 3,147 square feet of space in the same building and to extend the lease term for its current leased space. The lease ends for both leased spaces in December 2027. The lease does not contain any renewal rights.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 September 2023, the Company entered into an operating lease for a piece of lab equipment.</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01"/>
        </w:trPr>
        <w:tc>
          <w:tcPr>
            <w:tcW w:w="8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For the nine month ended September 30, 2023 and 2022, the components of lease costs were as follows (in thousands):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9"/>
        </w:trPr>
        <w:tc>
          <w:tcPr>
            <w:tcW w:w="8020" w:type="dxa"/>
            <w:vAlign w:val="bottom"/>
          </w:tcPr>
          <w:p>
            <w:pPr>
              <w:spacing w:after="0"/>
              <w:rPr>
                <w:sz w:val="24"/>
                <w:szCs w:val="24"/>
                <w:color w:val="auto"/>
              </w:rPr>
            </w:pPr>
          </w:p>
        </w:tc>
        <w:tc>
          <w:tcPr>
            <w:tcW w:w="292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360" w:type="dxa"/>
            <w:vAlign w:val="bottom"/>
            <w:tcBorders>
              <w:bottom w:val="single" w:sz="8" w:color="auto"/>
            </w:tcBorders>
          </w:tcPr>
          <w:p>
            <w:pPr>
              <w:spacing w:after="0"/>
              <w:rPr>
                <w:sz w:val="24"/>
                <w:szCs w:val="24"/>
                <w:color w:val="auto"/>
              </w:rPr>
            </w:pPr>
          </w:p>
        </w:tc>
      </w:tr>
      <w:tr>
        <w:trPr>
          <w:trHeight w:val="151"/>
        </w:trPr>
        <w:tc>
          <w:tcPr>
            <w:tcW w:w="80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360" w:type="dxa"/>
            <w:vAlign w:val="bottom"/>
            <w:tcBorders>
              <w:bottom w:val="single" w:sz="8" w:color="auto"/>
            </w:tcBorders>
          </w:tcPr>
          <w:p>
            <w:pPr>
              <w:spacing w:after="0"/>
              <w:rPr>
                <w:sz w:val="13"/>
                <w:szCs w:val="13"/>
                <w:color w:val="auto"/>
              </w:rPr>
            </w:pP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cost</w:t>
            </w:r>
          </w:p>
        </w:tc>
        <w:tc>
          <w:tcPr>
            <w:tcW w:w="10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Variable lease cost</w:t>
            </w:r>
          </w:p>
        </w:tc>
        <w:tc>
          <w:tcPr>
            <w:tcW w:w="10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143</w:t>
            </w: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79"/>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lease cost</w:t>
            </w:r>
          </w:p>
        </w:tc>
        <w:tc>
          <w:tcPr>
            <w:tcW w:w="108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r>
      <w:tr>
        <w:trPr>
          <w:trHeight w:val="299"/>
        </w:trPr>
        <w:tc>
          <w:tcPr>
            <w:tcW w:w="8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The maturity of the Company’s operating lease liabilities as of September 30, 2023 were as follows (in thousands):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6"/>
        </w:trPr>
        <w:tc>
          <w:tcPr>
            <w:tcW w:w="8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Pr>
          <w:p>
            <w:pPr>
              <w:spacing w:after="0"/>
              <w:rPr>
                <w:sz w:val="24"/>
                <w:szCs w:val="24"/>
                <w:color w:val="auto"/>
              </w:rPr>
            </w:pPr>
          </w:p>
        </w:tc>
      </w:tr>
      <w:tr>
        <w:trPr>
          <w:trHeight w:val="165"/>
        </w:trPr>
        <w:tc>
          <w:tcPr>
            <w:tcW w:w="80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Borders>
              <w:bottom w:val="single" w:sz="8" w:color="auto"/>
            </w:tcBorders>
          </w:tcPr>
          <w:p>
            <w:pPr>
              <w:spacing w:after="0"/>
              <w:rPr>
                <w:sz w:val="14"/>
                <w:szCs w:val="14"/>
                <w:color w:val="auto"/>
              </w:rPr>
            </w:pP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r>
      <w:tr>
        <w:trPr>
          <w:trHeight w:val="15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10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r>
      <w:tr>
        <w:trPr>
          <w:trHeight w:val="151"/>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r>
      <w:tr>
        <w:trPr>
          <w:trHeight w:val="15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2027</w:t>
            </w:r>
          </w:p>
        </w:tc>
        <w:tc>
          <w:tcPr>
            <w:tcW w:w="10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0"/>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10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future minimum lease payments</w:t>
            </w:r>
          </w:p>
        </w:tc>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w:t>
            </w:r>
          </w:p>
        </w:tc>
      </w:tr>
      <w:tr>
        <w:trPr>
          <w:trHeight w:val="160"/>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imputed interest</w:t>
            </w:r>
          </w:p>
        </w:tc>
        <w:tc>
          <w:tcPr>
            <w:tcW w:w="10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79"/>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operating lease liabilities</w:t>
            </w:r>
          </w:p>
        </w:tc>
        <w:tc>
          <w:tcPr>
            <w:tcW w:w="10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r>
      <w:tr>
        <w:trPr>
          <w:trHeight w:val="299"/>
        </w:trPr>
        <w:tc>
          <w:tcPr>
            <w:tcW w:w="8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The supplemental disclosure for the statement of cash flows related to operating leases were as follows (in thousands):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9"/>
        </w:trPr>
        <w:tc>
          <w:tcPr>
            <w:tcW w:w="80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837"/>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Borders>
              <w:bottom w:val="single" w:sz="8" w:color="auto"/>
            </w:tcBorders>
          </w:tcPr>
          <w:p>
            <w:pPr>
              <w:spacing w:after="0"/>
              <w:rPr>
                <w:sz w:val="24"/>
                <w:szCs w:val="24"/>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360" w:type="dxa"/>
            <w:vAlign w:val="bottom"/>
            <w:tcBorders>
              <w:bottom w:val="single" w:sz="8" w:color="auto"/>
            </w:tcBorders>
          </w:tcPr>
          <w:p>
            <w:pPr>
              <w:spacing w:after="0"/>
              <w:rPr>
                <w:sz w:val="13"/>
                <w:szCs w:val="13"/>
                <w:color w:val="auto"/>
              </w:rPr>
            </w:pP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10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r>
    </w:tbl>
    <w:p>
      <w:pPr>
        <w:spacing w:after="0" w:line="138" w:lineRule="exact"/>
        <w:rPr>
          <w:sz w:val="20"/>
          <w:szCs w:val="20"/>
          <w:color w:val="auto"/>
        </w:rPr>
      </w:pPr>
    </w:p>
    <w:p>
      <w:pPr>
        <w:ind w:right="40" w:firstLine="203"/>
        <w:spacing w:after="0" w:line="264" w:lineRule="auto"/>
        <w:rPr>
          <w:sz w:val="20"/>
          <w:szCs w:val="20"/>
          <w:color w:val="auto"/>
        </w:rPr>
      </w:pPr>
      <w:r>
        <w:rPr>
          <w:rFonts w:ascii="Times New Roman" w:cs="Times New Roman" w:eastAsia="Times New Roman" w:hAnsi="Times New Roman"/>
          <w:sz w:val="13"/>
          <w:szCs w:val="13"/>
          <w:color w:val="auto"/>
        </w:rPr>
        <w:t>Other than the initial recording of the right-of-use asset and lease liability, which were non-cash, the changes in the Company’s right-of-use asset and lease liability for the nine months ended September 30, 2023 and 2022 are reflected in the non-cash lease expense and accrued expenses and other liabilities, respectively, in the consolidated statements of cash flows.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The following summarizes additional information related to operating leases:</w:t>
      </w:r>
    </w:p>
    <w:p>
      <w:pPr>
        <w:spacing w:after="0" w:line="150"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8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49"/>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remaining lease term</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3.03 years</w:t>
            </w: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 years</w:t>
            </w:r>
          </w:p>
        </w:tc>
      </w:tr>
      <w:tr>
        <w:trPr>
          <w:trHeight w:val="164"/>
        </w:trPr>
        <w:tc>
          <w:tcPr>
            <w:tcW w:w="9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7.09 %</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7.34 %</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Stock-Based Compensation Expense</w:t>
      </w:r>
    </w:p>
    <w:p>
      <w:pPr>
        <w:spacing w:after="0" w:line="154" w:lineRule="exact"/>
        <w:rPr>
          <w:sz w:val="20"/>
          <w:szCs w:val="20"/>
          <w:color w:val="auto"/>
        </w:rPr>
      </w:pPr>
    </w:p>
    <w:p>
      <w:pPr>
        <w:ind w:right="100" w:firstLine="203"/>
        <w:spacing w:after="0" w:line="253" w:lineRule="auto"/>
        <w:rPr>
          <w:sz w:val="20"/>
          <w:szCs w:val="20"/>
          <w:color w:val="auto"/>
        </w:rPr>
      </w:pPr>
      <w:r>
        <w:rPr>
          <w:rFonts w:ascii="Times New Roman" w:cs="Times New Roman" w:eastAsia="Times New Roman" w:hAnsi="Times New Roman"/>
          <w:sz w:val="13"/>
          <w:szCs w:val="13"/>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Stock-based compensation expense by classification included within the statements of operations and comprehensive income (loss) was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420" w:type="dxa"/>
            <w:vAlign w:val="bottom"/>
            <w:tcBorders>
              <w:bottom w:val="single" w:sz="8" w:color="auto"/>
            </w:tcBorders>
          </w:tcPr>
          <w:p>
            <w:pPr>
              <w:spacing w:after="0"/>
              <w:rPr>
                <w:sz w:val="14"/>
                <w:szCs w:val="14"/>
                <w:color w:val="auto"/>
              </w:rPr>
            </w:pPr>
          </w:p>
        </w:tc>
      </w:tr>
      <w:tr>
        <w:trPr>
          <w:trHeight w:val="159"/>
        </w:trPr>
        <w:tc>
          <w:tcPr>
            <w:tcW w:w="80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Borders>
              <w:bottom w:val="single" w:sz="8" w:color="auto"/>
            </w:tcBorders>
          </w:tcPr>
          <w:p>
            <w:pPr>
              <w:spacing w:after="0"/>
              <w:rPr>
                <w:sz w:val="13"/>
                <w:szCs w:val="13"/>
                <w:color w:val="auto"/>
              </w:rPr>
            </w:pPr>
          </w:p>
        </w:tc>
      </w:t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18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r>
      <w:tr>
        <w:trPr>
          <w:trHeight w:val="160"/>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118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r>
      <w:tr>
        <w:trPr>
          <w:trHeight w:val="273"/>
        </w:trPr>
        <w:tc>
          <w:tcPr>
            <w:tcW w:w="80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275" w:right="299" w:bottom="1440" w:gutter="0" w:footer="0" w:header="0"/>
        </w:sectPr>
      </w:pPr>
    </w:p>
    <w:bookmarkStart w:id="27" w:name="page28"/>
    <w:bookmarkEnd w:id="27"/>
    <w:p>
      <w:pPr>
        <w:ind w:left="205"/>
        <w:spacing w:after="0"/>
        <w:rPr>
          <w:sz w:val="20"/>
          <w:szCs w:val="20"/>
          <w:color w:val="auto"/>
        </w:rPr>
      </w:pPr>
      <w:r>
        <w:rPr>
          <w:rFonts w:ascii="Times New Roman" w:cs="Times New Roman" w:eastAsia="Times New Roman" w:hAnsi="Times New Roman"/>
          <w:sz w:val="13"/>
          <w:szCs w:val="13"/>
          <w:color w:val="auto"/>
        </w:rPr>
        <w:t>The estimated grant date fair values of employee stock option awards granted under the 2016 Plan were calculated using the Black-Scholes option pricing model, based on the following range of assumptions:</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165"/>
        </w:trPr>
        <w:tc>
          <w:tcPr>
            <w:tcW w:w="8000" w:type="dxa"/>
            <w:vAlign w:val="bottom"/>
          </w:tcPr>
          <w:p>
            <w:pPr>
              <w:spacing w:after="0"/>
              <w:rPr>
                <w:sz w:val="14"/>
                <w:szCs w:val="14"/>
                <w:color w:val="auto"/>
              </w:rPr>
            </w:pPr>
          </w:p>
        </w:tc>
        <w:tc>
          <w:tcPr>
            <w:tcW w:w="3300" w:type="dxa"/>
            <w:vAlign w:val="bottom"/>
            <w:tcBorders>
              <w:bottom w:val="single" w:sz="8" w:color="auto"/>
            </w:tcBorders>
            <w:gridSpan w:val="5"/>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59"/>
        </w:trPr>
        <w:tc>
          <w:tcPr>
            <w:tcW w:w="80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 4.0%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- 2.0%</w:t>
            </w:r>
          </w:p>
        </w:tc>
      </w:tr>
      <w:tr>
        <w:trPr>
          <w:trHeight w:val="151"/>
        </w:trPr>
        <w:tc>
          <w:tcPr>
            <w:tcW w:w="8000" w:type="dxa"/>
            <w:vAlign w:val="bottom"/>
          </w:tcPr>
          <w:p>
            <w:pPr>
              <w:spacing w:after="0"/>
              <w:rPr>
                <w:sz w:val="20"/>
                <w:szCs w:val="20"/>
                <w:color w:val="auto"/>
              </w:rPr>
            </w:pPr>
            <w:r>
              <w:rPr>
                <w:rFonts w:ascii="Times New Roman" w:cs="Times New Roman" w:eastAsia="Times New Roman" w:hAnsi="Times New Roman"/>
                <w:sz w:val="13"/>
                <w:szCs w:val="13"/>
                <w:color w:val="auto"/>
              </w:rPr>
              <w:t>Dividend yield</w:t>
            </w:r>
          </w:p>
        </w:tc>
        <w:tc>
          <w:tcPr>
            <w:tcW w:w="9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term</w:t>
            </w:r>
          </w:p>
        </w:tc>
        <w:tc>
          <w:tcPr>
            <w:tcW w:w="9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6.20 - 6.25</w:t>
            </w: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5.0 - 6.25</w:t>
            </w:r>
          </w:p>
        </w:tc>
      </w:tr>
      <w:tr>
        <w:trPr>
          <w:trHeight w:val="151"/>
        </w:trPr>
        <w:tc>
          <w:tcPr>
            <w:tcW w:w="800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9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w:t>
            </w:r>
          </w:p>
        </w:tc>
        <w:tc>
          <w:tcPr>
            <w:tcW w:w="5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of common stock</w:t>
            </w:r>
          </w:p>
        </w:tc>
        <w:tc>
          <w:tcPr>
            <w:tcW w:w="98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18,505</w:t>
            </w:r>
          </w:p>
        </w:tc>
        <w:tc>
          <w:tcPr>
            <w:tcW w:w="5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23,005</w:t>
            </w:r>
          </w:p>
        </w:tc>
      </w:tr>
    </w:tbl>
    <w:p>
      <w:pPr>
        <w:spacing w:after="0" w:line="138" w:lineRule="exact"/>
        <w:rPr>
          <w:sz w:val="20"/>
          <w:szCs w:val="20"/>
          <w:color w:val="auto"/>
        </w:rPr>
      </w:pPr>
    </w:p>
    <w:p>
      <w:pPr>
        <w:ind w:left="5" w:right="40" w:firstLine="203"/>
        <w:spacing w:after="0" w:line="356" w:lineRule="auto"/>
        <w:rPr>
          <w:sz w:val="20"/>
          <w:szCs w:val="20"/>
          <w:color w:val="auto"/>
        </w:rPr>
      </w:pPr>
      <w:r>
        <w:rPr>
          <w:rFonts w:ascii="Times New Roman" w:cs="Times New Roman" w:eastAsia="Times New Roman" w:hAnsi="Times New Roman"/>
          <w:sz w:val="11"/>
          <w:szCs w:val="11"/>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76"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3"/>
          <w:szCs w:val="13"/>
          <w:color w:val="auto"/>
        </w:rPr>
        <w:t>The weighted average grant date fair value of stock options granted to employees during the nine months ended September 30, 2023 and 2022 was $14,159.28 and $16,862.94, respectively.</w:t>
      </w:r>
    </w:p>
    <w:p>
      <w:pPr>
        <w:spacing w:after="0" w:line="152"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3"/>
          <w:szCs w:val="13"/>
          <w:color w:val="auto"/>
        </w:rPr>
        <w:t>As of September 30, 2023, total unrecognized compensation expense related to unvested employee stock options was $0.9 million, which is expected to be recognized over a weighted average period of 2.18 years.</w:t>
      </w:r>
    </w:p>
    <w:p>
      <w:pPr>
        <w:spacing w:after="0" w:line="152" w:lineRule="exact"/>
        <w:rPr>
          <w:sz w:val="20"/>
          <w:szCs w:val="20"/>
          <w:color w:val="auto"/>
        </w:rPr>
      </w:pPr>
    </w:p>
    <w:tbl>
      <w:tblPr>
        <w:tblLayout w:type="fixed"/>
        <w:tblInd w:w="5" w:type="dxa"/>
        <w:tblCellMar>
          <w:top w:w="0" w:type="dxa"/>
          <w:left w:w="0" w:type="dxa"/>
          <w:bottom w:w="0" w:type="dxa"/>
          <w:right w:w="0" w:type="dxa"/>
        </w:tblCellMar>
      </w:tblPr>
      <w:tr>
        <w:trPr>
          <w:trHeight w:val="164"/>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The following table summarizes the stock option activity under the 2016 Plan: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4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Weighted-average</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34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1160" w:type="dxa"/>
            <w:vAlign w:val="bottom"/>
          </w:tcPr>
          <w:p>
            <w:pPr>
              <w:jc w:val="center"/>
              <w:ind w:left="277"/>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34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1160" w:type="dxa"/>
            <w:vAlign w:val="bottom"/>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exercise price ($)</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3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Outstanding at December 31, 2022</w:t>
            </w:r>
          </w:p>
        </w:tc>
        <w:tc>
          <w:tcPr>
            <w:tcW w:w="1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2"/>
                <w:szCs w:val="12"/>
                <w:color w:val="auto"/>
              </w:rPr>
            </w:pPr>
          </w:p>
        </w:tc>
        <w:tc>
          <w:tcPr>
            <w:tcW w:w="3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18,727</w:t>
            </w:r>
          </w:p>
        </w:tc>
        <w:tc>
          <w:tcPr>
            <w:tcW w:w="100" w:type="dxa"/>
            <w:vAlign w:val="bottom"/>
          </w:tcPr>
          <w:p>
            <w:pPr>
              <w:spacing w:after="0"/>
              <w:rPr>
                <w:sz w:val="12"/>
                <w:szCs w:val="12"/>
                <w:color w:val="auto"/>
              </w:rPr>
            </w:pPr>
          </w:p>
        </w:tc>
        <w:tc>
          <w:tcPr>
            <w:tcW w:w="15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6.90</w:t>
            </w:r>
          </w:p>
        </w:tc>
        <w:tc>
          <w:tcPr>
            <w:tcW w:w="120" w:type="dxa"/>
            <w:vAlign w:val="bottom"/>
          </w:tcPr>
          <w:p>
            <w:pPr>
              <w:spacing w:after="0"/>
              <w:rPr>
                <w:sz w:val="12"/>
                <w:szCs w:val="12"/>
                <w:color w:val="auto"/>
              </w:rPr>
            </w:pPr>
          </w:p>
        </w:tc>
        <w:tc>
          <w:tcPr>
            <w:tcW w:w="3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23,005</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Exercised</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23,005</w:t>
            </w: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Forfeited</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23,005</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Borders>
              <w:top w:val="single" w:sz="8" w:color="CCEEFF"/>
              <w:bottom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color w:val="auto"/>
              </w:rPr>
              <w:t>Outstanding at September 30, 2023</w:t>
            </w:r>
          </w:p>
        </w:tc>
        <w:tc>
          <w:tcPr>
            <w:tcW w:w="11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173</w:t>
            </w:r>
          </w:p>
        </w:tc>
        <w:tc>
          <w:tcPr>
            <w:tcW w:w="100" w:type="dxa"/>
            <w:vAlign w:val="bottom"/>
            <w:tcBorders>
              <w:top w:val="single" w:sz="8" w:color="CCEEFF"/>
              <w:bottom w:val="single" w:sz="8" w:color="CCEEFF"/>
            </w:tcBorders>
          </w:tcPr>
          <w:p>
            <w:pPr>
              <w:spacing w:after="0"/>
              <w:rPr>
                <w:sz w:val="13"/>
                <w:szCs w:val="13"/>
                <w:color w:val="auto"/>
              </w:rPr>
            </w:pPr>
          </w:p>
        </w:tc>
        <w:tc>
          <w:tcPr>
            <w:tcW w:w="320" w:type="dxa"/>
            <w:vAlign w:val="bottom"/>
            <w:tcBorders>
              <w:top w:val="single" w:sz="8" w:color="CCEEFF"/>
              <w:bottom w:val="single" w:sz="8" w:color="CCEEFF"/>
            </w:tcBorders>
          </w:tcPr>
          <w:p>
            <w:pPr>
              <w:jc w:val="right"/>
              <w:ind w:right="1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top w:val="single" w:sz="8" w:color="CCEEFF"/>
              <w:bottom w:val="single" w:sz="8" w:color="CCEEFF"/>
            </w:tcBorders>
          </w:tcPr>
          <w:p>
            <w:pPr>
              <w:jc w:val="right"/>
              <w:ind w:right="57"/>
              <w:spacing w:after="0" w:line="139" w:lineRule="exact"/>
              <w:rPr>
                <w:sz w:val="20"/>
                <w:szCs w:val="20"/>
                <w:color w:val="auto"/>
              </w:rPr>
            </w:pPr>
            <w:r>
              <w:rPr>
                <w:rFonts w:ascii="Times New Roman" w:cs="Times New Roman" w:eastAsia="Times New Roman" w:hAnsi="Times New Roman"/>
                <w:sz w:val="13"/>
                <w:szCs w:val="13"/>
                <w:color w:val="auto"/>
              </w:rPr>
              <w:t>19,246</w:t>
            </w:r>
          </w:p>
        </w:tc>
        <w:tc>
          <w:tcPr>
            <w:tcW w:w="100" w:type="dxa"/>
            <w:vAlign w:val="bottom"/>
            <w:tcBorders>
              <w:top w:val="single" w:sz="8" w:color="CCEEFF"/>
              <w:bottom w:val="single" w:sz="8" w:color="CCEEFF"/>
            </w:tcBorders>
          </w:tcPr>
          <w:p>
            <w:pPr>
              <w:spacing w:after="0"/>
              <w:rPr>
                <w:sz w:val="13"/>
                <w:szCs w:val="13"/>
                <w:color w:val="auto"/>
              </w:rPr>
            </w:pPr>
          </w:p>
        </w:tc>
        <w:tc>
          <w:tcPr>
            <w:tcW w:w="1580" w:type="dxa"/>
            <w:vAlign w:val="bottom"/>
            <w:tcBorders>
              <w:top w:val="single" w:sz="8" w:color="CCEEFF"/>
              <w:bottom w:val="single" w:sz="8" w:color="CCEEFF"/>
            </w:tcBorders>
          </w:tcPr>
          <w:p>
            <w:pPr>
              <w:jc w:val="right"/>
              <w:ind w:right="37"/>
              <w:spacing w:after="0" w:line="139" w:lineRule="exact"/>
              <w:rPr>
                <w:sz w:val="20"/>
                <w:szCs w:val="20"/>
                <w:color w:val="auto"/>
              </w:rPr>
            </w:pPr>
            <w:r>
              <w:rPr>
                <w:rFonts w:ascii="Times New Roman" w:cs="Times New Roman" w:eastAsia="Times New Roman" w:hAnsi="Times New Roman"/>
                <w:sz w:val="13"/>
                <w:szCs w:val="13"/>
                <w:color w:val="auto"/>
              </w:rPr>
              <w:t>6.60</w:t>
            </w:r>
          </w:p>
        </w:tc>
        <w:tc>
          <w:tcPr>
            <w:tcW w:w="120" w:type="dxa"/>
            <w:vAlign w:val="bottom"/>
            <w:tcBorders>
              <w:top w:val="single" w:sz="8" w:color="CCEEFF"/>
              <w:bottom w:val="single" w:sz="8" w:color="CCEEFF"/>
            </w:tcBorders>
          </w:tcPr>
          <w:p>
            <w:pPr>
              <w:spacing w:after="0"/>
              <w:rPr>
                <w:sz w:val="13"/>
                <w:szCs w:val="13"/>
                <w:color w:val="auto"/>
              </w:rPr>
            </w:pPr>
          </w:p>
        </w:tc>
        <w:tc>
          <w:tcPr>
            <w:tcW w:w="340" w:type="dxa"/>
            <w:vAlign w:val="bottom"/>
            <w:tcBorders>
              <w:top w:val="single" w:sz="8" w:color="CCEEFF"/>
              <w:bottom w:val="single" w:sz="8" w:color="CCEEFF"/>
            </w:tcBorders>
          </w:tcPr>
          <w:p>
            <w:pPr>
              <w:jc w:val="right"/>
              <w:ind w:right="5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top w:val="single" w:sz="8" w:color="CCEEFF"/>
              <w:bottom w:val="single" w:sz="8" w:color="CCEEFF"/>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Vested at September 30, 2023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119</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17,541</w:t>
            </w:r>
          </w:p>
        </w:tc>
        <w:tc>
          <w:tcPr>
            <w:tcW w:w="100" w:type="dxa"/>
            <w:vAlign w:val="bottom"/>
          </w:tcPr>
          <w:p>
            <w:pPr>
              <w:spacing w:after="0"/>
              <w:rPr>
                <w:sz w:val="13"/>
                <w:szCs w:val="13"/>
                <w:color w:val="auto"/>
              </w:rPr>
            </w:pP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5.72</w:t>
            </w:r>
          </w:p>
        </w:tc>
        <w:tc>
          <w:tcPr>
            <w:tcW w:w="120" w:type="dxa"/>
            <w:vAlign w:val="bottom"/>
          </w:tcPr>
          <w:p>
            <w:pPr>
              <w:spacing w:after="0"/>
              <w:rPr>
                <w:sz w:val="13"/>
                <w:szCs w:val="13"/>
                <w:color w:val="auto"/>
              </w:rPr>
            </w:pPr>
          </w:p>
        </w:tc>
        <w:tc>
          <w:tcPr>
            <w:tcW w:w="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 and expected to vest at September 30, 2023</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173</w:t>
            </w: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19,246</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6.60</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b w:val="1"/>
          <w:bCs w:val="1"/>
          <w:color w:val="auto"/>
        </w:rPr>
        <w:t>8. Income Taxes</w:t>
      </w:r>
    </w:p>
    <w:p>
      <w:pPr>
        <w:spacing w:after="0" w:line="154" w:lineRule="exact"/>
        <w:rPr>
          <w:sz w:val="20"/>
          <w:szCs w:val="20"/>
          <w:color w:val="auto"/>
        </w:rPr>
      </w:pPr>
    </w:p>
    <w:p>
      <w:pPr>
        <w:jc w:val="both"/>
        <w:ind w:left="5" w:firstLine="203"/>
        <w:spacing w:after="0" w:line="264" w:lineRule="auto"/>
        <w:rPr>
          <w:sz w:val="20"/>
          <w:szCs w:val="20"/>
          <w:color w:val="auto"/>
        </w:rPr>
      </w:pPr>
      <w:r>
        <w:rPr>
          <w:rFonts w:ascii="Times New Roman" w:cs="Times New Roman" w:eastAsia="Times New Roman" w:hAnsi="Times New Roman"/>
          <w:sz w:val="13"/>
          <w:szCs w:val="13"/>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123"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3"/>
          <w:szCs w:val="13"/>
          <w:color w:val="auto"/>
        </w:rPr>
        <w:t>The Company has provided a full valuation allowance against its net deferred tax assets, as the Company believes that it is more likely than not that the deferred tax assets will not be realized.</w:t>
      </w:r>
    </w:p>
    <w:p>
      <w:pPr>
        <w:spacing w:after="0" w:line="152"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1"/>
          <w:szCs w:val="11"/>
          <w:color w:val="auto"/>
        </w:rPr>
        <w:t>The Company files income tax returns in the U.S. federal and Maryland jurisdictions. The Company is no longer subject to U.S. federal and Maryland income tax examinations by tax authorities for years before 2019.</w:t>
      </w:r>
    </w:p>
    <w:p>
      <w:pPr>
        <w:spacing w:after="0" w:line="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There are currently no federal, state or foreign audits in progress.</w:t>
      </w:r>
    </w:p>
    <w:p>
      <w:pPr>
        <w:spacing w:after="0" w:line="13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b w:val="1"/>
          <w:bCs w:val="1"/>
          <w:color w:val="auto"/>
        </w:rPr>
        <w:t>9. Defined Contribution Plan</w:t>
      </w:r>
    </w:p>
    <w:p>
      <w:pPr>
        <w:spacing w:after="0" w:line="154" w:lineRule="exact"/>
        <w:rPr>
          <w:sz w:val="20"/>
          <w:szCs w:val="20"/>
          <w:color w:val="auto"/>
        </w:rPr>
      </w:pPr>
    </w:p>
    <w:p>
      <w:pPr>
        <w:ind w:left="5" w:right="320" w:firstLine="203"/>
        <w:spacing w:after="0" w:line="253" w:lineRule="auto"/>
        <w:rPr>
          <w:sz w:val="20"/>
          <w:szCs w:val="20"/>
          <w:color w:val="auto"/>
        </w:rPr>
      </w:pPr>
      <w:r>
        <w:rPr>
          <w:rFonts w:ascii="Times New Roman" w:cs="Times New Roman" w:eastAsia="Times New Roman" w:hAnsi="Times New Roman"/>
          <w:sz w:val="13"/>
          <w:szCs w:val="13"/>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the nine months ended September 30, 2023 and 2022, respectively.</w:t>
      </w:r>
    </w:p>
    <w:p>
      <w:pPr>
        <w:spacing w:after="0" w:line="127" w:lineRule="exact"/>
        <w:rPr>
          <w:sz w:val="20"/>
          <w:szCs w:val="20"/>
          <w:color w:val="auto"/>
        </w:rPr>
      </w:pPr>
    </w:p>
    <w:p>
      <w:pPr>
        <w:ind w:left="185" w:hanging="185"/>
        <w:spacing w:after="0"/>
        <w:tabs>
          <w:tab w:leader="none" w:pos="185"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w:t>
      </w:r>
    </w:p>
    <w:p>
      <w:pPr>
        <w:spacing w:after="0" w:line="153" w:lineRule="exact"/>
        <w:rPr>
          <w:rFonts w:ascii="Times New Roman" w:cs="Times New Roman" w:eastAsia="Times New Roman" w:hAnsi="Times New Roman"/>
          <w:sz w:val="13"/>
          <w:szCs w:val="13"/>
          <w:b w:val="1"/>
          <w:bCs w:val="1"/>
          <w:color w:val="auto"/>
        </w:rPr>
      </w:pPr>
    </w:p>
    <w:p>
      <w:pPr>
        <w:ind w:left="205"/>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September 30, 2023, the Company was not a party to any litigation that could have a material adverse effect on the Company’s business, financial position, results of operations or cash flows.</w:t>
      </w:r>
    </w:p>
    <w:p>
      <w:pPr>
        <w:spacing w:after="0" w:line="149" w:lineRule="exact"/>
        <w:rPr>
          <w:rFonts w:ascii="Times New Roman" w:cs="Times New Roman" w:eastAsia="Times New Roman" w:hAnsi="Times New Roman"/>
          <w:sz w:val="13"/>
          <w:szCs w:val="13"/>
          <w:b w:val="1"/>
          <w:bCs w:val="1"/>
          <w:color w:val="auto"/>
        </w:rPr>
      </w:pPr>
    </w:p>
    <w:p>
      <w:pPr>
        <w:ind w:left="185" w:hanging="185"/>
        <w:spacing w:after="0"/>
        <w:tabs>
          <w:tab w:leader="none" w:pos="185"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License Agreements</w:t>
      </w:r>
    </w:p>
    <w:p>
      <w:pPr>
        <w:spacing w:after="0" w:line="1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i w:val="1"/>
          <w:iCs w:val="1"/>
          <w:color w:val="auto"/>
        </w:rPr>
        <w:t>National Institutes of Health – multiple myeloma</w:t>
      </w:r>
    </w:p>
    <w:p>
      <w:pPr>
        <w:spacing w:after="0" w:line="154" w:lineRule="exact"/>
        <w:rPr>
          <w:sz w:val="20"/>
          <w:szCs w:val="20"/>
          <w:color w:val="auto"/>
        </w:rPr>
      </w:pPr>
    </w:p>
    <w:p>
      <w:pPr>
        <w:ind w:left="5" w:right="80" w:firstLine="203"/>
        <w:spacing w:after="0" w:line="249" w:lineRule="auto"/>
        <w:rPr>
          <w:sz w:val="20"/>
          <w:szCs w:val="20"/>
          <w:color w:val="auto"/>
        </w:rPr>
      </w:pPr>
      <w:r>
        <w:rPr>
          <w:rFonts w:ascii="Times New Roman" w:cs="Times New Roman" w:eastAsia="Times New Roman" w:hAnsi="Times New Roman"/>
          <w:sz w:val="13"/>
          <w:szCs w:val="13"/>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173595" cy="12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5"/>
          </w:cols>
          <w:pgMar w:left="295" w:top="277" w:right="299" w:bottom="1440" w:gutter="0" w:footer="0" w:header="0"/>
        </w:sectPr>
      </w:pPr>
    </w:p>
    <w:bookmarkStart w:id="28" w:name="page29"/>
    <w:bookmarkEnd w:id="28"/>
    <w:p>
      <w:pPr>
        <w:ind w:firstLine="203"/>
        <w:spacing w:after="0" w:line="247" w:lineRule="auto"/>
        <w:rPr>
          <w:sz w:val="20"/>
          <w:szCs w:val="20"/>
          <w:color w:val="auto"/>
        </w:rPr>
      </w:pPr>
      <w:r>
        <w:rPr>
          <w:rFonts w:ascii="Times New Roman" w:cs="Times New Roman" w:eastAsia="Times New Roman" w:hAnsi="Times New Roman"/>
          <w:sz w:val="13"/>
          <w:szCs w:val="13"/>
          <w:color w:val="auto"/>
        </w:rPr>
        <w:t>Additionally, the Company agreed to a non-refundable license royalty of either i) three-quarters of one percent (0.75%) of the Company’s fair market value at the time of its first Liquidity Event; or ii) $579,000 upon reaching forty million dollars ($40,000,000) in cumulative investor financing. The Company concluded the contingent payment met the definition of a derivative liability under ASC 815. As such, the Company recorded a liability on its balance sheet of $569,194 and 460,758 as of September 30, 2023 and December 31, 2022, respectively. The associated expense was recorded as research and development expense in the respective periods. The Company estimated the liability at each balance sheet date as the present value of the probability weighted continent payment amounts. In November 2023, the Company entered into a merger agreement with Selecta (see Subsequent Event note below), whereby the Company elected to pay $579,000 to the NIH in full satisfaction of the royalty provision. Payment was made in December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National Institutes of Health - autoimmune diseases</w:t>
      </w:r>
    </w:p>
    <w:p>
      <w:pPr>
        <w:spacing w:after="0" w:line="154" w:lineRule="exact"/>
        <w:rPr>
          <w:sz w:val="20"/>
          <w:szCs w:val="20"/>
          <w:color w:val="auto"/>
        </w:rPr>
      </w:pPr>
    </w:p>
    <w:p>
      <w:pPr>
        <w:ind w:right="40" w:firstLine="31"/>
        <w:spacing w:after="0" w:line="264" w:lineRule="auto"/>
        <w:rPr>
          <w:sz w:val="20"/>
          <w:szCs w:val="20"/>
          <w:color w:val="auto"/>
        </w:rPr>
      </w:pPr>
      <w:r>
        <w:rPr>
          <w:rFonts w:ascii="Times New Roman" w:cs="Times New Roman" w:eastAsia="Times New Roman" w:hAnsi="Times New Roman"/>
          <w:sz w:val="13"/>
          <w:szCs w:val="13"/>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123" w:lineRule="exact"/>
        <w:rPr>
          <w:sz w:val="20"/>
          <w:szCs w:val="20"/>
          <w:color w:val="auto"/>
        </w:rPr>
      </w:pPr>
    </w:p>
    <w:p>
      <w:pPr>
        <w:ind w:right="200" w:firstLine="203"/>
        <w:spacing w:after="0" w:line="264" w:lineRule="auto"/>
        <w:rPr>
          <w:sz w:val="20"/>
          <w:szCs w:val="20"/>
          <w:color w:val="auto"/>
        </w:rPr>
      </w:pPr>
      <w:r>
        <w:rPr>
          <w:rFonts w:ascii="Times New Roman" w:cs="Times New Roman" w:eastAsia="Times New Roman" w:hAnsi="Times New Roman"/>
          <w:sz w:val="13"/>
          <w:szCs w:val="13"/>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Biogen MA, Inc,- Multiple Myeloma</w:t>
      </w:r>
    </w:p>
    <w:p>
      <w:pPr>
        <w:spacing w:after="0" w:line="154" w:lineRule="exact"/>
        <w:rPr>
          <w:sz w:val="20"/>
          <w:szCs w:val="20"/>
          <w:color w:val="auto"/>
        </w:rPr>
      </w:pPr>
    </w:p>
    <w:p>
      <w:pPr>
        <w:ind w:right="120" w:firstLine="203"/>
        <w:spacing w:after="0" w:line="253" w:lineRule="auto"/>
        <w:rPr>
          <w:sz w:val="20"/>
          <w:szCs w:val="20"/>
          <w:color w:val="auto"/>
        </w:rPr>
      </w:pPr>
      <w:r>
        <w:rPr>
          <w:rFonts w:ascii="Times New Roman" w:cs="Times New Roman" w:eastAsia="Times New Roman" w:hAnsi="Times New Roman"/>
          <w:sz w:val="13"/>
          <w:szCs w:val="13"/>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Subsequent Events</w:t>
      </w:r>
    </w:p>
    <w:p>
      <w:pPr>
        <w:spacing w:after="0" w:line="154" w:lineRule="exact"/>
        <w:rPr>
          <w:sz w:val="20"/>
          <w:szCs w:val="20"/>
          <w:color w:val="auto"/>
        </w:rPr>
      </w:pPr>
    </w:p>
    <w:p>
      <w:pPr>
        <w:ind w:right="80" w:firstLine="203"/>
        <w:spacing w:after="0" w:line="264" w:lineRule="auto"/>
        <w:rPr>
          <w:sz w:val="20"/>
          <w:szCs w:val="20"/>
          <w:color w:val="auto"/>
        </w:rPr>
      </w:pPr>
      <w:r>
        <w:rPr>
          <w:rFonts w:ascii="Times New Roman" w:cs="Times New Roman" w:eastAsia="Times New Roman" w:hAnsi="Times New Roman"/>
          <w:sz w:val="13"/>
          <w:szCs w:val="13"/>
          <w:color w:val="auto"/>
        </w:rPr>
        <w:t>The Company has evaluated subsequent events through the date on which the consolidated financial statements were issued. The Company has concluded that no subsequent events have occurred that require disclosure, except as disclosed within these financial statements.</w:t>
      </w:r>
    </w:p>
    <w:p>
      <w:pPr>
        <w:spacing w:after="0" w:line="123" w:lineRule="exact"/>
        <w:rPr>
          <w:sz w:val="20"/>
          <w:szCs w:val="20"/>
          <w:color w:val="auto"/>
        </w:rPr>
      </w:pPr>
    </w:p>
    <w:p>
      <w:pPr>
        <w:ind w:right="20" w:firstLine="203"/>
        <w:spacing w:after="0" w:line="253" w:lineRule="auto"/>
        <w:rPr>
          <w:sz w:val="20"/>
          <w:szCs w:val="20"/>
          <w:color w:val="auto"/>
        </w:rPr>
      </w:pPr>
      <w:r>
        <w:rPr>
          <w:rFonts w:ascii="Times New Roman" w:cs="Times New Roman" w:eastAsia="Times New Roman" w:hAnsi="Times New Roman"/>
          <w:sz w:val="13"/>
          <w:szCs w:val="13"/>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173595" cy="1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240"/>
          </w:cols>
          <w:pgMar w:left="300" w:top="277" w:right="3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73595"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3595" cy="24130"/>
                    </a:xfrm>
                    <a:prstGeom prst="rect">
                      <a:avLst/>
                    </a:prstGeom>
                    <a:noFill/>
                  </pic:spPr>
                </pic:pic>
              </a:graphicData>
            </a:graphic>
          </wp:anchor>
        </w:drawing>
        <w:t>Exhibit 99.3</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PRO FORMA CONDENSED COMBINED FINANCIAL INFORMATION</w:t>
      </w:r>
    </w:p>
    <w:p>
      <w:pPr>
        <w:spacing w:after="0" w:line="154" w:lineRule="exact"/>
        <w:rPr>
          <w:sz w:val="20"/>
          <w:szCs w:val="20"/>
          <w:color w:val="auto"/>
        </w:rPr>
      </w:pPr>
    </w:p>
    <w:p>
      <w:pPr>
        <w:ind w:right="60" w:firstLine="452"/>
        <w:spacing w:after="0" w:line="246" w:lineRule="auto"/>
        <w:rPr>
          <w:sz w:val="20"/>
          <w:szCs w:val="20"/>
          <w:color w:val="auto"/>
        </w:rPr>
      </w:pPr>
      <w:r>
        <w:rPr>
          <w:rFonts w:ascii="Times New Roman" w:cs="Times New Roman" w:eastAsia="Times New Roman" w:hAnsi="Times New Roman"/>
          <w:sz w:val="13"/>
          <w:szCs w:val="13"/>
          <w:color w:val="auto"/>
        </w:rPr>
        <w:t>On November 13, 2023, Selecta Biosciences, Inc., a Delaware corporation (“Selecta”), acquired Cartesian Therapeutics, Inc., a Delaware corporation (“Old Cartesian”), in accordance with the terms of an Agreement and Plan of Merger, dated November 13, 2023 (the “Merger Agreement”), by and among Selecta, Sakura Merger Sub I, Inc., a Delaware corporation and wholly owned subsidiary of Selecta (“First Merger Sub”), Sakura Merger Sub II, LLC, a Delaware limited liability company and wholly owned subsidiary of Selecta (“Second Merger Sub”), and Old Cartesian. Pursuant to the Merger Agreement, First Merger Sub merged with and into Old Cartesian, pursuant to which Old Cartesian was the surviving corporation and became a wholly owned subsidiary of Selecta (the “First Merger”). Immediately following the First Merger, Old Cartesian merged with and into Second Merger Sub, pursuant to which Second Merger Sub was the surviving entity (the “Second Merger” and, together with the First Merger, the “Merger”). In connection with the Second Merger, Old Cartesian changed its name to Cartesian Bio, LLC.</w:t>
      </w:r>
    </w:p>
    <w:p>
      <w:pPr>
        <w:spacing w:after="0" w:line="134" w:lineRule="exact"/>
        <w:rPr>
          <w:sz w:val="20"/>
          <w:szCs w:val="20"/>
          <w:color w:val="auto"/>
        </w:rPr>
      </w:pPr>
    </w:p>
    <w:p>
      <w:pPr>
        <w:ind w:right="200" w:firstLine="452"/>
        <w:spacing w:after="0" w:line="264" w:lineRule="auto"/>
        <w:rPr>
          <w:sz w:val="20"/>
          <w:szCs w:val="20"/>
          <w:color w:val="auto"/>
        </w:rPr>
      </w:pPr>
      <w:r>
        <w:rPr>
          <w:rFonts w:ascii="Times New Roman" w:cs="Times New Roman" w:eastAsia="Times New Roman" w:hAnsi="Times New Roman"/>
          <w:sz w:val="13"/>
          <w:szCs w:val="13"/>
          <w:color w:val="auto"/>
        </w:rPr>
        <w:t>The Merger is intended to qualify as a tax-free reorganization for U.S. federal income tax purposes. As a result of the Merger, Selecta changed its corporate name to Cartesian Therapeutics, Inc. (“Cartesian” or the “Company”) and commenced trading under the symbol “RNAC” beginning on November 14, 2023.</w:t>
      </w:r>
    </w:p>
    <w:p>
      <w:pPr>
        <w:spacing w:after="0" w:line="123" w:lineRule="exact"/>
        <w:rPr>
          <w:sz w:val="20"/>
          <w:szCs w:val="20"/>
          <w:color w:val="auto"/>
        </w:rPr>
      </w:pPr>
    </w:p>
    <w:p>
      <w:pPr>
        <w:ind w:right="380" w:firstLine="452"/>
        <w:spacing w:after="0" w:line="264" w:lineRule="auto"/>
        <w:rPr>
          <w:sz w:val="20"/>
          <w:szCs w:val="20"/>
          <w:color w:val="auto"/>
        </w:rPr>
      </w:pPr>
      <w:r>
        <w:rPr>
          <w:rFonts w:ascii="Times New Roman" w:cs="Times New Roman" w:eastAsia="Times New Roman" w:hAnsi="Times New Roman"/>
          <w:sz w:val="13"/>
          <w:szCs w:val="13"/>
          <w:color w:val="auto"/>
        </w:rPr>
        <w:t>The Board of Directors of Selecta (the “Board”) unanimously approved the Merger Agreement and the related transactions. The Merger has been consummated substantially concurrently with the entry into the Merger Agreement and was not subject to approval of Selecta stockholders.</w:t>
      </w:r>
    </w:p>
    <w:p>
      <w:pPr>
        <w:spacing w:after="0" w:line="123" w:lineRule="exact"/>
        <w:rPr>
          <w:sz w:val="20"/>
          <w:szCs w:val="20"/>
          <w:color w:val="auto"/>
        </w:rPr>
      </w:pPr>
    </w:p>
    <w:p>
      <w:pPr>
        <w:ind w:right="100" w:firstLine="452"/>
        <w:spacing w:after="0" w:line="246" w:lineRule="auto"/>
        <w:rPr>
          <w:sz w:val="20"/>
          <w:szCs w:val="20"/>
          <w:color w:val="auto"/>
        </w:rPr>
      </w:pPr>
      <w:r>
        <w:rPr>
          <w:rFonts w:ascii="Times New Roman" w:cs="Times New Roman" w:eastAsia="Times New Roman" w:hAnsi="Times New Roman"/>
          <w:sz w:val="13"/>
          <w:szCs w:val="13"/>
          <w:color w:val="auto"/>
        </w:rPr>
        <w:t>Under the terms of the Merger Agreement, following the consummation of the Merger (the “Closing”), in exchange for the outstanding shares of capital stock of Old Cartesian immediately prior to the effective time of the First Merger, the Company agreed to issue to the stockholders of Old Cartesian (A) 6,723,639 shares of common stock of the Company, par value $0.0001 per share (the “Common Stock”), and (B) 384,930.724 shares of Series A Non-Voting Convertible Preferred Stock, par value $0.0001 per share (the “Series A Preferred Stock”), each share of which is convertible into 1,000 shares of Common Stock, subject to certain conditions. The issuance of the shares of Common Stock and Series A Preferred Stock occurred after the December 4, 2023 record date for the distribution of contingent value rights discussed below. The Old Cartesian stockholders did not have rights as holders of Common Stock or holders of Series A Preferred Stock until such issuance. Additionally, the Company assumed all outstanding stock options of Old Cartesian, subject to an exercise blackout period that ended December 8, 2023.</w:t>
      </w:r>
    </w:p>
    <w:p>
      <w:pPr>
        <w:spacing w:after="0" w:line="134" w:lineRule="exact"/>
        <w:rPr>
          <w:sz w:val="20"/>
          <w:szCs w:val="20"/>
          <w:color w:val="auto"/>
        </w:rPr>
      </w:pPr>
    </w:p>
    <w:p>
      <w:pPr>
        <w:ind w:right="20" w:firstLine="452"/>
        <w:spacing w:after="0" w:line="247" w:lineRule="auto"/>
        <w:rPr>
          <w:sz w:val="20"/>
          <w:szCs w:val="20"/>
          <w:color w:val="auto"/>
        </w:rPr>
      </w:pPr>
      <w:r>
        <w:rPr>
          <w:rFonts w:ascii="Times New Roman" w:cs="Times New Roman" w:eastAsia="Times New Roman" w:hAnsi="Times New Roman"/>
          <w:sz w:val="13"/>
          <w:szCs w:val="13"/>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(the “Conversion Proposal”), and (ii) either or both of (A) the approval of an amendment to the Company’s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134" w:lineRule="exact"/>
        <w:rPr>
          <w:sz w:val="20"/>
          <w:szCs w:val="20"/>
          <w:color w:val="auto"/>
        </w:rPr>
      </w:pPr>
    </w:p>
    <w:p>
      <w:pPr>
        <w:ind w:right="160" w:firstLine="452"/>
        <w:spacing w:after="0" w:line="249" w:lineRule="auto"/>
        <w:rPr>
          <w:sz w:val="20"/>
          <w:szCs w:val="20"/>
          <w:color w:val="auto"/>
        </w:rPr>
      </w:pPr>
      <w:r>
        <w:rPr>
          <w:rFonts w:ascii="Times New Roman" w:cs="Times New Roman" w:eastAsia="Times New Roman" w:hAnsi="Times New Roman"/>
          <w:sz w:val="13"/>
          <w:szCs w:val="13"/>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an affiliate of Dr. Springer, or any of its affiliates.</w:t>
      </w:r>
    </w:p>
    <w:p>
      <w:pPr>
        <w:spacing w:after="0" w:line="132" w:lineRule="exact"/>
        <w:rPr>
          <w:sz w:val="20"/>
          <w:szCs w:val="20"/>
          <w:color w:val="auto"/>
        </w:rPr>
      </w:pPr>
    </w:p>
    <w:p>
      <w:pPr>
        <w:ind w:right="160" w:firstLine="452"/>
        <w:spacing w:after="0" w:line="253" w:lineRule="auto"/>
        <w:rPr>
          <w:sz w:val="20"/>
          <w:szCs w:val="20"/>
          <w:color w:val="auto"/>
        </w:rPr>
      </w:pPr>
      <w:r>
        <w:rPr>
          <w:rFonts w:ascii="Times New Roman" w:cs="Times New Roman" w:eastAsia="Times New Roman" w:hAnsi="Times New Roman"/>
          <w:sz w:val="13"/>
          <w:szCs w:val="13"/>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73595" cy="12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0"/>
          </w:cols>
          <w:pgMar w:left="300" w:top="228"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color w:val="auto"/>
        </w:rPr>
        <w:t>Contingent Value Rights Agreement</w:t>
      </w:r>
    </w:p>
    <w:p>
      <w:pPr>
        <w:spacing w:after="0" w:line="154" w:lineRule="exact"/>
        <w:rPr>
          <w:sz w:val="20"/>
          <w:szCs w:val="20"/>
          <w:color w:val="auto"/>
        </w:rPr>
      </w:pPr>
    </w:p>
    <w:p>
      <w:pPr>
        <w:ind w:firstLine="452"/>
        <w:spacing w:after="0" w:line="246" w:lineRule="auto"/>
        <w:rPr>
          <w:sz w:val="20"/>
          <w:szCs w:val="20"/>
          <w:color w:val="auto"/>
        </w:rPr>
      </w:pPr>
      <w:r>
        <w:rPr>
          <w:rFonts w:ascii="Times New Roman" w:cs="Times New Roman" w:eastAsia="Times New Roman" w:hAnsi="Times New Roman"/>
          <w:sz w:val="13"/>
          <w:szCs w:val="13"/>
          <w:color w:val="auto"/>
        </w:rPr>
        <w:t>On December 6, 2023, as contemplated in the Merger Agreement, the Company entered into a contingent value rights agreement (the “CVR Agreement”) pursuant to which each holder of Common Stock as of December 4, 2023 was entitled to one contractual contingent value right (each, a “CVR”) issued by the Company for each share of Common Stock held by such holder as of December 4, 2023, which CVRs were distributed to such holders on December 13, 2023. Holders of the warrants to purchase Common Stock of the Company outstanding as of such date (each, a “Selecta Warrant”) will be entitled to receive, upon exercise of such Selecta Warrant and in accordance with the terms thereof, one CVR per each such share of Common Stock underlying such Selecta Warrant, assuming the same had been exercised on December 4, 2023; except that the holders of the warrants issued by Selecta on April 11, 2022 (the “Selecta Warrants”), as required by the terms of such Selecta Warrants, received such CVRs on December 13, 2023, together with the distribution of CVRs made to the holders of Common Stock, even if such Selecta Warrants were not exercised.</w:t>
      </w:r>
    </w:p>
    <w:p>
      <w:pPr>
        <w:spacing w:after="0" w:line="134" w:lineRule="exact"/>
        <w:rPr>
          <w:sz w:val="20"/>
          <w:szCs w:val="20"/>
          <w:color w:val="auto"/>
        </w:rPr>
      </w:pPr>
    </w:p>
    <w:p>
      <w:pPr>
        <w:ind w:right="120" w:firstLine="452"/>
        <w:spacing w:after="0" w:line="264" w:lineRule="auto"/>
        <w:rPr>
          <w:sz w:val="20"/>
          <w:szCs w:val="20"/>
          <w:color w:val="auto"/>
        </w:rPr>
      </w:pPr>
      <w:r>
        <w:rPr>
          <w:rFonts w:ascii="Times New Roman" w:cs="Times New Roman" w:eastAsia="Times New Roman" w:hAnsi="Times New Roman"/>
          <w:sz w:val="13"/>
          <w:szCs w:val="13"/>
          <w:color w:val="auto"/>
        </w:rPr>
        <w:t>Each CVR entitles its holder to distributions of the following, pro-rated on a per-CVR basis, during the period ending on the date on which the Royalty Term (as defined in the Company’s License and Development Agreement, as amended, with Swedish Orphan Biovitrum AB (publ.) (the “Sobi License”)) ends (the “Termination Date”):</w:t>
      </w:r>
    </w:p>
    <w:p>
      <w:pPr>
        <w:spacing w:after="0" w:line="123" w:lineRule="exact"/>
        <w:rPr>
          <w:sz w:val="20"/>
          <w:szCs w:val="20"/>
          <w:color w:val="auto"/>
        </w:rPr>
      </w:pPr>
    </w:p>
    <w:p>
      <w:pPr>
        <w:ind w:left="440" w:right="160" w:hanging="219"/>
        <w:spacing w:after="0" w:line="264" w:lineRule="auto"/>
        <w:tabs>
          <w:tab w:leader="none" w:pos="4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of all milestone payments, royalties and other amounts paid to the Company or its controlled affiliates (the “Company Entities”) under the Sobi License or, following certain terminations of the Sobi License, any agreement a Company Entity enters into that provides for the development and commercialization of SEL-212; and</w:t>
      </w:r>
    </w:p>
    <w:p>
      <w:pPr>
        <w:spacing w:after="0" w:line="122" w:lineRule="exact"/>
        <w:rPr>
          <w:rFonts w:ascii="Times New Roman" w:cs="Times New Roman" w:eastAsia="Times New Roman" w:hAnsi="Times New Roman"/>
          <w:sz w:val="13"/>
          <w:szCs w:val="13"/>
          <w:color w:val="auto"/>
        </w:rPr>
      </w:pPr>
    </w:p>
    <w:p>
      <w:pPr>
        <w:ind w:left="440" w:right="20" w:hanging="219"/>
        <w:spacing w:after="0" w:line="253" w:lineRule="auto"/>
        <w:tabs>
          <w:tab w:leader="none" w:pos="4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129" w:lineRule="exact"/>
        <w:rPr>
          <w:sz w:val="20"/>
          <w:szCs w:val="20"/>
          <w:color w:val="auto"/>
        </w:rPr>
      </w:pPr>
    </w:p>
    <w:p>
      <w:pPr>
        <w:ind w:firstLine="452"/>
        <w:spacing w:after="0" w:line="247" w:lineRule="auto"/>
        <w:rPr>
          <w:sz w:val="20"/>
          <w:szCs w:val="20"/>
          <w:color w:val="auto"/>
        </w:rPr>
      </w:pPr>
      <w:r>
        <w:rPr>
          <w:rFonts w:ascii="Times New Roman" w:cs="Times New Roman" w:eastAsia="Times New Roman" w:hAnsi="Times New Roman"/>
          <w:sz w:val="13"/>
          <w:szCs w:val="13"/>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$750,000 for general and administrative overhead, (iv) payments made and remaining obligations on lease liabilities of Selecta immediately prior to the Merger and (v) amounts paid and remaining obligations with regard to Selecta’s Xork product candidate. Each of the deductions described in (iv) and (v) will be made only if certain milestone payments under the Sobi License are made, and are also subject to certain adjustments as contemplated in the CVR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Series A Preferred Stock Financing</w:t>
      </w:r>
    </w:p>
    <w:p>
      <w:pPr>
        <w:spacing w:after="0" w:line="154" w:lineRule="exact"/>
        <w:rPr>
          <w:sz w:val="20"/>
          <w:szCs w:val="20"/>
          <w:color w:val="auto"/>
        </w:rPr>
      </w:pPr>
    </w:p>
    <w:p>
      <w:pPr>
        <w:ind w:right="60" w:firstLine="452"/>
        <w:spacing w:after="0" w:line="249" w:lineRule="auto"/>
        <w:rPr>
          <w:sz w:val="20"/>
          <w:szCs w:val="20"/>
          <w:color w:val="auto"/>
        </w:rPr>
      </w:pPr>
      <w:r>
        <w:rPr>
          <w:rFonts w:ascii="Times New Roman" w:cs="Times New Roman" w:eastAsia="Times New Roman" w:hAnsi="Times New Roman"/>
          <w:sz w:val="13"/>
          <w:szCs w:val="13"/>
          <w:color w:val="auto"/>
        </w:rPr>
        <w:t>On November 13, 2023, the Company entered into a Securities Purchase Agreement (the “Securities Purchase Agreement”) with (i) Timothy A. Springer, a member of the Company’s Board; (ii) TAS Partners, LLC, and (iii) Seven One Eight Three Four Irrevocable Trust, a trust associated with Dr. Murat Kalayoglu, a co-founder and the former chief executive officer of Old Cartesian, who joined the Board effective immediately after the effective time of the Merger (the “Investors”). Pursuant to the Securities Purchase Agreement, the Company agreed to issue and sell an aggregate of 149,330.115 shares of Series A Preferred Stock for an aggregate purchase price of $60.25 million (collectively, the “Financing”). Each share of Series A Preferred Stock is convertible into 1,000 shares of Common Stock.</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73595" cy="12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ind w:right="140" w:firstLine="452"/>
        <w:spacing w:after="0" w:line="249" w:lineRule="auto"/>
        <w:rPr>
          <w:sz w:val="20"/>
          <w:szCs w:val="20"/>
          <w:color w:val="auto"/>
        </w:rPr>
      </w:pPr>
      <w:r>
        <w:rPr>
          <w:rFonts w:ascii="Times New Roman" w:cs="Times New Roman" w:eastAsia="Times New Roman" w:hAnsi="Times New Roman"/>
          <w:sz w:val="13"/>
          <w:szCs w:val="13"/>
          <w:color w:val="auto"/>
        </w:rPr>
        <w:t>In the Financing, each of TAS Partners, LLC and Dr. Springer agreed to settle its purchases in three approximately equal tranches of shares of Series A Preferred Stock, each for a purchase price of approximately $20.0 million, with the three tranches settling 30, 60, and 90 days, respectively, following the Closing. The first and second tranches were settled on December 13, 2023 and January 12, 2024, respectively, under which (i) 24,785.081 shares of Series A Preferred Stock were issued to each of TAS Partners, LLC and Dr. Springer in the first tranche, and (ii) 49,570.163 shares of Series A Preferred Stock were issued to Dr. Springer in the second tranche. The third tranche is expected to settle on February 11,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Settlement of Selecta Equity Awards</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Upon consummation of the First Merger, the equity compensation awards of Selecta were settled as follows:</w:t>
      </w:r>
    </w:p>
    <w:p>
      <w:pPr>
        <w:spacing w:after="0" w:line="152" w:lineRule="exact"/>
        <w:rPr>
          <w:sz w:val="20"/>
          <w:szCs w:val="20"/>
          <w:color w:val="auto"/>
        </w:rPr>
      </w:pPr>
    </w:p>
    <w:p>
      <w:pPr>
        <w:ind w:left="440" w:right="200" w:hanging="241"/>
        <w:spacing w:after="0" w:line="264" w:lineRule="auto"/>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option to acquire shares of Common Stock and each restricted stock unit award with respect to shares of Common Stock, in each case that was outstanding and unvested immediately prior to the Merger, was accelerated and vested in full at the effective time of the First Merger;</w:t>
      </w:r>
    </w:p>
    <w:p>
      <w:pPr>
        <w:spacing w:after="0" w:line="122" w:lineRule="exact"/>
        <w:rPr>
          <w:rFonts w:ascii="Times New Roman" w:cs="Times New Roman" w:eastAsia="Times New Roman" w:hAnsi="Times New Roman"/>
          <w:sz w:val="13"/>
          <w:szCs w:val="13"/>
          <w:color w:val="auto"/>
        </w:rPr>
      </w:pPr>
    </w:p>
    <w:p>
      <w:pPr>
        <w:ind w:left="440" w:right="40" w:hanging="241"/>
        <w:spacing w:after="0" w:line="253" w:lineRule="auto"/>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option to acquire shares of Common Stock was canceled and in exchange therefor, former holders became entitled to receive an amount in cash equal to the product of (A) the total number of shares of Common Stock subject to the unexercised portion the stock option (determined after giving effect to the accelerated vesting) multiplied by (B) the excess, if any, of $2.06 (the “Cash-out Amount”) over the applicable exercise price per share of Common Stock under such stock option; and</w:t>
      </w:r>
    </w:p>
    <w:p>
      <w:pPr>
        <w:spacing w:after="0" w:line="129" w:lineRule="exact"/>
        <w:rPr>
          <w:rFonts w:ascii="Times New Roman" w:cs="Times New Roman" w:eastAsia="Times New Roman" w:hAnsi="Times New Roman"/>
          <w:sz w:val="13"/>
          <w:szCs w:val="13"/>
          <w:color w:val="auto"/>
        </w:rPr>
      </w:pPr>
    </w:p>
    <w:p>
      <w:pPr>
        <w:jc w:val="both"/>
        <w:ind w:left="440" w:right="40" w:hanging="241"/>
        <w:spacing w:after="0" w:line="356" w:lineRule="auto"/>
        <w:tabs>
          <w:tab w:leader="none" w:pos="44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 Forma Presentation</w:t>
      </w:r>
    </w:p>
    <w:p>
      <w:pPr>
        <w:spacing w:after="0" w:line="154" w:lineRule="exact"/>
        <w:rPr>
          <w:sz w:val="20"/>
          <w:szCs w:val="20"/>
          <w:color w:val="auto"/>
        </w:rPr>
      </w:pPr>
    </w:p>
    <w:p>
      <w:pPr>
        <w:ind w:right="100" w:firstLine="452"/>
        <w:spacing w:after="0" w:line="247" w:lineRule="auto"/>
        <w:rPr>
          <w:sz w:val="20"/>
          <w:szCs w:val="20"/>
          <w:color w:val="auto"/>
        </w:rPr>
      </w:pPr>
      <w:r>
        <w:rPr>
          <w:rFonts w:ascii="Times New Roman" w:cs="Times New Roman" w:eastAsia="Times New Roman" w:hAnsi="Times New Roman"/>
          <w:sz w:val="13"/>
          <w:szCs w:val="13"/>
          <w:color w:val="auto"/>
        </w:rPr>
        <w:t>The unaudited pro forma condensed combined financial information was prepared in accordance with Article 11 of Regulation S-X. The Selecta and Old Cartesian unaudited pro forma condensed combined balance sheet data assume that the Merger took place on September 30, 2023, and combines the Selecta and Old Cartesian historical balance sheets at September 30, 2023. The Selecta and Old Cartesian unaudited pro forma condensed combined statements of operations data assume that the Merger took place as of January 1, 2022, and combine the historical results of Selecta and Old Cartesian for the year ended December 31, 2022, and for the nine months ended September 30, 2023. The historical financial statements of Selecta and Old Cartesian have been adjusted to give pro forma effect to events that are (i) directly attributable to the Merger, (ii) factually supportable, and (iii) with respect to the statements of operations, expected to have a continuing impact on the combined results.</w:t>
      </w:r>
    </w:p>
    <w:p>
      <w:pPr>
        <w:spacing w:after="0" w:line="134" w:lineRule="exact"/>
        <w:rPr>
          <w:sz w:val="20"/>
          <w:szCs w:val="20"/>
          <w:color w:val="auto"/>
        </w:rPr>
      </w:pPr>
    </w:p>
    <w:p>
      <w:pPr>
        <w:ind w:firstLine="452"/>
        <w:spacing w:after="0" w:line="253" w:lineRule="auto"/>
        <w:rPr>
          <w:sz w:val="20"/>
          <w:szCs w:val="20"/>
          <w:color w:val="auto"/>
        </w:rPr>
      </w:pPr>
      <w:r>
        <w:rPr>
          <w:rFonts w:ascii="Times New Roman" w:cs="Times New Roman" w:eastAsia="Times New Roman" w:hAnsi="Times New Roman"/>
          <w:sz w:val="13"/>
          <w:szCs w:val="13"/>
          <w:color w:val="auto"/>
        </w:rPr>
        <w:t>The unaudited pro forma condensed combined financial statements are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The final determination of these estimated fair values will be based on the actual net tangible assets of Old Cartesian that existed as of the date of completion of the Merger.</w:t>
      </w:r>
    </w:p>
    <w:p>
      <w:pPr>
        <w:spacing w:after="0" w:line="129" w:lineRule="exact"/>
        <w:rPr>
          <w:sz w:val="20"/>
          <w:szCs w:val="20"/>
          <w:color w:val="auto"/>
        </w:rPr>
      </w:pPr>
    </w:p>
    <w:p>
      <w:pPr>
        <w:jc w:val="both"/>
        <w:ind w:right="60" w:firstLine="452"/>
        <w:spacing w:after="0" w:line="249" w:lineRule="auto"/>
        <w:rPr>
          <w:sz w:val="20"/>
          <w:szCs w:val="20"/>
          <w:color w:val="auto"/>
        </w:rPr>
      </w:pPr>
      <w:r>
        <w:rPr>
          <w:rFonts w:ascii="Times New Roman" w:cs="Times New Roman" w:eastAsia="Times New Roman" w:hAnsi="Times New Roman"/>
          <w:sz w:val="13"/>
          <w:szCs w:val="13"/>
          <w:color w:val="auto"/>
        </w:rPr>
        <w:t>The unaudited pro forma condensed combined financial statements do not give effect to the potential impact of current financial conditions, regulatory matters, operating efficiencies or other savings or expenses that may be associated with the Merger. The unaudited pro forma condensed combined financial statements have been prepared for illustrative purposes only and are not necessarily indicative of the financial position or results of operations in future periods or the results that actually would have been realized had Selecta and Old Cartesian been a combined company during the specified period. The unaudited pro forma condensed combined financial statements, including the notes thereto, should be read in conjunction with the separate historical audited financial statements of Selecta and Old Cartesian.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73595" cy="12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Pro Forma Condensed Combined Balance Sheet</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of September 30, 2023</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Selecta</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14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1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79,603</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6,875</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(9,423)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4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137,305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60,250</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994</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5,892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Unbilled receivables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1,875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299</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3,792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Total current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50,827</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148,864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228</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2,649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Right-of-use asset, net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891</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150,700</w:t>
            </w: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150,700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48,062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F</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48,062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106,034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9,312</w:t>
            </w: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249,589</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364,935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20" w:type="dxa"/>
            <w:vAlign w:val="bottom"/>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LIABILITIES, PREFERRED STOCK AND STOCKHOLDERS’ EQUITY</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14,012</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24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4,895</w:t>
            </w: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A</w:t>
            </w:r>
          </w:p>
        </w:tc>
        <w:tc>
          <w:tcPr>
            <w:tcW w:w="400" w:type="dxa"/>
            <w:vAlign w:val="bottom"/>
            <w:gridSpan w:val="2"/>
          </w:tcPr>
          <w:p>
            <w:pPr>
              <w:jc w:val="right"/>
              <w:ind w:right="4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20,989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liability</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273</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2,060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4,895</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liability</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743</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9,437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3,981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 liabilities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13,091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liability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34,853</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15,854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(18,999)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J</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Contingent value right obligation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340,300</w:t>
            </w: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H</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340,300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45,705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3.098</w:t>
            </w: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361,049</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409,852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Preferred Stock</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32,057</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155,308</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F</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215,558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60,250</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(32,057)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78"/>
              </w:rPr>
              <w:t>I</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 I</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501,919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6,977</w:t>
            </w: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182,372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D</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13,157</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(340,300)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H</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(7,985)</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78"/>
              </w:rPr>
              <w:t>I</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(436,989)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(33,828)</w:t>
            </w: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(4,895)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A</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(438,246)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(16,400)</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(619)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D</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35,486</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78"/>
              </w:rPr>
              <w:t>I</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18,999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J</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(4,616)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stockholders’ equity (deficit)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60,329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(25,843)</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(294,961)</w:t>
            </w:r>
          </w:p>
        </w:tc>
        <w:tc>
          <w:tcPr>
            <w:tcW w:w="2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(260,475)</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20" w:type="dxa"/>
            <w:vAlign w:val="bottom"/>
          </w:tcPr>
          <w:p>
            <w:pPr>
              <w:spacing w:after="0" w:line="134" w:lineRule="exact"/>
              <w:rPr>
                <w:sz w:val="20"/>
                <w:szCs w:val="20"/>
                <w:color w:val="auto"/>
              </w:rPr>
            </w:pPr>
            <w:r>
              <w:rPr>
                <w:rFonts w:ascii="Times New Roman" w:cs="Times New Roman" w:eastAsia="Times New Roman" w:hAnsi="Times New Roman"/>
                <w:sz w:val="13"/>
                <w:szCs w:val="13"/>
                <w:b w:val="1"/>
                <w:bCs w:val="1"/>
                <w:color w:val="auto"/>
                <w:w w:val="98"/>
              </w:rPr>
              <w:t>TOTAL LIABILITIES, PREFERRED STOCK AND STOCKHOLDERS’ EQUITY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106,034</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9,312</w:t>
            </w:r>
          </w:p>
        </w:tc>
        <w:tc>
          <w:tcPr>
            <w:tcW w:w="24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249,589</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gridSpan w:val="2"/>
          </w:tcPr>
          <w:p>
            <w:pPr>
              <w:jc w:val="right"/>
              <w:ind w:right="4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364,935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Pro Forma Condensed Combined Statement of Operations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Year Ended December 31, 2022</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Selecta</w:t>
            </w:r>
          </w:p>
        </w:tc>
        <w:tc>
          <w:tcPr>
            <w:tcW w:w="200" w:type="dxa"/>
            <w:vAlign w:val="bottom"/>
          </w:tcPr>
          <w:p>
            <w:pPr>
              <w:spacing w:after="0"/>
              <w:rPr>
                <w:sz w:val="13"/>
                <w:szCs w:val="13"/>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16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Biosciences, Inc.</w:t>
            </w:r>
          </w:p>
        </w:tc>
        <w:tc>
          <w:tcPr>
            <w:tcW w:w="20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Collaboration and license revenue</w:t>
            </w:r>
          </w:p>
        </w:tc>
        <w:tc>
          <w:tcPr>
            <w:tcW w:w="240" w:type="dxa"/>
            <w:vAlign w:val="bottom"/>
            <w:gridSpan w:val="2"/>
          </w:tcPr>
          <w:p>
            <w:pPr>
              <w:jc w:val="right"/>
              <w:ind w:right="4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110,777</w:t>
            </w:r>
          </w:p>
        </w:tc>
        <w:tc>
          <w:tcPr>
            <w:tcW w:w="16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3"/>
                <w:szCs w:val="13"/>
                <w:color w:val="auto"/>
              </w:rPr>
            </w:pP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110,777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Grant revenue</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1,449</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110,777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1,449</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112,226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72,377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6,841</w:t>
            </w:r>
          </w:p>
        </w:tc>
        <w:tc>
          <w:tcPr>
            <w:tcW w:w="16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7,462</w:t>
            </w:r>
          </w:p>
        </w:tc>
        <w:tc>
          <w:tcPr>
            <w:tcW w:w="9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B</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88,488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619</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D</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1,189</w:t>
            </w:r>
          </w:p>
        </w:tc>
        <w:tc>
          <w:tcPr>
            <w:tcW w:w="9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23,862</w:t>
            </w:r>
          </w:p>
        </w:tc>
        <w:tc>
          <w:tcPr>
            <w:tcW w:w="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1,244</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4,895</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A</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38,939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8,938</w:t>
            </w:r>
          </w:p>
        </w:tc>
        <w:tc>
          <w:tcPr>
            <w:tcW w:w="9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B</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96,239</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8,085</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23,103</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 (loss)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14,538</w:t>
            </w:r>
          </w:p>
        </w:tc>
        <w:tc>
          <w:tcPr>
            <w:tcW w:w="1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(6,636)</w:t>
            </w: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(23,103)</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35</w:t>
            </w:r>
          </w:p>
        </w:tc>
        <w:tc>
          <w:tcPr>
            <w:tcW w:w="16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2,108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transaction, net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shd w:val="clear" w:color="auto" w:fill="CCEEFF"/>
          </w:tcPr>
          <w:p>
            <w:pPr>
              <w:spacing w:after="0"/>
              <w:rPr>
                <w:sz w:val="13"/>
                <w:szCs w:val="13"/>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income, net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(3,031)</w:t>
            </w:r>
          </w:p>
        </w:tc>
        <w:tc>
          <w:tcPr>
            <w:tcW w:w="20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20,882</w:t>
            </w:r>
          </w:p>
        </w:tc>
        <w:tc>
          <w:tcPr>
            <w:tcW w:w="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20,882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net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146</w:t>
            </w:r>
          </w:p>
        </w:tc>
        <w:tc>
          <w:tcPr>
            <w:tcW w:w="16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(108)</w:t>
            </w:r>
          </w:p>
        </w:tc>
        <w:tc>
          <w:tcPr>
            <w:tcW w:w="9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C</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34,770</w:t>
            </w:r>
          </w:p>
        </w:tc>
        <w:tc>
          <w:tcPr>
            <w:tcW w:w="1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(6,455)</w:t>
            </w: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(23,211)</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Income tax benefit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18,999</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J</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35,379</w:t>
            </w:r>
          </w:p>
        </w:tc>
        <w:tc>
          <w:tcPr>
            <w:tcW w:w="1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(6,455)</w:t>
            </w: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(4,212)</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comprehensive income (loss)</w:t>
            </w: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35,387</w:t>
            </w: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(6,455)</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(4,212)</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60" w:type="dxa"/>
            <w:vAlign w:val="bottom"/>
            <w:tcBorders>
              <w:top w:val="single" w:sz="8" w:color="CCEEFF"/>
            </w:tcBorders>
          </w:tcPr>
          <w:p>
            <w:pPr>
              <w:spacing w:after="0" w:line="128" w:lineRule="exact"/>
              <w:rPr>
                <w:sz w:val="20"/>
                <w:szCs w:val="20"/>
                <w:color w:val="auto"/>
              </w:rPr>
            </w:pPr>
            <w:r>
              <w:rPr>
                <w:rFonts w:ascii="Times New Roman" w:cs="Times New Roman" w:eastAsia="Times New Roman" w:hAnsi="Times New Roman"/>
                <w:sz w:val="13"/>
                <w:szCs w:val="13"/>
                <w:color w:val="auto"/>
              </w:rPr>
              <w:t>Net (loss) income per share</w:t>
            </w:r>
          </w:p>
        </w:tc>
        <w:tc>
          <w:tcPr>
            <w:tcW w:w="8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K</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(0.08)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gridSpan w:val="2"/>
          </w:tcPr>
          <w:p>
            <w:pPr>
              <w:jc w:val="right"/>
              <w:ind w:right="4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K</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(0.22)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common shares outstanding</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Basic</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144,758,555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K</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151,482,194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Diluted</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145,874,889</w:t>
            </w:r>
          </w:p>
        </w:tc>
        <w:tc>
          <w:tcPr>
            <w:tcW w:w="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K</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152,282,286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Pro Forma Condensed Combined Statements of Operations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period ended September 30, 2023</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Selecta</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14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14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Collaboration and license revenue</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17,738</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17,738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49,408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6,965</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3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57,057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67,822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8,251</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3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76,757</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Operating loss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(50,084)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(8,251)</w:t>
            </w:r>
          </w:p>
        </w:tc>
        <w:tc>
          <w:tcPr>
            <w:tcW w:w="14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(684)</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(59,019)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311</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4,335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transaction, net</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(2,833)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(2,833)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6,049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net</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176</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3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84"/>
              </w:rPr>
              <w:t>C</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Loss before income taxes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(42,052)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(7,764)</w:t>
            </w:r>
          </w:p>
        </w:tc>
        <w:tc>
          <w:tcPr>
            <w:tcW w:w="14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(576)</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(50,392)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(42,052)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(7,764)</w:t>
            </w:r>
          </w:p>
        </w:tc>
        <w:tc>
          <w:tcPr>
            <w:tcW w:w="14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(576)</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(50,392)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Total comprehensive loss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(42,110)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(7,764)</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(576)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(50,450)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Net loss per share</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Basic</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Diluted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(0.27)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common shares outstanding</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Basic</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153,870,912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3"/>
              </w:rPr>
              <w:t>F 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160,594,551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Diluted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153,870,912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3"/>
              </w:rPr>
              <w:t>F K</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160,594,551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35" w:name="page36"/>
    <w:bookmarkEnd w:id="35"/>
    <w:p>
      <w:pPr>
        <w:ind w:left="5"/>
        <w:spacing w:after="0"/>
        <w:rPr>
          <w:sz w:val="20"/>
          <w:szCs w:val="20"/>
          <w:color w:val="auto"/>
        </w:rPr>
      </w:pPr>
      <w:r>
        <w:rPr>
          <w:rFonts w:ascii="Times New Roman" w:cs="Times New Roman" w:eastAsia="Times New Roman" w:hAnsi="Times New Roman"/>
          <w:sz w:val="13"/>
          <w:szCs w:val="13"/>
          <w:b w:val="1"/>
          <w:bCs w:val="1"/>
          <w:color w:val="auto"/>
        </w:rPr>
        <w:t>NOTES TO UNAUDITED PRO FORMA CONDENSED COMBINED FINANCIAL INFORMATION</w:t>
      </w:r>
    </w:p>
    <w:p>
      <w:pPr>
        <w:spacing w:after="0" w:line="152" w:lineRule="exact"/>
        <w:rPr>
          <w:sz w:val="20"/>
          <w:szCs w:val="20"/>
          <w:color w:val="auto"/>
        </w:rPr>
      </w:pPr>
    </w:p>
    <w:p>
      <w:pPr>
        <w:ind w:left="225" w:hanging="225"/>
        <w:spacing w:after="0"/>
        <w:tabs>
          <w:tab w:leader="none" w:pos="225" w:val="left"/>
        </w:tabs>
        <w:numPr>
          <w:ilvl w:val="0"/>
          <w:numId w:val="1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color w:val="auto"/>
        </w:rPr>
        <w:t>Description of Transaction</w:t>
      </w:r>
    </w:p>
    <w:p>
      <w:pPr>
        <w:spacing w:after="0" w:line="1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i w:val="1"/>
          <w:iCs w:val="1"/>
          <w:color w:val="auto"/>
        </w:rPr>
        <w:t>Merger Transaction</w:t>
      </w:r>
    </w:p>
    <w:p>
      <w:pPr>
        <w:spacing w:after="0" w:line="154" w:lineRule="exact"/>
        <w:rPr>
          <w:sz w:val="20"/>
          <w:szCs w:val="20"/>
          <w:color w:val="auto"/>
        </w:rPr>
      </w:pPr>
    </w:p>
    <w:p>
      <w:pPr>
        <w:ind w:left="5" w:firstLine="226"/>
        <w:spacing w:after="0" w:line="264" w:lineRule="auto"/>
        <w:rPr>
          <w:sz w:val="20"/>
          <w:szCs w:val="20"/>
          <w:color w:val="auto"/>
        </w:rPr>
      </w:pPr>
      <w:r>
        <w:rPr>
          <w:rFonts w:ascii="Times New Roman" w:cs="Times New Roman" w:eastAsia="Times New Roman" w:hAnsi="Times New Roman"/>
          <w:sz w:val="13"/>
          <w:szCs w:val="13"/>
          <w:color w:val="auto"/>
        </w:rPr>
        <w:t>The Merger occurred on November 13, 2023, as a result of which Selecta acquired all of the equity of Old Cartesian. Selecta, as the surviving corporation, was renamed “Cartesian Therapeutics, Inc.” and is trading under the symbol “RNAC” on the Nasdaq Global Market as of November 14, 2023.</w:t>
      </w:r>
    </w:p>
    <w:p>
      <w:pPr>
        <w:spacing w:after="0" w:line="123" w:lineRule="exact"/>
        <w:rPr>
          <w:sz w:val="20"/>
          <w:szCs w:val="20"/>
          <w:color w:val="auto"/>
        </w:rPr>
      </w:pPr>
    </w:p>
    <w:p>
      <w:pPr>
        <w:ind w:left="5" w:right="400" w:firstLine="226"/>
        <w:spacing w:after="0" w:line="264" w:lineRule="auto"/>
        <w:rPr>
          <w:sz w:val="20"/>
          <w:szCs w:val="20"/>
          <w:color w:val="auto"/>
        </w:rPr>
      </w:pPr>
      <w:r>
        <w:rPr>
          <w:rFonts w:ascii="Times New Roman" w:cs="Times New Roman" w:eastAsia="Times New Roman" w:hAnsi="Times New Roman"/>
          <w:sz w:val="13"/>
          <w:szCs w:val="13"/>
          <w:color w:val="auto"/>
        </w:rPr>
        <w:t>In exchange for the outstanding shares of capital stock of Old Cartesian immediately prior to the effective time of the First Merger, the Company issued to the stockholders of Old Cartesian (A) 6,723,639 shares of Common Stock and (B) 384,930.724 shares of Series A Preferred Stock, each share of which is convertible into 1,000 shares of Common Stock, subject to certain conditions.</w:t>
      </w:r>
    </w:p>
    <w:p>
      <w:pPr>
        <w:spacing w:after="0" w:line="123" w:lineRule="exact"/>
        <w:rPr>
          <w:sz w:val="20"/>
          <w:szCs w:val="20"/>
          <w:color w:val="auto"/>
        </w:rPr>
      </w:pPr>
    </w:p>
    <w:p>
      <w:pPr>
        <w:ind w:left="5" w:right="60" w:firstLine="226"/>
        <w:spacing w:after="0" w:line="249" w:lineRule="auto"/>
        <w:rPr>
          <w:sz w:val="20"/>
          <w:szCs w:val="20"/>
          <w:color w:val="auto"/>
        </w:rPr>
      </w:pPr>
      <w:r>
        <w:rPr>
          <w:rFonts w:ascii="Times New Roman" w:cs="Times New Roman" w:eastAsia="Times New Roman" w:hAnsi="Times New Roman"/>
          <w:sz w:val="13"/>
          <w:szCs w:val="13"/>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and (ii) either or both of (A) the approval of an amendment to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132" w:lineRule="exact"/>
        <w:rPr>
          <w:sz w:val="20"/>
          <w:szCs w:val="20"/>
          <w:color w:val="auto"/>
        </w:rPr>
      </w:pPr>
    </w:p>
    <w:p>
      <w:pPr>
        <w:ind w:left="5" w:right="60" w:firstLine="226"/>
        <w:spacing w:after="0" w:line="249" w:lineRule="auto"/>
        <w:rPr>
          <w:sz w:val="20"/>
          <w:szCs w:val="20"/>
          <w:color w:val="auto"/>
        </w:rPr>
      </w:pPr>
      <w:r>
        <w:rPr>
          <w:rFonts w:ascii="Times New Roman" w:cs="Times New Roman" w:eastAsia="Times New Roman" w:hAnsi="Times New Roman"/>
          <w:sz w:val="13"/>
          <w:szCs w:val="13"/>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w:t>
      </w:r>
    </w:p>
    <w:p>
      <w:pPr>
        <w:spacing w:after="0" w:line="132" w:lineRule="exact"/>
        <w:rPr>
          <w:sz w:val="20"/>
          <w:szCs w:val="20"/>
          <w:color w:val="auto"/>
        </w:rPr>
      </w:pPr>
    </w:p>
    <w:p>
      <w:pPr>
        <w:jc w:val="both"/>
        <w:ind w:left="5" w:right="20" w:firstLine="226"/>
        <w:spacing w:after="0" w:line="253" w:lineRule="auto"/>
        <w:rPr>
          <w:sz w:val="20"/>
          <w:szCs w:val="20"/>
          <w:color w:val="auto"/>
        </w:rPr>
      </w:pPr>
      <w:r>
        <w:rPr>
          <w:rFonts w:ascii="Times New Roman" w:cs="Times New Roman" w:eastAsia="Times New Roman" w:hAnsi="Times New Roman"/>
          <w:sz w:val="13"/>
          <w:szCs w:val="13"/>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129" w:lineRule="exact"/>
        <w:rPr>
          <w:sz w:val="20"/>
          <w:szCs w:val="20"/>
          <w:color w:val="auto"/>
        </w:rPr>
      </w:pPr>
    </w:p>
    <w:p>
      <w:pPr>
        <w:ind w:left="5" w:right="120" w:firstLine="226"/>
        <w:spacing w:after="0" w:line="264" w:lineRule="auto"/>
        <w:rPr>
          <w:sz w:val="20"/>
          <w:szCs w:val="20"/>
          <w:color w:val="auto"/>
        </w:rPr>
      </w:pPr>
      <w:r>
        <w:rPr>
          <w:rFonts w:ascii="Times New Roman" w:cs="Times New Roman" w:eastAsia="Times New Roman" w:hAnsi="Times New Roman"/>
          <w:sz w:val="13"/>
          <w:szCs w:val="13"/>
          <w:color w:val="auto"/>
        </w:rPr>
        <w:t>The outstanding stock option awards of Old Cartesian were assumed by the Company in connection with the Merger. As a result, the Company issued (i) stock options in respect of 23,306,661 shares of Common Stock and (ii) stock options in respect of 14,112.299 shares of Series A Preferred Stock.</w:t>
      </w:r>
    </w:p>
    <w:p>
      <w:pPr>
        <w:spacing w:after="0" w:line="123" w:lineRule="exact"/>
        <w:rPr>
          <w:sz w:val="20"/>
          <w:szCs w:val="20"/>
          <w:color w:val="auto"/>
        </w:rPr>
      </w:pPr>
    </w:p>
    <w:p>
      <w:pPr>
        <w:ind w:left="5" w:right="100" w:firstLine="226"/>
        <w:spacing w:after="0" w:line="298" w:lineRule="auto"/>
        <w:rPr>
          <w:sz w:val="20"/>
          <w:szCs w:val="20"/>
          <w:color w:val="auto"/>
        </w:rPr>
      </w:pPr>
      <w:r>
        <w:rPr>
          <w:rFonts w:ascii="Times New Roman" w:cs="Times New Roman" w:eastAsia="Times New Roman" w:hAnsi="Times New Roman"/>
          <w:sz w:val="11"/>
          <w:szCs w:val="11"/>
          <w:color w:val="auto"/>
        </w:rPr>
        <w:t>Additionally, Selecta accelerated the vesting of unvested equity compensation awards and settled such awards as follows: (i) each Selecta stock option was canceled and its holder received an amount in cash equal to the product of (A) the total number of shares of Common Stock subject to the unexercised portion the stock option (determined after giving effect to the accelerated vesting) multiplied by (B) the excess, if any, of the Cash-</w:t>
      </w:r>
    </w:p>
    <w:p>
      <w:pPr>
        <w:jc w:val="both"/>
        <w:ind w:left="5"/>
        <w:spacing w:after="0" w:line="242" w:lineRule="auto"/>
        <w:rPr>
          <w:sz w:val="20"/>
          <w:szCs w:val="20"/>
          <w:color w:val="auto"/>
        </w:rPr>
      </w:pPr>
      <w:r>
        <w:rPr>
          <w:rFonts w:ascii="Times New Roman" w:cs="Times New Roman" w:eastAsia="Times New Roman" w:hAnsi="Times New Roman"/>
          <w:sz w:val="13"/>
          <w:szCs w:val="13"/>
          <w:color w:val="auto"/>
        </w:rPr>
        <w:t>out Amount over the applicable exercise price per share of Common Stock under such stock option; and (ii) each Selecta restricted stock unit award was cancelled and its holder received an amount in cash equal to the product of (A) the total number of shares of Common Stock deliverable under such restricted stock unit multiplied by (B) the Cash-out Amount. Stock options with an exercise price in excess of the Cash-out Amount received no cash payment. The total cash payment to cancel such equity compensation awards amounted to $9.4 million.</w:t>
      </w:r>
    </w:p>
    <w:p>
      <w:pPr>
        <w:spacing w:after="0" w:line="10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73595" cy="12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285"/>
          </w:cols>
          <w:pgMar w:left="295" w:top="125" w:right="319" w:bottom="1440" w:gutter="0" w:footer="0" w:header="0"/>
        </w:sectPr>
      </w:pPr>
    </w:p>
    <w:bookmarkStart w:id="36" w:name="page37"/>
    <w:bookmarkEnd w:id="36"/>
    <w:p>
      <w:pPr>
        <w:ind w:left="5"/>
        <w:spacing w:after="0"/>
        <w:rPr>
          <w:sz w:val="20"/>
          <w:szCs w:val="20"/>
          <w:color w:val="auto"/>
        </w:rPr>
      </w:pPr>
      <w:r>
        <w:rPr>
          <w:rFonts w:ascii="Times New Roman" w:cs="Times New Roman" w:eastAsia="Times New Roman" w:hAnsi="Times New Roman"/>
          <w:sz w:val="13"/>
          <w:szCs w:val="13"/>
          <w:i w:val="1"/>
          <w:iCs w:val="1"/>
          <w:color w:val="auto"/>
        </w:rPr>
        <w:t>Financing</w:t>
      </w:r>
    </w:p>
    <w:p>
      <w:pPr>
        <w:spacing w:after="0" w:line="154" w:lineRule="exact"/>
        <w:rPr>
          <w:sz w:val="20"/>
          <w:szCs w:val="20"/>
          <w:color w:val="auto"/>
        </w:rPr>
      </w:pPr>
    </w:p>
    <w:p>
      <w:pPr>
        <w:ind w:left="5" w:firstLine="226"/>
        <w:spacing w:after="0" w:line="264" w:lineRule="auto"/>
        <w:rPr>
          <w:sz w:val="20"/>
          <w:szCs w:val="20"/>
          <w:color w:val="auto"/>
        </w:rPr>
      </w:pPr>
      <w:r>
        <w:rPr>
          <w:rFonts w:ascii="Times New Roman" w:cs="Times New Roman" w:eastAsia="Times New Roman" w:hAnsi="Times New Roman"/>
          <w:sz w:val="13"/>
          <w:szCs w:val="13"/>
          <w:color w:val="auto"/>
        </w:rPr>
        <w:t>On November 13, 2023, certain investors entered into the Securities Purchase Agreement with the Company, pursuant to which such investors committed to purchasing Series A Preferred Stock for an aggregate purchase price of $60.25 million.</w:t>
      </w:r>
    </w:p>
    <w:p>
      <w:pPr>
        <w:spacing w:after="0" w:line="12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i w:val="1"/>
          <w:iCs w:val="1"/>
          <w:color w:val="auto"/>
        </w:rPr>
        <w:t>Contingent Value Rights Agreement</w:t>
      </w:r>
    </w:p>
    <w:p>
      <w:pPr>
        <w:spacing w:after="0" w:line="154" w:lineRule="exact"/>
        <w:rPr>
          <w:sz w:val="20"/>
          <w:szCs w:val="20"/>
          <w:color w:val="auto"/>
        </w:rPr>
      </w:pPr>
    </w:p>
    <w:p>
      <w:pPr>
        <w:ind w:left="5" w:firstLine="226"/>
        <w:spacing w:after="0" w:line="247" w:lineRule="auto"/>
        <w:rPr>
          <w:sz w:val="20"/>
          <w:szCs w:val="20"/>
          <w:color w:val="auto"/>
        </w:rPr>
      </w:pPr>
      <w:r>
        <w:rPr>
          <w:rFonts w:ascii="Times New Roman" w:cs="Times New Roman" w:eastAsia="Times New Roman" w:hAnsi="Times New Roman"/>
          <w:sz w:val="13"/>
          <w:szCs w:val="13"/>
          <w:color w:val="auto"/>
        </w:rPr>
        <w:t>On December 6, 2023, as contemplated in the Merger Agreement, the Company entered into the CVR Agreement, pursuant to which each holder of Common Stock as of December 4, 2023 was entitled to one CVR issued by the Company for each share of Common Stock held by such holder as of December 4, 2023, which CVRs were distributed to such holders on December 13, 2023. Holders of the Selecta Warrants will be entitled to receive, upon exercise of such Selecta Warrant and in accordance with the terms thereof, one CVR per each such share of Common Stock underlying such Selecta Warrant, assuming the same had been exercised on December 4, 2023; except that the holders of the Selecta Warrants issued on April 11, 2022, as required by the terms of such Selecta Warrants, received such CVRs on December 13, 2023, together with the distribution of CVRs made to the holders of Common Stock, even if such Selecta Warrants were not exercised.</w:t>
      </w:r>
    </w:p>
    <w:p>
      <w:pPr>
        <w:spacing w:after="0" w:line="134" w:lineRule="exact"/>
        <w:rPr>
          <w:sz w:val="20"/>
          <w:szCs w:val="20"/>
          <w:color w:val="auto"/>
        </w:rPr>
      </w:pPr>
    </w:p>
    <w:p>
      <w:pPr>
        <w:ind w:left="5" w:right="20" w:firstLine="226"/>
        <w:spacing w:after="0" w:line="247" w:lineRule="auto"/>
        <w:rPr>
          <w:sz w:val="20"/>
          <w:szCs w:val="20"/>
          <w:color w:val="auto"/>
        </w:rPr>
      </w:pPr>
      <w:r>
        <w:rPr>
          <w:rFonts w:ascii="Times New Roman" w:cs="Times New Roman" w:eastAsia="Times New Roman" w:hAnsi="Times New Roman"/>
          <w:sz w:val="13"/>
          <w:szCs w:val="13"/>
          <w:color w:val="auto"/>
        </w:rPr>
        <w:t>Each CVR represents the contractual right to receive contingent cash payments upon the receipt by the Company of (i) certain amounts payable by Sobi, if any, pursuant to the Sobi License, upon the achievement by Sobi of certain milestones or on the account of royalties, in each due as set forth in the Sobi License, and (ii) the proceeds from any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 The distributions in respect of the CVRs are subject to certain deductions, including for specified expenses, taxes and obligations of Selecta as of prior to the Merger or in connection with performance of the Company’s obligations under the CVR Agreement. The CVRs do not have any voting or dividend rights and do not represent any equity or ownership interest in the Company.</w:t>
      </w:r>
    </w:p>
    <w:p>
      <w:pPr>
        <w:spacing w:after="0" w:line="134" w:lineRule="exact"/>
        <w:rPr>
          <w:sz w:val="20"/>
          <w:szCs w:val="20"/>
          <w:color w:val="auto"/>
        </w:rPr>
      </w:pPr>
    </w:p>
    <w:p>
      <w:pPr>
        <w:ind w:left="5" w:right="420" w:firstLine="226"/>
        <w:spacing w:after="0" w:line="264" w:lineRule="auto"/>
        <w:rPr>
          <w:sz w:val="20"/>
          <w:szCs w:val="20"/>
          <w:color w:val="auto"/>
        </w:rPr>
      </w:pPr>
      <w:r>
        <w:rPr>
          <w:rFonts w:ascii="Times New Roman" w:cs="Times New Roman" w:eastAsia="Times New Roman" w:hAnsi="Times New Roman"/>
          <w:sz w:val="13"/>
          <w:szCs w:val="13"/>
          <w:color w:val="auto"/>
        </w:rPr>
        <w:t>The CVR will be recognized as a distribution to the Selecta stockholders and warrant holders upon the record date for its distribution, which was December 4, 2023, in an amount equal to the fair value of the right conveyed under the CVR.</w:t>
      </w:r>
    </w:p>
    <w:p>
      <w:pPr>
        <w:spacing w:after="0" w:line="121" w:lineRule="exact"/>
        <w:rPr>
          <w:sz w:val="20"/>
          <w:szCs w:val="20"/>
          <w:color w:val="auto"/>
        </w:rPr>
      </w:pPr>
    </w:p>
    <w:p>
      <w:pPr>
        <w:ind w:left="265" w:hanging="265"/>
        <w:spacing w:after="0"/>
        <w:tabs>
          <w:tab w:leader="none" w:pos="265"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Basis for Presentation</w:t>
      </w:r>
    </w:p>
    <w:p>
      <w:pPr>
        <w:spacing w:after="0" w:line="154" w:lineRule="exact"/>
        <w:rPr>
          <w:sz w:val="20"/>
          <w:szCs w:val="20"/>
          <w:color w:val="auto"/>
        </w:rPr>
      </w:pPr>
    </w:p>
    <w:p>
      <w:pPr>
        <w:ind w:left="5" w:right="40" w:firstLine="226"/>
        <w:spacing w:after="0" w:line="356" w:lineRule="auto"/>
        <w:rPr>
          <w:sz w:val="20"/>
          <w:szCs w:val="20"/>
          <w:color w:val="auto"/>
        </w:rPr>
      </w:pPr>
      <w:r>
        <w:rPr>
          <w:rFonts w:ascii="Times New Roman" w:cs="Times New Roman" w:eastAsia="Times New Roman" w:hAnsi="Times New Roman"/>
          <w:sz w:val="11"/>
          <w:szCs w:val="11"/>
          <w:color w:val="auto"/>
        </w:rPr>
        <w:t>The unaudited pro forma condensed combined balance sheet as of September 30, 2023, is presented as if the Merger had been completed on September 30, 2023. The unaudited pro forma condensed combined statements of operations for the years ended December 31, 2022, and the nine months ended September 30, 2023, assumes that the Merger occurred on January 1, 2022, and combines the historical results of Selecta and Old Cartesian.</w:t>
      </w:r>
    </w:p>
    <w:p>
      <w:pPr>
        <w:spacing w:after="0" w:line="76" w:lineRule="exact"/>
        <w:rPr>
          <w:sz w:val="20"/>
          <w:szCs w:val="20"/>
          <w:color w:val="auto"/>
        </w:rPr>
      </w:pPr>
    </w:p>
    <w:p>
      <w:pPr>
        <w:ind w:left="5" w:right="60" w:firstLine="226"/>
        <w:spacing w:after="0" w:line="303" w:lineRule="auto"/>
        <w:rPr>
          <w:sz w:val="20"/>
          <w:szCs w:val="20"/>
          <w:color w:val="auto"/>
        </w:rPr>
      </w:pPr>
      <w:r>
        <w:rPr>
          <w:rFonts w:ascii="Times New Roman" w:cs="Times New Roman" w:eastAsia="Times New Roman" w:hAnsi="Times New Roman"/>
          <w:sz w:val="11"/>
          <w:szCs w:val="11"/>
          <w:color w:val="auto"/>
        </w:rPr>
        <w:t>The Merger is accounted for as a business combination under U.S. GAAP because Selecta has obtained control of Old Cartesian as a result of the Merger. As such, for financial reporting purposes, Selecta has been determined to be the accounting acquirer as Old Cartesian is deemed to be a variable interest entity to which Selecta is the primary beneficiary as Selecta has (i) the power to direct the activities that most significantly impact the economic performance of Old Cartesian and (ii) the obligation to absorb losses or the right to receive benefits of Old Cartesian. Under the terms of the Merger: (A) the pre-Merger stockholders of Selecta continue to control the combined company, as the Series A Preferred Stock issued in connection with the Merger and Financing are non-voting shares, unless and until there is a stockholder vote which approves the Conversion Proposal, (B) Selecta holds the majority of Board seats of the combined company, and (C) Selecta’s management holds all key positions in the management of the combined company.</w:t>
      </w:r>
    </w:p>
    <w:p>
      <w:pPr>
        <w:spacing w:after="0" w:line="105" w:lineRule="exact"/>
        <w:rPr>
          <w:sz w:val="20"/>
          <w:szCs w:val="20"/>
          <w:color w:val="auto"/>
        </w:rPr>
      </w:pPr>
    </w:p>
    <w:p>
      <w:pPr>
        <w:ind w:left="5" w:right="20" w:firstLine="226"/>
        <w:spacing w:after="0" w:line="264" w:lineRule="auto"/>
        <w:rPr>
          <w:sz w:val="20"/>
          <w:szCs w:val="20"/>
          <w:color w:val="auto"/>
        </w:rPr>
      </w:pPr>
      <w:r>
        <w:rPr>
          <w:rFonts w:ascii="Times New Roman" w:cs="Times New Roman" w:eastAsia="Times New Roman" w:hAnsi="Times New Roman"/>
          <w:sz w:val="13"/>
          <w:szCs w:val="13"/>
          <w:color w:val="auto"/>
        </w:rPr>
        <w:t>The pro forma adjustments are subject to further adjustments as additional information becomes available and as additional analyses are conducted following the completion of the Merger. There can be no assurances that these additional analyses will not result in material changes to the estimates of fair value.</w:t>
      </w:r>
    </w:p>
    <w:p>
      <w:pPr>
        <w:spacing w:after="0" w:line="9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73595" cy="12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285"/>
          </w:cols>
          <w:pgMar w:left="295" w:top="125" w:right="319" w:bottom="1440" w:gutter="0" w:footer="0" w:header="0"/>
        </w:sectPr>
      </w:pPr>
    </w:p>
    <w:bookmarkStart w:id="37" w:name="page38"/>
    <w:bookmarkEnd w:id="37"/>
    <w:p>
      <w:pPr>
        <w:ind w:left="265" w:hanging="265"/>
        <w:spacing w:after="0"/>
        <w:tabs>
          <w:tab w:leader="none" w:pos="265"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Purchase Price Allocation</w:t>
      </w:r>
    </w:p>
    <w:p>
      <w:pPr>
        <w:spacing w:after="0" w:line="154" w:lineRule="exact"/>
        <w:rPr>
          <w:sz w:val="20"/>
          <w:szCs w:val="20"/>
          <w:color w:val="auto"/>
        </w:rPr>
      </w:pPr>
    </w:p>
    <w:p>
      <w:pPr>
        <w:ind w:left="5" w:right="160" w:firstLine="226"/>
        <w:spacing w:after="0" w:line="249" w:lineRule="auto"/>
        <w:rPr>
          <w:sz w:val="20"/>
          <w:szCs w:val="20"/>
          <w:color w:val="auto"/>
        </w:rPr>
      </w:pPr>
      <w:r>
        <w:rPr>
          <w:rFonts w:ascii="Times New Roman" w:cs="Times New Roman" w:eastAsia="Times New Roman" w:hAnsi="Times New Roman"/>
          <w:sz w:val="13"/>
          <w:szCs w:val="13"/>
          <w:color w:val="auto"/>
        </w:rPr>
        <w:t>The net purchase price of Old Cartesian was approximately $168.5 million and was funded by the issuance of Common Stock, Series A Preferred Stock and the exchange of stock options of Old Cartesian for stock options of the Company. The total purchase price has been allocated to Old Cartesian’s tangible assets, identifiable intangible assets and assumed liabilities based on their estimated fair values as of November 13, 2023. The excess of the purchase price over the tangible assets, identifiable intangible assets and assumed liabilities will be recorded as goodwill. The Company’s estimates and assumptions in determining the estimated fair values of certain assets and liabilities are preliminary and are subject to change. The total estimated purchase price was allocated as follows (in thousands):</w:t>
      </w:r>
    </w:p>
    <w:p>
      <w:pPr>
        <w:spacing w:after="0" w:line="130" w:lineRule="exact"/>
        <w:rPr>
          <w:sz w:val="20"/>
          <w:szCs w:val="20"/>
          <w:color w:val="auto"/>
        </w:rPr>
      </w:pPr>
    </w:p>
    <w:tbl>
      <w:tblPr>
        <w:tblLayout w:type="fixed"/>
        <w:tblInd w:w="5"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purchase consideration</w:t>
            </w:r>
          </w:p>
        </w:tc>
        <w:tc>
          <w:tcPr>
            <w:tcW w:w="3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Common Stock</w:t>
            </w:r>
          </w:p>
        </w:tc>
        <w:tc>
          <w:tcPr>
            <w:tcW w:w="402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Series A Preferred Stock</w:t>
            </w:r>
          </w:p>
        </w:tc>
        <w:tc>
          <w:tcPr>
            <w:tcW w:w="3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155,308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Assumption of Cartesian stock options</w:t>
            </w:r>
          </w:p>
        </w:tc>
        <w:tc>
          <w:tcPr>
            <w:tcW w:w="3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purchase price</w:t>
            </w:r>
          </w:p>
        </w:tc>
        <w:tc>
          <w:tcPr>
            <w:tcW w:w="38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168,465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2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Allocation of the purchase consideration</w:t>
            </w:r>
          </w:p>
        </w:tc>
        <w:tc>
          <w:tcPr>
            <w:tcW w:w="3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Tangible assets</w:t>
            </w:r>
          </w:p>
        </w:tc>
        <w:tc>
          <w:tcPr>
            <w:tcW w:w="402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Liabilities assumed</w:t>
            </w:r>
          </w:p>
        </w:tc>
        <w:tc>
          <w:tcPr>
            <w:tcW w:w="3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(3,444)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Intangible assets</w:t>
            </w:r>
          </w:p>
        </w:tc>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3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(34,853)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Goodwill</w:t>
            </w:r>
          </w:p>
        </w:tc>
        <w:tc>
          <w:tcPr>
            <w:tcW w:w="3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purchase price allocation</w:t>
            </w:r>
          </w:p>
        </w:tc>
        <w:tc>
          <w:tcPr>
            <w:tcW w:w="38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168,465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 w:right="140" w:firstLine="226"/>
        <w:spacing w:after="0" w:line="254" w:lineRule="auto"/>
        <w:rPr>
          <w:sz w:val="20"/>
          <w:szCs w:val="20"/>
          <w:color w:val="auto"/>
        </w:rPr>
      </w:pPr>
      <w:r>
        <w:rPr>
          <w:rFonts w:ascii="Times New Roman" w:cs="Times New Roman" w:eastAsia="Times New Roman" w:hAnsi="Times New Roman"/>
          <w:sz w:val="13"/>
          <w:szCs w:val="13"/>
          <w:color w:val="auto"/>
        </w:rPr>
        <w:t>The preliminary fair value of the intangible assets has been estimated using the income approach in which the after-tax cash flows are discounted to present value. The cash flows are based on estimates used to price the transaction, and the discount rates applied were benchmarked with reference to the implied rate of return from the transaction model as well as the weighted average cost of capital. Based on the preliminary valuation, the acquired intangible assets are comprised of in-process research and development associated with Descartes-08 for myasthenia gravis and Descartes-08 for systemic lupus erythematosus development programs. These preliminary estimates of fair value may vary materially from the final acquisition accounting, and the difference could have a material impact on the accompanying unaudited pro forma condensed combined financial statements.</w:t>
      </w:r>
    </w:p>
    <w:p>
      <w:pPr>
        <w:spacing w:after="0" w:line="131" w:lineRule="exact"/>
        <w:rPr>
          <w:sz w:val="20"/>
          <w:szCs w:val="20"/>
          <w:color w:val="auto"/>
        </w:rPr>
      </w:pPr>
    </w:p>
    <w:p>
      <w:pPr>
        <w:ind w:left="5" w:right="600" w:firstLine="226"/>
        <w:spacing w:after="0" w:line="264" w:lineRule="auto"/>
        <w:rPr>
          <w:sz w:val="20"/>
          <w:szCs w:val="20"/>
          <w:color w:val="auto"/>
        </w:rPr>
      </w:pPr>
      <w:r>
        <w:rPr>
          <w:rFonts w:ascii="Times New Roman" w:cs="Times New Roman" w:eastAsia="Times New Roman" w:hAnsi="Times New Roman"/>
          <w:sz w:val="13"/>
          <w:szCs w:val="13"/>
          <w:color w:val="auto"/>
        </w:rPr>
        <w:t>After allocation of the preliminary purchase price to the estimated fair values of acquired assets and liabilities as of November 13, 2023, goodwill is approximately $48.1 million. The factors contributing to the recognition of the amount of goodwill are primarily attributable to the value of the assembled workforce and deferred tax liabilities associated with the transaction.</w:t>
      </w:r>
    </w:p>
    <w:p>
      <w:pPr>
        <w:spacing w:after="0" w:line="121" w:lineRule="exact"/>
        <w:rPr>
          <w:sz w:val="20"/>
          <w:szCs w:val="20"/>
          <w:color w:val="auto"/>
        </w:rPr>
      </w:pPr>
    </w:p>
    <w:p>
      <w:pPr>
        <w:ind w:left="225" w:hanging="225"/>
        <w:spacing w:after="0"/>
        <w:tabs>
          <w:tab w:leader="none" w:pos="225"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 Forma Adjustments</w:t>
      </w:r>
    </w:p>
    <w:p>
      <w:pPr>
        <w:spacing w:after="0" w:line="154" w:lineRule="exact"/>
        <w:rPr>
          <w:sz w:val="20"/>
          <w:szCs w:val="20"/>
          <w:color w:val="auto"/>
        </w:rPr>
      </w:pPr>
    </w:p>
    <w:p>
      <w:pPr>
        <w:ind w:left="5" w:right="160" w:firstLine="226"/>
        <w:spacing w:after="0" w:line="253" w:lineRule="auto"/>
        <w:rPr>
          <w:sz w:val="20"/>
          <w:szCs w:val="20"/>
          <w:color w:val="auto"/>
        </w:rPr>
      </w:pPr>
      <w:r>
        <w:rPr>
          <w:rFonts w:ascii="Times New Roman" w:cs="Times New Roman" w:eastAsia="Times New Roman" w:hAnsi="Times New Roman"/>
          <w:sz w:val="13"/>
          <w:szCs w:val="13"/>
          <w:color w:val="auto"/>
        </w:rPr>
        <w:t>The pro forma adjustments were based on the preliminary information available at the time of the preparation of the unaudited pro forma condensed combined financial information. The unaudited pro forma condensed combined financial information, including the notes thereto, are qualified in their entirety by reference to, and should be read in conjunction with, the separate historical audited financial statements of Selecta and Old Cartesian for the years ended December 31, 2022, and 2021 and for the nine months ended September 30, 2023.</w:t>
      </w:r>
    </w:p>
    <w:p>
      <w:pPr>
        <w:spacing w:after="0" w:line="1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i w:val="1"/>
          <w:iCs w:val="1"/>
          <w:color w:val="auto"/>
        </w:rPr>
        <w:t>Merger Transaction Adjustments</w:t>
      </w:r>
    </w:p>
    <w:p>
      <w:pPr>
        <w:spacing w:after="0" w:line="154" w:lineRule="exact"/>
        <w:rPr>
          <w:sz w:val="20"/>
          <w:szCs w:val="20"/>
          <w:color w:val="auto"/>
        </w:rPr>
      </w:pPr>
    </w:p>
    <w:p>
      <w:pPr>
        <w:ind w:left="5625" w:right="5400" w:hanging="5625"/>
        <w:spacing w:after="0" w:line="414" w:lineRule="auto"/>
        <w:tabs>
          <w:tab w:leader="none" w:pos="459"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accrue additional $4.9 million of transaction costs incurred by Selecta subsequent to September 30, 2023.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73595" cy="12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05"/>
          </w:cols>
          <w:pgMar w:left="295" w:top="125" w:right="299" w:bottom="1440" w:gutter="0" w:footer="0" w:header="0"/>
        </w:sectPr>
      </w:pPr>
    </w:p>
    <w:bookmarkStart w:id="38" w:name="page39"/>
    <w:bookmarkEnd w:id="38"/>
    <w:p>
      <w:pPr>
        <w:ind w:left="445" w:right="420" w:hanging="445"/>
        <w:spacing w:after="0" w:line="264" w:lineRule="auto"/>
        <w:tabs>
          <w:tab w:leader="none" w:pos="44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Recognize total research and development expense of $7.5 million and general and administrative expense of $8.9 million associated with the modification of Selecta stock options and restricted stock units to accelerate the vesting of all awards upon the Merger and the cash settlement of certain awards.</w:t>
      </w:r>
    </w:p>
    <w:p>
      <w:pPr>
        <w:spacing w:after="0" w:line="122" w:lineRule="exact"/>
        <w:rPr>
          <w:rFonts w:ascii="Times New Roman" w:cs="Times New Roman" w:eastAsia="Times New Roman" w:hAnsi="Times New Roman"/>
          <w:sz w:val="13"/>
          <w:szCs w:val="13"/>
          <w:color w:val="auto"/>
        </w:rPr>
      </w:pPr>
    </w:p>
    <w:p>
      <w:pPr>
        <w:ind w:left="445"/>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modification resulted in full recognition of unrecognized compensation of $13.1 million of which $5.9 million and $7.2 million was classified as research and development expense and general and administrative expense, respectively.</w:t>
      </w:r>
    </w:p>
    <w:p>
      <w:pPr>
        <w:spacing w:after="0" w:line="123" w:lineRule="exact"/>
        <w:rPr>
          <w:sz w:val="20"/>
          <w:szCs w:val="20"/>
          <w:color w:val="auto"/>
        </w:rPr>
      </w:pPr>
    </w:p>
    <w:p>
      <w:pPr>
        <w:ind w:left="445" w:right="80"/>
        <w:spacing w:after="0" w:line="249" w:lineRule="auto"/>
        <w:rPr>
          <w:sz w:val="20"/>
          <w:szCs w:val="20"/>
          <w:color w:val="auto"/>
        </w:rPr>
      </w:pPr>
      <w:r>
        <w:rPr>
          <w:rFonts w:ascii="Times New Roman" w:cs="Times New Roman" w:eastAsia="Times New Roman" w:hAnsi="Times New Roman"/>
          <w:sz w:val="13"/>
          <w:szCs w:val="13"/>
          <w:color w:val="auto"/>
        </w:rPr>
        <w:t>In addition, with the exception of any options with an exercise price greater than $2.06 per share, all awards were settled in cash for an amount equal to $2.06 less any exercise price associated with the awards. The total cash payment made to the holders of stock options and restricted stock units was $9.4 million. The fair value of the awards prior to the settlement was recorded to additional paid in capital in an amount of $6.2 million and the amount in excess of fair value was recognized as additional compensation expense in an amount of $3.3 million, of which $1.6 million and $1.7 million was classified as research and development expense and general and administrative expense, respectively.</w:t>
      </w:r>
    </w:p>
    <w:p>
      <w:pPr>
        <w:spacing w:after="0" w:line="132" w:lineRule="exact"/>
        <w:rPr>
          <w:sz w:val="20"/>
          <w:szCs w:val="20"/>
          <w:color w:val="auto"/>
        </w:rPr>
      </w:pPr>
    </w:p>
    <w:p>
      <w:pPr>
        <w:ind w:left="445" w:right="60" w:hanging="445"/>
        <w:spacing w:after="0" w:line="249" w:lineRule="auto"/>
        <w:tabs>
          <w:tab w:leader="none" w:pos="445"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in-license agreement held by Old Cartesian included a payment to the licensor that is contingent upon certain corporate transactions. In connection with the Merger, a payment in the amount of $0.6 million was due to the licensor and fully accrued as of September 30, 2023. The Company accounted for the obligation as a derivative which was remeasured at fair value at the end of each reporting period. The expense related to the remeasurement of the contingent liability which is recorded in other income, net for the nine months ended September 30, 2023 ($0.1 million) was removed. The expense has been reflected in the year ended December 31, 2022, as the Merger is assumed to have occurred on January 1, 2022, for pro forma purposes.</w:t>
      </w:r>
    </w:p>
    <w:p>
      <w:pPr>
        <w:spacing w:after="0" w:line="132" w:lineRule="exact"/>
        <w:rPr>
          <w:sz w:val="20"/>
          <w:szCs w:val="20"/>
          <w:color w:val="auto"/>
        </w:rPr>
      </w:pPr>
    </w:p>
    <w:p>
      <w:pPr>
        <w:ind w:left="445" w:right="80" w:hanging="445"/>
        <w:spacing w:after="0" w:line="253" w:lineRule="auto"/>
        <w:tabs>
          <w:tab w:leader="none" w:pos="44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Merger, one Old Cartesian employee had a pre-existing provision in the employee’s stock option agreement, which provided for an acceleration of vesting upon a change in control, which was triggered as a result of the Merger. The additional expense of $0.6 million will be included in Old Cartesian’s pre-acquisition net loss, upon the Merger. This amount is included as a pro forma adjustment as the expense is not included in the historical financial statements presented.</w:t>
      </w:r>
    </w:p>
    <w:p>
      <w:pPr>
        <w:spacing w:after="0" w:line="129" w:lineRule="exact"/>
        <w:rPr>
          <w:sz w:val="20"/>
          <w:szCs w:val="20"/>
          <w:color w:val="auto"/>
        </w:rPr>
      </w:pPr>
    </w:p>
    <w:p>
      <w:pPr>
        <w:ind w:left="445" w:right="20" w:hanging="445"/>
        <w:spacing w:after="0" w:line="253" w:lineRule="auto"/>
        <w:tabs>
          <w:tab w:leader="none" w:pos="44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record stock compensation expense for the assumed unvested stock option awards (valued at approximately $2.6 million) that is to be recorded prospectively over the remaining service period of the awards. Total expense of $1.2 million and $0.7 million was classified as research and development expense during the year ended December 31, 2022 and the nine months ended September 30, 2023, respectively. There are no awards related to general and administrative activities.</w:t>
      </w:r>
    </w:p>
    <w:p>
      <w:pPr>
        <w:spacing w:after="0" w:line="129" w:lineRule="exact"/>
        <w:rPr>
          <w:sz w:val="20"/>
          <w:szCs w:val="20"/>
          <w:color w:val="auto"/>
        </w:rPr>
      </w:pPr>
    </w:p>
    <w:p>
      <w:pPr>
        <w:ind w:left="445" w:hanging="445"/>
        <w:spacing w:after="0"/>
        <w:tabs>
          <w:tab w:leader="none" w:pos="445"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record purchase consideration and acquired intangible assets, goodwill and deferred tax liabilities.</w:t>
      </w:r>
    </w:p>
    <w:p>
      <w:pPr>
        <w:spacing w:after="0" w:line="152" w:lineRule="exact"/>
        <w:rPr>
          <w:sz w:val="20"/>
          <w:szCs w:val="20"/>
          <w:color w:val="auto"/>
        </w:rPr>
      </w:pPr>
    </w:p>
    <w:p>
      <w:pPr>
        <w:ind w:left="445" w:hanging="445"/>
        <w:spacing w:after="0"/>
        <w:tabs>
          <w:tab w:leader="none" w:pos="445"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the $60.25 million Financing associated with the issuance of Series A Preferred Stock under the Securities Purchase Agreement.</w:t>
      </w:r>
    </w:p>
    <w:p>
      <w:pPr>
        <w:spacing w:after="0" w:line="152" w:lineRule="exact"/>
        <w:rPr>
          <w:sz w:val="20"/>
          <w:szCs w:val="20"/>
          <w:color w:val="auto"/>
        </w:rPr>
      </w:pPr>
    </w:p>
    <w:p>
      <w:pPr>
        <w:ind w:left="445" w:right="60" w:hanging="445"/>
        <w:spacing w:after="0" w:line="247" w:lineRule="auto"/>
        <w:tabs>
          <w:tab w:leader="none" w:pos="445"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Merger, the Company entered into the CVR Agreement to distribute the rights to future cash flows associated with certain licensed products and other assets to its stockholders. One CVR was distributed with respect to each share of Common Stock outstanding as of December 4, 2023 and each share of Common Stock underlying the Selecta Warrants issued on April 11, 2022. Further, one CVR will be distributed in respect of each share of Common Stock underlying the other Selecta Warrants, in each case if and to the extent each such Selecta Warrant is exercised in the future in accordance with its own terms. Each CVR was valued at $1.83 per Common Stock equivalent. The aggregate fair value of the CVR obligation on November 13, 2023 (the date that the CVR dividend was declared) was $340.3 million, which is recognized as a liability with the dividend recognized to additional paid in capital.</w:t>
      </w:r>
    </w:p>
    <w:p>
      <w:pPr>
        <w:spacing w:after="0" w:line="134" w:lineRule="exact"/>
        <w:rPr>
          <w:sz w:val="20"/>
          <w:szCs w:val="20"/>
          <w:color w:val="auto"/>
        </w:rPr>
      </w:pPr>
    </w:p>
    <w:p>
      <w:pPr>
        <w:ind w:left="445" w:hanging="445"/>
        <w:spacing w:after="0"/>
        <w:tabs>
          <w:tab w:leader="none" w:pos="445"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eliminate the historical equity of Cartesian Therapeutics, Inc. (Old Cartesian).</w:t>
      </w:r>
    </w:p>
    <w:p>
      <w:pPr>
        <w:spacing w:after="0" w:line="152" w:lineRule="exact"/>
        <w:rPr>
          <w:sz w:val="20"/>
          <w:szCs w:val="20"/>
          <w:color w:val="auto"/>
        </w:rPr>
      </w:pPr>
    </w:p>
    <w:p>
      <w:pPr>
        <w:ind w:left="5585" w:right="4920" w:hanging="5585"/>
        <w:spacing w:after="0" w:line="460" w:lineRule="auto"/>
        <w:tabs>
          <w:tab w:leader="none" w:pos="45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recognize the tax benefit associated with the deferred tax liability recorded as part of the purchase price allocation.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173595" cy="12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285"/>
          </w:cols>
          <w:pgMar w:left="295" w:top="127" w:right="319" w:bottom="1440" w:gutter="0" w:footer="0" w:header="0"/>
        </w:sectPr>
      </w:pPr>
    </w:p>
    <w:bookmarkStart w:id="39" w:name="page40"/>
    <w:bookmarkEnd w:id="39"/>
    <w:p>
      <w:pPr>
        <w:jc w:val="both"/>
        <w:ind w:left="445" w:right="200" w:hanging="445"/>
        <w:spacing w:after="0" w:line="253" w:lineRule="auto"/>
        <w:tabs>
          <w:tab w:leader="none" w:pos="445"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Series A Preferred Stock and the Selecta Warrants issued on April 11, 2022 are considered participating securities and therefore the Company follows the two-class method when computing pro forma net loss (income) per share. During periods of net loss, there is no allocation of undistributed earnings required under the two-class method since the participating securities do not have a contractual obligation to fund the losses of the Company. The following represents the pro forma calculation of basic EPS for the year ended December 31, 2022:</w:t>
      </w:r>
    </w:p>
    <w:p>
      <w:pPr>
        <w:spacing w:after="0" w:line="142" w:lineRule="exact"/>
        <w:rPr>
          <w:sz w:val="20"/>
          <w:szCs w:val="20"/>
          <w:color w:val="auto"/>
        </w:rPr>
      </w:pPr>
    </w:p>
    <w:tbl>
      <w:tblPr>
        <w:tblLayout w:type="fixed"/>
        <w:tblInd w:w="445" w:type="dxa"/>
        <w:tblCellMar>
          <w:top w:w="0" w:type="dxa"/>
          <w:left w:w="0" w:type="dxa"/>
          <w:bottom w:w="0" w:type="dxa"/>
          <w:right w:w="0" w:type="dxa"/>
        </w:tblCellMar>
      </w:tblPr>
      <w:tr>
        <w:trPr>
          <w:trHeight w:val="151"/>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3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24,712</w:t>
            </w:r>
          </w:p>
        </w:tc>
      </w:tr>
      <w:tr>
        <w:trPr>
          <w:trHeight w:val="151"/>
        </w:trPr>
        <w:tc>
          <w:tcPr>
            <w:tcW w:w="6080" w:type="dxa"/>
            <w:vAlign w:val="bottom"/>
          </w:tcPr>
          <w:p>
            <w:pPr>
              <w:spacing w:after="0"/>
              <w:rPr>
                <w:sz w:val="20"/>
                <w:szCs w:val="20"/>
                <w:color w:val="auto"/>
              </w:rPr>
            </w:pPr>
            <w:r>
              <w:rPr>
                <w:rFonts w:ascii="Times New Roman" w:cs="Times New Roman" w:eastAsia="Times New Roman" w:hAnsi="Times New Roman"/>
                <w:sz w:val="13"/>
                <w:szCs w:val="13"/>
                <w:color w:val="auto"/>
              </w:rPr>
              <w:t>Less: CVR distribution to participating securities</w:t>
            </w: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(37,550)</w:t>
            </w:r>
          </w:p>
        </w:tc>
      </w:tr>
      <w:tr>
        <w:trPr>
          <w:trHeight w:val="189"/>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allocable to shares of common stock, basic</w:t>
            </w:r>
          </w:p>
        </w:tc>
        <w:tc>
          <w:tcPr>
            <w:tcW w:w="29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(12,838)</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28"/>
        </w:trPr>
        <w:tc>
          <w:tcPr>
            <w:tcW w:w="60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Net loss per share, basic</w:t>
            </w:r>
          </w:p>
        </w:tc>
        <w:tc>
          <w:tcPr>
            <w:tcW w:w="3200" w:type="dxa"/>
            <w:vAlign w:val="bottom"/>
            <w:gridSpan w:val="2"/>
          </w:tcPr>
          <w:p>
            <w:pPr>
              <w:jc w:val="right"/>
              <w:ind w:right="160"/>
              <w:spacing w:after="0" w:line="128"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3"/>
                <w:szCs w:val="13"/>
                <w:color w:val="auto"/>
              </w:rPr>
              <w:t>(0.08)</w:t>
            </w:r>
          </w:p>
        </w:tc>
      </w:tr>
      <w:tr>
        <w:trPr>
          <w:trHeight w:val="20"/>
        </w:trPr>
        <w:tc>
          <w:tcPr>
            <w:tcW w:w="6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6080" w:type="dxa"/>
            <w:vAlign w:val="bottom"/>
            <w:tcBorders>
              <w:bottom w:val="single" w:sz="8" w:color="CCEEFF"/>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Weighted-average shares of common stock outstanding, basic</w:t>
            </w:r>
          </w:p>
        </w:tc>
        <w:tc>
          <w:tcPr>
            <w:tcW w:w="29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151,482,194</w:t>
            </w:r>
          </w:p>
        </w:tc>
        <w:tc>
          <w:tcPr>
            <w:tcW w:w="80" w:type="dxa"/>
            <w:vAlign w:val="bottom"/>
            <w:tcBorders>
              <w:bottom w:val="single" w:sz="8" w:color="CCEEFF"/>
            </w:tcBorders>
            <w:shd w:val="clear" w:color="auto" w:fill="CCEEFF"/>
          </w:tcPr>
          <w:p>
            <w:pPr>
              <w:spacing w:after="0"/>
              <w:rPr>
                <w:sz w:val="14"/>
                <w:szCs w:val="14"/>
                <w:color w:val="auto"/>
              </w:rPr>
            </w:pPr>
          </w:p>
        </w:tc>
      </w:tr>
    </w:tbl>
    <w:p>
      <w:pPr>
        <w:spacing w:after="0" w:line="138" w:lineRule="exact"/>
        <w:rPr>
          <w:sz w:val="20"/>
          <w:szCs w:val="20"/>
          <w:color w:val="auto"/>
        </w:rPr>
      </w:pPr>
    </w:p>
    <w:p>
      <w:pPr>
        <w:ind w:left="445" w:right="40"/>
        <w:spacing w:after="0" w:line="253" w:lineRule="auto"/>
        <w:rPr>
          <w:sz w:val="20"/>
          <w:szCs w:val="20"/>
          <w:color w:val="auto"/>
        </w:rPr>
      </w:pPr>
      <w:r>
        <w:rPr>
          <w:rFonts w:ascii="Times New Roman" w:cs="Times New Roman" w:eastAsia="Times New Roman" w:hAnsi="Times New Roman"/>
          <w:sz w:val="13"/>
          <w:szCs w:val="13"/>
          <w:color w:val="auto"/>
        </w:rPr>
        <w:t>The CVR distribution to participating securities represents the amount of the CVR distribution attributable to the Selecta Warrants issued on April 11, 2022 which participated in that distribution. The Series A Preferred Stock did not participate in the CVR distribution. During the nine months ended September 30, 2023, there were no adjustments to net loss to determine net loss allocable to shares of Common Stock, basic. The following represents the pro forma calculation of diluted earnings per share for the year ended December 31, 2022:</w:t>
      </w:r>
    </w:p>
    <w:p>
      <w:pPr>
        <w:spacing w:after="0" w:line="142" w:lineRule="exact"/>
        <w:rPr>
          <w:sz w:val="20"/>
          <w:szCs w:val="20"/>
          <w:color w:val="auto"/>
        </w:rPr>
      </w:pPr>
    </w:p>
    <w:tbl>
      <w:tblPr>
        <w:tblLayout w:type="fixed"/>
        <w:tblInd w:w="445" w:type="dxa"/>
        <w:tblCellMar>
          <w:top w:w="0" w:type="dxa"/>
          <w:left w:w="0" w:type="dxa"/>
          <w:bottom w:w="0" w:type="dxa"/>
          <w:right w:w="0" w:type="dxa"/>
        </w:tblCellMar>
      </w:tblPr>
      <w:tr>
        <w:trPr>
          <w:trHeight w:val="15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allocable to shares of common stock, basic</w:t>
            </w:r>
          </w:p>
        </w:tc>
        <w:tc>
          <w:tcPr>
            <w:tcW w:w="3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(12,838)</w:t>
            </w:r>
          </w:p>
        </w:tc>
      </w:tr>
      <w:tr>
        <w:trPr>
          <w:trHeight w:val="151"/>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Less: change in fair value of dilutive warrants</w:t>
            </w:r>
          </w:p>
        </w:tc>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(21,029)</w:t>
            </w:r>
          </w:p>
        </w:tc>
      </w:tr>
      <w:tr>
        <w:trPr>
          <w:trHeight w:val="189"/>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allocable to shares of common stock, diluted</w:t>
            </w:r>
          </w:p>
        </w:tc>
        <w:tc>
          <w:tcPr>
            <w:tcW w:w="2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(33,867)</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28"/>
        </w:trPr>
        <w:tc>
          <w:tcPr>
            <w:tcW w:w="61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Net loss per share, diluted</w:t>
            </w:r>
          </w:p>
        </w:tc>
        <w:tc>
          <w:tcPr>
            <w:tcW w:w="3160" w:type="dxa"/>
            <w:vAlign w:val="bottom"/>
            <w:gridSpan w:val="2"/>
          </w:tcPr>
          <w:p>
            <w:pPr>
              <w:jc w:val="right"/>
              <w:ind w:right="160"/>
              <w:spacing w:after="0" w:line="128"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3"/>
                <w:szCs w:val="13"/>
                <w:color w:val="auto"/>
              </w:rPr>
              <w:t>(0.22)</w:t>
            </w:r>
          </w:p>
        </w:tc>
      </w:tr>
      <w:tr>
        <w:trPr>
          <w:trHeight w:val="20"/>
        </w:trPr>
        <w:tc>
          <w:tcPr>
            <w:tcW w:w="6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6120" w:type="dxa"/>
            <w:vAlign w:val="bottom"/>
            <w:tcBorders>
              <w:bottom w:val="single" w:sz="8" w:color="CCEEFF"/>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Weighted-average shares of common stock outstanding, diluted</w:t>
            </w:r>
          </w:p>
        </w:tc>
        <w:tc>
          <w:tcPr>
            <w:tcW w:w="29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152,282,286</w:t>
            </w:r>
          </w:p>
        </w:tc>
        <w:tc>
          <w:tcPr>
            <w:tcW w:w="80" w:type="dxa"/>
            <w:vAlign w:val="bottom"/>
            <w:tcBorders>
              <w:bottom w:val="single" w:sz="8" w:color="CCEEFF"/>
            </w:tcBorders>
            <w:shd w:val="clear" w:color="auto" w:fill="CCEEFF"/>
          </w:tcPr>
          <w:p>
            <w:pPr>
              <w:spacing w:after="0"/>
              <w:rPr>
                <w:sz w:val="14"/>
                <w:szCs w:val="14"/>
                <w:color w:val="auto"/>
              </w:rPr>
            </w:pPr>
          </w:p>
        </w:tc>
      </w:tr>
    </w:tbl>
    <w:p>
      <w:pPr>
        <w:spacing w:after="0" w:line="138"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3"/>
          <w:szCs w:val="13"/>
          <w:color w:val="auto"/>
        </w:rPr>
        <w:t>During the nine months ended September 30, 2023, there were no adjustments to net loss to determine net loss allocable to shares of Common Stock, diluted.</w:t>
      </w:r>
    </w:p>
    <w:p>
      <w:pPr>
        <w:spacing w:after="0" w:line="152"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1"/>
          <w:szCs w:val="11"/>
          <w:color w:val="auto"/>
        </w:rPr>
        <w:t>Potentially dilutive Common Stock equivalents excluded from the computation of diluted net loss per share at September 30, 2023 and December 31, 2022, as the effect would have been anti-dilutive, are as follows:</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151"/>
        </w:trPr>
        <w:tc>
          <w:tcPr>
            <w:tcW w:w="4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September 30,</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86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color w:val="auto"/>
              </w:rPr>
              <w:t>2023</w:t>
            </w:r>
          </w:p>
        </w:tc>
        <w:tc>
          <w:tcPr>
            <w:tcW w:w="200" w:type="dxa"/>
            <w:vAlign w:val="bottom"/>
          </w:tcPr>
          <w:p>
            <w:pPr>
              <w:spacing w:after="0"/>
              <w:rPr>
                <w:sz w:val="14"/>
                <w:szCs w:val="14"/>
                <w:color w:val="auto"/>
              </w:rPr>
            </w:pPr>
          </w:p>
        </w:tc>
        <w:tc>
          <w:tcPr>
            <w:tcW w:w="10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Warrants to purchase Common Stock</w:t>
            </w:r>
          </w:p>
        </w:tc>
        <w:tc>
          <w:tcPr>
            <w:tcW w:w="384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31,224,703</w:t>
            </w:r>
          </w:p>
        </w:tc>
        <w:tc>
          <w:tcPr>
            <w:tcW w:w="20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22,807,755</w:t>
            </w:r>
          </w:p>
        </w:tc>
        <w:tc>
          <w:tcPr>
            <w:tcW w:w="80" w:type="dxa"/>
            <w:vAlign w:val="bottom"/>
            <w:shd w:val="clear" w:color="auto" w:fill="CCEEFF"/>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Series A preferred stock issued to Cartesian stockholders</w:t>
            </w:r>
          </w:p>
        </w:tc>
        <w:tc>
          <w:tcPr>
            <w:tcW w:w="50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384,930,724</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384,930,724</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 preferred stock issued in Financing</w:t>
            </w:r>
          </w:p>
        </w:tc>
        <w:tc>
          <w:tcPr>
            <w:tcW w:w="5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149,330,115</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149,330,115</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options</w:t>
            </w:r>
          </w:p>
        </w:tc>
        <w:tc>
          <w:tcPr>
            <w:tcW w:w="50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23,306,661</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23,306,661</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 Preferred Stock options</w:t>
            </w:r>
          </w:p>
        </w:tc>
        <w:tc>
          <w:tcPr>
            <w:tcW w:w="38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14,112,299</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14,112,299</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w:t>
            </w:r>
          </w:p>
        </w:tc>
        <w:tc>
          <w:tcPr>
            <w:tcW w:w="50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602,904,502</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594,487,554</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40" w:type="dxa"/>
            <w:vAlign w:val="bottom"/>
            <w:vMerge w:val="restart"/>
          </w:tcPr>
          <w:p>
            <w:pPr>
              <w:jc w:val="right"/>
              <w:ind w:right="2517"/>
              <w:spacing w:after="0"/>
              <w:rPr>
                <w:sz w:val="20"/>
                <w:szCs w:val="20"/>
                <w:color w:val="auto"/>
              </w:rPr>
            </w:pPr>
            <w:r>
              <w:rPr>
                <w:rFonts w:ascii="Times New Roman" w:cs="Times New Roman" w:eastAsia="Times New Roman" w:hAnsi="Times New Roman"/>
                <w:sz w:val="13"/>
                <w:szCs w:val="13"/>
                <w:color w:val="auto"/>
              </w:rPr>
              <w:t>11</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40" w:type="dxa"/>
            <w:vAlign w:val="bottom"/>
            <w:tcBorders>
              <w:bottom w:val="single" w:sz="8" w:color="auto"/>
            </w:tcBorders>
          </w:tcPr>
          <w:p>
            <w:pPr>
              <w:spacing w:after="0"/>
              <w:rPr>
                <w:sz w:val="5"/>
                <w:szCs w:val="5"/>
                <w:color w:val="auto"/>
              </w:rPr>
            </w:pPr>
          </w:p>
        </w:tc>
        <w:tc>
          <w:tcPr>
            <w:tcW w:w="400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05"/>
      </w:cols>
      <w:pgMar w:left="295"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lowerLetter"/>
      <w:start w:val="2"/>
    </w:lvl>
  </w:abstractNum>
  <w:abstractNum w:abstractNumId="3">
    <w:nsid w:val="DED7263"/>
    <w:multiLevelType w:val="hybridMultilevel"/>
    <w:lvl w:ilvl="0">
      <w:lvlJc w:val="left"/>
      <w:lvlText w:val="(%1)"/>
      <w:numFmt w:val="lowerLetter"/>
      <w:start w:val="4"/>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10"/>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2"/>
    </w:lvl>
  </w:abstractNum>
  <w:abstractNum w:abstractNumId="11">
    <w:nsid w:val="431BD7B7"/>
    <w:multiLevelType w:val="hybridMultilevel"/>
    <w:lvl w:ilvl="0">
      <w:lvlJc w:val="left"/>
      <w:lvlText w:val="%1."/>
      <w:numFmt w:val="decimal"/>
      <w:start w:val="3"/>
    </w:lvl>
  </w:abstractNum>
  <w:abstractNum w:abstractNumId="12">
    <w:nsid w:val="3F2DBA31"/>
    <w:multiLevelType w:val="hybridMultilevel"/>
    <w:lvl w:ilvl="0">
      <w:lvlJc w:val="left"/>
      <w:lvlText w:val="%1."/>
      <w:numFmt w:val="decimal"/>
      <w:start w:val="4"/>
    </w:lvl>
  </w:abstractNum>
  <w:abstractNum w:abstractNumId="13">
    <w:nsid w:val="7C83E458"/>
    <w:multiLevelType w:val="hybridMultilevel"/>
    <w:lvl w:ilvl="0">
      <w:lvlJc w:val="left"/>
      <w:lvlText w:val="A"/>
      <w:numFmt w:val="bullet"/>
      <w:start w:val="1"/>
    </w:lvl>
  </w:abstractNum>
  <w:abstractNum w:abstractNumId="14">
    <w:nsid w:val="257130A3"/>
    <w:multiLevelType w:val="hybridMultilevel"/>
    <w:lvl w:ilvl="0">
      <w:lvlJc w:val="left"/>
      <w:lvlText w:val="B"/>
      <w:numFmt w:val="bullet"/>
      <w:start w:val="1"/>
    </w:lvl>
  </w:abstractNum>
  <w:abstractNum w:abstractNumId="15">
    <w:nsid w:val="62BBD95A"/>
    <w:multiLevelType w:val="hybridMultilevel"/>
    <w:lvl w:ilvl="0">
      <w:lvlJc w:val="left"/>
      <w:lvlText w:val="C"/>
      <w:numFmt w:val="bullet"/>
      <w:start w:val="1"/>
    </w:lvl>
  </w:abstractNum>
  <w:abstractNum w:abstractNumId="16">
    <w:nsid w:val="436C6125"/>
    <w:multiLevelType w:val="hybridMultilevel"/>
    <w:lvl w:ilvl="0">
      <w:lvlJc w:val="left"/>
      <w:lvlText w:val="D"/>
      <w:numFmt w:val="bullet"/>
      <w:start w:val="1"/>
    </w:lvl>
  </w:abstractNum>
  <w:abstractNum w:abstractNumId="17">
    <w:nsid w:val="628C895D"/>
    <w:multiLevelType w:val="hybridMultilevel"/>
    <w:lvl w:ilvl="0">
      <w:lvlJc w:val="left"/>
      <w:lvlText w:val="E"/>
      <w:numFmt w:val="bullet"/>
      <w:start w:val="1"/>
    </w:lvl>
  </w:abstractNum>
  <w:abstractNum w:abstractNumId="18">
    <w:nsid w:val="333AB105"/>
    <w:multiLevelType w:val="hybridMultilevel"/>
    <w:lvl w:ilvl="0">
      <w:lvlJc w:val="left"/>
      <w:lvlText w:val="F"/>
      <w:numFmt w:val="bullet"/>
      <w:start w:val="1"/>
    </w:lvl>
  </w:abstractNum>
  <w:abstractNum w:abstractNumId="19">
    <w:nsid w:val="721DA317"/>
    <w:multiLevelType w:val="hybridMultilevel"/>
    <w:lvl w:ilvl="0">
      <w:lvlJc w:val="left"/>
      <w:lvlText w:val="G"/>
      <w:numFmt w:val="bullet"/>
      <w:start w:val="1"/>
    </w:lvl>
  </w:abstractNum>
  <w:abstractNum w:abstractNumId="20">
    <w:nsid w:val="2443A858"/>
    <w:multiLevelType w:val="hybridMultilevel"/>
    <w:lvl w:ilvl="0">
      <w:lvlJc w:val="left"/>
      <w:lvlText w:val="H"/>
      <w:numFmt w:val="bullet"/>
      <w:start w:val="1"/>
    </w:lvl>
  </w:abstractNum>
  <w:abstractNum w:abstractNumId="21">
    <w:nsid w:val="2D1D5AE9"/>
    <w:multiLevelType w:val="hybridMultilevel"/>
    <w:lvl w:ilvl="0">
      <w:lvlJc w:val="left"/>
      <w:lvlText w:val="I"/>
      <w:numFmt w:val="bullet"/>
      <w:start w:val="1"/>
    </w:lvl>
  </w:abstractNum>
  <w:abstractNum w:abstractNumId="22">
    <w:nsid w:val="6763845E"/>
    <w:multiLevelType w:val="hybridMultilevel"/>
    <w:lvl w:ilvl="0">
      <w:lvlJc w:val="left"/>
      <w:lvlText w:val="J"/>
      <w:numFmt w:val="bullet"/>
      <w:start w:val="1"/>
    </w:lvl>
  </w:abstractNum>
  <w:abstractNum w:abstractNumId="23">
    <w:nsid w:val="75A2A8D4"/>
    <w:multiLevelType w:val="hybridMultilevel"/>
    <w:lvl w:ilvl="0">
      <w:lvlJc w:val="left"/>
      <w:lvlText w:val="K"/>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2024-01-23T15:18:40Z</dcterms:created>
  <dcterms:modified xsi:type="dcterms:W3CDTF">2024-01-23T15:18:40Z</dcterms:modified>
</cp:coreProperties>
</file>