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333-283809</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11,392,350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1820545</wp:posOffset>
            </wp:positionH>
            <wp:positionV relativeFrom="paragraph">
              <wp:posOffset>178435</wp:posOffset>
            </wp:positionV>
            <wp:extent cx="238315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111" w:lineRule="exact"/>
        <w:rPr>
          <w:sz w:val="24"/>
          <w:szCs w:val="24"/>
          <w:color w:val="auto"/>
        </w:rPr>
      </w:pPr>
    </w:p>
    <w:p>
      <w:pPr>
        <w:ind w:right="60"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herein, or the Selling Stockholders, of up to (i) 110,123 shares, or the Merger Common Shares, of our common stock, par value $0.0001 per share, or the Common Stock, (ii) 6,304,558 shares of Common Stock, or the Merger Conversion Shares, issued or issuable upon the conversion of 189,136.767 shares, or the Merger Preferred Shares, of our Series A Non-Voting Convertible Preferred Stock, par value $0.0001 per share, or the Series A Preferred Stock, and (iii) 4,977,669 shares of Common Stock, or the Private Placement Conversion Shares, which were issued or are issuable upon the conversion of 149,330.115 shares, or the Private Placement Preferred Shares, of Series A Preferred Stock. Subject to certain beneficial ownership limitations, the Series A Preferred Stock are convertible into shares of Common Stock at a ratio of 33.333 shares of Common Stock per share of Series A Preferred Stock. The shares of Common Stock registered pursuant to the registration statement of which this prospectus forms a part are referred to herein as the “Resale Shares.”</w:t>
      </w:r>
    </w:p>
    <w:p>
      <w:pPr>
        <w:spacing w:after="0" w:line="86" w:lineRule="exact"/>
        <w:rPr>
          <w:sz w:val="24"/>
          <w:szCs w:val="24"/>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The Merger Common Shares and the Merger Preferred Shares were issued to former stockholders of Old Cartesian in connection with the Merger (each as defined below). See the disclosure under the heading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elsewhere in this prospectus for more information regarding the Merger. The Private Placement Preferred Shares were issued and sold to accredited investors in a private placement, or the 2023 Private Placement, pursuant to a Securities Purchase Agreement, dated November 13, 2023, or the Securities Purchase Agreement, between the Company and such investors. We refer to the Merger and the 2023 Private Placement collectively as the Transactions. We are not selling any Resale Shares under this prospectus and will not receive any of the proceeds from the sale or other disposition of Resale Shares by the Selling Stockholders.</w:t>
      </w:r>
    </w:p>
    <w:p>
      <w:pPr>
        <w:spacing w:after="0" w:line="81" w:lineRule="exact"/>
        <w:rPr>
          <w:sz w:val="24"/>
          <w:szCs w:val="24"/>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 about how the Selling Stockholders may sell or otherwise dispose of their Resale Shares hereunder.</w:t>
      </w:r>
    </w:p>
    <w:p>
      <w:pPr>
        <w:spacing w:after="0" w:line="79" w:lineRule="exact"/>
        <w:rPr>
          <w:sz w:val="24"/>
          <w:szCs w:val="24"/>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8" w:lineRule="exact"/>
        <w:rPr>
          <w:sz w:val="24"/>
          <w:szCs w:val="24"/>
          <w:color w:val="auto"/>
        </w:rPr>
      </w:pPr>
    </w:p>
    <w:p>
      <w:pPr>
        <w:ind w:right="660"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be deemed to be “underwriters” within the meaning of the Securities Act of 1933, as amended, or the Securities Act, of the Resale Shares that they are offering pursuant to this prospectus.</w:t>
      </w:r>
    </w:p>
    <w:p>
      <w:pPr>
        <w:spacing w:after="0" w:line="54" w:lineRule="exact"/>
        <w:rPr>
          <w:sz w:val="24"/>
          <w:szCs w:val="24"/>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before you invest in any of the securities being offered.</w:t>
      </w:r>
    </w:p>
    <w:p>
      <w:pPr>
        <w:spacing w:after="0" w:line="54" w:lineRule="exact"/>
        <w:rPr>
          <w:sz w:val="24"/>
          <w:szCs w:val="24"/>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“RNAC.” On January 7, 2025, the last reported sale price for our Common Stock was $17.16 per share.</w:t>
      </w:r>
    </w:p>
    <w:p>
      <w:pPr>
        <w:spacing w:after="0" w:line="50" w:lineRule="exact"/>
        <w:rPr>
          <w:sz w:val="24"/>
          <w:szCs w:val="24"/>
          <w:color w:val="auto"/>
        </w:rPr>
      </w:pPr>
    </w:p>
    <w:p>
      <w:pPr>
        <w:ind w:right="12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71" w:lineRule="exact"/>
        <w:rPr>
          <w:sz w:val="24"/>
          <w:szCs w:val="24"/>
          <w:color w:val="auto"/>
        </w:rPr>
      </w:pPr>
    </w:p>
    <w:p>
      <w:pPr>
        <w:ind w:right="1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3" w:right="1199" w:bottom="937" w:gutter="0" w:footer="0" w:header="0"/>
        </w:sectPr>
      </w:pPr>
    </w:p>
    <w:bookmarkStart w:id="1" w:name="page2"/>
    <w:bookmarkEnd w:id="1"/>
    <w:tbl>
      <w:tblPr>
        <w:tblLayout w:type="fixed"/>
        <w:tblInd w:w="300" w:type="dxa"/>
        <w:tblCellMar>
          <w:top w:w="0" w:type="dxa"/>
          <w:left w:w="0" w:type="dxa"/>
          <w:bottom w:w="0" w:type="dxa"/>
          <w:right w:w="0" w:type="dxa"/>
        </w:tblCellMar>
      </w:tblPr>
      <w:tr>
        <w:trPr>
          <w:trHeight w:val="161"/>
        </w:trPr>
        <w:tc>
          <w:tcPr>
            <w:tcW w:w="798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83"/>
        </w:trPr>
        <w:tc>
          <w:tcPr>
            <w:tcW w:w="79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80" w:type="dxa"/>
            <w:vAlign w:val="bottom"/>
            <w:shd w:val="clear" w:color="auto" w:fill="CCEEFF"/>
          </w:tcPr>
          <w:p>
            <w:pPr>
              <w:spacing w:after="0"/>
              <w:rPr>
                <w:sz w:val="24"/>
                <w:szCs w:val="24"/>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80" w:type="dxa"/>
            <w:vAlign w:val="bottom"/>
            <w:shd w:val="clear" w:color="auto" w:fill="CCEEFF"/>
          </w:tcPr>
          <w:p>
            <w:pPr>
              <w:spacing w:after="0"/>
              <w:rPr>
                <w:sz w:val="19"/>
                <w:szCs w:val="19"/>
                <w:color w:val="auto"/>
              </w:rPr>
            </w:pPr>
          </w:p>
        </w:tc>
      </w:tr>
      <w:tr>
        <w:trPr>
          <w:trHeight w:val="189"/>
        </w:trPr>
        <w:tc>
          <w:tcPr>
            <w:tcW w:w="38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180" w:type="dxa"/>
            <w:vAlign w:val="bottom"/>
            <w:tcBorders>
              <w:top w:val="single" w:sz="8" w:color="CCEEFF"/>
            </w:tcBorders>
            <w:gridSpan w:val="2"/>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8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8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512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80" w:type="dxa"/>
            <w:vAlign w:val="bottom"/>
            <w:shd w:val="clear" w:color="auto" w:fill="CCEEFF"/>
          </w:tcPr>
          <w:p>
            <w:pPr>
              <w:spacing w:after="0"/>
              <w:rPr>
                <w:sz w:val="19"/>
                <w:szCs w:val="19"/>
                <w:color w:val="auto"/>
              </w:rPr>
            </w:pPr>
          </w:p>
        </w:tc>
      </w:tr>
      <w:tr>
        <w:trPr>
          <w:trHeight w:val="189"/>
        </w:trPr>
        <w:tc>
          <w:tcPr>
            <w:tcW w:w="20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94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8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80" w:type="dxa"/>
            <w:vAlign w:val="bottom"/>
            <w:shd w:val="clear" w:color="auto" w:fill="CCEEFF"/>
          </w:tcPr>
          <w:p>
            <w:pPr>
              <w:spacing w:after="0"/>
              <w:rPr>
                <w:sz w:val="16"/>
                <w:szCs w:val="16"/>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When we refer to “Cartesian,” “we,” “our,” “us” and the “Company” in this prospectus, we mean Cartesian Therapeutics, Inc. and its consolidated subsidiaries, unless otherwise specified.</w:t>
      </w:r>
    </w:p>
    <w:p>
      <w:pPr>
        <w:spacing w:after="0" w:line="54"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4"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instituted against us or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may not contain all of the forward-looking statements made in this prospectus.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 Moreover, we operate in a competitive industry, and new risks emerge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w:t>
      </w:r>
    </w:p>
    <w:p>
      <w:pPr>
        <w:spacing w:after="0" w:line="27"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6" w:lineRule="exact"/>
        <w:rPr>
          <w:sz w:val="20"/>
          <w:szCs w:val="20"/>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Our Annual Report on Form 10-K for the year ended December 31, 2023, filed with the SEC on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16">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9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17">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and </w:t>
      </w:r>
      <w:hyperlink r:id="rId19">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(or amendments thereto) filed with the SEC on </w:t>
      </w:r>
      <w:hyperlink r:id="rId20">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April 9,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Item 7.01 and Exhibit 99.1 thereto), </w:t>
      </w:r>
      <w:hyperlink r:id="rId27">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000000"/>
        </w:rPr>
        <w:t xml:space="preserve">, </w:t>
      </w:r>
      <w:hyperlink r:id="rId28">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 99.1 thereto), </w:t>
      </w:r>
      <w:hyperlink r:id="rId29">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000000"/>
        </w:rPr>
        <w:t xml:space="preserve">, </w:t>
      </w:r>
      <w:hyperlink r:id="rId30">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Exhibits 99.1 and 99.2 thereto), </w:t>
      </w:r>
      <w:hyperlink r:id="rId31">
        <w:r>
          <w:rPr>
            <w:rFonts w:ascii="Times New Roman" w:cs="Times New Roman" w:eastAsia="Times New Roman" w:hAnsi="Times New Roman"/>
            <w:sz w:val="18"/>
            <w:szCs w:val="18"/>
            <w:u w:val="single" w:color="auto"/>
            <w:color w:val="0000EE"/>
          </w:rPr>
          <w:t>September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 xml:space="preserve">September 26,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 xml:space="preserve">December 3,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Exhibits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99.2 thereto).</w:t>
      </w:r>
    </w:p>
    <w:p>
      <w:pPr>
        <w:spacing w:after="0" w:line="80" w:lineRule="exact"/>
        <w:rPr>
          <w:rFonts w:ascii="Times New Roman" w:cs="Times New Roman" w:eastAsia="Times New Roman" w:hAnsi="Times New Roman"/>
          <w:sz w:val="18"/>
          <w:szCs w:val="18"/>
          <w:color w:val="0000EE"/>
        </w:rPr>
      </w:pPr>
    </w:p>
    <w:p>
      <w:pPr>
        <w:ind w:left="1000" w:right="45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4">
        <w:r>
          <w:rPr>
            <w:rFonts w:ascii="Times New Roman" w:cs="Times New Roman" w:eastAsia="Times New Roman" w:hAnsi="Times New Roman"/>
            <w:sz w:val="18"/>
            <w:szCs w:val="18"/>
            <w:u w:val="single" w:color="auto"/>
            <w:color w:val="0000EE"/>
          </w:rPr>
          <w:t>June 8, 2016</w:t>
        </w:r>
      </w:hyperlink>
      <w:r>
        <w:rPr>
          <w:rFonts w:ascii="Times New Roman" w:cs="Times New Roman" w:eastAsia="Times New Roman" w:hAnsi="Times New Roman"/>
          <w:sz w:val="18"/>
          <w:szCs w:val="18"/>
          <w:color w:val="auto"/>
        </w:rPr>
        <w:t xml:space="preserve">, as amended by the description of our Common Stock contained in </w:t>
      </w:r>
      <w:hyperlink r:id="rId35">
        <w:r>
          <w:rPr>
            <w:rFonts w:ascii="Times New Roman" w:cs="Times New Roman" w:eastAsia="Times New Roman" w:hAnsi="Times New Roman"/>
            <w:sz w:val="18"/>
            <w:szCs w:val="18"/>
            <w:u w:val="single" w:color="auto"/>
            <w:color w:val="0000EE"/>
          </w:rPr>
          <w:t>Exhibit 4.14</w:t>
        </w:r>
      </w:hyperlink>
      <w:r>
        <w:rPr>
          <w:rFonts w:ascii="Times New Roman" w:cs="Times New Roman" w:eastAsia="Times New Roman" w:hAnsi="Times New Roman"/>
          <w:sz w:val="18"/>
          <w:szCs w:val="18"/>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81"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auto"/>
        </w:rPr>
      </w:pPr>
    </w:p>
    <w:p>
      <w:pPr>
        <w:ind w:left="3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rFonts w:ascii="Times New Roman" w:cs="Times New Roman" w:eastAsia="Times New Roman" w:hAnsi="Times New Roman"/>
          <w:sz w:val="18"/>
          <w:szCs w:val="18"/>
          <w:color w:val="auto"/>
        </w:rPr>
      </w:pPr>
    </w:p>
    <w:p>
      <w:pPr>
        <w:ind w:left="360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rFonts w:ascii="Times New Roman" w:cs="Times New Roman" w:eastAsia="Times New Roman" w:hAnsi="Times New Roman"/>
          <w:sz w:val="18"/>
          <w:szCs w:val="18"/>
          <w:color w:val="auto"/>
        </w:rPr>
      </w:pPr>
    </w:p>
    <w:p>
      <w:pPr>
        <w:ind w:left="370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9" w:lineRule="exact"/>
        <w:rPr>
          <w:rFonts w:ascii="Times New Roman" w:cs="Times New Roman" w:eastAsia="Times New Roman" w:hAnsi="Times New Roman"/>
          <w:sz w:val="18"/>
          <w:szCs w:val="18"/>
          <w:color w:val="auto"/>
        </w:rPr>
      </w:pPr>
    </w:p>
    <w:p>
      <w:pPr>
        <w:ind w:left="3940"/>
        <w:spacing w:after="0"/>
        <w:rPr>
          <w:sz w:val="20"/>
          <w:szCs w:val="20"/>
          <w:color w:val="auto"/>
        </w:rPr>
      </w:pPr>
      <w:r>
        <w:rPr>
          <w:rFonts w:ascii="Times New Roman" w:cs="Times New Roman" w:eastAsia="Times New Roman" w:hAnsi="Times New Roman"/>
          <w:sz w:val="18"/>
          <w:szCs w:val="18"/>
          <w:color w:val="auto"/>
        </w:rPr>
        <w:t>(301) 348-8698</w:t>
      </w:r>
    </w:p>
    <w:p>
      <w:pPr>
        <w:spacing w:after="0" w:line="99" w:lineRule="exact"/>
        <w:rPr>
          <w:rFonts w:ascii="Times New Roman" w:cs="Times New Roman" w:eastAsia="Times New Roman" w:hAnsi="Times New Roman"/>
          <w:sz w:val="18"/>
          <w:szCs w:val="18"/>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We filed our certificate of incorporation with the Secretary of State of Delaware on December 10, 2007.</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8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7495 New Horizon Way, Frederick, MD 21703, and our telephone number is (301) 348-8698.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399"/>
        <w:spacing w:after="0" w:line="289" w:lineRule="auto"/>
        <w:rPr>
          <w:sz w:val="20"/>
          <w:szCs w:val="20"/>
          <w:color w:val="auto"/>
        </w:rPr>
      </w:pPr>
      <w:r>
        <w:rPr>
          <w:rFonts w:ascii="Times New Roman" w:cs="Times New Roman" w:eastAsia="Times New Roman" w:hAnsi="Times New Roman"/>
          <w:sz w:val="17"/>
          <w:szCs w:val="17"/>
          <w:color w:val="auto"/>
        </w:rPr>
        <w:t>Up to 11,392,350 shares of Common Stock, consisting of the Merger Common Shares, the Merger Conversion Shares and the Private Placement Conversion Shares.</w:t>
      </w:r>
    </w:p>
    <w:p>
      <w:pPr>
        <w:spacing w:after="0" w:line="8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279"/>
        <w:spacing w:after="0" w:line="258"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and shares of Common Stock issuable upon conversion of Series A Preferred Stock registered under this prospectus for resale.</w:t>
      </w:r>
    </w:p>
    <w:p>
      <w:pPr>
        <w:spacing w:after="0" w:line="9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299"/>
        <w:spacing w:after="0" w:line="277" w:lineRule="auto"/>
        <w:rPr>
          <w:sz w:val="20"/>
          <w:szCs w:val="20"/>
          <w:color w:val="auto"/>
        </w:rPr>
      </w:pPr>
      <w:r>
        <w:rPr>
          <w:rFonts w:ascii="Times New Roman" w:cs="Times New Roman" w:eastAsia="Times New Roman" w:hAnsi="Times New Roman"/>
          <w:sz w:val="17"/>
          <w:szCs w:val="17"/>
          <w:color w:val="auto"/>
        </w:rPr>
        <w:t>As of September 30, 2024, there were 23,896,525 shares of our Common Stock, 166,341.592 shares of Series A Preferred Stock and 437,927 shares of our Series B Non-Voting Convertible Preferred Stock, par value $0.0001 per share, or Series B Preferred Stock, outstanding.</w:t>
      </w:r>
    </w:p>
    <w:p>
      <w:pPr>
        <w:spacing w:after="0" w:line="9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7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399"/>
        <w:spacing w:after="0" w:line="290"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for a discussion of factors that you should consider carefully before</w:t>
      </w:r>
    </w:p>
    <w:p>
      <w:pPr>
        <w:spacing w:after="0" w:line="20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Trading Markets and Ticker Symbols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54"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outstanding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38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5653405" cy="2738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4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20" w:right="8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20" w:right="6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our 2016 Employee Stock Purchase Plan.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Before deciding whether to invest in our securities, you should consider carefully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of our filings with the SEC that are incorporated by reference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and fees and expenses of our counsel and our independent registered public accounting firm.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Preferred Stock, and are convertible into 5,544,719 shares of Common Stock and (ii) 437,927 were designated as Series B Preferred Stock, and are convertible into 437,927 shares of Common Stock.</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proportionately any dividends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or the Board of Directors, subject to any preferential dividend rights of outstanding preferred stock.</w:t>
      </w:r>
    </w:p>
    <w:p>
      <w:pPr>
        <w:spacing w:after="0" w:line="6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Pursuant to the Charter, the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1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75"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A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A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A Preferred Stock, or the Series A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Series A Preferred Stock does not have voting rights. However, as long as any shares of Series A Preferred Stock are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A Preferred Stock, (a) alter or change adversely the powers, preferences or rights given to the Series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A Certificate of Designation,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A Preferred Stock,</w:t>
      </w:r>
    </w:p>
    <w:p>
      <w:pPr>
        <w:spacing w:after="0" w:line="9" w:lineRule="exact"/>
        <w:rPr>
          <w:sz w:val="20"/>
          <w:szCs w:val="20"/>
          <w:color w:val="auto"/>
        </w:rPr>
      </w:pPr>
    </w:p>
    <w:p>
      <w:pPr>
        <w:ind w:left="300" w:right="359" w:hanging="8"/>
        <w:spacing w:after="0" w:line="251"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2"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A Preferred Stock ranks on parity with Common Stock and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A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B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B Preferred Stock (except for any holder of Series B Preferred Stock who beneficially owned greater than 19.9% of our Common Stock immediately prior to 2024 Private Placement (as defined below))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B Beneficial Ownership Limitation. Each outstanding share of Series B</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Preferred Stock is convertible, at any time and from time to time, at the option of the holder thereof, into one share of Common Stock, subject to the Series B Beneficial Ownership Limitation and only to the extent the same shall have ceased to apply.</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B Preferred Stock, or the Series B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does not have voting rights. However, as long as any shares of Series B Preferred Stock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B Preferred Stock, (a) alter or change adversely the powers, preferences or rights given to the Series B</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B Certificate of Designation, or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B Preferred Stock.</w:t>
      </w:r>
    </w:p>
    <w:p>
      <w:pPr>
        <w:spacing w:after="0" w:line="97"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B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B Preferred Stock ranks on parity with Common Stock and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B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B Preferred Stock.</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the following rights with respect to the registration of such shares for public resale under the Securities Act.</w:t>
      </w:r>
    </w:p>
    <w:p>
      <w:pPr>
        <w:spacing w:after="0" w:line="5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or the 2024 RRA, we entered into in June 2024 in connection with the 2024 Private Placement, (ii) a registration rights agreement, or the 2023 RRA, we entered into in November 2023 in connection with the Transactions, and (iii) a registration rights agreement, or the 2020 RRA, we entered into in connection with the private placement of our Common Stock, which closed on July 31, 2020.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RRA</w:t>
      </w:r>
    </w:p>
    <w:p>
      <w:pPr>
        <w:spacing w:after="0" w:line="121"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On July 2, 2024, we entered into the 2024 RRA with the purchasers party thereto. Pursuant to the 2024 RRA, we were obligated to prepare and file a resale registration statement with the SEC within 30 days of July 3, 2024 and to use our reasonable best efforts to cause such registration statement to be declared effective by the SEC within</w:t>
      </w:r>
    </w:p>
    <w:p>
      <w:pPr>
        <w:spacing w:after="0" w:line="1" w:lineRule="exact"/>
        <w:rPr>
          <w:sz w:val="20"/>
          <w:szCs w:val="20"/>
          <w:color w:val="auto"/>
        </w:rPr>
      </w:pP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90 calendar days of July 3, 2024 (or within 120 calendar days of July 3, 2024 if the SEC reviews the registration statement).</w:t>
      </w:r>
    </w:p>
    <w:p>
      <w:pPr>
        <w:spacing w:after="0" w:line="73"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2024 RRA.</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2024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RRA</w:t>
      </w:r>
    </w:p>
    <w:p>
      <w:pPr>
        <w:spacing w:after="0" w:line="121"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the Transactions, we entered into the 2023 RRA, pursuant to which we agreed to prepare and file a resale registration statement with the SEC within 90 calendar days following November 15, 2023, with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respect to the Private Placement Conversion Shares, the Merger Common Shares, and the Merger Conversion Shares.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registrable securities under the 2023 RRA, and one signatory to the 2023 RRA has irrevocably waived such registration requirements. The registration statement of which this prospectus forms a part is intended to satisfy our remaining registration obligations with respect to the Resale Shares pursuant to the 2023 RRA.</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RRA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10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Demand Registration Rights</w:t>
      </w:r>
      <w:r>
        <w:rPr>
          <w:rFonts w:ascii="Times New Roman" w:cs="Times New Roman" w:eastAsia="Times New Roman" w:hAnsi="Times New Roman"/>
          <w:sz w:val="17"/>
          <w:szCs w:val="17"/>
          <w:color w:val="auto"/>
        </w:rPr>
        <w:t>. If the holders of registrable securities request in writing that we effect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with respect to all of the registrable securities, we will be required to effect such registration.</w:t>
      </w:r>
    </w:p>
    <w:p>
      <w:pPr>
        <w:spacing w:after="0" w:line="27" w:lineRule="exact"/>
        <w:rPr>
          <w:sz w:val="20"/>
          <w:szCs w:val="20"/>
          <w:color w:val="auto"/>
        </w:rPr>
      </w:pPr>
    </w:p>
    <w:p>
      <w:pPr>
        <w:ind w:left="30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firstLine="360"/>
        <w:spacing w:after="0" w:line="276"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without a meeting.</w:t>
      </w:r>
    </w:p>
    <w:p>
      <w:pPr>
        <w:spacing w:after="0" w:line="5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Series A Preferred Stock, and Series B Preferred Stock is Broadridge Corporate Issuer Solutions, LLC. The transfer agent’s address is 51 Mercedes Way, Edgewood, NY 11717, and its telephone number is (888) 247-6053.</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 We have not applied to list the Series A Preferred Stock or the Series B Preferred Stock on any national securities exchange.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This prospectus covers the resale or other disposition from time to time by the Selling Stockholders identified in the table below of up to an aggregate of 11,392,350 shares of our Common Stock, consisting of 110,123 Merger Common Shares, 6,304,558 Merger Conversion Shares issued or issuable upon conversion of 189,136.767 Merger Preferred Shares, and 4,977,669 Private Placement Conversion Shares issued or issuable upon the conversion of 149,330.115 Private Placement Preferred Shares. The Selling Stockholders may from time to time offer and sell any or all of the Resale Shares set forth below pursuant to this prospectus and any accompanying prospectus supplement.</w:t>
      </w:r>
    </w:p>
    <w:p>
      <w:pPr>
        <w:spacing w:after="0" w:line="6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On November 13, 2023, we entered into the Merger Agreement, pursuant to which we issued an aggregate of 224,099 shares of our Common Stock and 384,930.724 shares of our Series A Preferred Stock, and the Securities Purchase Agreement pursuant to which we issued and sold 149,330.115 shares of our Series A Preferred Stock for an aggregate purchase price of approximately $60.25 million. Subsequently, 413,470.437 shares of Series A Preferred Stock have been converted into 13,782,324 shares of Common Stock. Each of the remaining outstanding 120,790.402 shares of Series A Preferred Stock is convertible into 33.333 shares of Common Stock, subject to certain beneficial ownership limitations.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issued or issuable upon the conversion of the Series A Preferred Stock issued to the Selling Stockholders pursuant to the Merger Agreement and Securities Purchase Agreement, as the case may be. Throughout this prospectus, when we refer to the “Selling Stockholders,” we are referring to the purchasers under the Securities Purchase Agreement listed in the table below.</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(assuming the conversion of all outstanding shares of Series A Preferred Stock held by such Selling Stockholder), the number of shares of our Common Stock that may be offered under this prospectus (which reflects the assumed conversion of all outstanding shares of Series A Preferred Stock) and the number of shares of our Common Stock that will be owned after this offering by the Selling Stockholders assuming all of the Resale Shares registered for resale hereby are sold, in each case as of November 22, 2024.</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Series A Certificate of Designation, subject to certain beneficial ownership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or potential issuance of the Merger Common Shares, Merger Conversion Shares, and Private Placement Conversion Shares. The percentages of Common Stock owned after the offering by each Selling Stockholder below are based on 25,725,306 shares of Common Stock outstanding as of November 22, 2024, and, for each Selling Stockholder, assumes the conversion of only the Series A Preferred Stock owned by such Selling Stockholder but not the Series A Preferred Stock owned by any other Selling Stockholder. The numbers of shares of Common Stock beneficially owned before and after the offering presented in the table below do not give effect to the Series A Beneficial Ownership Limitation.</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18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6"/>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0" w:type="dxa"/>
            <w:vAlign w:val="bottom"/>
          </w:tcPr>
          <w:p>
            <w:pPr>
              <w:spacing w:after="0"/>
              <w:rPr>
                <w:sz w:val="12"/>
                <w:szCs w:val="12"/>
                <w:color w:val="auto"/>
              </w:rPr>
            </w:pPr>
          </w:p>
        </w:tc>
        <w:tc>
          <w:tcPr>
            <w:tcW w:w="16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Offering</w:t>
            </w:r>
            <w:r>
              <w:rPr>
                <w:rFonts w:ascii="Times New Roman" w:cs="Times New Roman" w:eastAsia="Times New Roman" w:hAnsi="Times New Roman"/>
                <w:sz w:val="23"/>
                <w:szCs w:val="23"/>
                <w:b w:val="1"/>
                <w:bCs w:val="1"/>
                <w:color w:val="auto"/>
                <w:w w:val="95"/>
                <w:vertAlign w:val="superscript"/>
              </w:rPr>
              <w:t>(2)</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8"/>
                <w:szCs w:val="28"/>
                <w:color w:val="auto"/>
                <w:vertAlign w:val="superscript"/>
              </w:rPr>
              <w:t>(3)</w:t>
            </w:r>
          </w:p>
        </w:tc>
        <w:tc>
          <w:tcPr>
            <w:tcW w:w="9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9,481,816</w:t>
            </w:r>
          </w:p>
        </w:tc>
        <w:tc>
          <w:tcPr>
            <w:tcW w:w="9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4,957,015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3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Seven One Eight Three Four Irrevocable Trust</w:t>
            </w:r>
            <w:r>
              <w:rPr>
                <w:rFonts w:ascii="Times New Roman" w:cs="Times New Roman" w:eastAsia="Times New Roman" w:hAnsi="Times New Roman"/>
                <w:sz w:val="29"/>
                <w:szCs w:val="29"/>
                <w:color w:val="auto"/>
                <w:vertAlign w:val="superscript"/>
              </w:rPr>
              <w:t>(4)</w:t>
            </w:r>
          </w:p>
        </w:tc>
        <w:tc>
          <w:tcPr>
            <w:tcW w:w="9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6,435,335</w:t>
            </w:r>
          </w:p>
        </w:tc>
        <w:tc>
          <w:tcPr>
            <w:tcW w:w="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6,435,335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0"/>
          <w:szCs w:val="20"/>
          <w:color w:val="auto"/>
        </w:rPr>
      </w:pPr>
    </w:p>
    <w:p>
      <w:pPr>
        <w:ind w:left="640" w:right="3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shares of Common Stock. Unless otherwise indicated, the address of each beneficial owner listed below is 7495 New Horizon Way, Frederick, Maryland 21703.</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the Series A Beneficial Ownership Limitation, of the total number of shares of Common Stock issued and outstanding immediately after giving effect to such conversion.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8,449,773 shares of Common Stock held directly by Timothy A. Springer, Ph.D., a member of our Board of Directors, (ii) 113,587 shares of Common Stock issuable upon exercise of underlying warrants exercisable within 60 days of November 22, 2024 held directly by Timothy A. Springer, Ph.D., (iii) 2,533 shares of Common Stock issuable upon exercise of outstanding options within 60 days of November 22, 2024 and held directly by Timothy A. Springer, Ph.D., (iv) 1,977 shares of Common Stock underlying restricted stock units vesting within 60 days of November 22, 2024, (v) 529,798 shares of Common Stock held by TAS Partners LLC, or TAS, an affiliate of Dr. Springer, directly, (vi) 33,408 shares of Common Stock issuable upon exercise of underlying warrants exercisable within 60 days of November 22, 2024 held by TAS directly, (vii) 330,695 shares of Common Stock held by Dr. Chafen Lu, Dr. Springer’s wife, and (viii) 20,045 shares of Common Stock issuable upon exercise of underlying warrants exercisable within 60 days of November 22, 2024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6"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4,555,260 shares of Common Stock held by the Seven One Eight Three Four Irrevocable Trust, or the Trust, and (ii) 1,880,075 shares of Common Stock underlying 56,402.254 shares of Series A Preferred Stock held by the Trust. The trustees of the Trust are Elizabeth Hoge and Sinan Kalayoglu, each of whom has shared voting and dispositive control over the shares of Common Stock and Series A Preferred Stock held by the Trust. Murat Kalayoglu, a member of our Board of Directors, has the power to remove and appoint new trustees of the Trust and, pursuant to a right of substitution, to acquire from the Trust the shares of Common Stock and Series A Preferred Stock held by the Trust in exchange for assets with an equal value to such shares. Accordingly, Dr. Kalayoglu may be deemed to have sole voting and dispositive power of the shares of Common Stock and Series A Preferred Stock held by the Trust. The ability of the shares of Series A Preferred Stock held by the Trust to convert into shares of Common Stock is subject to a beneficial ownership limitation, such that neither the Trust may convert shares of Series A Preferred Stock into Common Stock to the extent that doing so would result in Dr. Kalayoglu or the Trust beneficially owning greater than 19.9% of the Company’s outstanding Common Stock after giving effect to such conversion.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with the Selling Stockholders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2024 Private Placement</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Dr. Timothy A. Springer, TAS, and Dr. Springer’s spouse, Dr. Chafen Lu, purchased shares of our Series B Preferred Stock in a private placement, which closed on July 3, 2024, or the 2024 Private Placement. The following table sets forth the number of shares of Series B Preferred Stock purchased in the 2024 Private Placement by such parties: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B Preferred</w:t>
            </w: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02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1,636,832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$32,736,640</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20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721,361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$14,427,220</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Chafen Lu, Ph.D.</w:t>
            </w:r>
          </w:p>
        </w:tc>
        <w:tc>
          <w:tcPr>
            <w:tcW w:w="20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0" w:type="dxa"/>
            <w:vAlign w:val="bottom"/>
          </w:tcPr>
          <w:p>
            <w:pPr>
              <w:spacing w:after="0"/>
              <w:rPr>
                <w:sz w:val="1"/>
                <w:szCs w:val="1"/>
                <w:color w:val="auto"/>
              </w:rPr>
            </w:pPr>
          </w:p>
        </w:tc>
      </w:tr>
      <w:tr>
        <w:trPr>
          <w:trHeight w:val="54"/>
        </w:trPr>
        <w:tc>
          <w:tcPr>
            <w:tcW w:w="5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2024 Private Placement, we entered into the 2024 RRA with Dr. Springer, TAS, Dr. Lu and the purchasers of shares of Series B Preferred Stock and Common Stock.</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Warrant Exercise</w:t>
      </w:r>
    </w:p>
    <w:p>
      <w:pPr>
        <w:spacing w:after="0" w:line="117"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On March 26, 2024, TAS exercised 65,681 warrants originally issued in 2019 (and amended in December 2022), paid the per-share exercise price of $43.80 in cash for an aggregate exercise price of $2.9 million, and received 65,681 shares of Common Stock and 1,970,443 CVRs.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2023 Private Placement</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2023 Private Placement, we entered into the Securities Purchase Agreement pursuant to which we issued and sold an aggregate of 149,330.115 shares of Series A Preferred Stock, each of which was converted or is convertible into 33.333 shares of Common Stock, for an aggregate purchase price of approximately $60.25 million. Timothy A. Springer, Ph.D., one of the Selling Stockholders and a member of our Board of Directors, participated in the 2023 Private Placement and was party to the 2023 RRA. TAS is affiliated with Dr. Springer and TAS also participated in the 2023 Private Placement and was party to the 2023 RRA. The Trust is affiliated with Murat Kalayoglu, M.D., Ph.D., a member of our Board of Directors, and participated in the 2023 Private Placement and was party to the 2023 RRA. The following table sets forth the number of shares of Series A Preferred Stock purchased in the 2023 Private Placement by such parties: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A Preferred</w:t>
            </w:r>
          </w:p>
        </w:tc>
        <w:tc>
          <w:tcPr>
            <w:tcW w:w="12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8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123,925.407</w:t>
            </w:r>
          </w:p>
        </w:tc>
        <w:tc>
          <w:tcPr>
            <w:tcW w:w="1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18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24,785.081</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 One Eight Three Four Irrevocable Trust (affiliate of Murat</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Kalayoglu, M.D., Ph.D.)</w:t>
            </w:r>
          </w:p>
        </w:tc>
        <w:tc>
          <w:tcPr>
            <w:tcW w:w="18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619.627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54"/>
        </w:trPr>
        <w:tc>
          <w:tcPr>
            <w:tcW w:w="5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the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 a purchase price of $0.25 million.</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Merger with Old Cartesian</w:t>
      </w:r>
    </w:p>
    <w:p>
      <w:pPr>
        <w:spacing w:after="0" w:line="117" w:lineRule="exact"/>
        <w:rPr>
          <w:sz w:val="20"/>
          <w:szCs w:val="20"/>
          <w:color w:val="auto"/>
        </w:rPr>
      </w:pPr>
    </w:p>
    <w:p>
      <w:pPr>
        <w:ind w:left="300" w:right="579" w:firstLine="360"/>
        <w:spacing w:after="0" w:line="289" w:lineRule="auto"/>
        <w:rPr>
          <w:sz w:val="20"/>
          <w:szCs w:val="20"/>
          <w:color w:val="auto"/>
        </w:rPr>
      </w:pPr>
      <w:r>
        <w:rPr>
          <w:rFonts w:ascii="Times New Roman" w:cs="Times New Roman" w:eastAsia="Times New Roman" w:hAnsi="Times New Roman"/>
          <w:sz w:val="17"/>
          <w:szCs w:val="17"/>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we issued to the stockholders of Old Cartesian that are “accredited investors,” as defined in Regulation D promulgated under the Securities Act, (A) 224,099 shares of Common Stock and (B) 384,930.724 shares of our Series A Preferred Stock. Each of the remaining outstanding 120,790.402 shares of Series A Preferred Stock is convertible into 33.333 shares of Common Stock, subject to certain beneficial ownership limitations.</w:t>
      </w:r>
    </w:p>
    <w:p>
      <w:pPr>
        <w:spacing w:after="0" w:line="72" w:lineRule="exact"/>
        <w:rPr>
          <w:sz w:val="20"/>
          <w:szCs w:val="20"/>
          <w:color w:val="auto"/>
        </w:rPr>
      </w:pPr>
    </w:p>
    <w:p>
      <w:pPr>
        <w:ind w:left="300" w:right="899" w:firstLine="360"/>
        <w:spacing w:after="0" w:line="266" w:lineRule="auto"/>
        <w:rPr>
          <w:sz w:val="20"/>
          <w:szCs w:val="20"/>
          <w:color w:val="auto"/>
        </w:rPr>
      </w:pPr>
      <w:r>
        <w:rPr>
          <w:rFonts w:ascii="Times New Roman" w:cs="Times New Roman" w:eastAsia="Times New Roman" w:hAnsi="Times New Roman"/>
          <w:sz w:val="18"/>
          <w:szCs w:val="18"/>
          <w:color w:val="auto"/>
        </w:rPr>
        <w:t>As consideration in the Merger, Dr. Kalayoglu, together with his affiliated entities (including the Trust), collectively received an aggregate of 118,714 shares of Common Stock and 203,892.376 shares of Series A Preferred Stock.</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Securities Purchase Agreement, in connection with the Transactions, we entered into the 2023 RRA with the Selling Stockholders.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April 2022 Offering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of 914,285 shares of our Common Stock and accompanying warrants to purchase 685,712 shares of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at a combined purchase price of $42.30, for aggregate net proceeds to us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$36.9 million. In this offering, TAS purchased 222,720 shares of Common Stock and warrants to purchase 167,040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for a total purchase price of approximately $9.4 million.</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Support Agreements</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Old Cartesian entered into the Support Agreements with certain of our pre-Merger officers, directors and stockholders, including Dr. Springer and TAS. Pursuant to the Support Agreements, among other things, each of our pre-Merger stockholder parties thereto agreed to vote or cause to be voted all of the shares of Common Stock owned by such stockholder in favor of the proposals we submitted for stockholder approval at our March 2024 special meeting of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Indemnification Agreements</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including Drs. Springer and Kalayoglu.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shares of Common Stock issuable upon the conversion of the Series A Preferred Stock, may only be offered after such shares are converted to shares of Common Stock pursuant to the terms of the Series A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purchases by a broker-dealer as principal and resale by the broker-dealer for its account;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Resale Shares at a stipulated price per share;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an in-kind distribution of Resale Shares to its members, partners or stockholders pursuant to the registration statement of which this prospectus is a part by delivering a prospectus.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7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8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2023 RRA, or the Selling Stockholders will be entitled to contribution. We may be indemnified by the Selling Stockholders against certain civil liabilities set forth in the 2023 RRA, including liabilities under the Securities Act, that may arise from any written information furnished to us by the Selling Stockholders specifically for use in this prospectus, in accordance with the related 2023 RRA, or we may be entitled to contribution.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New York, New York. If legal matters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6"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15" Type="http://schemas.openxmlformats.org/officeDocument/2006/relationships/hyperlink" Target="https://www.sec.gov/ix?doc=/Archives/edgar/data/1453687/000145368724000036/rnac-20231231.htm" TargetMode="External"/><Relationship Id="rId16" Type="http://schemas.openxmlformats.org/officeDocument/2006/relationships/hyperlink" Target="https://www.sec.gov/ix?doc=/Archives/edgar/data/1453687/000145368724000076/rnac-20240426.htm" TargetMode="External"/><Relationship Id="rId17" Type="http://schemas.openxmlformats.org/officeDocument/2006/relationships/hyperlink" Target="https://www.sec.gov/ix?doc=/Archives/edgar/data/1453687/000145368724000082/rnac-20240331.htm" TargetMode="External"/><Relationship Id="rId18" Type="http://schemas.openxmlformats.org/officeDocument/2006/relationships/hyperlink" Target="https://www.sec.gov/ix?doc=/Archives/edgar/data/1453687/000145368724000102/rnac-20240630.htm" TargetMode="External"/><Relationship Id="rId19" Type="http://schemas.openxmlformats.org/officeDocument/2006/relationships/hyperlink" Target="https://www.sec.gov/ix?doc=/Archives/edgar/data/1453687/000145368724000124/rnac-20240930.htm" TargetMode="External"/><Relationship Id="rId20" Type="http://schemas.openxmlformats.org/officeDocument/2006/relationships/hyperlink" Target="https://www.sec.gov/ix?doc=/Archives/edgar/data/1453687/000145368724000030/rnac-20240117.htm" TargetMode="External"/><Relationship Id="rId21" Type="http://schemas.openxmlformats.org/officeDocument/2006/relationships/hyperlink" Target="https://www.sec.gov/ix?doc=/Archives/edgar/data/1453687/000114036124003407/ny20014884x4_8ka.htm" TargetMode="External"/><Relationship Id="rId22" Type="http://schemas.openxmlformats.org/officeDocument/2006/relationships/hyperlink" Target="https://www.sec.gov/ix?doc=/Archives/edgar/data/1453687/000114036124011282/ef20023144_8k.htm" TargetMode="External"/><Relationship Id="rId23" Type="http://schemas.openxmlformats.org/officeDocument/2006/relationships/hyperlink" Target="https://www.sec.gov/ix?doc=/Archives/edgar/data/1453687/000145368724000039/rnac-20240308.htm" TargetMode="External"/><Relationship Id="rId24" Type="http://schemas.openxmlformats.org/officeDocument/2006/relationships/hyperlink" Target="https://www.sec.gov/ix?doc=/Archives/edgar/data/1453687/000145368724000048/rnac-20240326.htm" TargetMode="External"/><Relationship Id="rId25" Type="http://schemas.openxmlformats.org/officeDocument/2006/relationships/hyperlink" Target="https://www.sec.gov/ix?doc=/Archives/edgar/data/1453687/000145368724000052/rnac-20240326.htm" TargetMode="External"/><Relationship Id="rId26" Type="http://schemas.openxmlformats.org/officeDocument/2006/relationships/hyperlink" Target="https://www.sec.gov/ix?doc=/Archives/edgar/data/1453687/000145368724000055/rnac-20240408.htm" TargetMode="External"/><Relationship Id="rId27" Type="http://schemas.openxmlformats.org/officeDocument/2006/relationships/hyperlink" Target="https://www.sec.gov/ix?doc=/Archives/edgar/data/1453687/000145368724000072/rnac-20240419.htm" TargetMode="External"/><Relationship Id="rId28" Type="http://schemas.openxmlformats.org/officeDocument/2006/relationships/hyperlink" Target="https://www.sec.gov/ix?doc=/Archives/edgar/data/1453687/000145368724000084/rnac-20240522.htm" TargetMode="External"/><Relationship Id="rId29" Type="http://schemas.openxmlformats.org/officeDocument/2006/relationships/hyperlink" Target="https://www.sec.gov/ix?doc=/Archives/edgar/data/1453687/000145368724000088/rnac-20240614.htm" TargetMode="External"/><Relationship Id="rId30" Type="http://schemas.openxmlformats.org/officeDocument/2006/relationships/hyperlink" Target="https://www.sec.gov/ix?doc=/Archives/edgar/data/1453687/000114036124032080/ef20031962_8k.htm" TargetMode="External"/><Relationship Id="rId31" Type="http://schemas.openxmlformats.org/officeDocument/2006/relationships/hyperlink" Target="https://www.sec.gov/ix?doc=/Archives/edgar/data/1453687/000145368724000108/rnac-20240920.htm" TargetMode="External"/><Relationship Id="rId32" Type="http://schemas.openxmlformats.org/officeDocument/2006/relationships/hyperlink" Target="https://www.sec.gov/ix?doc=/Archives/edgar/data/1453687/000145368724000110/rnac-20240925.htm" TargetMode="External"/><Relationship Id="rId33" Type="http://schemas.openxmlformats.org/officeDocument/2006/relationships/hyperlink" Target="https://www.sec.gov/ix?doc=/Archives/edgar/data/1453687/000145368724000143/rnac-20241203.htm" TargetMode="External"/><Relationship Id="rId34" Type="http://schemas.openxmlformats.org/officeDocument/2006/relationships/hyperlink" Target="https://www.sec.gov/Archives/edgar/data/1453687/000110465916126207/a15-22910_88a12b.htm" TargetMode="External"/><Relationship Id="rId35" Type="http://schemas.openxmlformats.org/officeDocument/2006/relationships/hyperlink" Target="https://www.sec.gov/Archives/edgar/data/1453687/000145368724000036/exhibit414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2025-01-08T15:43:13Z</dcterms:created>
  <dcterms:modified xsi:type="dcterms:W3CDTF">2025-01-08T15:43:13Z</dcterms:modified>
</cp:coreProperties>
</file>